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55335A" w14:textId="77777777" w:rsidR="00B24DF4" w:rsidRDefault="00B24DF4" w:rsidP="009424A5">
      <w:bookmarkStart w:id="0" w:name="_Toc476822632"/>
      <w:bookmarkStart w:id="1" w:name="_Toc476822653"/>
      <w:bookmarkStart w:id="2" w:name="_GoBack"/>
      <w:bookmarkEnd w:id="2"/>
      <w:r w:rsidRPr="008A251F">
        <w:rPr>
          <w:rFonts w:eastAsiaTheme="majorEastAsia"/>
          <w:noProof/>
        </w:rPr>
        <w:drawing>
          <wp:inline distT="0" distB="0" distL="0" distR="0" wp14:anchorId="47A83FE9" wp14:editId="1CA89C79">
            <wp:extent cx="4335880" cy="612000"/>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0"/>
      <w:bookmarkEnd w:id="1"/>
    </w:p>
    <w:p w14:paraId="469FC3E9" w14:textId="77777777" w:rsidR="00BC07E4" w:rsidRDefault="00B52808" w:rsidP="009424A5">
      <w:pPr>
        <w:pStyle w:val="PublicationDate"/>
      </w:pPr>
      <w:r>
        <w:rPr>
          <w:noProof/>
        </w:rPr>
        <w:drawing>
          <wp:inline distT="0" distB="0" distL="0" distR="0" wp14:anchorId="0B8784BC" wp14:editId="68FBCB4E">
            <wp:extent cx="2191407" cy="796158"/>
            <wp:effectExtent l="0" t="0" r="0" b="4445"/>
            <wp:docPr id="55" name="Picture 55" descr="https://www.naps.org.au/Resources/AURA_logo.jpg"/>
            <wp:cNvGraphicFramePr/>
            <a:graphic xmlns:a="http://schemas.openxmlformats.org/drawingml/2006/main">
              <a:graphicData uri="http://schemas.openxmlformats.org/drawingml/2006/picture">
                <pic:pic xmlns:pic="http://schemas.openxmlformats.org/drawingml/2006/picture">
                  <pic:nvPicPr>
                    <pic:cNvPr id="55" name="Picture 55" descr="https://www.naps.org.au/Resources/AURA_logo.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2516" cy="796561"/>
                    </a:xfrm>
                    <a:prstGeom prst="rect">
                      <a:avLst/>
                    </a:prstGeom>
                    <a:noFill/>
                    <a:ln>
                      <a:noFill/>
                    </a:ln>
                  </pic:spPr>
                </pic:pic>
              </a:graphicData>
            </a:graphic>
          </wp:inline>
        </w:drawing>
      </w:r>
    </w:p>
    <w:p w14:paraId="7A2B8EAB" w14:textId="77777777" w:rsidR="00BC07E4" w:rsidRDefault="00BC07E4" w:rsidP="009424A5">
      <w:pPr>
        <w:pStyle w:val="PublicationDate"/>
      </w:pPr>
    </w:p>
    <w:p w14:paraId="740D2BD5" w14:textId="77777777" w:rsidR="00BC07E4" w:rsidRDefault="00BC07E4" w:rsidP="00BC07E4">
      <w:pPr>
        <w:rPr>
          <w:rFonts w:eastAsiaTheme="majorEastAsia"/>
        </w:rPr>
      </w:pPr>
    </w:p>
    <w:p w14:paraId="38577201" w14:textId="77777777" w:rsidR="00BC07E4" w:rsidRDefault="00BC07E4" w:rsidP="00BC07E4">
      <w:pPr>
        <w:rPr>
          <w:rFonts w:eastAsiaTheme="majorEastAsia"/>
          <w:highlight w:val="yellow"/>
        </w:rPr>
      </w:pPr>
      <w:r w:rsidRPr="0091137C">
        <w:rPr>
          <w:rFonts w:eastAsiaTheme="majorEastAsia"/>
        </w:rPr>
        <w:t xml:space="preserve">TRIM: </w:t>
      </w:r>
      <w:r w:rsidR="00D0685B">
        <w:rPr>
          <w:rFonts w:eastAsiaTheme="majorEastAsia"/>
        </w:rPr>
        <w:t>D18-23331</w:t>
      </w:r>
    </w:p>
    <w:p w14:paraId="0DBD724C" w14:textId="77777777" w:rsidR="00BC07E4" w:rsidRDefault="00BC07E4" w:rsidP="009424A5">
      <w:pPr>
        <w:pStyle w:val="PublicationDate"/>
      </w:pPr>
    </w:p>
    <w:p w14:paraId="37D69099" w14:textId="77777777" w:rsidR="00BC07E4" w:rsidRDefault="00BC07E4" w:rsidP="009424A5">
      <w:pPr>
        <w:pStyle w:val="PublicationDate"/>
      </w:pPr>
    </w:p>
    <w:p w14:paraId="3D75FFE5" w14:textId="48FE9413" w:rsidR="000B0274" w:rsidRDefault="00061412" w:rsidP="009424A5">
      <w:pPr>
        <w:pStyle w:val="PublicationDate"/>
      </w:pPr>
      <w:r>
        <w:t>Octobe</w:t>
      </w:r>
      <w:r w:rsidR="007860BD">
        <w:t>r</w:t>
      </w:r>
      <w:r w:rsidR="000E312D">
        <w:t xml:space="preserve"> </w:t>
      </w:r>
      <w:r w:rsidR="00501971">
        <w:t>2018</w:t>
      </w:r>
    </w:p>
    <w:p w14:paraId="72E6C483" w14:textId="77777777" w:rsidR="00BC07E4" w:rsidRDefault="00BC07E4" w:rsidP="009424A5">
      <w:pPr>
        <w:pStyle w:val="PublicationDate"/>
      </w:pPr>
    </w:p>
    <w:p w14:paraId="1A0DCB01" w14:textId="77777777" w:rsidR="00BC07E4" w:rsidRPr="003C02C5" w:rsidRDefault="00BC07E4" w:rsidP="009424A5">
      <w:pPr>
        <w:pStyle w:val="PublicationDate"/>
      </w:pPr>
    </w:p>
    <w:p w14:paraId="1E31B11E" w14:textId="77777777" w:rsidR="000B0274" w:rsidRPr="00501971" w:rsidRDefault="00501971" w:rsidP="009424A5">
      <w:pPr>
        <w:pStyle w:val="Title"/>
      </w:pPr>
      <w:r w:rsidRPr="00501971">
        <w:t>Antimicrobial prescribing practice in Australian hospitals</w:t>
      </w:r>
    </w:p>
    <w:p w14:paraId="736497DF" w14:textId="77777777" w:rsidR="000B0274" w:rsidRPr="003C02C5" w:rsidRDefault="00501971" w:rsidP="009424A5">
      <w:pPr>
        <w:pStyle w:val="Subheading"/>
      </w:pPr>
      <w:r w:rsidRPr="00501971">
        <w:t>Results of the 2017 Hospital National Antimicrobial Prescribing Survey</w:t>
      </w:r>
    </w:p>
    <w:p w14:paraId="75234D41" w14:textId="77777777" w:rsidR="00BC07E4" w:rsidRPr="00BC07E4" w:rsidRDefault="00B52808" w:rsidP="00BC07E4">
      <w:bookmarkStart w:id="3" w:name="_Toc476822633"/>
      <w:bookmarkStart w:id="4" w:name="_Toc476822654"/>
      <w:bookmarkStart w:id="5" w:name="_Toc476822854"/>
      <w:bookmarkStart w:id="6" w:name="_Toc476823158"/>
      <w:bookmarkStart w:id="7" w:name="_Toc476823667"/>
      <w:r w:rsidRPr="00340CA0">
        <w:rPr>
          <w:rFonts w:ascii="Arial" w:hAnsi="Arial" w:cs="Arial"/>
          <w:b/>
          <w:noProof/>
          <w:sz w:val="28"/>
        </w:rPr>
        <w:drawing>
          <wp:anchor distT="0" distB="0" distL="114300" distR="114300" simplePos="0" relativeHeight="251661312" behindDoc="0" locked="0" layoutInCell="1" allowOverlap="1" wp14:anchorId="1EB35338" wp14:editId="608C43B0">
            <wp:simplePos x="0" y="0"/>
            <wp:positionH relativeFrom="column">
              <wp:posOffset>4594860</wp:posOffset>
            </wp:positionH>
            <wp:positionV relativeFrom="paragraph">
              <wp:posOffset>1799590</wp:posOffset>
            </wp:positionV>
            <wp:extent cx="1475105" cy="7315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ance_Brandmark_H_L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5105" cy="731520"/>
                    </a:xfrm>
                    <a:prstGeom prst="rect">
                      <a:avLst/>
                    </a:prstGeom>
                  </pic:spPr>
                </pic:pic>
              </a:graphicData>
            </a:graphic>
          </wp:anchor>
        </w:drawing>
      </w:r>
      <w:r w:rsidRPr="00340CA0">
        <w:rPr>
          <w:rFonts w:ascii="Arial" w:hAnsi="Arial" w:cs="Arial"/>
          <w:b/>
          <w:noProof/>
          <w:sz w:val="28"/>
        </w:rPr>
        <w:drawing>
          <wp:anchor distT="0" distB="0" distL="114300" distR="114300" simplePos="0" relativeHeight="251659264" behindDoc="0" locked="0" layoutInCell="1" allowOverlap="1" wp14:anchorId="000DA78F" wp14:editId="26E1CCA7">
            <wp:simplePos x="0" y="0"/>
            <wp:positionH relativeFrom="column">
              <wp:posOffset>-66675</wp:posOffset>
            </wp:positionH>
            <wp:positionV relativeFrom="paragraph">
              <wp:posOffset>1633220</wp:posOffset>
            </wp:positionV>
            <wp:extent cx="2005330" cy="10693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AS_RGB_fullname_horiz_whitebox.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5330" cy="1069340"/>
                    </a:xfrm>
                    <a:prstGeom prst="rect">
                      <a:avLst/>
                    </a:prstGeom>
                  </pic:spPr>
                </pic:pic>
              </a:graphicData>
            </a:graphic>
          </wp:anchor>
        </w:drawing>
      </w:r>
      <w:r>
        <w:rPr>
          <w:noProof/>
        </w:rPr>
        <w:drawing>
          <wp:inline distT="0" distB="0" distL="0" distR="0" wp14:anchorId="3F74E2E2" wp14:editId="0230D2C5">
            <wp:extent cx="3411220" cy="1064895"/>
            <wp:effectExtent l="0" t="0" r="0" b="190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1220" cy="1064895"/>
                    </a:xfrm>
                    <a:prstGeom prst="rect">
                      <a:avLst/>
                    </a:prstGeom>
                  </pic:spPr>
                </pic:pic>
              </a:graphicData>
            </a:graphic>
          </wp:inline>
        </w:drawing>
      </w:r>
      <w:r w:rsidR="00BC07E4">
        <w:br w:type="page"/>
      </w:r>
    </w:p>
    <w:p w14:paraId="56E93F5E" w14:textId="77777777" w:rsidR="00956066" w:rsidRDefault="00956066" w:rsidP="009A007B"/>
    <w:p w14:paraId="4D30D59C" w14:textId="77777777" w:rsidR="00956066" w:rsidRDefault="00956066" w:rsidP="009A007B"/>
    <w:p w14:paraId="657FA10E" w14:textId="77777777" w:rsidR="00956066" w:rsidRDefault="00956066" w:rsidP="009A007B"/>
    <w:p w14:paraId="6C5278B0" w14:textId="77777777" w:rsidR="00956066" w:rsidRDefault="00956066" w:rsidP="009A007B"/>
    <w:p w14:paraId="6657B192" w14:textId="77777777" w:rsidR="009A007B" w:rsidRPr="009A007B" w:rsidRDefault="009A007B" w:rsidP="009A007B">
      <w:r w:rsidRPr="00B47076">
        <w:t>Published by the Australian Commission on Safety and Quality in Health Care</w:t>
      </w:r>
      <w:r>
        <w:br/>
        <w:t>Level 5, 255 E</w:t>
      </w:r>
      <w:r w:rsidR="000406F8">
        <w:t>lizabeth Street, Sydney NSW 2000</w:t>
      </w:r>
    </w:p>
    <w:p w14:paraId="4D440ABA" w14:textId="77777777" w:rsidR="009A007B" w:rsidRPr="009A007B" w:rsidRDefault="009A007B" w:rsidP="009A007B">
      <w:r w:rsidRPr="00B47076">
        <w:t>Phone: (02) 9126 3600</w:t>
      </w:r>
      <w:r>
        <w:br/>
        <w:t>Fax: (02) 9126 3613</w:t>
      </w:r>
    </w:p>
    <w:p w14:paraId="465C4F7F" w14:textId="77777777" w:rsidR="009A007B" w:rsidRPr="00A77349" w:rsidRDefault="009A007B" w:rsidP="009A007B">
      <w:pPr>
        <w:rPr>
          <w:rFonts w:ascii="Times New Roman" w:hAnsi="Times New Roman"/>
          <w:snapToGrid w:val="0"/>
          <w:color w:val="000000"/>
          <w:w w:val="0"/>
          <w:sz w:val="0"/>
          <w:szCs w:val="0"/>
          <w:highlight w:val="yellow"/>
          <w:u w:color="000000"/>
          <w:bdr w:val="none" w:sz="0" w:space="0" w:color="000000"/>
          <w:shd w:val="clear" w:color="000000" w:fill="000000"/>
          <w:lang w:eastAsia="x-none" w:bidi="x-none"/>
        </w:rPr>
      </w:pPr>
      <w:r w:rsidRPr="00B47076">
        <w:t xml:space="preserve">Email: mail@safetyandquality.gov.au </w:t>
      </w:r>
      <w:r>
        <w:br/>
      </w:r>
      <w:r w:rsidRPr="00B47076">
        <w:t>Website: www.safetyandqu</w:t>
      </w:r>
      <w:r w:rsidRPr="00A77349">
        <w:t>ality.gov.au</w:t>
      </w:r>
      <w:r w:rsidRPr="00A7734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E629161" w14:textId="242A3C23" w:rsidR="009A007B" w:rsidRPr="009A007B" w:rsidRDefault="009A007B" w:rsidP="009A007B">
      <w:r w:rsidRPr="00A77349">
        <w:t xml:space="preserve">ISBN: </w:t>
      </w:r>
      <w:r w:rsidR="00D77220" w:rsidRPr="00DA6E86">
        <w:t>978-1-925665-51-2</w:t>
      </w:r>
    </w:p>
    <w:p w14:paraId="067012B4" w14:textId="77777777" w:rsidR="009A007B" w:rsidRPr="009A007B" w:rsidRDefault="009A007B" w:rsidP="009A007B">
      <w:r w:rsidRPr="00B47076">
        <w:t xml:space="preserve">© Australian Commission on Safety and Quality in Health </w:t>
      </w:r>
      <w:r w:rsidRPr="002840CC">
        <w:t xml:space="preserve">Care </w:t>
      </w:r>
      <w:r w:rsidR="00501971" w:rsidRPr="002840CC">
        <w:t>2018</w:t>
      </w:r>
    </w:p>
    <w:p w14:paraId="148A3C6A" w14:textId="77777777" w:rsidR="009A007B" w:rsidRPr="009A007B" w:rsidRDefault="009A007B" w:rsidP="009A007B">
      <w:r w:rsidRPr="00B47076">
        <w:t xml:space="preserve">All material and work produced by the Australian Commission on Safety and Quality in Health Care </w:t>
      </w:r>
      <w:r>
        <w:t>is protected by</w:t>
      </w:r>
      <w:r w:rsidRPr="00B47076">
        <w:t xml:space="preserve"> copyright. The Commission reserves the right to set out the terms and conditions for the use of such material. </w:t>
      </w:r>
    </w:p>
    <w:p w14:paraId="163C6AC1" w14:textId="77777777" w:rsidR="009A007B" w:rsidRPr="009A007B" w:rsidRDefault="009A007B" w:rsidP="009A007B">
      <w:r w:rsidRPr="00B47076">
        <w:t>As far as practicable, material for which the copyright is owned by a third party will be clearly labelled. The</w:t>
      </w:r>
      <w:r>
        <w:t xml:space="preserve"> </w:t>
      </w:r>
      <w:r w:rsidRPr="00B47076">
        <w:t>Australian Commission on Safety and Quality in Health Care has made all reasonable efforts to ensure that this material has been reproduced in this publication with the full consent of the copyright owners.</w:t>
      </w:r>
    </w:p>
    <w:p w14:paraId="26D82317" w14:textId="0977E889" w:rsidR="009A007B" w:rsidRPr="00F549D7" w:rsidRDefault="009A007B" w:rsidP="009A007B">
      <w:pPr>
        <w:rPr>
          <w:u w:val="single"/>
        </w:rPr>
      </w:pPr>
      <w:r w:rsidRPr="00B47076">
        <w:t xml:space="preserve">With the exception of any material protected by a trademark, any content provided by third parties, and where otherwise noted, all material presented in this publication is </w:t>
      </w:r>
      <w:r w:rsidRPr="00F549D7">
        <w:t>licensed under a </w:t>
      </w:r>
      <w:hyperlink r:id="rId14" w:history="1">
        <w:r w:rsidRPr="00F549D7">
          <w:rPr>
            <w:rStyle w:val="Hyperlink"/>
            <w:rFonts w:cs="Arial"/>
          </w:rPr>
          <w:t>Creative Commons Attribution-</w:t>
        </w:r>
        <w:r w:rsidR="005C45EA" w:rsidRPr="00F549D7">
          <w:rPr>
            <w:rStyle w:val="Hyperlink"/>
            <w:rFonts w:cs="Arial"/>
          </w:rPr>
          <w:t>Non-commercial</w:t>
        </w:r>
        <w:r w:rsidRPr="00F549D7">
          <w:rPr>
            <w:rStyle w:val="Hyperlink"/>
            <w:rFonts w:cs="Arial"/>
          </w:rPr>
          <w:t>-</w:t>
        </w:r>
        <w:r w:rsidR="005C45EA" w:rsidRPr="00F549D7">
          <w:rPr>
            <w:rStyle w:val="Hyperlink"/>
            <w:rFonts w:cs="Arial"/>
          </w:rPr>
          <w:t>No Derivatives</w:t>
        </w:r>
        <w:r w:rsidRPr="00F549D7">
          <w:rPr>
            <w:rStyle w:val="Hyperlink"/>
            <w:rFonts w:cs="Arial"/>
          </w:rPr>
          <w:t xml:space="preserve"> 4.0 International </w:t>
        </w:r>
        <w:r w:rsidR="004D5360">
          <w:rPr>
            <w:rStyle w:val="Hyperlink"/>
            <w:rFonts w:cs="Arial"/>
          </w:rPr>
          <w:t>l</w:t>
        </w:r>
        <w:r w:rsidRPr="00F549D7">
          <w:rPr>
            <w:rStyle w:val="Hyperlink"/>
            <w:rFonts w:cs="Arial"/>
          </w:rPr>
          <w:t>icen</w:t>
        </w:r>
        <w:r>
          <w:rPr>
            <w:rStyle w:val="Hyperlink"/>
            <w:rFonts w:cs="Arial"/>
          </w:rPr>
          <w:t>c</w:t>
        </w:r>
        <w:r w:rsidRPr="00F549D7">
          <w:rPr>
            <w:rStyle w:val="Hyperlink"/>
            <w:rFonts w:cs="Arial"/>
          </w:rPr>
          <w:t>e</w:t>
        </w:r>
      </w:hyperlink>
      <w:r w:rsidRPr="00F549D7">
        <w:rPr>
          <w:u w:val="single"/>
        </w:rPr>
        <w:t>.</w:t>
      </w:r>
    </w:p>
    <w:p w14:paraId="4CC6ECF1" w14:textId="77777777" w:rsidR="009A007B" w:rsidRPr="009A007B" w:rsidRDefault="009A007B" w:rsidP="009A007B">
      <w:r w:rsidRPr="00B47076">
        <w:rPr>
          <w:noProof/>
        </w:rPr>
        <w:drawing>
          <wp:inline distT="0" distB="0" distL="0" distR="0" wp14:anchorId="26127ACD" wp14:editId="2DFDDCE6">
            <wp:extent cx="840105" cy="297815"/>
            <wp:effectExtent l="0" t="0" r="0" b="6985"/>
            <wp:docPr id="9" name="Picture 9"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067CAD40" w14:textId="77777777" w:rsidR="009A007B" w:rsidRPr="009A007B" w:rsidRDefault="009A007B" w:rsidP="009A007B">
      <w:r>
        <w:t>E</w:t>
      </w:r>
      <w:r w:rsidRPr="00B47076">
        <w:t xml:space="preserve">nquiries </w:t>
      </w:r>
      <w:r w:rsidR="004D5360">
        <w:t>about</w:t>
      </w:r>
      <w:r w:rsidRPr="00B47076">
        <w:t xml:space="preserve"> the licence and any use of this publication are welcome </w:t>
      </w:r>
      <w:r>
        <w:t xml:space="preserve">and can be sent to </w:t>
      </w:r>
      <w:hyperlink r:id="rId16" w:history="1">
        <w:r w:rsidRPr="00B47076">
          <w:rPr>
            <w:rStyle w:val="Hyperlink"/>
            <w:rFonts w:cs="Arial"/>
          </w:rPr>
          <w:t>communications@safetyandquality.gov.au</w:t>
        </w:r>
      </w:hyperlink>
      <w:r w:rsidRPr="00B47076">
        <w:t>.</w:t>
      </w:r>
    </w:p>
    <w:p w14:paraId="780F1F9A" w14:textId="77777777" w:rsidR="009A007B" w:rsidRPr="009A007B" w:rsidRDefault="009A007B" w:rsidP="009A007B">
      <w:r w:rsidRPr="00B47076">
        <w:t xml:space="preserve">The Commission’s preference is that you attribute this publication (and any material sourced from it) using the following citation: </w:t>
      </w:r>
    </w:p>
    <w:p w14:paraId="5FBD2C00" w14:textId="4831CC3D" w:rsidR="002F7E6F" w:rsidRDefault="00413C77" w:rsidP="00956066">
      <w:pPr>
        <w:ind w:left="720"/>
      </w:pPr>
      <w:r>
        <w:t xml:space="preserve">National Centre for Antimicrobial Stewardship and </w:t>
      </w:r>
      <w:r w:rsidR="009A007B" w:rsidRPr="00501971">
        <w:t xml:space="preserve">Australian Commission on Safety and Quality in Health Care. </w:t>
      </w:r>
      <w:r w:rsidR="00501971" w:rsidRPr="00501971">
        <w:t>Antimicrobial prescribing practice in Australian hospitals: results of the 2017 Hospital National Antimicrobial Prescribing Survey</w:t>
      </w:r>
      <w:r w:rsidR="009A007B" w:rsidRPr="00501971">
        <w:t xml:space="preserve">. Sydney: ACSQHC; </w:t>
      </w:r>
      <w:r w:rsidR="00501971" w:rsidRPr="00501971">
        <w:t>2018</w:t>
      </w:r>
      <w:r w:rsidR="009A007B">
        <w:t xml:space="preserve"> </w:t>
      </w:r>
    </w:p>
    <w:p w14:paraId="39751AD3" w14:textId="77777777" w:rsidR="00956066" w:rsidRDefault="00956066" w:rsidP="00956066">
      <w:pPr>
        <w:spacing w:after="0"/>
        <w:ind w:left="720"/>
        <w:rPr>
          <w:rStyle w:val="Strong"/>
        </w:rPr>
      </w:pPr>
    </w:p>
    <w:p w14:paraId="774DE306" w14:textId="77777777" w:rsidR="009A007B" w:rsidRPr="009A007B" w:rsidRDefault="009A007B" w:rsidP="009A007B">
      <w:r w:rsidRPr="009A007B">
        <w:rPr>
          <w:rStyle w:val="Strong"/>
        </w:rPr>
        <w:t>Disclaimer</w:t>
      </w:r>
    </w:p>
    <w:p w14:paraId="020B5405" w14:textId="77777777" w:rsidR="00BA4AEE" w:rsidRDefault="009A007B" w:rsidP="00956066">
      <w:pPr>
        <w:spacing w:after="0"/>
      </w:pPr>
      <w:r w:rsidRPr="009A007B">
        <w:t xml:space="preserve">The content of this document is published in good faith by </w:t>
      </w:r>
      <w:r w:rsidR="00CB5999">
        <w:t xml:space="preserve">the </w:t>
      </w:r>
      <w:r w:rsidRPr="009A007B">
        <w:t>Australian Commission on Safety and Quality in Health Care for information purposes. The document is not intended to provid</w:t>
      </w:r>
      <w:r w:rsidR="00CB5999">
        <w:t>e guidance on particular health</w:t>
      </w:r>
      <w:r w:rsidRPr="009A007B">
        <w:t>care choices.</w:t>
      </w:r>
      <w:r w:rsidR="00A34B91">
        <w:t xml:space="preserve"> You should contact your health</w:t>
      </w:r>
      <w:r w:rsidRPr="009A007B">
        <w:t>car</w:t>
      </w:r>
      <w:r w:rsidR="00CB5999">
        <w:t>e provider on particular health</w:t>
      </w:r>
      <w:r w:rsidRPr="009A007B">
        <w:t xml:space="preserve">care choices. </w:t>
      </w:r>
      <w:r w:rsidRPr="009A007B">
        <w:br/>
      </w:r>
    </w:p>
    <w:p w14:paraId="07A2FA98" w14:textId="77777777" w:rsidR="009A007B" w:rsidRPr="009A007B" w:rsidRDefault="009A007B" w:rsidP="00BA4AEE">
      <w:pPr>
        <w:rPr>
          <w:b/>
          <w:bCs/>
          <w:i/>
          <w:smallCaps/>
        </w:rPr>
      </w:pPr>
      <w:r w:rsidRPr="009A007B">
        <w:t xml:space="preserve">The Commission does not accept any legal liability for any injury, loss or damage incurred by the use of, or reliance on, this document. </w:t>
      </w:r>
    </w:p>
    <w:p w14:paraId="1274443C" w14:textId="77777777" w:rsidR="00BC07E4" w:rsidRPr="00BC07E4" w:rsidRDefault="00BC07E4" w:rsidP="009A007B">
      <w:r>
        <w:br w:type="page"/>
      </w:r>
    </w:p>
    <w:p w14:paraId="116A5FF2" w14:textId="47339F91" w:rsidR="00BC07E4" w:rsidRDefault="00BC07E4" w:rsidP="00BC07E4">
      <w:pPr>
        <w:pStyle w:val="Heading1"/>
      </w:pPr>
      <w:bookmarkStart w:id="8" w:name="_Toc482782728"/>
      <w:bookmarkStart w:id="9" w:name="_Toc526841662"/>
      <w:r>
        <w:lastRenderedPageBreak/>
        <w:t>Contents</w:t>
      </w:r>
      <w:bookmarkEnd w:id="8"/>
      <w:bookmarkEnd w:id="9"/>
      <w:r>
        <w:t xml:space="preserve"> </w:t>
      </w:r>
    </w:p>
    <w:p w14:paraId="723AA371" w14:textId="77777777" w:rsidR="003547BA" w:rsidRDefault="006A3251">
      <w:pPr>
        <w:pStyle w:val="TOC1"/>
        <w:tabs>
          <w:tab w:val="right" w:leader="dot" w:pos="9628"/>
        </w:tabs>
        <w:rPr>
          <w:rFonts w:eastAsiaTheme="minorEastAsia" w:cstheme="minorBidi"/>
          <w:b w:val="0"/>
          <w:bCs w:val="0"/>
          <w:noProof/>
          <w:color w:val="auto"/>
          <w:sz w:val="22"/>
          <w:szCs w:val="22"/>
        </w:rPr>
      </w:pPr>
      <w:r>
        <w:rPr>
          <w:b w:val="0"/>
          <w:bCs w:val="0"/>
        </w:rPr>
        <w:fldChar w:fldCharType="begin"/>
      </w:r>
      <w:r>
        <w:rPr>
          <w:b w:val="0"/>
          <w:bCs w:val="0"/>
        </w:rPr>
        <w:instrText xml:space="preserve"> TOC \o "1-1" \h \z \u </w:instrText>
      </w:r>
      <w:r>
        <w:rPr>
          <w:b w:val="0"/>
          <w:bCs w:val="0"/>
        </w:rPr>
        <w:fldChar w:fldCharType="separate"/>
      </w:r>
      <w:hyperlink w:anchor="_Toc526841662" w:history="1">
        <w:r w:rsidR="003547BA" w:rsidRPr="0039450E">
          <w:rPr>
            <w:rStyle w:val="Hyperlink"/>
            <w:noProof/>
          </w:rPr>
          <w:t>Contents</w:t>
        </w:r>
        <w:r w:rsidR="003547BA">
          <w:rPr>
            <w:noProof/>
            <w:webHidden/>
          </w:rPr>
          <w:tab/>
        </w:r>
        <w:r w:rsidR="003547BA">
          <w:rPr>
            <w:noProof/>
            <w:webHidden/>
          </w:rPr>
          <w:fldChar w:fldCharType="begin"/>
        </w:r>
        <w:r w:rsidR="003547BA">
          <w:rPr>
            <w:noProof/>
            <w:webHidden/>
          </w:rPr>
          <w:instrText xml:space="preserve"> PAGEREF _Toc526841662 \h </w:instrText>
        </w:r>
        <w:r w:rsidR="003547BA">
          <w:rPr>
            <w:noProof/>
            <w:webHidden/>
          </w:rPr>
        </w:r>
        <w:r w:rsidR="003547BA">
          <w:rPr>
            <w:noProof/>
            <w:webHidden/>
          </w:rPr>
          <w:fldChar w:fldCharType="separate"/>
        </w:r>
        <w:r w:rsidR="003547BA">
          <w:rPr>
            <w:noProof/>
            <w:webHidden/>
          </w:rPr>
          <w:t>3</w:t>
        </w:r>
        <w:r w:rsidR="003547BA">
          <w:rPr>
            <w:noProof/>
            <w:webHidden/>
          </w:rPr>
          <w:fldChar w:fldCharType="end"/>
        </w:r>
      </w:hyperlink>
    </w:p>
    <w:p w14:paraId="4E9D0A9B" w14:textId="77777777" w:rsidR="003547BA" w:rsidRDefault="00066146">
      <w:pPr>
        <w:pStyle w:val="TOC1"/>
        <w:tabs>
          <w:tab w:val="right" w:leader="dot" w:pos="9628"/>
        </w:tabs>
        <w:rPr>
          <w:rFonts w:eastAsiaTheme="minorEastAsia" w:cstheme="minorBidi"/>
          <w:b w:val="0"/>
          <w:bCs w:val="0"/>
          <w:noProof/>
          <w:color w:val="auto"/>
          <w:sz w:val="22"/>
          <w:szCs w:val="22"/>
        </w:rPr>
      </w:pPr>
      <w:hyperlink w:anchor="_Toc526841663" w:history="1">
        <w:r w:rsidR="003547BA" w:rsidRPr="0039450E">
          <w:rPr>
            <w:rStyle w:val="Hyperlink"/>
            <w:noProof/>
          </w:rPr>
          <w:t>Summary</w:t>
        </w:r>
        <w:r w:rsidR="003547BA">
          <w:rPr>
            <w:noProof/>
            <w:webHidden/>
          </w:rPr>
          <w:tab/>
        </w:r>
        <w:r w:rsidR="003547BA">
          <w:rPr>
            <w:noProof/>
            <w:webHidden/>
          </w:rPr>
          <w:fldChar w:fldCharType="begin"/>
        </w:r>
        <w:r w:rsidR="003547BA">
          <w:rPr>
            <w:noProof/>
            <w:webHidden/>
          </w:rPr>
          <w:instrText xml:space="preserve"> PAGEREF _Toc526841663 \h </w:instrText>
        </w:r>
        <w:r w:rsidR="003547BA">
          <w:rPr>
            <w:noProof/>
            <w:webHidden/>
          </w:rPr>
        </w:r>
        <w:r w:rsidR="003547BA">
          <w:rPr>
            <w:noProof/>
            <w:webHidden/>
          </w:rPr>
          <w:fldChar w:fldCharType="separate"/>
        </w:r>
        <w:r w:rsidR="003547BA">
          <w:rPr>
            <w:noProof/>
            <w:webHidden/>
          </w:rPr>
          <w:t>4</w:t>
        </w:r>
        <w:r w:rsidR="003547BA">
          <w:rPr>
            <w:noProof/>
            <w:webHidden/>
          </w:rPr>
          <w:fldChar w:fldCharType="end"/>
        </w:r>
      </w:hyperlink>
    </w:p>
    <w:p w14:paraId="79ACAD01" w14:textId="77777777" w:rsidR="003547BA" w:rsidRDefault="00066146">
      <w:pPr>
        <w:pStyle w:val="TOC1"/>
        <w:tabs>
          <w:tab w:val="right" w:leader="dot" w:pos="9628"/>
        </w:tabs>
        <w:rPr>
          <w:rFonts w:eastAsiaTheme="minorEastAsia" w:cstheme="minorBidi"/>
          <w:b w:val="0"/>
          <w:bCs w:val="0"/>
          <w:noProof/>
          <w:color w:val="auto"/>
          <w:sz w:val="22"/>
          <w:szCs w:val="22"/>
        </w:rPr>
      </w:pPr>
      <w:hyperlink w:anchor="_Toc526841664" w:history="1">
        <w:r w:rsidR="003547BA" w:rsidRPr="0039450E">
          <w:rPr>
            <w:rStyle w:val="Hyperlink"/>
            <w:noProof/>
          </w:rPr>
          <w:t>Introduction</w:t>
        </w:r>
        <w:r w:rsidR="003547BA">
          <w:rPr>
            <w:noProof/>
            <w:webHidden/>
          </w:rPr>
          <w:tab/>
        </w:r>
        <w:r w:rsidR="003547BA">
          <w:rPr>
            <w:noProof/>
            <w:webHidden/>
          </w:rPr>
          <w:fldChar w:fldCharType="begin"/>
        </w:r>
        <w:r w:rsidR="003547BA">
          <w:rPr>
            <w:noProof/>
            <w:webHidden/>
          </w:rPr>
          <w:instrText xml:space="preserve"> PAGEREF _Toc526841664 \h </w:instrText>
        </w:r>
        <w:r w:rsidR="003547BA">
          <w:rPr>
            <w:noProof/>
            <w:webHidden/>
          </w:rPr>
        </w:r>
        <w:r w:rsidR="003547BA">
          <w:rPr>
            <w:noProof/>
            <w:webHidden/>
          </w:rPr>
          <w:fldChar w:fldCharType="separate"/>
        </w:r>
        <w:r w:rsidR="003547BA">
          <w:rPr>
            <w:noProof/>
            <w:webHidden/>
          </w:rPr>
          <w:t>6</w:t>
        </w:r>
        <w:r w:rsidR="003547BA">
          <w:rPr>
            <w:noProof/>
            <w:webHidden/>
          </w:rPr>
          <w:fldChar w:fldCharType="end"/>
        </w:r>
      </w:hyperlink>
    </w:p>
    <w:p w14:paraId="7075F140" w14:textId="77777777" w:rsidR="003547BA" w:rsidRDefault="00066146">
      <w:pPr>
        <w:pStyle w:val="TOC1"/>
        <w:tabs>
          <w:tab w:val="right" w:leader="dot" w:pos="9628"/>
        </w:tabs>
        <w:rPr>
          <w:rFonts w:eastAsiaTheme="minorEastAsia" w:cstheme="minorBidi"/>
          <w:b w:val="0"/>
          <w:bCs w:val="0"/>
          <w:noProof/>
          <w:color w:val="auto"/>
          <w:sz w:val="22"/>
          <w:szCs w:val="22"/>
        </w:rPr>
      </w:pPr>
      <w:hyperlink w:anchor="_Toc526841665" w:history="1">
        <w:r w:rsidR="003547BA" w:rsidRPr="0039450E">
          <w:rPr>
            <w:rStyle w:val="Hyperlink"/>
            <w:noProof/>
          </w:rPr>
          <w:t>Methods</w:t>
        </w:r>
        <w:r w:rsidR="003547BA">
          <w:rPr>
            <w:noProof/>
            <w:webHidden/>
          </w:rPr>
          <w:tab/>
        </w:r>
        <w:r w:rsidR="003547BA">
          <w:rPr>
            <w:noProof/>
            <w:webHidden/>
          </w:rPr>
          <w:fldChar w:fldCharType="begin"/>
        </w:r>
        <w:r w:rsidR="003547BA">
          <w:rPr>
            <w:noProof/>
            <w:webHidden/>
          </w:rPr>
          <w:instrText xml:space="preserve"> PAGEREF _Toc526841665 \h </w:instrText>
        </w:r>
        <w:r w:rsidR="003547BA">
          <w:rPr>
            <w:noProof/>
            <w:webHidden/>
          </w:rPr>
        </w:r>
        <w:r w:rsidR="003547BA">
          <w:rPr>
            <w:noProof/>
            <w:webHidden/>
          </w:rPr>
          <w:fldChar w:fldCharType="separate"/>
        </w:r>
        <w:r w:rsidR="003547BA">
          <w:rPr>
            <w:noProof/>
            <w:webHidden/>
          </w:rPr>
          <w:t>8</w:t>
        </w:r>
        <w:r w:rsidR="003547BA">
          <w:rPr>
            <w:noProof/>
            <w:webHidden/>
          </w:rPr>
          <w:fldChar w:fldCharType="end"/>
        </w:r>
      </w:hyperlink>
    </w:p>
    <w:p w14:paraId="77B5280C" w14:textId="77777777" w:rsidR="003547BA" w:rsidRDefault="00066146">
      <w:pPr>
        <w:pStyle w:val="TOC1"/>
        <w:tabs>
          <w:tab w:val="right" w:leader="dot" w:pos="9628"/>
        </w:tabs>
        <w:rPr>
          <w:rFonts w:eastAsiaTheme="minorEastAsia" w:cstheme="minorBidi"/>
          <w:b w:val="0"/>
          <w:bCs w:val="0"/>
          <w:noProof/>
          <w:color w:val="auto"/>
          <w:sz w:val="22"/>
          <w:szCs w:val="22"/>
        </w:rPr>
      </w:pPr>
      <w:hyperlink w:anchor="_Toc526841666" w:history="1">
        <w:r w:rsidR="003547BA" w:rsidRPr="0039450E">
          <w:rPr>
            <w:rStyle w:val="Hyperlink"/>
            <w:noProof/>
          </w:rPr>
          <w:t>Findings</w:t>
        </w:r>
        <w:r w:rsidR="003547BA">
          <w:rPr>
            <w:noProof/>
            <w:webHidden/>
          </w:rPr>
          <w:tab/>
        </w:r>
        <w:r w:rsidR="003547BA">
          <w:rPr>
            <w:noProof/>
            <w:webHidden/>
          </w:rPr>
          <w:fldChar w:fldCharType="begin"/>
        </w:r>
        <w:r w:rsidR="003547BA">
          <w:rPr>
            <w:noProof/>
            <w:webHidden/>
          </w:rPr>
          <w:instrText xml:space="preserve"> PAGEREF _Toc526841666 \h </w:instrText>
        </w:r>
        <w:r w:rsidR="003547BA">
          <w:rPr>
            <w:noProof/>
            <w:webHidden/>
          </w:rPr>
        </w:r>
        <w:r w:rsidR="003547BA">
          <w:rPr>
            <w:noProof/>
            <w:webHidden/>
          </w:rPr>
          <w:fldChar w:fldCharType="separate"/>
        </w:r>
        <w:r w:rsidR="003547BA">
          <w:rPr>
            <w:noProof/>
            <w:webHidden/>
          </w:rPr>
          <w:t>12</w:t>
        </w:r>
        <w:r w:rsidR="003547BA">
          <w:rPr>
            <w:noProof/>
            <w:webHidden/>
          </w:rPr>
          <w:fldChar w:fldCharType="end"/>
        </w:r>
      </w:hyperlink>
    </w:p>
    <w:p w14:paraId="7BCE41AD" w14:textId="77777777" w:rsidR="003547BA" w:rsidRDefault="00066146">
      <w:pPr>
        <w:pStyle w:val="TOC1"/>
        <w:tabs>
          <w:tab w:val="right" w:leader="dot" w:pos="9628"/>
        </w:tabs>
        <w:rPr>
          <w:rFonts w:eastAsiaTheme="minorEastAsia" w:cstheme="minorBidi"/>
          <w:b w:val="0"/>
          <w:bCs w:val="0"/>
          <w:noProof/>
          <w:color w:val="auto"/>
          <w:sz w:val="22"/>
          <w:szCs w:val="22"/>
        </w:rPr>
      </w:pPr>
      <w:hyperlink w:anchor="_Toc526841667" w:history="1">
        <w:r w:rsidR="003547BA" w:rsidRPr="0039450E">
          <w:rPr>
            <w:rStyle w:val="Hyperlink"/>
            <w:noProof/>
          </w:rPr>
          <w:t>Discussion</w:t>
        </w:r>
        <w:r w:rsidR="003547BA">
          <w:rPr>
            <w:noProof/>
            <w:webHidden/>
          </w:rPr>
          <w:tab/>
        </w:r>
        <w:r w:rsidR="003547BA">
          <w:rPr>
            <w:noProof/>
            <w:webHidden/>
          </w:rPr>
          <w:fldChar w:fldCharType="begin"/>
        </w:r>
        <w:r w:rsidR="003547BA">
          <w:rPr>
            <w:noProof/>
            <w:webHidden/>
          </w:rPr>
          <w:instrText xml:space="preserve"> PAGEREF _Toc526841667 \h </w:instrText>
        </w:r>
        <w:r w:rsidR="003547BA">
          <w:rPr>
            <w:noProof/>
            <w:webHidden/>
          </w:rPr>
        </w:r>
        <w:r w:rsidR="003547BA">
          <w:rPr>
            <w:noProof/>
            <w:webHidden/>
          </w:rPr>
          <w:fldChar w:fldCharType="separate"/>
        </w:r>
        <w:r w:rsidR="003547BA">
          <w:rPr>
            <w:noProof/>
            <w:webHidden/>
          </w:rPr>
          <w:t>37</w:t>
        </w:r>
        <w:r w:rsidR="003547BA">
          <w:rPr>
            <w:noProof/>
            <w:webHidden/>
          </w:rPr>
          <w:fldChar w:fldCharType="end"/>
        </w:r>
      </w:hyperlink>
    </w:p>
    <w:p w14:paraId="32BA8AA7" w14:textId="77777777" w:rsidR="003547BA" w:rsidRDefault="00066146">
      <w:pPr>
        <w:pStyle w:val="TOC1"/>
        <w:tabs>
          <w:tab w:val="left" w:pos="1540"/>
          <w:tab w:val="right" w:leader="dot" w:pos="9628"/>
        </w:tabs>
        <w:rPr>
          <w:rFonts w:eastAsiaTheme="minorEastAsia" w:cstheme="minorBidi"/>
          <w:b w:val="0"/>
          <w:bCs w:val="0"/>
          <w:noProof/>
          <w:color w:val="auto"/>
          <w:sz w:val="22"/>
          <w:szCs w:val="22"/>
        </w:rPr>
      </w:pPr>
      <w:hyperlink w:anchor="_Toc526841668" w:history="1">
        <w:r w:rsidR="003547BA" w:rsidRPr="0039450E">
          <w:rPr>
            <w:rStyle w:val="Hyperlink"/>
            <w:noProof/>
          </w:rPr>
          <w:t>Appendix 1</w:t>
        </w:r>
        <w:r w:rsidR="003547BA">
          <w:rPr>
            <w:rFonts w:eastAsiaTheme="minorEastAsia" w:cstheme="minorBidi"/>
            <w:b w:val="0"/>
            <w:bCs w:val="0"/>
            <w:noProof/>
            <w:color w:val="auto"/>
            <w:sz w:val="22"/>
            <w:szCs w:val="22"/>
          </w:rPr>
          <w:tab/>
        </w:r>
        <w:r w:rsidR="003547BA" w:rsidRPr="0039450E">
          <w:rPr>
            <w:rStyle w:val="Hyperlink"/>
            <w:noProof/>
          </w:rPr>
          <w:t xml:space="preserve"> Hospital NAPS data collection form</w:t>
        </w:r>
        <w:r w:rsidR="003547BA">
          <w:rPr>
            <w:noProof/>
            <w:webHidden/>
          </w:rPr>
          <w:tab/>
        </w:r>
        <w:r w:rsidR="003547BA">
          <w:rPr>
            <w:noProof/>
            <w:webHidden/>
          </w:rPr>
          <w:fldChar w:fldCharType="begin"/>
        </w:r>
        <w:r w:rsidR="003547BA">
          <w:rPr>
            <w:noProof/>
            <w:webHidden/>
          </w:rPr>
          <w:instrText xml:space="preserve"> PAGEREF _Toc526841668 \h </w:instrText>
        </w:r>
        <w:r w:rsidR="003547BA">
          <w:rPr>
            <w:noProof/>
            <w:webHidden/>
          </w:rPr>
        </w:r>
        <w:r w:rsidR="003547BA">
          <w:rPr>
            <w:noProof/>
            <w:webHidden/>
          </w:rPr>
          <w:fldChar w:fldCharType="separate"/>
        </w:r>
        <w:r w:rsidR="003547BA">
          <w:rPr>
            <w:noProof/>
            <w:webHidden/>
          </w:rPr>
          <w:t>39</w:t>
        </w:r>
        <w:r w:rsidR="003547BA">
          <w:rPr>
            <w:noProof/>
            <w:webHidden/>
          </w:rPr>
          <w:fldChar w:fldCharType="end"/>
        </w:r>
      </w:hyperlink>
    </w:p>
    <w:p w14:paraId="3965E56F" w14:textId="77777777" w:rsidR="003547BA" w:rsidRDefault="00066146">
      <w:pPr>
        <w:pStyle w:val="TOC1"/>
        <w:tabs>
          <w:tab w:val="left" w:pos="1540"/>
          <w:tab w:val="right" w:leader="dot" w:pos="9628"/>
        </w:tabs>
        <w:rPr>
          <w:rFonts w:eastAsiaTheme="minorEastAsia" w:cstheme="minorBidi"/>
          <w:b w:val="0"/>
          <w:bCs w:val="0"/>
          <w:noProof/>
          <w:color w:val="auto"/>
          <w:sz w:val="22"/>
          <w:szCs w:val="22"/>
        </w:rPr>
      </w:pPr>
      <w:hyperlink w:anchor="_Toc526841669" w:history="1">
        <w:r w:rsidR="003547BA" w:rsidRPr="0039450E">
          <w:rPr>
            <w:rStyle w:val="Hyperlink"/>
            <w:rFonts w:ascii="Arial" w:hAnsi="Arial"/>
            <w:noProof/>
          </w:rPr>
          <w:t>Appendix 2</w:t>
        </w:r>
        <w:r w:rsidR="003547BA">
          <w:rPr>
            <w:rFonts w:eastAsiaTheme="minorEastAsia" w:cstheme="minorBidi"/>
            <w:b w:val="0"/>
            <w:bCs w:val="0"/>
            <w:noProof/>
            <w:color w:val="auto"/>
            <w:sz w:val="22"/>
            <w:szCs w:val="22"/>
          </w:rPr>
          <w:tab/>
        </w:r>
        <w:r w:rsidR="003547BA" w:rsidRPr="0039450E">
          <w:rPr>
            <w:rStyle w:val="Hyperlink"/>
            <w:rFonts w:ascii="Arial" w:hAnsi="Arial"/>
            <w:noProof/>
          </w:rPr>
          <w:t xml:space="preserve"> Hospital NAPS definitions of appropriateness</w:t>
        </w:r>
        <w:r w:rsidR="003547BA">
          <w:rPr>
            <w:noProof/>
            <w:webHidden/>
          </w:rPr>
          <w:tab/>
        </w:r>
        <w:r w:rsidR="003547BA">
          <w:rPr>
            <w:noProof/>
            <w:webHidden/>
          </w:rPr>
          <w:fldChar w:fldCharType="begin"/>
        </w:r>
        <w:r w:rsidR="003547BA">
          <w:rPr>
            <w:noProof/>
            <w:webHidden/>
          </w:rPr>
          <w:instrText xml:space="preserve"> PAGEREF _Toc526841669 \h </w:instrText>
        </w:r>
        <w:r w:rsidR="003547BA">
          <w:rPr>
            <w:noProof/>
            <w:webHidden/>
          </w:rPr>
        </w:r>
        <w:r w:rsidR="003547BA">
          <w:rPr>
            <w:noProof/>
            <w:webHidden/>
          </w:rPr>
          <w:fldChar w:fldCharType="separate"/>
        </w:r>
        <w:r w:rsidR="003547BA">
          <w:rPr>
            <w:noProof/>
            <w:webHidden/>
          </w:rPr>
          <w:t>40</w:t>
        </w:r>
        <w:r w:rsidR="003547BA">
          <w:rPr>
            <w:noProof/>
            <w:webHidden/>
          </w:rPr>
          <w:fldChar w:fldCharType="end"/>
        </w:r>
      </w:hyperlink>
    </w:p>
    <w:p w14:paraId="151FB914" w14:textId="77777777" w:rsidR="003547BA" w:rsidRDefault="00066146">
      <w:pPr>
        <w:pStyle w:val="TOC1"/>
        <w:tabs>
          <w:tab w:val="left" w:pos="1540"/>
          <w:tab w:val="right" w:leader="dot" w:pos="9628"/>
        </w:tabs>
        <w:rPr>
          <w:rFonts w:eastAsiaTheme="minorEastAsia" w:cstheme="minorBidi"/>
          <w:b w:val="0"/>
          <w:bCs w:val="0"/>
          <w:noProof/>
          <w:color w:val="auto"/>
          <w:sz w:val="22"/>
          <w:szCs w:val="22"/>
        </w:rPr>
      </w:pPr>
      <w:hyperlink w:anchor="_Toc526841670" w:history="1">
        <w:r w:rsidR="003547BA" w:rsidRPr="0039450E">
          <w:rPr>
            <w:rStyle w:val="Hyperlink"/>
            <w:noProof/>
          </w:rPr>
          <w:t>Appendix 3</w:t>
        </w:r>
        <w:r w:rsidR="003547BA">
          <w:rPr>
            <w:rFonts w:eastAsiaTheme="minorEastAsia" w:cstheme="minorBidi"/>
            <w:b w:val="0"/>
            <w:bCs w:val="0"/>
            <w:noProof/>
            <w:color w:val="auto"/>
            <w:sz w:val="22"/>
            <w:szCs w:val="22"/>
          </w:rPr>
          <w:tab/>
        </w:r>
        <w:r w:rsidR="003547BA" w:rsidRPr="0039450E">
          <w:rPr>
            <w:rStyle w:val="Hyperlink"/>
            <w:noProof/>
          </w:rPr>
          <w:t xml:space="preserve"> Tables and Figures</w:t>
        </w:r>
        <w:r w:rsidR="003547BA">
          <w:rPr>
            <w:noProof/>
            <w:webHidden/>
          </w:rPr>
          <w:tab/>
        </w:r>
        <w:r w:rsidR="003547BA">
          <w:rPr>
            <w:noProof/>
            <w:webHidden/>
          </w:rPr>
          <w:fldChar w:fldCharType="begin"/>
        </w:r>
        <w:r w:rsidR="003547BA">
          <w:rPr>
            <w:noProof/>
            <w:webHidden/>
          </w:rPr>
          <w:instrText xml:space="preserve"> PAGEREF _Toc526841670 \h </w:instrText>
        </w:r>
        <w:r w:rsidR="003547BA">
          <w:rPr>
            <w:noProof/>
            <w:webHidden/>
          </w:rPr>
        </w:r>
        <w:r w:rsidR="003547BA">
          <w:rPr>
            <w:noProof/>
            <w:webHidden/>
          </w:rPr>
          <w:fldChar w:fldCharType="separate"/>
        </w:r>
        <w:r w:rsidR="003547BA">
          <w:rPr>
            <w:noProof/>
            <w:webHidden/>
          </w:rPr>
          <w:t>41</w:t>
        </w:r>
        <w:r w:rsidR="003547BA">
          <w:rPr>
            <w:noProof/>
            <w:webHidden/>
          </w:rPr>
          <w:fldChar w:fldCharType="end"/>
        </w:r>
      </w:hyperlink>
    </w:p>
    <w:p w14:paraId="7D0C015D" w14:textId="77777777" w:rsidR="003547BA" w:rsidRDefault="00066146">
      <w:pPr>
        <w:pStyle w:val="TOC1"/>
        <w:tabs>
          <w:tab w:val="right" w:leader="dot" w:pos="9628"/>
        </w:tabs>
        <w:rPr>
          <w:rFonts w:eastAsiaTheme="minorEastAsia" w:cstheme="minorBidi"/>
          <w:b w:val="0"/>
          <w:bCs w:val="0"/>
          <w:noProof/>
          <w:color w:val="auto"/>
          <w:sz w:val="22"/>
          <w:szCs w:val="22"/>
        </w:rPr>
      </w:pPr>
      <w:hyperlink w:anchor="_Toc526841671" w:history="1">
        <w:r w:rsidR="003547BA" w:rsidRPr="0039450E">
          <w:rPr>
            <w:rStyle w:val="Hyperlink"/>
            <w:noProof/>
          </w:rPr>
          <w:t>References</w:t>
        </w:r>
        <w:r w:rsidR="003547BA">
          <w:rPr>
            <w:noProof/>
            <w:webHidden/>
          </w:rPr>
          <w:tab/>
        </w:r>
        <w:r w:rsidR="003547BA">
          <w:rPr>
            <w:noProof/>
            <w:webHidden/>
          </w:rPr>
          <w:fldChar w:fldCharType="begin"/>
        </w:r>
        <w:r w:rsidR="003547BA">
          <w:rPr>
            <w:noProof/>
            <w:webHidden/>
          </w:rPr>
          <w:instrText xml:space="preserve"> PAGEREF _Toc526841671 \h </w:instrText>
        </w:r>
        <w:r w:rsidR="003547BA">
          <w:rPr>
            <w:noProof/>
            <w:webHidden/>
          </w:rPr>
        </w:r>
        <w:r w:rsidR="003547BA">
          <w:rPr>
            <w:noProof/>
            <w:webHidden/>
          </w:rPr>
          <w:fldChar w:fldCharType="separate"/>
        </w:r>
        <w:r w:rsidR="003547BA">
          <w:rPr>
            <w:noProof/>
            <w:webHidden/>
          </w:rPr>
          <w:t>42</w:t>
        </w:r>
        <w:r w:rsidR="003547BA">
          <w:rPr>
            <w:noProof/>
            <w:webHidden/>
          </w:rPr>
          <w:fldChar w:fldCharType="end"/>
        </w:r>
      </w:hyperlink>
    </w:p>
    <w:p w14:paraId="54AE8217" w14:textId="45664694" w:rsidR="00B52808" w:rsidRDefault="006A3251" w:rsidP="00BC07E4">
      <w:r>
        <w:rPr>
          <w:rFonts w:cstheme="minorHAnsi"/>
          <w:b/>
          <w:bCs/>
          <w:color w:val="1178A2" w:themeColor="text2"/>
          <w:sz w:val="24"/>
          <w:szCs w:val="20"/>
        </w:rPr>
        <w:fldChar w:fldCharType="end"/>
      </w:r>
    </w:p>
    <w:p w14:paraId="45C17CC1" w14:textId="77777777" w:rsidR="00FD06BC" w:rsidRDefault="00FD06BC">
      <w:pPr>
        <w:spacing w:after="80"/>
        <w:rPr>
          <w:rFonts w:cs="Arial"/>
          <w:b/>
          <w:bCs/>
          <w:color w:val="1178A2"/>
          <w:kern w:val="28"/>
          <w:sz w:val="40"/>
          <w:szCs w:val="32"/>
        </w:rPr>
      </w:pPr>
      <w:r>
        <w:br w:type="page"/>
      </w:r>
    </w:p>
    <w:p w14:paraId="2ADBD999" w14:textId="77777777" w:rsidR="00FD06BC" w:rsidRDefault="002840CC" w:rsidP="003547BA">
      <w:pPr>
        <w:pStyle w:val="Heading1"/>
        <w:spacing w:before="0"/>
      </w:pPr>
      <w:bookmarkStart w:id="10" w:name="_Toc526841663"/>
      <w:bookmarkStart w:id="11" w:name="_Toc476822634"/>
      <w:bookmarkStart w:id="12" w:name="_Toc476822655"/>
      <w:bookmarkStart w:id="13" w:name="_Toc476822855"/>
      <w:bookmarkStart w:id="14" w:name="_Toc476823159"/>
      <w:bookmarkEnd w:id="3"/>
      <w:bookmarkEnd w:id="4"/>
      <w:bookmarkEnd w:id="5"/>
      <w:bookmarkEnd w:id="6"/>
      <w:bookmarkEnd w:id="7"/>
      <w:r>
        <w:lastRenderedPageBreak/>
        <w:t>S</w:t>
      </w:r>
      <w:r w:rsidR="00FD06BC" w:rsidRPr="00FD06BC">
        <w:t>ummary</w:t>
      </w:r>
      <w:bookmarkEnd w:id="10"/>
    </w:p>
    <w:p w14:paraId="257A2649" w14:textId="450C5611" w:rsidR="0014066C" w:rsidRDefault="0014066C" w:rsidP="00041867">
      <w:r w:rsidRPr="0014066C">
        <w:t>The Antimicrobial Use and Resistance in Australia (AURA) Surveillance System, coordinated by the Australian Commission on Safety and Quality in Health Care (the Commission), provide</w:t>
      </w:r>
      <w:r w:rsidR="00D714F5">
        <w:t>s</w:t>
      </w:r>
      <w:r w:rsidRPr="0014066C">
        <w:t xml:space="preserve"> essential information to develop and implement strategies to prevent and contain antimicrobial resistance (AMR) in human health and improve antimicrobial use across the acute and community healthcare settings. AURA also supports the National Safety and Quality Health Service (NSQHS) Standard Preventing and Controlling Healthcare-Associated Infection</w:t>
      </w:r>
      <w:r w:rsidR="00EC7010">
        <w:t>,</w:t>
      </w:r>
      <w:r w:rsidRPr="0014066C">
        <w:t xml:space="preserve"> and Australia’s National Antimicrobial Resistance Strategy (2015–2019)</w:t>
      </w:r>
      <w:r w:rsidR="00EC7010">
        <w:t>.</w:t>
      </w:r>
      <w:r w:rsidRPr="0014066C">
        <w:t xml:space="preserve"> Funding for AURA is provided by the Australian Government Department of Health and state and territory health departments.</w:t>
      </w:r>
    </w:p>
    <w:p w14:paraId="3CA52706" w14:textId="0B782ABD" w:rsidR="00D714F5" w:rsidRDefault="00D714F5" w:rsidP="00041867">
      <w:r w:rsidRPr="00D714F5">
        <w:t xml:space="preserve">The Hospital National Antimicrobial Prescribing Survey (NAPS) is a key component of the AURA Surveillance System. </w:t>
      </w:r>
      <w:r w:rsidR="0038649A">
        <w:t xml:space="preserve">The </w:t>
      </w:r>
      <w:r w:rsidRPr="00D714F5">
        <w:t xml:space="preserve">Hospital NAPS is a collaborative project between the National Centre for Antimicrobial Stewardship and the Guidance Group (Royal Melbourne Hospital). </w:t>
      </w:r>
    </w:p>
    <w:p w14:paraId="1AA92DC7" w14:textId="403C5B6A" w:rsidR="000E312D" w:rsidRDefault="006C38C6" w:rsidP="00041867">
      <w:r>
        <w:t>The 2017 Hospital NAPS</w:t>
      </w:r>
      <w:r w:rsidR="000E312D">
        <w:t xml:space="preserve"> provides an</w:t>
      </w:r>
      <w:r>
        <w:t xml:space="preserve"> overview of antimicrobial prescribing in Australian public and private hospitals.</w:t>
      </w:r>
      <w:r w:rsidR="001A2CEB">
        <w:t xml:space="preserve"> This is the fifth year in which the survey has been conducted</w:t>
      </w:r>
      <w:r w:rsidR="001D6558">
        <w:t>,</w:t>
      </w:r>
      <w:r w:rsidR="001A2CEB">
        <w:t xml:space="preserve"> and consistent themes are emerging </w:t>
      </w:r>
      <w:r w:rsidR="009C381C">
        <w:t>in relation to</w:t>
      </w:r>
      <w:r w:rsidR="001A2CEB">
        <w:t xml:space="preserve"> the </w:t>
      </w:r>
      <w:r w:rsidR="000E312D">
        <w:t xml:space="preserve">appropriateness of </w:t>
      </w:r>
      <w:r w:rsidR="001A2CEB">
        <w:t xml:space="preserve">antimicrobial prescribing across the country. </w:t>
      </w:r>
    </w:p>
    <w:p w14:paraId="4D211150" w14:textId="69FCE6FC" w:rsidR="00500860" w:rsidRDefault="005C4869" w:rsidP="00041867">
      <w:r>
        <w:t>This report presents analys</w:t>
      </w:r>
      <w:r w:rsidR="009C381C">
        <w:t>e</w:t>
      </w:r>
      <w:r>
        <w:t xml:space="preserve">s of 26,277 prescriptions submitted </w:t>
      </w:r>
      <w:r w:rsidR="003A27CA">
        <w:t>to</w:t>
      </w:r>
      <w:r w:rsidR="00744BF4">
        <w:t xml:space="preserve"> the Hospital NAPS database </w:t>
      </w:r>
      <w:r>
        <w:t>by 314 hospitals (228 public and 86 private)</w:t>
      </w:r>
      <w:r w:rsidR="009C381C">
        <w:t xml:space="preserve"> </w:t>
      </w:r>
      <w:r w:rsidR="00E338A3">
        <w:t>during</w:t>
      </w:r>
      <w:r w:rsidR="009C381C">
        <w:t xml:space="preserve"> 2017</w:t>
      </w:r>
      <w:r w:rsidR="0038649A">
        <w:t xml:space="preserve">, </w:t>
      </w:r>
      <w:r w:rsidR="00500860">
        <w:t>and analyses of trends from 2013 to 2017.</w:t>
      </w:r>
    </w:p>
    <w:p w14:paraId="44C4883E" w14:textId="749DFE33" w:rsidR="00500860" w:rsidRPr="00765D11" w:rsidRDefault="00500860" w:rsidP="00765D11">
      <w:pPr>
        <w:rPr>
          <w:b/>
        </w:rPr>
      </w:pPr>
      <w:r w:rsidRPr="00765D11">
        <w:rPr>
          <w:b/>
        </w:rPr>
        <w:t>Key findings of the Hospital NAPS from 2013 to 2017:</w:t>
      </w:r>
    </w:p>
    <w:p w14:paraId="5AA41191" w14:textId="6169623D" w:rsidR="00500860" w:rsidRPr="000617F7" w:rsidRDefault="00500860" w:rsidP="003547BA">
      <w:pPr>
        <w:pStyle w:val="ListParagraph"/>
        <w:numPr>
          <w:ilvl w:val="0"/>
          <w:numId w:val="36"/>
        </w:numPr>
        <w:spacing w:after="0"/>
        <w:ind w:left="567" w:hanging="567"/>
        <w:contextualSpacing w:val="0"/>
        <w:rPr>
          <w:rFonts w:ascii="Arial" w:hAnsi="Arial" w:cs="Arial"/>
          <w:sz w:val="22"/>
          <w:szCs w:val="22"/>
        </w:rPr>
      </w:pPr>
      <w:r w:rsidRPr="000617F7">
        <w:rPr>
          <w:rFonts w:ascii="Arial" w:hAnsi="Arial" w:cs="Arial"/>
          <w:sz w:val="22"/>
          <w:szCs w:val="22"/>
        </w:rPr>
        <w:t xml:space="preserve">The </w:t>
      </w:r>
      <w:r>
        <w:rPr>
          <w:rFonts w:ascii="Arial" w:hAnsi="Arial" w:cs="Arial"/>
          <w:sz w:val="22"/>
          <w:szCs w:val="22"/>
        </w:rPr>
        <w:t xml:space="preserve">changes in </w:t>
      </w:r>
      <w:r w:rsidRPr="000617F7">
        <w:rPr>
          <w:rFonts w:ascii="Arial" w:hAnsi="Arial" w:cs="Arial"/>
          <w:sz w:val="22"/>
          <w:szCs w:val="22"/>
        </w:rPr>
        <w:t>key indicators of appropriateness of antimicrobial prescribing monitored using the Hospital NAPS from 2013 to 201</w:t>
      </w:r>
      <w:r>
        <w:rPr>
          <w:rFonts w:ascii="Arial" w:hAnsi="Arial" w:cs="Arial"/>
          <w:sz w:val="22"/>
          <w:szCs w:val="22"/>
        </w:rPr>
        <w:t>7</w:t>
      </w:r>
      <w:r w:rsidRPr="000617F7">
        <w:rPr>
          <w:rFonts w:ascii="Arial" w:hAnsi="Arial" w:cs="Arial"/>
          <w:sz w:val="22"/>
          <w:szCs w:val="22"/>
        </w:rPr>
        <w:t xml:space="preserve"> are as follows:</w:t>
      </w:r>
    </w:p>
    <w:p w14:paraId="172E46C7" w14:textId="77777777" w:rsidR="00500860" w:rsidRPr="009F2B68" w:rsidRDefault="00500860" w:rsidP="003547BA">
      <w:pPr>
        <w:numPr>
          <w:ilvl w:val="0"/>
          <w:numId w:val="37"/>
        </w:numPr>
        <w:spacing w:after="0"/>
        <w:ind w:left="1134" w:hanging="567"/>
        <w:rPr>
          <w:rFonts w:ascii="Arial" w:hAnsi="Arial" w:cs="Arial"/>
        </w:rPr>
      </w:pPr>
      <w:r w:rsidRPr="009F2B68">
        <w:rPr>
          <w:rFonts w:ascii="Arial" w:hAnsi="Arial" w:cs="Arial"/>
        </w:rPr>
        <w:t>Improvement in documentation of indication from 70.9% to 7</w:t>
      </w:r>
      <w:r>
        <w:rPr>
          <w:rFonts w:ascii="Arial" w:hAnsi="Arial" w:cs="Arial"/>
        </w:rPr>
        <w:t>7.7</w:t>
      </w:r>
      <w:r w:rsidRPr="009F2B68">
        <w:rPr>
          <w:rFonts w:ascii="Arial" w:hAnsi="Arial" w:cs="Arial"/>
        </w:rPr>
        <w:t xml:space="preserve">% </w:t>
      </w:r>
    </w:p>
    <w:p w14:paraId="655DFD0F" w14:textId="77777777" w:rsidR="00500860" w:rsidRPr="009F2B68" w:rsidRDefault="00500860" w:rsidP="003547BA">
      <w:pPr>
        <w:numPr>
          <w:ilvl w:val="0"/>
          <w:numId w:val="37"/>
        </w:numPr>
        <w:spacing w:after="0"/>
        <w:ind w:left="1134" w:hanging="567"/>
        <w:rPr>
          <w:rFonts w:ascii="Arial" w:hAnsi="Arial" w:cs="Arial"/>
        </w:rPr>
      </w:pPr>
      <w:r w:rsidRPr="009F2B68">
        <w:rPr>
          <w:rFonts w:ascii="Arial" w:hAnsi="Arial" w:cs="Arial"/>
        </w:rPr>
        <w:t xml:space="preserve">Improvement in documentation of review or stop date from 35.5% to </w:t>
      </w:r>
      <w:r>
        <w:rPr>
          <w:rFonts w:ascii="Arial" w:hAnsi="Arial" w:cs="Arial"/>
        </w:rPr>
        <w:t>40.5</w:t>
      </w:r>
      <w:r w:rsidRPr="009F2B68">
        <w:rPr>
          <w:rFonts w:ascii="Arial" w:hAnsi="Arial" w:cs="Arial"/>
        </w:rPr>
        <w:t xml:space="preserve">% </w:t>
      </w:r>
    </w:p>
    <w:p w14:paraId="61C20E33" w14:textId="77777777" w:rsidR="00500860" w:rsidRPr="009F2B68" w:rsidRDefault="00500860" w:rsidP="003547BA">
      <w:pPr>
        <w:numPr>
          <w:ilvl w:val="0"/>
          <w:numId w:val="37"/>
        </w:numPr>
        <w:spacing w:after="0"/>
        <w:ind w:left="1134" w:hanging="567"/>
        <w:rPr>
          <w:rFonts w:ascii="Arial" w:hAnsi="Arial" w:cs="Arial"/>
        </w:rPr>
      </w:pPr>
      <w:r w:rsidRPr="009F2B68">
        <w:rPr>
          <w:rFonts w:ascii="Arial" w:hAnsi="Arial" w:cs="Arial"/>
        </w:rPr>
        <w:t xml:space="preserve">Improvement in the proportion of surgical prophylaxis given for greater than 24 hours from 41.8% to </w:t>
      </w:r>
      <w:r>
        <w:rPr>
          <w:rFonts w:ascii="Arial" w:hAnsi="Arial" w:cs="Arial"/>
        </w:rPr>
        <w:t>30.5</w:t>
      </w:r>
      <w:r w:rsidRPr="009F2B68">
        <w:rPr>
          <w:rFonts w:ascii="Arial" w:hAnsi="Arial" w:cs="Arial"/>
        </w:rPr>
        <w:t xml:space="preserve">% </w:t>
      </w:r>
    </w:p>
    <w:p w14:paraId="6CA7ADFD" w14:textId="77777777" w:rsidR="00500860" w:rsidRPr="009F2B68" w:rsidRDefault="00500860" w:rsidP="003547BA">
      <w:pPr>
        <w:numPr>
          <w:ilvl w:val="0"/>
          <w:numId w:val="37"/>
        </w:numPr>
        <w:spacing w:after="0"/>
        <w:ind w:left="1134" w:hanging="567"/>
        <w:rPr>
          <w:rFonts w:ascii="Arial" w:hAnsi="Arial" w:cs="Arial"/>
        </w:rPr>
      </w:pPr>
      <w:r w:rsidRPr="009F2B68">
        <w:rPr>
          <w:rFonts w:ascii="Arial" w:hAnsi="Arial" w:cs="Arial"/>
        </w:rPr>
        <w:t xml:space="preserve">A decline in compliance with </w:t>
      </w:r>
      <w:r w:rsidRPr="009F2B68">
        <w:rPr>
          <w:rFonts w:ascii="Arial" w:hAnsi="Arial" w:cs="Arial"/>
          <w:i/>
        </w:rPr>
        <w:t>Therapeutic Guidelines: Antibiotic</w:t>
      </w:r>
      <w:r w:rsidRPr="009F2B68">
        <w:rPr>
          <w:rFonts w:ascii="Arial" w:hAnsi="Arial" w:cs="Arial"/>
          <w:b/>
          <w:i/>
        </w:rPr>
        <w:t xml:space="preserve"> </w:t>
      </w:r>
      <w:r w:rsidRPr="009F2B68">
        <w:rPr>
          <w:rFonts w:ascii="Arial" w:hAnsi="Arial" w:cs="Arial"/>
        </w:rPr>
        <w:t xml:space="preserve">or local guidelines from 72.2% to </w:t>
      </w:r>
      <w:r>
        <w:rPr>
          <w:rFonts w:ascii="Arial" w:hAnsi="Arial" w:cs="Arial"/>
        </w:rPr>
        <w:t>67.3</w:t>
      </w:r>
      <w:r w:rsidRPr="009F2B68">
        <w:rPr>
          <w:rFonts w:ascii="Arial" w:hAnsi="Arial" w:cs="Arial"/>
        </w:rPr>
        <w:t xml:space="preserve">% </w:t>
      </w:r>
      <w:r w:rsidRPr="009F2B68">
        <w:rPr>
          <w:rFonts w:ascii="Arial" w:hAnsi="Arial" w:cs="Arial"/>
          <w:i/>
        </w:rPr>
        <w:t xml:space="preserve"> </w:t>
      </w:r>
    </w:p>
    <w:p w14:paraId="77CABF96" w14:textId="66CFCCA5" w:rsidR="00500860" w:rsidRPr="009F2B68" w:rsidRDefault="00500860" w:rsidP="003547BA">
      <w:pPr>
        <w:numPr>
          <w:ilvl w:val="0"/>
          <w:numId w:val="37"/>
        </w:numPr>
        <w:spacing w:after="0"/>
        <w:ind w:left="1134" w:hanging="567"/>
        <w:rPr>
          <w:rFonts w:ascii="Arial" w:hAnsi="Arial" w:cs="Arial"/>
        </w:rPr>
      </w:pPr>
      <w:r w:rsidRPr="009F2B68">
        <w:rPr>
          <w:rFonts w:ascii="Arial" w:hAnsi="Arial" w:cs="Arial"/>
        </w:rPr>
        <w:t xml:space="preserve">A static rate of overall appropriateness of prescribing, of approximately 76% each year </w:t>
      </w:r>
    </w:p>
    <w:p w14:paraId="623D23EB" w14:textId="397CDED7" w:rsidR="00500860" w:rsidRPr="000617F7" w:rsidRDefault="00500860" w:rsidP="003547BA">
      <w:pPr>
        <w:pStyle w:val="ListParagraph"/>
        <w:numPr>
          <w:ilvl w:val="0"/>
          <w:numId w:val="38"/>
        </w:numPr>
        <w:spacing w:after="0"/>
        <w:ind w:left="567" w:hanging="567"/>
        <w:contextualSpacing w:val="0"/>
        <w:rPr>
          <w:rFonts w:ascii="Arial" w:hAnsi="Arial" w:cs="Arial"/>
          <w:sz w:val="22"/>
          <w:szCs w:val="22"/>
        </w:rPr>
      </w:pPr>
      <w:r w:rsidRPr="000617F7">
        <w:rPr>
          <w:rFonts w:ascii="Arial" w:hAnsi="Arial" w:cs="Arial"/>
          <w:sz w:val="22"/>
          <w:szCs w:val="22"/>
        </w:rPr>
        <w:t>The five most commonly prescribed antimicrobials in Australian hospitals participating in NAPS in 201</w:t>
      </w:r>
      <w:r>
        <w:rPr>
          <w:rFonts w:ascii="Arial" w:hAnsi="Arial" w:cs="Arial"/>
          <w:sz w:val="22"/>
          <w:szCs w:val="22"/>
        </w:rPr>
        <w:t>7</w:t>
      </w:r>
      <w:r w:rsidRPr="000617F7">
        <w:rPr>
          <w:rFonts w:ascii="Arial" w:hAnsi="Arial" w:cs="Arial"/>
          <w:sz w:val="22"/>
          <w:szCs w:val="22"/>
        </w:rPr>
        <w:t xml:space="preserve"> were: cefazolin, ceftriaxone, </w:t>
      </w:r>
      <w:r>
        <w:rPr>
          <w:rFonts w:ascii="Arial" w:hAnsi="Arial" w:cs="Arial"/>
          <w:sz w:val="22"/>
          <w:szCs w:val="22"/>
        </w:rPr>
        <w:t xml:space="preserve">amoxicillin–clavulanic acid, metronidazole and doxycycline </w:t>
      </w:r>
    </w:p>
    <w:p w14:paraId="050A3631" w14:textId="453F64C8" w:rsidR="00500860" w:rsidRPr="000617F7" w:rsidRDefault="00500860" w:rsidP="003547BA">
      <w:pPr>
        <w:pStyle w:val="ListParagraph"/>
        <w:numPr>
          <w:ilvl w:val="0"/>
          <w:numId w:val="38"/>
        </w:numPr>
        <w:spacing w:after="0"/>
        <w:ind w:left="567" w:hanging="567"/>
        <w:contextualSpacing w:val="0"/>
        <w:rPr>
          <w:rFonts w:ascii="Arial" w:hAnsi="Arial" w:cs="Arial"/>
          <w:sz w:val="22"/>
          <w:szCs w:val="22"/>
        </w:rPr>
      </w:pPr>
      <w:r w:rsidRPr="000617F7">
        <w:rPr>
          <w:rFonts w:ascii="Arial" w:hAnsi="Arial" w:cs="Arial"/>
          <w:sz w:val="22"/>
          <w:szCs w:val="22"/>
        </w:rPr>
        <w:t>The antimicrobials with the highest rates of inappropriate prescribing in Australian hospitals participating in NAPS in 201</w:t>
      </w:r>
      <w:r>
        <w:rPr>
          <w:rFonts w:ascii="Arial" w:hAnsi="Arial" w:cs="Arial"/>
          <w:sz w:val="22"/>
          <w:szCs w:val="22"/>
        </w:rPr>
        <w:t>7</w:t>
      </w:r>
      <w:r w:rsidRPr="000617F7">
        <w:rPr>
          <w:rFonts w:ascii="Arial" w:hAnsi="Arial" w:cs="Arial"/>
          <w:sz w:val="22"/>
          <w:szCs w:val="22"/>
        </w:rPr>
        <w:t xml:space="preserve"> were: cefalexin, amoxicillin–clavulan</w:t>
      </w:r>
      <w:r>
        <w:rPr>
          <w:rFonts w:ascii="Arial" w:hAnsi="Arial" w:cs="Arial"/>
          <w:sz w:val="22"/>
          <w:szCs w:val="22"/>
        </w:rPr>
        <w:t>ic acid</w:t>
      </w:r>
      <w:r w:rsidR="00AB35FB">
        <w:rPr>
          <w:rFonts w:ascii="Arial" w:hAnsi="Arial" w:cs="Arial"/>
          <w:sz w:val="22"/>
          <w:szCs w:val="22"/>
        </w:rPr>
        <w:t>,</w:t>
      </w:r>
      <w:r w:rsidRPr="000617F7">
        <w:rPr>
          <w:rFonts w:ascii="Arial" w:hAnsi="Arial" w:cs="Arial"/>
          <w:sz w:val="22"/>
          <w:szCs w:val="22"/>
        </w:rPr>
        <w:t xml:space="preserve"> cefazolin</w:t>
      </w:r>
      <w:r w:rsidR="00AB35FB">
        <w:rPr>
          <w:rFonts w:ascii="Arial" w:hAnsi="Arial" w:cs="Arial"/>
          <w:sz w:val="22"/>
          <w:szCs w:val="22"/>
        </w:rPr>
        <w:t xml:space="preserve"> and ceftriaxone</w:t>
      </w:r>
      <w:r>
        <w:rPr>
          <w:rFonts w:ascii="Arial" w:hAnsi="Arial" w:cs="Arial"/>
          <w:sz w:val="22"/>
          <w:szCs w:val="22"/>
        </w:rPr>
        <w:t xml:space="preserve"> </w:t>
      </w:r>
    </w:p>
    <w:p w14:paraId="72ACF47D" w14:textId="14D92730" w:rsidR="00500860" w:rsidRPr="00500860" w:rsidRDefault="00500860" w:rsidP="003547BA">
      <w:pPr>
        <w:pStyle w:val="ListParagraph"/>
        <w:numPr>
          <w:ilvl w:val="0"/>
          <w:numId w:val="38"/>
        </w:numPr>
        <w:spacing w:after="0"/>
        <w:ind w:left="567" w:hanging="567"/>
        <w:contextualSpacing w:val="0"/>
        <w:rPr>
          <w:rFonts w:ascii="Arial" w:hAnsi="Arial" w:cs="Arial"/>
          <w:sz w:val="22"/>
          <w:szCs w:val="22"/>
        </w:rPr>
      </w:pPr>
      <w:r w:rsidRPr="00500860">
        <w:rPr>
          <w:rFonts w:ascii="Arial" w:hAnsi="Arial" w:cs="Arial"/>
          <w:sz w:val="22"/>
          <w:szCs w:val="22"/>
        </w:rPr>
        <w:t>The five most common indications for prescribing antimicrobials in Australian hospitals that contributed to NAPS in 2017 were: surgical prophylaxis, community-acquired pneumonia, medical prophylaxis, urin</w:t>
      </w:r>
      <w:r>
        <w:rPr>
          <w:rFonts w:ascii="Arial" w:hAnsi="Arial" w:cs="Arial"/>
          <w:sz w:val="22"/>
          <w:szCs w:val="22"/>
        </w:rPr>
        <w:t>ary tract infection and sepsis</w:t>
      </w:r>
    </w:p>
    <w:p w14:paraId="017B7117" w14:textId="33668276" w:rsidR="009078D8" w:rsidRDefault="00500860" w:rsidP="003547BA">
      <w:pPr>
        <w:pStyle w:val="ListParagraph"/>
        <w:numPr>
          <w:ilvl w:val="0"/>
          <w:numId w:val="38"/>
        </w:numPr>
        <w:spacing w:after="0"/>
        <w:ind w:left="567" w:hanging="567"/>
        <w:contextualSpacing w:val="0"/>
        <w:rPr>
          <w:rFonts w:ascii="Arial" w:hAnsi="Arial" w:cs="Arial"/>
          <w:sz w:val="22"/>
          <w:szCs w:val="22"/>
        </w:rPr>
      </w:pPr>
      <w:r w:rsidRPr="000617F7">
        <w:rPr>
          <w:rFonts w:ascii="Arial" w:hAnsi="Arial" w:cs="Arial"/>
          <w:sz w:val="22"/>
          <w:szCs w:val="22"/>
        </w:rPr>
        <w:t>The highest proportions of prescriptions assessed as inappropriate in Australian hospitals participating in NAPS in 201</w:t>
      </w:r>
      <w:r>
        <w:rPr>
          <w:rFonts w:ascii="Arial" w:hAnsi="Arial" w:cs="Arial"/>
          <w:sz w:val="22"/>
          <w:szCs w:val="22"/>
        </w:rPr>
        <w:t>7</w:t>
      </w:r>
      <w:r w:rsidRPr="000617F7">
        <w:rPr>
          <w:rFonts w:ascii="Arial" w:hAnsi="Arial" w:cs="Arial"/>
          <w:sz w:val="22"/>
          <w:szCs w:val="22"/>
        </w:rPr>
        <w:t xml:space="preserve"> were for: surgical prophylaxis, infective exacerbation of chronic obstructive pulmonary disease</w:t>
      </w:r>
      <w:r w:rsidR="00487A57">
        <w:rPr>
          <w:rFonts w:ascii="Arial" w:hAnsi="Arial" w:cs="Arial"/>
          <w:sz w:val="22"/>
          <w:szCs w:val="22"/>
        </w:rPr>
        <w:t>,</w:t>
      </w:r>
      <w:r w:rsidRPr="000617F7">
        <w:rPr>
          <w:rFonts w:ascii="Arial" w:hAnsi="Arial" w:cs="Arial"/>
          <w:sz w:val="22"/>
          <w:szCs w:val="22"/>
        </w:rPr>
        <w:t xml:space="preserve"> </w:t>
      </w:r>
      <w:r>
        <w:rPr>
          <w:rFonts w:ascii="Arial" w:hAnsi="Arial" w:cs="Arial"/>
          <w:sz w:val="22"/>
          <w:szCs w:val="22"/>
        </w:rPr>
        <w:t>trauma</w:t>
      </w:r>
      <w:r w:rsidR="00487A57">
        <w:rPr>
          <w:rFonts w:ascii="Arial" w:hAnsi="Arial" w:cs="Arial"/>
          <w:sz w:val="22"/>
          <w:szCs w:val="22"/>
        </w:rPr>
        <w:t xml:space="preserve">tic injuries and various types of </w:t>
      </w:r>
      <w:r w:rsidR="000A47D7">
        <w:rPr>
          <w:rFonts w:ascii="Arial" w:hAnsi="Arial" w:cs="Arial"/>
          <w:sz w:val="22"/>
          <w:szCs w:val="22"/>
        </w:rPr>
        <w:t>pneumonia</w:t>
      </w:r>
    </w:p>
    <w:p w14:paraId="702C471C" w14:textId="26363D72" w:rsidR="00500860" w:rsidRPr="000617F7" w:rsidRDefault="009078D8" w:rsidP="003547BA">
      <w:pPr>
        <w:pStyle w:val="ListParagraph"/>
        <w:numPr>
          <w:ilvl w:val="0"/>
          <w:numId w:val="38"/>
        </w:numPr>
        <w:spacing w:after="0"/>
        <w:ind w:left="567" w:hanging="567"/>
        <w:contextualSpacing w:val="0"/>
        <w:rPr>
          <w:rFonts w:ascii="Arial" w:hAnsi="Arial" w:cs="Arial"/>
          <w:sz w:val="22"/>
          <w:szCs w:val="22"/>
        </w:rPr>
      </w:pPr>
      <w:r>
        <w:rPr>
          <w:rFonts w:ascii="Arial" w:hAnsi="Arial" w:cs="Arial"/>
          <w:sz w:val="22"/>
          <w:szCs w:val="22"/>
        </w:rPr>
        <w:t>K</w:t>
      </w:r>
      <w:r w:rsidRPr="009078D8">
        <w:rPr>
          <w:rFonts w:ascii="Arial" w:hAnsi="Arial" w:cs="Arial"/>
          <w:sz w:val="22"/>
          <w:szCs w:val="22"/>
        </w:rPr>
        <w:t xml:space="preserve">ey markers for prescribing appropriateness improved in hospitals that were repeat participants in </w:t>
      </w:r>
      <w:r w:rsidR="0038649A">
        <w:rPr>
          <w:rFonts w:ascii="Arial" w:hAnsi="Arial" w:cs="Arial"/>
          <w:sz w:val="22"/>
          <w:szCs w:val="22"/>
        </w:rPr>
        <w:t>the</w:t>
      </w:r>
      <w:r w:rsidR="0038649A" w:rsidRPr="009078D8">
        <w:rPr>
          <w:rFonts w:ascii="Arial" w:hAnsi="Arial" w:cs="Arial"/>
          <w:sz w:val="22"/>
          <w:szCs w:val="22"/>
        </w:rPr>
        <w:t xml:space="preserve"> </w:t>
      </w:r>
      <w:r w:rsidRPr="009078D8">
        <w:rPr>
          <w:rFonts w:ascii="Arial" w:hAnsi="Arial" w:cs="Arial"/>
          <w:sz w:val="22"/>
          <w:szCs w:val="22"/>
        </w:rPr>
        <w:t xml:space="preserve">NAPS </w:t>
      </w:r>
      <w:r>
        <w:rPr>
          <w:rFonts w:ascii="Arial" w:hAnsi="Arial" w:cs="Arial"/>
          <w:sz w:val="22"/>
          <w:szCs w:val="22"/>
        </w:rPr>
        <w:t>Hospitals from 2013 to 2017.</w:t>
      </w:r>
      <w:r w:rsidR="00500860" w:rsidRPr="000617F7">
        <w:rPr>
          <w:rFonts w:ascii="Arial" w:hAnsi="Arial" w:cs="Arial"/>
          <w:sz w:val="22"/>
          <w:szCs w:val="22"/>
        </w:rPr>
        <w:t xml:space="preserve"> </w:t>
      </w:r>
    </w:p>
    <w:p w14:paraId="4D4E0621" w14:textId="77777777" w:rsidR="00500860" w:rsidRDefault="00500860" w:rsidP="00041867"/>
    <w:p w14:paraId="34F0B9A5" w14:textId="77777777" w:rsidR="00AB35FB" w:rsidRDefault="00AB35FB">
      <w:pPr>
        <w:spacing w:after="80"/>
        <w:rPr>
          <w:b/>
        </w:rPr>
      </w:pPr>
      <w:r>
        <w:rPr>
          <w:b/>
        </w:rPr>
        <w:br w:type="page"/>
      </w:r>
    </w:p>
    <w:p w14:paraId="454DFACD" w14:textId="1D9D41C4" w:rsidR="00500860" w:rsidRPr="00765D11" w:rsidRDefault="009078D8" w:rsidP="00765D11">
      <w:pPr>
        <w:rPr>
          <w:b/>
        </w:rPr>
      </w:pPr>
      <w:r w:rsidRPr="00765D11">
        <w:rPr>
          <w:b/>
        </w:rPr>
        <w:lastRenderedPageBreak/>
        <w:t>Implications of key findings and response</w:t>
      </w:r>
    </w:p>
    <w:p w14:paraId="59D11F7A" w14:textId="5E7E7C06" w:rsidR="00334198" w:rsidRDefault="00334198" w:rsidP="00765D11">
      <w:pPr>
        <w:spacing w:after="0"/>
      </w:pPr>
      <w:r>
        <w:t xml:space="preserve">The findings indicate </w:t>
      </w:r>
      <w:r w:rsidRPr="00334198">
        <w:t xml:space="preserve">encouraging trends </w:t>
      </w:r>
      <w:r>
        <w:t xml:space="preserve">from 2013 to 2017 </w:t>
      </w:r>
      <w:r w:rsidRPr="00334198">
        <w:t>in a number of the key indicators of appropriateness of antimicrobial prescribing that are monitored by the Hospital NAPS</w:t>
      </w:r>
      <w:r>
        <w:t>,</w:t>
      </w:r>
      <w:r w:rsidR="00111E31">
        <w:t xml:space="preserve"> as well as ongoing issues that have implications for patient safety</w:t>
      </w:r>
      <w:r w:rsidRPr="00334198">
        <w:t>.</w:t>
      </w:r>
    </w:p>
    <w:p w14:paraId="46B16682" w14:textId="77777777" w:rsidR="00334198" w:rsidRDefault="00334198" w:rsidP="00765D11">
      <w:pPr>
        <w:spacing w:after="0"/>
      </w:pPr>
    </w:p>
    <w:p w14:paraId="1AC17D1D" w14:textId="2E868145" w:rsidR="00765D11" w:rsidRDefault="009078D8" w:rsidP="00765D11">
      <w:pPr>
        <w:spacing w:after="0"/>
      </w:pPr>
      <w:r w:rsidRPr="00956066">
        <w:t xml:space="preserve">Hospital NAPS analyses have </w:t>
      </w:r>
      <w:r w:rsidR="00765D11" w:rsidRPr="00956066">
        <w:t xml:space="preserve">identified the following </w:t>
      </w:r>
      <w:r w:rsidRPr="00956066">
        <w:t xml:space="preserve">priority areas for </w:t>
      </w:r>
      <w:r w:rsidR="00765D11" w:rsidRPr="00956066">
        <w:t>targeted quality improvement initiatives for antimicrobial prescribing</w:t>
      </w:r>
      <w:r w:rsidRPr="00956066">
        <w:t xml:space="preserve">: </w:t>
      </w:r>
    </w:p>
    <w:p w14:paraId="3E3DB3C9" w14:textId="77777777" w:rsidR="00956066" w:rsidRPr="00956066" w:rsidRDefault="00956066" w:rsidP="00765D11">
      <w:pPr>
        <w:spacing w:after="0"/>
      </w:pPr>
    </w:p>
    <w:p w14:paraId="22AE2752" w14:textId="77777777" w:rsidR="00765D11" w:rsidRPr="00956066" w:rsidRDefault="009078D8" w:rsidP="003547BA">
      <w:pPr>
        <w:pStyle w:val="ListParagraph"/>
        <w:numPr>
          <w:ilvl w:val="0"/>
          <w:numId w:val="39"/>
        </w:numPr>
        <w:spacing w:after="0"/>
        <w:ind w:left="567" w:hanging="567"/>
        <w:rPr>
          <w:rFonts w:ascii="Arial" w:hAnsi="Arial"/>
          <w:color w:val="000000" w:themeColor="text1"/>
          <w:sz w:val="22"/>
          <w:szCs w:val="22"/>
          <w:lang w:eastAsia="en-US"/>
        </w:rPr>
      </w:pPr>
      <w:r w:rsidRPr="00956066">
        <w:rPr>
          <w:rFonts w:ascii="Arial" w:hAnsi="Arial"/>
          <w:color w:val="000000" w:themeColor="text1"/>
          <w:sz w:val="22"/>
          <w:szCs w:val="22"/>
          <w:lang w:eastAsia="en-US"/>
        </w:rPr>
        <w:t>Documentation of indication</w:t>
      </w:r>
    </w:p>
    <w:p w14:paraId="485F27CB" w14:textId="77777777" w:rsidR="00765D11" w:rsidRPr="00956066" w:rsidRDefault="009078D8" w:rsidP="003547BA">
      <w:pPr>
        <w:pStyle w:val="ListParagraph"/>
        <w:numPr>
          <w:ilvl w:val="0"/>
          <w:numId w:val="39"/>
        </w:numPr>
        <w:spacing w:after="0"/>
        <w:ind w:left="567" w:hanging="567"/>
        <w:rPr>
          <w:rFonts w:ascii="Arial" w:hAnsi="Arial"/>
          <w:color w:val="000000" w:themeColor="text1"/>
          <w:sz w:val="22"/>
          <w:szCs w:val="22"/>
          <w:lang w:eastAsia="en-US"/>
        </w:rPr>
      </w:pPr>
      <w:r w:rsidRPr="00956066">
        <w:rPr>
          <w:rFonts w:ascii="Arial" w:hAnsi="Arial"/>
          <w:color w:val="000000" w:themeColor="text1"/>
          <w:sz w:val="22"/>
          <w:szCs w:val="22"/>
          <w:lang w:eastAsia="en-US"/>
        </w:rPr>
        <w:t xml:space="preserve">Documentation of review or stop date </w:t>
      </w:r>
    </w:p>
    <w:p w14:paraId="0E40C850" w14:textId="77777777" w:rsidR="00765D11" w:rsidRPr="00956066" w:rsidRDefault="009078D8" w:rsidP="003547BA">
      <w:pPr>
        <w:pStyle w:val="ListParagraph"/>
        <w:numPr>
          <w:ilvl w:val="0"/>
          <w:numId w:val="39"/>
        </w:numPr>
        <w:spacing w:after="0"/>
        <w:ind w:left="567" w:hanging="567"/>
        <w:rPr>
          <w:rFonts w:ascii="Arial" w:hAnsi="Arial"/>
          <w:color w:val="000000" w:themeColor="text1"/>
          <w:sz w:val="22"/>
          <w:szCs w:val="22"/>
          <w:lang w:eastAsia="en-US"/>
        </w:rPr>
      </w:pPr>
      <w:r w:rsidRPr="00956066">
        <w:rPr>
          <w:rFonts w:ascii="Arial" w:hAnsi="Arial"/>
          <w:color w:val="000000" w:themeColor="text1"/>
          <w:sz w:val="22"/>
          <w:szCs w:val="22"/>
          <w:lang w:eastAsia="en-US"/>
        </w:rPr>
        <w:t xml:space="preserve">Compliance with guidelines </w:t>
      </w:r>
    </w:p>
    <w:p w14:paraId="10471D25" w14:textId="77777777" w:rsidR="00765D11" w:rsidRPr="00956066" w:rsidRDefault="009078D8" w:rsidP="003547BA">
      <w:pPr>
        <w:pStyle w:val="ListParagraph"/>
        <w:numPr>
          <w:ilvl w:val="0"/>
          <w:numId w:val="39"/>
        </w:numPr>
        <w:spacing w:after="0"/>
        <w:ind w:left="567" w:hanging="567"/>
        <w:rPr>
          <w:rFonts w:ascii="Arial" w:hAnsi="Arial"/>
          <w:color w:val="000000" w:themeColor="text1"/>
          <w:sz w:val="22"/>
          <w:szCs w:val="22"/>
          <w:lang w:eastAsia="en-US"/>
        </w:rPr>
      </w:pPr>
      <w:r w:rsidRPr="00956066">
        <w:rPr>
          <w:rFonts w:ascii="Arial" w:hAnsi="Arial"/>
          <w:color w:val="000000" w:themeColor="text1"/>
          <w:sz w:val="22"/>
          <w:szCs w:val="22"/>
          <w:lang w:eastAsia="en-US"/>
        </w:rPr>
        <w:t xml:space="preserve">Appropriateness of prescribing, particularly inappropriate broad spectrum antimicrobial use and duration of therapy </w:t>
      </w:r>
    </w:p>
    <w:p w14:paraId="7A8EB8DC" w14:textId="77777777" w:rsidR="00765D11" w:rsidRPr="00956066" w:rsidRDefault="009078D8" w:rsidP="003547BA">
      <w:pPr>
        <w:pStyle w:val="ListParagraph"/>
        <w:numPr>
          <w:ilvl w:val="0"/>
          <w:numId w:val="39"/>
        </w:numPr>
        <w:spacing w:after="0"/>
        <w:ind w:left="567" w:hanging="567"/>
        <w:rPr>
          <w:rFonts w:ascii="Arial" w:hAnsi="Arial"/>
          <w:color w:val="000000" w:themeColor="text1"/>
          <w:sz w:val="22"/>
          <w:szCs w:val="22"/>
          <w:lang w:eastAsia="en-US"/>
        </w:rPr>
      </w:pPr>
      <w:r w:rsidRPr="00956066">
        <w:rPr>
          <w:rFonts w:ascii="Arial" w:hAnsi="Arial"/>
          <w:color w:val="000000" w:themeColor="text1"/>
          <w:sz w:val="22"/>
          <w:szCs w:val="22"/>
          <w:lang w:eastAsia="en-US"/>
        </w:rPr>
        <w:t>Improved prescribing, particularly for cefalexin, amoxicillin–clavulanic acid, cefazolin and ceftriaxone</w:t>
      </w:r>
    </w:p>
    <w:p w14:paraId="1F2B4B40" w14:textId="1B6573F8" w:rsidR="009078D8" w:rsidRPr="00956066" w:rsidRDefault="009078D8" w:rsidP="003547BA">
      <w:pPr>
        <w:pStyle w:val="ListParagraph"/>
        <w:numPr>
          <w:ilvl w:val="0"/>
          <w:numId w:val="39"/>
        </w:numPr>
        <w:spacing w:after="0"/>
        <w:ind w:left="567" w:hanging="567"/>
        <w:rPr>
          <w:rFonts w:ascii="Arial" w:hAnsi="Arial"/>
          <w:color w:val="000000" w:themeColor="text1"/>
          <w:sz w:val="22"/>
          <w:szCs w:val="22"/>
          <w:lang w:eastAsia="en-US"/>
        </w:rPr>
      </w:pPr>
      <w:r w:rsidRPr="00956066">
        <w:rPr>
          <w:rFonts w:ascii="Arial" w:hAnsi="Arial"/>
          <w:color w:val="000000" w:themeColor="text1"/>
          <w:sz w:val="22"/>
          <w:szCs w:val="22"/>
          <w:lang w:eastAsia="en-US"/>
        </w:rPr>
        <w:t>Improved prescribing for indications, particularly surgical prophylaxis, infective exacerbations of chronic obstructive pulmonary disease, traumatic injuries and various types of pneumonia.</w:t>
      </w:r>
    </w:p>
    <w:p w14:paraId="5AF298DC" w14:textId="77777777" w:rsidR="009078D8" w:rsidRDefault="009078D8" w:rsidP="009078D8">
      <w:pPr>
        <w:spacing w:after="0"/>
        <w:rPr>
          <w:u w:val="single"/>
        </w:rPr>
      </w:pPr>
    </w:p>
    <w:p w14:paraId="27DF1C1F" w14:textId="77777777" w:rsidR="009078D8" w:rsidRDefault="009078D8" w:rsidP="009078D8">
      <w:pPr>
        <w:spacing w:after="0"/>
      </w:pPr>
      <w:r w:rsidRPr="00C25758">
        <w:t>To address the</w:t>
      </w:r>
      <w:r>
        <w:t>se</w:t>
      </w:r>
      <w:r w:rsidRPr="00C25758">
        <w:t xml:space="preserve"> priority areas for action, the Commission will:</w:t>
      </w:r>
    </w:p>
    <w:p w14:paraId="727F797F" w14:textId="77777777" w:rsidR="00956066" w:rsidRPr="00C25758" w:rsidRDefault="00956066" w:rsidP="009078D8">
      <w:pPr>
        <w:spacing w:after="0"/>
        <w:rPr>
          <w:rFonts w:ascii="Arial" w:hAnsi="Arial" w:cs="Arial"/>
        </w:rPr>
      </w:pPr>
    </w:p>
    <w:p w14:paraId="35468FD4" w14:textId="09CF4A84" w:rsidR="009078D8" w:rsidRPr="00C25758" w:rsidRDefault="00334198" w:rsidP="003547BA">
      <w:pPr>
        <w:numPr>
          <w:ilvl w:val="0"/>
          <w:numId w:val="30"/>
        </w:numPr>
        <w:spacing w:after="0"/>
        <w:ind w:left="567" w:hanging="567"/>
        <w:contextualSpacing/>
        <w:rPr>
          <w:rFonts w:ascii="Arial" w:eastAsiaTheme="minorHAnsi" w:hAnsi="Arial" w:cs="Arial"/>
          <w:color w:val="000000"/>
        </w:rPr>
      </w:pPr>
      <w:r>
        <w:rPr>
          <w:rFonts w:ascii="Arial" w:eastAsiaTheme="minorHAnsi" w:hAnsi="Arial" w:cs="Arial"/>
          <w:color w:val="000000"/>
        </w:rPr>
        <w:t xml:space="preserve">Communicate the findings to </w:t>
      </w:r>
      <w:r w:rsidR="009078D8" w:rsidRPr="00C25758">
        <w:rPr>
          <w:rFonts w:ascii="Arial" w:eastAsiaTheme="minorHAnsi" w:hAnsi="Arial" w:cs="Arial"/>
          <w:color w:val="000000"/>
        </w:rPr>
        <w:t xml:space="preserve">states and territories and private hospital provider organisations </w:t>
      </w:r>
      <w:r w:rsidR="005E353B">
        <w:rPr>
          <w:rFonts w:ascii="Arial" w:eastAsiaTheme="minorHAnsi" w:hAnsi="Arial" w:cs="Arial"/>
          <w:color w:val="000000"/>
        </w:rPr>
        <w:t xml:space="preserve">to highlight the priority areas </w:t>
      </w:r>
      <w:r>
        <w:rPr>
          <w:rFonts w:ascii="Arial" w:eastAsiaTheme="minorHAnsi" w:hAnsi="Arial" w:cs="Arial"/>
          <w:color w:val="000000"/>
        </w:rPr>
        <w:t>f</w:t>
      </w:r>
      <w:r w:rsidR="005E353B">
        <w:rPr>
          <w:rFonts w:ascii="Arial" w:eastAsiaTheme="minorHAnsi" w:hAnsi="Arial" w:cs="Arial"/>
          <w:color w:val="000000"/>
        </w:rPr>
        <w:t>or</w:t>
      </w:r>
      <w:r>
        <w:rPr>
          <w:rFonts w:ascii="Arial" w:eastAsiaTheme="minorHAnsi" w:hAnsi="Arial" w:cs="Arial"/>
          <w:color w:val="000000"/>
        </w:rPr>
        <w:t xml:space="preserve"> </w:t>
      </w:r>
      <w:r w:rsidR="009078D8" w:rsidRPr="00C25758">
        <w:rPr>
          <w:rFonts w:ascii="Arial" w:eastAsiaTheme="minorHAnsi" w:hAnsi="Arial" w:cs="Arial"/>
          <w:color w:val="000000"/>
        </w:rPr>
        <w:t>their antimicrobial stewardship p</w:t>
      </w:r>
      <w:r>
        <w:rPr>
          <w:rFonts w:ascii="Arial" w:eastAsiaTheme="minorHAnsi" w:hAnsi="Arial" w:cs="Arial"/>
          <w:color w:val="000000"/>
        </w:rPr>
        <w:t>rograms</w:t>
      </w:r>
    </w:p>
    <w:p w14:paraId="6F088530" w14:textId="7EA7BAFC" w:rsidR="009078D8" w:rsidRDefault="009078D8" w:rsidP="003547BA">
      <w:pPr>
        <w:numPr>
          <w:ilvl w:val="0"/>
          <w:numId w:val="29"/>
        </w:numPr>
        <w:spacing w:after="0"/>
        <w:ind w:left="567" w:hanging="567"/>
        <w:contextualSpacing/>
        <w:rPr>
          <w:rFonts w:eastAsiaTheme="minorHAnsi" w:cstheme="minorHAnsi"/>
          <w:color w:val="000000"/>
        </w:rPr>
      </w:pPr>
      <w:r w:rsidRPr="00C25758">
        <w:rPr>
          <w:rFonts w:eastAsiaTheme="minorHAnsi" w:cstheme="minorHAnsi"/>
          <w:color w:val="000000"/>
        </w:rPr>
        <w:t xml:space="preserve">Encourage public and private health service organisations to routinely review their NAPS results, </w:t>
      </w:r>
      <w:r w:rsidR="00334198">
        <w:rPr>
          <w:rFonts w:eastAsiaTheme="minorHAnsi" w:cstheme="minorHAnsi"/>
          <w:color w:val="000000"/>
        </w:rPr>
        <w:t xml:space="preserve">and implement </w:t>
      </w:r>
      <w:r w:rsidRPr="00C25758">
        <w:rPr>
          <w:rFonts w:eastAsiaTheme="minorHAnsi" w:cstheme="minorHAnsi"/>
          <w:color w:val="000000"/>
        </w:rPr>
        <w:t xml:space="preserve">targeted </w:t>
      </w:r>
      <w:r w:rsidR="00334198">
        <w:rPr>
          <w:rFonts w:eastAsiaTheme="minorHAnsi" w:cstheme="minorHAnsi"/>
          <w:color w:val="000000"/>
        </w:rPr>
        <w:t xml:space="preserve">strategies for </w:t>
      </w:r>
      <w:r w:rsidRPr="00C25758">
        <w:rPr>
          <w:rFonts w:eastAsiaTheme="minorHAnsi" w:cstheme="minorHAnsi"/>
          <w:color w:val="000000"/>
        </w:rPr>
        <w:t xml:space="preserve">departments with the highest </w:t>
      </w:r>
      <w:r w:rsidR="00111E31">
        <w:rPr>
          <w:rFonts w:eastAsiaTheme="minorHAnsi" w:cstheme="minorHAnsi"/>
          <w:color w:val="000000"/>
        </w:rPr>
        <w:t xml:space="preserve">rates </w:t>
      </w:r>
      <w:r w:rsidRPr="00C25758">
        <w:rPr>
          <w:rFonts w:eastAsiaTheme="minorHAnsi" w:cstheme="minorHAnsi"/>
          <w:color w:val="000000"/>
        </w:rPr>
        <w:t>of</w:t>
      </w:r>
      <w:r>
        <w:rPr>
          <w:rFonts w:eastAsiaTheme="minorHAnsi" w:cstheme="minorHAnsi"/>
          <w:color w:val="000000"/>
        </w:rPr>
        <w:t xml:space="preserve"> inappropriate prescribing</w:t>
      </w:r>
      <w:r w:rsidR="000A47D7">
        <w:rPr>
          <w:rFonts w:eastAsiaTheme="minorHAnsi" w:cstheme="minorHAnsi"/>
          <w:color w:val="000000"/>
        </w:rPr>
        <w:t>, and non-compliance with guidelines</w:t>
      </w:r>
    </w:p>
    <w:p w14:paraId="34EA8616" w14:textId="04AAABF3" w:rsidR="009078D8" w:rsidRPr="00C25758" w:rsidRDefault="009078D8" w:rsidP="003547BA">
      <w:pPr>
        <w:numPr>
          <w:ilvl w:val="0"/>
          <w:numId w:val="29"/>
        </w:numPr>
        <w:spacing w:after="0"/>
        <w:ind w:left="567" w:hanging="567"/>
        <w:contextualSpacing/>
        <w:rPr>
          <w:rFonts w:eastAsiaTheme="minorHAnsi" w:cstheme="minorHAnsi"/>
          <w:color w:val="000000"/>
        </w:rPr>
      </w:pPr>
      <w:r>
        <w:rPr>
          <w:rFonts w:eastAsiaTheme="minorHAnsi" w:cstheme="minorHAnsi"/>
          <w:color w:val="000000"/>
        </w:rPr>
        <w:t xml:space="preserve">Promote </w:t>
      </w:r>
      <w:r w:rsidR="005E353B">
        <w:rPr>
          <w:rFonts w:eastAsiaTheme="minorHAnsi" w:cstheme="minorHAnsi"/>
          <w:color w:val="000000"/>
        </w:rPr>
        <w:t xml:space="preserve">action </w:t>
      </w:r>
      <w:r w:rsidRPr="00C25758">
        <w:rPr>
          <w:rFonts w:eastAsiaTheme="minorHAnsi" w:cstheme="minorHAnsi"/>
          <w:color w:val="000000"/>
        </w:rPr>
        <w:t>3.16c of the</w:t>
      </w:r>
      <w:r>
        <w:rPr>
          <w:rFonts w:eastAsiaTheme="minorHAnsi" w:cstheme="minorHAnsi"/>
          <w:color w:val="000000"/>
        </w:rPr>
        <w:t xml:space="preserve"> </w:t>
      </w:r>
      <w:r w:rsidR="00334198">
        <w:rPr>
          <w:rFonts w:eastAsiaTheme="minorHAnsi" w:cstheme="minorHAnsi"/>
          <w:color w:val="000000"/>
        </w:rPr>
        <w:t xml:space="preserve">NSQHS </w:t>
      </w:r>
      <w:r>
        <w:t xml:space="preserve">Preventing and Controlling </w:t>
      </w:r>
      <w:r>
        <w:rPr>
          <w:rFonts w:eastAsiaTheme="minorHAnsi" w:cstheme="minorHAnsi"/>
          <w:color w:val="000000"/>
        </w:rPr>
        <w:t>Healthcare-Associated Infection</w:t>
      </w:r>
      <w:r w:rsidRPr="00C25758">
        <w:rPr>
          <w:rFonts w:eastAsiaTheme="minorHAnsi" w:cstheme="minorHAnsi"/>
          <w:color w:val="000000"/>
        </w:rPr>
        <w:t xml:space="preserve"> </w:t>
      </w:r>
      <w:r w:rsidR="00334198">
        <w:rPr>
          <w:rFonts w:eastAsiaTheme="minorHAnsi" w:cstheme="minorHAnsi"/>
          <w:color w:val="000000"/>
        </w:rPr>
        <w:t>Standard</w:t>
      </w:r>
      <w:r w:rsidR="00111E31">
        <w:rPr>
          <w:rFonts w:eastAsiaTheme="minorHAnsi" w:cstheme="minorHAnsi"/>
          <w:color w:val="000000"/>
        </w:rPr>
        <w:t xml:space="preserve">, which requires action to </w:t>
      </w:r>
      <w:r>
        <w:rPr>
          <w:rFonts w:eastAsiaTheme="minorHAnsi" w:cstheme="minorHAnsi"/>
          <w:color w:val="000000"/>
        </w:rPr>
        <w:t>improve appropriate</w:t>
      </w:r>
      <w:r w:rsidR="00334198">
        <w:rPr>
          <w:rFonts w:eastAsiaTheme="minorHAnsi" w:cstheme="minorHAnsi"/>
          <w:color w:val="000000"/>
        </w:rPr>
        <w:t>ness of</w:t>
      </w:r>
      <w:r>
        <w:rPr>
          <w:rFonts w:eastAsiaTheme="minorHAnsi" w:cstheme="minorHAnsi"/>
          <w:color w:val="000000"/>
        </w:rPr>
        <w:t xml:space="preserve"> antimicrobial prescribing</w:t>
      </w:r>
    </w:p>
    <w:p w14:paraId="22934945" w14:textId="77777777" w:rsidR="005E353B" w:rsidRPr="005E353B" w:rsidRDefault="009078D8" w:rsidP="003547BA">
      <w:pPr>
        <w:numPr>
          <w:ilvl w:val="0"/>
          <w:numId w:val="29"/>
        </w:numPr>
        <w:spacing w:after="0"/>
        <w:ind w:left="567" w:hanging="567"/>
        <w:contextualSpacing/>
        <w:rPr>
          <w:rFonts w:cstheme="minorHAnsi"/>
        </w:rPr>
      </w:pPr>
      <w:r>
        <w:rPr>
          <w:rFonts w:eastAsiaTheme="minorHAnsi" w:cstheme="minorHAnsi"/>
          <w:color w:val="000000"/>
        </w:rPr>
        <w:t>Collaborate</w:t>
      </w:r>
      <w:r w:rsidRPr="00C25758">
        <w:rPr>
          <w:rFonts w:eastAsiaTheme="minorHAnsi" w:cstheme="minorHAnsi"/>
          <w:color w:val="000000"/>
        </w:rPr>
        <w:t xml:space="preserve"> with the Royal Australasian College of Surgeons</w:t>
      </w:r>
      <w:r>
        <w:rPr>
          <w:rFonts w:eastAsiaTheme="minorHAnsi" w:cstheme="minorHAnsi"/>
          <w:color w:val="000000"/>
        </w:rPr>
        <w:t xml:space="preserve"> and other key stake holders</w:t>
      </w:r>
      <w:r w:rsidRPr="00C25758">
        <w:rPr>
          <w:rFonts w:eastAsiaTheme="minorHAnsi" w:cstheme="minorHAnsi"/>
          <w:color w:val="000000"/>
        </w:rPr>
        <w:t xml:space="preserve"> to improve prescribing of antimicrobials for surgical prophylaxis</w:t>
      </w:r>
    </w:p>
    <w:p w14:paraId="09A39DF8" w14:textId="2052C3C9" w:rsidR="005E353B" w:rsidRPr="005E353B" w:rsidRDefault="005E353B" w:rsidP="003547BA">
      <w:pPr>
        <w:numPr>
          <w:ilvl w:val="0"/>
          <w:numId w:val="29"/>
        </w:numPr>
        <w:ind w:left="567" w:hanging="567"/>
        <w:rPr>
          <w:rFonts w:cstheme="minorHAnsi"/>
        </w:rPr>
      </w:pPr>
      <w:r>
        <w:rPr>
          <w:rFonts w:eastAsiaTheme="minorHAnsi" w:cstheme="minorHAnsi"/>
          <w:color w:val="000000"/>
        </w:rPr>
        <w:t>Work with states and territories and expert clinical groups to develop strategies and guidelines to improve the appropriateness of antimicrobial prescribing for respiratory conditions</w:t>
      </w:r>
      <w:r w:rsidR="00487A57">
        <w:rPr>
          <w:rFonts w:eastAsiaTheme="minorHAnsi" w:cstheme="minorHAnsi"/>
          <w:color w:val="000000"/>
        </w:rPr>
        <w:t xml:space="preserve"> and</w:t>
      </w:r>
      <w:r>
        <w:rPr>
          <w:rFonts w:eastAsiaTheme="minorHAnsi" w:cstheme="minorHAnsi"/>
          <w:color w:val="000000"/>
        </w:rPr>
        <w:t xml:space="preserve"> traumatic injuries; prescribing of broad spectrum antimicrobials and duration of therapy; and prescribing of </w:t>
      </w:r>
      <w:r w:rsidR="009078D8" w:rsidRPr="005E353B">
        <w:rPr>
          <w:rFonts w:cstheme="minorHAnsi"/>
        </w:rPr>
        <w:t>cefalexin, amoxicillin–clavulanic acid, cefazolin and ceftriaxone</w:t>
      </w:r>
      <w:r>
        <w:rPr>
          <w:rFonts w:cstheme="minorHAnsi"/>
        </w:rPr>
        <w:t>.</w:t>
      </w:r>
    </w:p>
    <w:p w14:paraId="77FABC05" w14:textId="1EB670B4" w:rsidR="009078D8" w:rsidRDefault="009078D8" w:rsidP="009078D8">
      <w:pPr>
        <w:spacing w:after="0"/>
      </w:pPr>
      <w:r w:rsidRPr="00C25758">
        <w:rPr>
          <w:rFonts w:cstheme="minorHAnsi"/>
        </w:rPr>
        <w:t>The Commission will also</w:t>
      </w:r>
      <w:r w:rsidRPr="00C25758">
        <w:t xml:space="preserve"> work with the states and territories and the private sector to promote ongoing monitoring of antimicrobial usage and appropriateness of use in Australian hospitals</w:t>
      </w:r>
      <w:r>
        <w:t xml:space="preserve">, as required by </w:t>
      </w:r>
      <w:r w:rsidRPr="00E037C8">
        <w:t xml:space="preserve">the </w:t>
      </w:r>
      <w:r>
        <w:t>NSQHS</w:t>
      </w:r>
      <w:r w:rsidRPr="00E037C8">
        <w:t xml:space="preserve"> Preventing and Controlling Healthcare-Associated Infection</w:t>
      </w:r>
      <w:r>
        <w:t xml:space="preserve"> Standard</w:t>
      </w:r>
      <w:r w:rsidRPr="00C25758">
        <w:t>.</w:t>
      </w:r>
      <w:r w:rsidRPr="00BD09B3">
        <w:rPr>
          <w:vertAlign w:val="superscript"/>
        </w:rPr>
        <w:t>1</w:t>
      </w:r>
      <w:r w:rsidRPr="009C381C">
        <w:t xml:space="preserve"> This Standard requires all Australian hospitals to implement an antimicro</w:t>
      </w:r>
      <w:r>
        <w:t xml:space="preserve">bial stewardship program. </w:t>
      </w:r>
    </w:p>
    <w:p w14:paraId="690BF5C4" w14:textId="77777777" w:rsidR="009078D8" w:rsidRDefault="009078D8" w:rsidP="009078D8">
      <w:pPr>
        <w:spacing w:after="0"/>
      </w:pPr>
    </w:p>
    <w:p w14:paraId="461E65CE" w14:textId="77777777" w:rsidR="00D714F5" w:rsidRDefault="00D714F5">
      <w:pPr>
        <w:spacing w:after="80"/>
        <w:rPr>
          <w:rFonts w:cs="Arial"/>
          <w:b/>
          <w:bCs/>
          <w:color w:val="1178A2"/>
          <w:kern w:val="28"/>
          <w:sz w:val="40"/>
          <w:szCs w:val="32"/>
        </w:rPr>
      </w:pPr>
      <w:r>
        <w:br w:type="page"/>
      </w:r>
    </w:p>
    <w:p w14:paraId="186924C6" w14:textId="4F06775F" w:rsidR="00FD06BC" w:rsidRDefault="00890A09" w:rsidP="003547BA">
      <w:pPr>
        <w:pStyle w:val="Heading1"/>
        <w:spacing w:before="0"/>
      </w:pPr>
      <w:bookmarkStart w:id="15" w:name="_Toc526841664"/>
      <w:r>
        <w:lastRenderedPageBreak/>
        <w:t>Introduction</w:t>
      </w:r>
      <w:bookmarkEnd w:id="15"/>
    </w:p>
    <w:p w14:paraId="7F0CA75C" w14:textId="4F061A4B" w:rsidR="003D25CE" w:rsidRDefault="003D25CE" w:rsidP="00041867">
      <w:r w:rsidRPr="003D25CE">
        <w:t xml:space="preserve">The Antimicrobial Use and Resistance in Australia (AURA) Surveillance System, which is coordinated by the Australian Commission on Safety and Quality in Health Care (the Commission), provides a </w:t>
      </w:r>
      <w:r w:rsidR="00AF4C26">
        <w:t xml:space="preserve">national </w:t>
      </w:r>
      <w:r w:rsidRPr="003D25CE">
        <w:t xml:space="preserve">platform to inform the development of strategies to prevent and contain </w:t>
      </w:r>
      <w:r w:rsidR="005E5729">
        <w:t>antimicrobial resistance (</w:t>
      </w:r>
      <w:r w:rsidRPr="003D25CE">
        <w:t>AMR</w:t>
      </w:r>
      <w:r w:rsidR="005E5729">
        <w:t>)</w:t>
      </w:r>
      <w:r w:rsidRPr="003D25CE">
        <w:t xml:space="preserve"> in human health and improve antimicrobial use across the acute and community healthcare settings. AURA also supports the National Safety and Quality Health Service (NSQHS) Preventing and Controlling Healthcare-Associated Infection Standard; and Australia’s National Antimicrobial Resistance Strategy (2015–2019). Funding for AURA is provided by the Australian Government Department of Health and state and territory health departments.</w:t>
      </w:r>
    </w:p>
    <w:p w14:paraId="0B16F72D" w14:textId="33609587" w:rsidR="003167D5" w:rsidRDefault="003167D5" w:rsidP="00041867">
      <w:r w:rsidRPr="003167D5">
        <w:t>Antimicrobial use is a key factor in the development of AMR. Surveillance of antimicrobial use and appropriateness of prescribing is essential to inform prevention and containment strategies for AMR.</w:t>
      </w:r>
    </w:p>
    <w:p w14:paraId="35676E5A" w14:textId="3A76EAB7" w:rsidR="005E5729" w:rsidRDefault="00B40680" w:rsidP="005E5729">
      <w:r>
        <w:t>T</w:t>
      </w:r>
      <w:r w:rsidR="00413C77">
        <w:t>he</w:t>
      </w:r>
      <w:r>
        <w:t xml:space="preserve"> </w:t>
      </w:r>
      <w:r w:rsidR="00413C77" w:rsidRPr="00413C77">
        <w:t xml:space="preserve">Commission provides funding for </w:t>
      </w:r>
      <w:r w:rsidR="00413C77">
        <w:t xml:space="preserve">the </w:t>
      </w:r>
      <w:r w:rsidR="00413C77" w:rsidRPr="00413C77">
        <w:t>Hospital N</w:t>
      </w:r>
      <w:r w:rsidR="00413C77">
        <w:t xml:space="preserve">ational </w:t>
      </w:r>
      <w:r w:rsidR="00413C77" w:rsidRPr="00413C77">
        <w:t>A</w:t>
      </w:r>
      <w:r w:rsidR="00413C77">
        <w:t xml:space="preserve">ntimicrobial </w:t>
      </w:r>
      <w:r w:rsidR="00413C77" w:rsidRPr="00413C77">
        <w:t>P</w:t>
      </w:r>
      <w:r w:rsidR="00413C77">
        <w:t xml:space="preserve">rescribing </w:t>
      </w:r>
      <w:r w:rsidR="00413C77" w:rsidRPr="00413C77">
        <w:t>S</w:t>
      </w:r>
      <w:r w:rsidR="00413C77">
        <w:t>urvey (NAPS)</w:t>
      </w:r>
      <w:r>
        <w:t xml:space="preserve"> to contribute to AURA</w:t>
      </w:r>
      <w:r w:rsidR="00413C77">
        <w:t xml:space="preserve">. </w:t>
      </w:r>
      <w:r w:rsidR="000F5E99" w:rsidRPr="008215D5">
        <w:t xml:space="preserve">The Hospital NAPS </w:t>
      </w:r>
      <w:r w:rsidR="000F5E99">
        <w:t xml:space="preserve">is a collaborative project between </w:t>
      </w:r>
      <w:r w:rsidR="000F5E99" w:rsidRPr="008215D5">
        <w:t>the National Centre for Antimicrobial Stewardship (NCAS)</w:t>
      </w:r>
      <w:r w:rsidR="000F5E99">
        <w:t xml:space="preserve"> and </w:t>
      </w:r>
      <w:r w:rsidR="000F5E99" w:rsidRPr="008215D5">
        <w:t>the Guidance Group (Royal Melbourne Hospital)</w:t>
      </w:r>
      <w:r w:rsidR="000F5E99">
        <w:t>.</w:t>
      </w:r>
      <w:r w:rsidR="00007541">
        <w:t xml:space="preserve"> </w:t>
      </w:r>
      <w:r w:rsidR="005650DC">
        <w:t>It i</w:t>
      </w:r>
      <w:r w:rsidR="005E5729" w:rsidRPr="008215D5">
        <w:t xml:space="preserve">s a standardised auditing tool that </w:t>
      </w:r>
      <w:r w:rsidR="005E5729">
        <w:t xml:space="preserve">health service organisations may use to assess the </w:t>
      </w:r>
      <w:r w:rsidR="005E5729" w:rsidRPr="008215D5">
        <w:t xml:space="preserve">quality of </w:t>
      </w:r>
      <w:r w:rsidR="005E5729">
        <w:t xml:space="preserve">their </w:t>
      </w:r>
      <w:r w:rsidR="005E5729" w:rsidRPr="008215D5">
        <w:t>antimicrobial prescribing</w:t>
      </w:r>
      <w:r w:rsidR="005E5729">
        <w:t xml:space="preserve">. It is also able to provide data on the quantity of prescriptions for antimicrobials for specific indications and by specialist admission type. </w:t>
      </w:r>
    </w:p>
    <w:p w14:paraId="5C013023" w14:textId="7149CE01" w:rsidR="005E5729" w:rsidRDefault="005E5729" w:rsidP="005E5729">
      <w:pPr>
        <w:pStyle w:val="Normal-beforebullets"/>
      </w:pPr>
      <w:r w:rsidRPr="004C3D1E">
        <w:t xml:space="preserve">The Hospital NAPS supports Australian </w:t>
      </w:r>
      <w:r>
        <w:t xml:space="preserve">health service organisations, states and territories and private health service provider organisations </w:t>
      </w:r>
      <w:r w:rsidRPr="004C3D1E">
        <w:t xml:space="preserve">to develop </w:t>
      </w:r>
      <w:r>
        <w:t xml:space="preserve">and conduct antimicrobial stewardship (AMS) </w:t>
      </w:r>
      <w:r w:rsidRPr="004C3D1E">
        <w:t>programs by:</w:t>
      </w:r>
    </w:p>
    <w:p w14:paraId="1F64EC55" w14:textId="77777777" w:rsidR="00956066" w:rsidRPr="004C3D1E" w:rsidRDefault="00956066" w:rsidP="005E5729">
      <w:pPr>
        <w:pStyle w:val="Normal-beforebullets"/>
      </w:pPr>
    </w:p>
    <w:p w14:paraId="34A08675" w14:textId="77777777" w:rsidR="005E5729" w:rsidRPr="004C3D1E" w:rsidRDefault="005E5729" w:rsidP="003547BA">
      <w:pPr>
        <w:pStyle w:val="Bulletlist"/>
        <w:ind w:hanging="568"/>
      </w:pPr>
      <w:r w:rsidRPr="004C3D1E">
        <w:t>Facilitating effective audit and review of antimicrobial use, including compliance with prescribing guidelines and prescribing appropriateness</w:t>
      </w:r>
    </w:p>
    <w:p w14:paraId="0D5304E2" w14:textId="77777777" w:rsidR="005E5729" w:rsidRPr="004C3D1E" w:rsidRDefault="005E5729" w:rsidP="003547BA">
      <w:pPr>
        <w:pStyle w:val="Bulletlist"/>
        <w:ind w:hanging="568"/>
      </w:pPr>
      <w:r w:rsidRPr="004C3D1E">
        <w:t xml:space="preserve">Facilitating effective communication regarding antimicrobial use and identifying key targets for interventions </w:t>
      </w:r>
    </w:p>
    <w:p w14:paraId="44EF056D" w14:textId="77777777" w:rsidR="005E5729" w:rsidRPr="004C3D1E" w:rsidRDefault="005E5729" w:rsidP="003547BA">
      <w:pPr>
        <w:pStyle w:val="Bulletlist"/>
        <w:ind w:hanging="568"/>
      </w:pPr>
      <w:r w:rsidRPr="004C3D1E">
        <w:t>Supporting workforce education and training</w:t>
      </w:r>
    </w:p>
    <w:p w14:paraId="20B010B3" w14:textId="77777777" w:rsidR="005E5729" w:rsidRPr="004C3D1E" w:rsidRDefault="005E5729" w:rsidP="003547BA">
      <w:pPr>
        <w:pStyle w:val="Bulletlist"/>
        <w:ind w:hanging="568"/>
      </w:pPr>
      <w:r w:rsidRPr="004C3D1E">
        <w:t xml:space="preserve">Supporting the implementation of </w:t>
      </w:r>
      <w:r>
        <w:t xml:space="preserve">AMS </w:t>
      </w:r>
      <w:r w:rsidRPr="004C3D1E">
        <w:t>practices across all hospitals – public, private, major city, regional and remote</w:t>
      </w:r>
    </w:p>
    <w:p w14:paraId="1D7D5E4C" w14:textId="77777777" w:rsidR="005E5729" w:rsidRPr="004C3D1E" w:rsidRDefault="005E5729" w:rsidP="003547BA">
      <w:pPr>
        <w:pStyle w:val="Bulletlist"/>
        <w:ind w:hanging="568"/>
      </w:pPr>
      <w:r w:rsidRPr="004C3D1E">
        <w:t>Providing flexible and useful benchmarking within hospitals, across units and wards, and between hospitals and jurisdictions.</w:t>
      </w:r>
    </w:p>
    <w:p w14:paraId="141B7EDE" w14:textId="6020DB3F" w:rsidR="00424A68" w:rsidRDefault="003167D5" w:rsidP="00424A68">
      <w:r w:rsidRPr="003167D5">
        <w:t xml:space="preserve">Participation in </w:t>
      </w:r>
      <w:r>
        <w:t xml:space="preserve">Hospital </w:t>
      </w:r>
      <w:r w:rsidRPr="003167D5">
        <w:t xml:space="preserve">NAPS </w:t>
      </w:r>
      <w:r>
        <w:t xml:space="preserve">assists health service organisations to </w:t>
      </w:r>
      <w:r w:rsidRPr="003167D5">
        <w:t>demonstrate that they are meeting the AMS criterion</w:t>
      </w:r>
      <w:r>
        <w:t xml:space="preserve"> of </w:t>
      </w:r>
      <w:r w:rsidR="005E5729">
        <w:t>the</w:t>
      </w:r>
      <w:r w:rsidR="00424A68">
        <w:t xml:space="preserve"> </w:t>
      </w:r>
      <w:r>
        <w:t>NSQHS</w:t>
      </w:r>
      <w:r w:rsidR="00B40680">
        <w:t xml:space="preserve"> </w:t>
      </w:r>
      <w:r w:rsidR="00424A68">
        <w:t>Preventing and Controlling Healthcar</w:t>
      </w:r>
      <w:r w:rsidR="00BD09B3">
        <w:t>e-Associated Infection Standard</w:t>
      </w:r>
      <w:r w:rsidR="005650DC">
        <w:t>. The intention of this Standard</w:t>
      </w:r>
      <w:r w:rsidR="00E83FB4">
        <w:t xml:space="preserve"> </w:t>
      </w:r>
      <w:r w:rsidR="005E5729">
        <w:t xml:space="preserve">is </w:t>
      </w:r>
      <w:r w:rsidR="00424A68">
        <w:t>to reduce the risk of patien</w:t>
      </w:r>
      <w:r w:rsidR="00B40680">
        <w:t>ts acquiring preventable healthcare</w:t>
      </w:r>
      <w:r w:rsidR="004B263F">
        <w:t>-</w:t>
      </w:r>
      <w:r w:rsidR="00424A68">
        <w:t xml:space="preserve">associated infections, effectively manage infections if they occur, and limit the development </w:t>
      </w:r>
      <w:r w:rsidR="00B40680">
        <w:t xml:space="preserve">of </w:t>
      </w:r>
      <w:r w:rsidR="00424A68">
        <w:t xml:space="preserve">AMR through prudent use of antimicrobials as part of antimicrobial stewardship (AMS). </w:t>
      </w:r>
      <w:r w:rsidR="005E5729">
        <w:t xml:space="preserve">The </w:t>
      </w:r>
      <w:r w:rsidR="00424A68">
        <w:t xml:space="preserve">AMS </w:t>
      </w:r>
      <w:r w:rsidR="005E5729">
        <w:t xml:space="preserve">criterion </w:t>
      </w:r>
      <w:r w:rsidR="00424A68">
        <w:t xml:space="preserve">of this </w:t>
      </w:r>
      <w:r w:rsidR="00B40680">
        <w:t>S</w:t>
      </w:r>
      <w:r w:rsidR="00424A68">
        <w:t xml:space="preserve">tandard promotes </w:t>
      </w:r>
      <w:r w:rsidR="005E5729">
        <w:t xml:space="preserve">implementation </w:t>
      </w:r>
      <w:r w:rsidR="00424A68">
        <w:t xml:space="preserve">of systems for safe and appropriate </w:t>
      </w:r>
      <w:r w:rsidR="004B263F">
        <w:t xml:space="preserve">antimicrobial </w:t>
      </w:r>
      <w:r w:rsidR="00424A68">
        <w:t xml:space="preserve">prescribing and use </w:t>
      </w:r>
      <w:r w:rsidR="005E5729">
        <w:t xml:space="preserve">of antimicrobials as part of an </w:t>
      </w:r>
      <w:r w:rsidR="00424A68">
        <w:t>AMS program</w:t>
      </w:r>
      <w:r w:rsidR="002E134D">
        <w:t xml:space="preserve">, including </w:t>
      </w:r>
      <w:r w:rsidR="005650DC">
        <w:t xml:space="preserve">review </w:t>
      </w:r>
      <w:r w:rsidR="002E134D">
        <w:t xml:space="preserve">of </w:t>
      </w:r>
      <w:r w:rsidR="005650DC" w:rsidRPr="005650DC">
        <w:t xml:space="preserve">antimicrobial use </w:t>
      </w:r>
      <w:r w:rsidR="002E134D">
        <w:t xml:space="preserve">surveillance </w:t>
      </w:r>
      <w:r w:rsidR="005650DC">
        <w:t>data</w:t>
      </w:r>
      <w:r w:rsidR="00424A68">
        <w:t xml:space="preserve">. AMS is a part of the broader system to improve patient safety and quality of care and prevent and manage infections associated with AMR. </w:t>
      </w:r>
    </w:p>
    <w:p w14:paraId="62A794D6" w14:textId="77777777" w:rsidR="002E134D" w:rsidRDefault="000F5E99" w:rsidP="002E134D">
      <w:r w:rsidRPr="00340CA0">
        <w:t xml:space="preserve">Since the launch of the web-based </w:t>
      </w:r>
      <w:r w:rsidR="002E134D">
        <w:t xml:space="preserve">Hospital NAPS </w:t>
      </w:r>
      <w:r w:rsidRPr="00340CA0">
        <w:t xml:space="preserve">in 2013, </w:t>
      </w:r>
      <w:r>
        <w:t xml:space="preserve">the </w:t>
      </w:r>
      <w:r w:rsidR="002E134D">
        <w:t xml:space="preserve">program </w:t>
      </w:r>
      <w:r w:rsidRPr="00340CA0">
        <w:t xml:space="preserve">has grown and diversified </w:t>
      </w:r>
      <w:r w:rsidR="002E134D">
        <w:t xml:space="preserve">to </w:t>
      </w:r>
      <w:r w:rsidRPr="00340CA0">
        <w:t>support the challenges of AMS across Australian public and private hospitals</w:t>
      </w:r>
      <w:r>
        <w:t>,</w:t>
      </w:r>
      <w:r w:rsidRPr="00340CA0">
        <w:t xml:space="preserve"> and aged care settings. The data available from the NAPS delivers insights into the appropriateness of antimicrobial prescribing and has contributed to local, </w:t>
      </w:r>
      <w:r>
        <w:t>state and territory</w:t>
      </w:r>
      <w:r w:rsidR="001C6AE3">
        <w:t>,</w:t>
      </w:r>
      <w:r>
        <w:t xml:space="preserve"> </w:t>
      </w:r>
      <w:r w:rsidRPr="00340CA0">
        <w:t>and national antimicrobial prescribing strategies to improve the quality of care delivered to patients, residents</w:t>
      </w:r>
      <w:r w:rsidR="001C6AE3">
        <w:t>,</w:t>
      </w:r>
      <w:r w:rsidRPr="00340CA0">
        <w:t xml:space="preserve"> and the community.</w:t>
      </w:r>
      <w:r w:rsidR="002E134D">
        <w:t xml:space="preserve"> </w:t>
      </w:r>
    </w:p>
    <w:p w14:paraId="0EE8F49A" w14:textId="77777777" w:rsidR="003547BA" w:rsidRDefault="003547BA">
      <w:pPr>
        <w:spacing w:after="80"/>
      </w:pPr>
      <w:r>
        <w:br w:type="page"/>
      </w:r>
    </w:p>
    <w:p w14:paraId="039BD69A" w14:textId="316BC81E" w:rsidR="002E134D" w:rsidRDefault="002E134D" w:rsidP="002E134D">
      <w:pPr>
        <w:rPr>
          <w:rFonts w:cs="Arial"/>
          <w:vertAlign w:val="superscript"/>
        </w:rPr>
      </w:pPr>
      <w:r>
        <w:lastRenderedPageBreak/>
        <w:t>The surveys have consistently</w:t>
      </w:r>
      <w:r w:rsidRPr="00340CA0">
        <w:t xml:space="preserve"> demonstrated that surgical prophylaxis </w:t>
      </w:r>
      <w:r>
        <w:t>i</w:t>
      </w:r>
      <w:r w:rsidRPr="00340CA0">
        <w:t>s the most common indication for antimicrobial prescribing</w:t>
      </w:r>
      <w:r>
        <w:t xml:space="preserve">, and also has </w:t>
      </w:r>
      <w:r w:rsidRPr="00340CA0">
        <w:t>one of the highest percentages of inappropriat</w:t>
      </w:r>
      <w:r>
        <w:t>eness.</w:t>
      </w:r>
      <w:r w:rsidRPr="00BD09B3">
        <w:rPr>
          <w:vertAlign w:val="superscript"/>
        </w:rPr>
        <w:t>2,3,4,5</w:t>
      </w:r>
      <w:r>
        <w:t xml:space="preserve"> </w:t>
      </w:r>
      <w:r w:rsidR="005650DC">
        <w:t xml:space="preserve"> </w:t>
      </w:r>
      <w:r>
        <w:t>A S</w:t>
      </w:r>
      <w:r w:rsidRPr="00340CA0">
        <w:t>urgical NAPS module was launched in July 2016</w:t>
      </w:r>
      <w:r>
        <w:t xml:space="preserve">, with funding support from the Commission, to </w:t>
      </w:r>
      <w:r w:rsidRPr="002E134D">
        <w:t>investigate prescribing practices for surgical prophylaxis</w:t>
      </w:r>
      <w:r w:rsidR="005650DC" w:rsidRPr="005650DC">
        <w:t xml:space="preserve"> in more detail</w:t>
      </w:r>
      <w:r>
        <w:t>.</w:t>
      </w:r>
      <w:r w:rsidRPr="00BD09B3">
        <w:rPr>
          <w:rFonts w:cs="Arial"/>
          <w:vertAlign w:val="superscript"/>
        </w:rPr>
        <w:t>6</w:t>
      </w:r>
    </w:p>
    <w:p w14:paraId="04884949" w14:textId="09E00779" w:rsidR="005E5729" w:rsidRDefault="005E5729" w:rsidP="009E5633">
      <w:r w:rsidRPr="005E5729">
        <w:t>This report focuses on the results of the 2017 Hospital NAPS</w:t>
      </w:r>
      <w:r>
        <w:t xml:space="preserve"> </w:t>
      </w:r>
      <w:r w:rsidR="002E134D">
        <w:t xml:space="preserve">and analyses of trends </w:t>
      </w:r>
      <w:r w:rsidR="002E134D" w:rsidRPr="002E134D">
        <w:t>from 2013 to 2017</w:t>
      </w:r>
      <w:r w:rsidR="002E134D">
        <w:t xml:space="preserve">. </w:t>
      </w:r>
    </w:p>
    <w:p w14:paraId="04E1CF83" w14:textId="77777777" w:rsidR="005E5729" w:rsidRDefault="005E5729">
      <w:pPr>
        <w:spacing w:after="80"/>
      </w:pPr>
      <w:r>
        <w:br w:type="page"/>
      </w:r>
    </w:p>
    <w:p w14:paraId="46023ABB" w14:textId="77777777" w:rsidR="00FD06BC" w:rsidRPr="00FD06BC" w:rsidRDefault="00FD06BC" w:rsidP="003547BA">
      <w:pPr>
        <w:pStyle w:val="Heading1"/>
        <w:spacing w:before="0"/>
      </w:pPr>
      <w:bookmarkStart w:id="16" w:name="_Toc526841665"/>
      <w:r>
        <w:lastRenderedPageBreak/>
        <w:t>Methods</w:t>
      </w:r>
      <w:bookmarkEnd w:id="16"/>
    </w:p>
    <w:p w14:paraId="5E93DFA3" w14:textId="77777777" w:rsidR="00CB733F" w:rsidRDefault="00FD06BC" w:rsidP="009424A5">
      <w:pPr>
        <w:pStyle w:val="Heading2"/>
      </w:pPr>
      <w:r>
        <w:t>Timing</w:t>
      </w:r>
      <w:bookmarkEnd w:id="11"/>
      <w:bookmarkEnd w:id="12"/>
      <w:bookmarkEnd w:id="13"/>
      <w:bookmarkEnd w:id="14"/>
    </w:p>
    <w:p w14:paraId="69F769E5" w14:textId="07A0B924" w:rsidR="00F21962" w:rsidRDefault="00897BF8" w:rsidP="001424D7">
      <w:r>
        <w:t xml:space="preserve">The </w:t>
      </w:r>
      <w:r w:rsidR="000F36CA">
        <w:t xml:space="preserve">Hospital NAPS </w:t>
      </w:r>
      <w:r>
        <w:t xml:space="preserve">data collection period </w:t>
      </w:r>
      <w:r w:rsidR="000D32AF">
        <w:t>was from</w:t>
      </w:r>
      <w:r>
        <w:t xml:space="preserve"> 1 January</w:t>
      </w:r>
      <w:r w:rsidR="009D01AC">
        <w:t xml:space="preserve"> </w:t>
      </w:r>
      <w:r w:rsidR="009D01AC" w:rsidRPr="00C03B4C">
        <w:t>2017</w:t>
      </w:r>
      <w:r>
        <w:t xml:space="preserve"> to 31 December 2017</w:t>
      </w:r>
      <w:r w:rsidR="002C5821">
        <w:t>,</w:t>
      </w:r>
      <w:r>
        <w:t xml:space="preserve"> </w:t>
      </w:r>
      <w:r w:rsidR="00117CA8">
        <w:t>following</w:t>
      </w:r>
      <w:r>
        <w:t xml:space="preserve"> a decision to align the NAPS data collection periods with the calendar year</w:t>
      </w:r>
      <w:r w:rsidR="00CD6929">
        <w:t xml:space="preserve"> to be more consistent with other antimicrobial usage reports</w:t>
      </w:r>
      <w:r>
        <w:t xml:space="preserve">. </w:t>
      </w:r>
    </w:p>
    <w:p w14:paraId="53A675CB" w14:textId="58A42475" w:rsidR="00F21962" w:rsidRDefault="00F21962" w:rsidP="001424D7">
      <w:r>
        <w:t xml:space="preserve">For the purposes of this report, and to facilitate data analysis in the future, all historical and current Hospital NAPS </w:t>
      </w:r>
      <w:r w:rsidR="001424D7">
        <w:t>data have</w:t>
      </w:r>
      <w:r>
        <w:t xml:space="preserve"> been re-analysed by calendar year. </w:t>
      </w:r>
      <w:r w:rsidR="001424D7">
        <w:t>When</w:t>
      </w:r>
      <w:r>
        <w:t xml:space="preserve"> </w:t>
      </w:r>
      <w:r w:rsidR="00130C01">
        <w:t xml:space="preserve">comparing </w:t>
      </w:r>
      <w:r>
        <w:t xml:space="preserve">the graphs and figures </w:t>
      </w:r>
      <w:r w:rsidR="00117CA8">
        <w:t>with previous</w:t>
      </w:r>
      <w:r>
        <w:t xml:space="preserve"> Hospital NAPS reports</w:t>
      </w:r>
      <w:r w:rsidR="00130C01">
        <w:t xml:space="preserve">, </w:t>
      </w:r>
      <w:r w:rsidR="00117CA8">
        <w:t xml:space="preserve">there may be </w:t>
      </w:r>
      <w:r w:rsidR="00130C01" w:rsidRPr="00C03B4C">
        <w:t xml:space="preserve">some minor differences </w:t>
      </w:r>
      <w:r w:rsidR="001424D7" w:rsidRPr="00C03B4C">
        <w:t>in the reporting of historical data</w:t>
      </w:r>
      <w:r w:rsidR="00130C01" w:rsidRPr="00C03B4C">
        <w:t>.</w:t>
      </w:r>
    </w:p>
    <w:p w14:paraId="3401D366" w14:textId="7B531B8D" w:rsidR="000F36CA" w:rsidRDefault="000D32AF" w:rsidP="001424D7">
      <w:r>
        <w:t>As in previous years, h</w:t>
      </w:r>
      <w:r w:rsidR="000F36CA">
        <w:t xml:space="preserve">ospitals were encouraged to conduct their </w:t>
      </w:r>
      <w:r>
        <w:t xml:space="preserve">Hospital NAPS </w:t>
      </w:r>
      <w:r w:rsidR="000F36CA">
        <w:t>survey before Antibiotic</w:t>
      </w:r>
      <w:r>
        <w:t xml:space="preserve"> Awareness Week in November</w:t>
      </w:r>
      <w:r w:rsidR="00CD6929">
        <w:t>. This</w:t>
      </w:r>
      <w:r w:rsidR="009D12D9">
        <w:t xml:space="preserve"> was</w:t>
      </w:r>
      <w:r w:rsidR="00CD6929">
        <w:t xml:space="preserve"> </w:t>
      </w:r>
      <w:r w:rsidR="000F36CA">
        <w:t xml:space="preserve">so </w:t>
      </w:r>
      <w:r w:rsidR="00CD6929">
        <w:t xml:space="preserve">their </w:t>
      </w:r>
      <w:r w:rsidR="000F36CA">
        <w:t>results would be available for discussion and education</w:t>
      </w:r>
      <w:r w:rsidR="00CD6929">
        <w:t xml:space="preserve"> as part of Antibiotic Awareness Week activities in their organisations. </w:t>
      </w:r>
    </w:p>
    <w:p w14:paraId="4517C40D" w14:textId="77777777" w:rsidR="00FD06BC" w:rsidRDefault="00FD06BC" w:rsidP="00FD06BC">
      <w:pPr>
        <w:pStyle w:val="Heading2"/>
      </w:pPr>
      <w:r>
        <w:t>Recruitment</w:t>
      </w:r>
    </w:p>
    <w:p w14:paraId="3BC8F1F4" w14:textId="6DB81D77" w:rsidR="000F36CA" w:rsidRDefault="0038649A" w:rsidP="001424D7">
      <w:r>
        <w:t>Using the NAPS registration database, approximately 1,400 individuals from 700 hospitals were invited via email to participate in the 2017 Hospital NAPS.</w:t>
      </w:r>
      <w:r w:rsidR="000F36CA">
        <w:t xml:space="preserve"> Further promotion by the </w:t>
      </w:r>
      <w:r w:rsidR="001424D7">
        <w:t>Commission</w:t>
      </w:r>
      <w:r w:rsidR="000F36CA">
        <w:t xml:space="preserve"> and NCAS occurred throughout the year via their websites, Twitter and the NAPS newsletter. </w:t>
      </w:r>
    </w:p>
    <w:p w14:paraId="26F6DF34" w14:textId="0C4B4952" w:rsidR="000F36CA" w:rsidRDefault="00637C1C" w:rsidP="001424D7">
      <w:r>
        <w:t>All hospitals offering over</w:t>
      </w:r>
      <w:r w:rsidR="000F36CA">
        <w:t xml:space="preserve">night stays </w:t>
      </w:r>
      <w:r w:rsidR="006C789D">
        <w:t>are able</w:t>
      </w:r>
      <w:r w:rsidR="000F36CA">
        <w:t xml:space="preserve"> to participate in the Hospital NAPS.</w:t>
      </w:r>
      <w:r w:rsidR="00CD6929">
        <w:t xml:space="preserve"> </w:t>
      </w:r>
      <w:r w:rsidR="006C789D">
        <w:t xml:space="preserve">Facilities such as </w:t>
      </w:r>
      <w:r w:rsidR="000F36CA" w:rsidRPr="00500170">
        <w:t xml:space="preserve">same day </w:t>
      </w:r>
      <w:r w:rsidR="006C789D">
        <w:t>services</w:t>
      </w:r>
      <w:r w:rsidR="000F36CA" w:rsidRPr="00500170">
        <w:t>,</w:t>
      </w:r>
      <w:r w:rsidR="000F36CA">
        <w:t xml:space="preserve"> sleep clinics and other private specialty</w:t>
      </w:r>
      <w:r w:rsidR="00CD6929">
        <w:t xml:space="preserve"> clinics without overnight stay were excluded. </w:t>
      </w:r>
    </w:p>
    <w:p w14:paraId="67DDA541" w14:textId="789B3341" w:rsidR="00FD06BC" w:rsidRDefault="006C789D" w:rsidP="00FD06BC">
      <w:pPr>
        <w:pStyle w:val="Heading2"/>
      </w:pPr>
      <w:r>
        <w:t>Undertaking</w:t>
      </w:r>
      <w:r w:rsidR="00FD06BC">
        <w:t xml:space="preserve"> the survey</w:t>
      </w:r>
    </w:p>
    <w:p w14:paraId="3D19A6E0" w14:textId="715FA591" w:rsidR="000F36CA" w:rsidRDefault="00A97650" w:rsidP="001424D7">
      <w:pPr>
        <w:rPr>
          <w:rStyle w:val="example1"/>
          <w:rFonts w:ascii="Arial" w:hAnsi="Arial" w:cs="Arial"/>
        </w:rPr>
      </w:pPr>
      <w:r>
        <w:rPr>
          <w:rStyle w:val="example1"/>
          <w:rFonts w:ascii="Arial" w:hAnsi="Arial" w:cs="Arial"/>
        </w:rPr>
        <w:t xml:space="preserve">The NAPS is an online </w:t>
      </w:r>
      <w:r w:rsidR="006C789D">
        <w:rPr>
          <w:rStyle w:val="example1"/>
          <w:rFonts w:ascii="Arial" w:hAnsi="Arial" w:cs="Arial"/>
        </w:rPr>
        <w:t>web</w:t>
      </w:r>
      <w:r w:rsidR="00AE54CB">
        <w:rPr>
          <w:rStyle w:val="example1"/>
          <w:rFonts w:ascii="Arial" w:hAnsi="Arial" w:cs="Arial"/>
        </w:rPr>
        <w:t>-</w:t>
      </w:r>
      <w:r w:rsidR="006C789D">
        <w:rPr>
          <w:rStyle w:val="example1"/>
          <w:rFonts w:ascii="Arial" w:hAnsi="Arial" w:cs="Arial"/>
        </w:rPr>
        <w:t xml:space="preserve">based </w:t>
      </w:r>
      <w:r>
        <w:rPr>
          <w:rStyle w:val="example1"/>
          <w:rFonts w:ascii="Arial" w:hAnsi="Arial" w:cs="Arial"/>
        </w:rPr>
        <w:t xml:space="preserve">survey. Participants who register are granted access to the NAPS portal where they can submit their data. The data collected in the survey can be seen in the Hospital NAPS data collection form (Appendix 1). </w:t>
      </w:r>
      <w:r w:rsidR="000F36CA">
        <w:rPr>
          <w:rStyle w:val="example1"/>
          <w:rFonts w:ascii="Arial" w:hAnsi="Arial" w:cs="Arial"/>
        </w:rPr>
        <w:t xml:space="preserve">Participants were advised that both the data collection and assessments of guideline compliance and appropriateness should ideally be performed by multidisciplinary teams. The </w:t>
      </w:r>
      <w:r w:rsidR="005A170C">
        <w:rPr>
          <w:rStyle w:val="example1"/>
          <w:rFonts w:ascii="Arial" w:hAnsi="Arial" w:cs="Arial"/>
        </w:rPr>
        <w:t xml:space="preserve">auditing </w:t>
      </w:r>
      <w:r w:rsidR="00E065F2">
        <w:rPr>
          <w:rStyle w:val="example1"/>
          <w:rFonts w:ascii="Arial" w:hAnsi="Arial" w:cs="Arial"/>
        </w:rPr>
        <w:t xml:space="preserve">team </w:t>
      </w:r>
      <w:r w:rsidR="001424D7">
        <w:rPr>
          <w:rStyle w:val="example1"/>
          <w:rFonts w:ascii="Arial" w:hAnsi="Arial" w:cs="Arial"/>
        </w:rPr>
        <w:t xml:space="preserve">were determined by </w:t>
      </w:r>
      <w:r w:rsidR="006C789D">
        <w:rPr>
          <w:rStyle w:val="example1"/>
          <w:rFonts w:ascii="Arial" w:hAnsi="Arial" w:cs="Arial"/>
        </w:rPr>
        <w:t>the</w:t>
      </w:r>
      <w:r w:rsidR="001424D7">
        <w:rPr>
          <w:rStyle w:val="example1"/>
          <w:rFonts w:ascii="Arial" w:hAnsi="Arial" w:cs="Arial"/>
        </w:rPr>
        <w:t xml:space="preserve"> participating facility, depending</w:t>
      </w:r>
      <w:r w:rsidR="000F36CA">
        <w:rPr>
          <w:rStyle w:val="example1"/>
          <w:rFonts w:ascii="Arial" w:hAnsi="Arial" w:cs="Arial"/>
        </w:rPr>
        <w:t xml:space="preserve"> on the staffing resources available</w:t>
      </w:r>
      <w:r w:rsidR="001424D7">
        <w:rPr>
          <w:rStyle w:val="example1"/>
          <w:rFonts w:ascii="Arial" w:hAnsi="Arial" w:cs="Arial"/>
        </w:rPr>
        <w:t>,</w:t>
      </w:r>
      <w:r w:rsidR="000F36CA">
        <w:rPr>
          <w:rStyle w:val="example1"/>
          <w:rFonts w:ascii="Arial" w:hAnsi="Arial" w:cs="Arial"/>
        </w:rPr>
        <w:t xml:space="preserve"> and could consist of any combination of infectious diseases physicians, clinical microbiologists, other interested physicians, pharmacists, infection </w:t>
      </w:r>
      <w:r>
        <w:rPr>
          <w:rStyle w:val="example1"/>
          <w:rFonts w:ascii="Arial" w:hAnsi="Arial" w:cs="Arial"/>
        </w:rPr>
        <w:t>control practitioners or nurses</w:t>
      </w:r>
      <w:proofErr w:type="gramStart"/>
      <w:r w:rsidR="005A170C">
        <w:rPr>
          <w:rStyle w:val="example1"/>
          <w:rFonts w:ascii="Arial" w:hAnsi="Arial" w:cs="Arial"/>
        </w:rPr>
        <w:t>.</w:t>
      </w:r>
      <w:r>
        <w:rPr>
          <w:rStyle w:val="example1"/>
          <w:rFonts w:ascii="Arial" w:hAnsi="Arial" w:cs="Arial"/>
        </w:rPr>
        <w:t>.</w:t>
      </w:r>
      <w:proofErr w:type="gramEnd"/>
      <w:r>
        <w:rPr>
          <w:rStyle w:val="example1"/>
          <w:rFonts w:ascii="Arial" w:hAnsi="Arial" w:cs="Arial"/>
        </w:rPr>
        <w:t xml:space="preserve"> </w:t>
      </w:r>
      <w:r w:rsidR="000F36CA">
        <w:rPr>
          <w:rStyle w:val="example1"/>
          <w:rFonts w:ascii="Arial" w:hAnsi="Arial" w:cs="Arial"/>
        </w:rPr>
        <w:t xml:space="preserve"> </w:t>
      </w:r>
    </w:p>
    <w:p w14:paraId="1C23A74F" w14:textId="7C1E5EE5" w:rsidR="001424D7" w:rsidRPr="00340CA0" w:rsidRDefault="006C789D" w:rsidP="001424D7">
      <w:pPr>
        <w:rPr>
          <w:rFonts w:eastAsia="MS Gothic"/>
          <w:b/>
          <w:bCs/>
          <w:color w:val="4F81BD"/>
          <w:sz w:val="26"/>
          <w:szCs w:val="26"/>
        </w:rPr>
      </w:pPr>
      <w:r>
        <w:rPr>
          <w:rStyle w:val="example1"/>
          <w:rFonts w:ascii="Arial" w:hAnsi="Arial" w:cs="Arial"/>
        </w:rPr>
        <w:t>When undertaking the survey, t</w:t>
      </w:r>
      <w:r w:rsidR="001424D7" w:rsidRPr="00340CA0">
        <w:rPr>
          <w:rStyle w:val="example1"/>
          <w:rFonts w:ascii="Arial" w:hAnsi="Arial" w:cs="Arial"/>
        </w:rPr>
        <w:t xml:space="preserve">wo or more auditors </w:t>
      </w:r>
      <w:r>
        <w:rPr>
          <w:rStyle w:val="example1"/>
          <w:rFonts w:ascii="Arial" w:hAnsi="Arial" w:cs="Arial"/>
        </w:rPr>
        <w:t>are recommended</w:t>
      </w:r>
      <w:r w:rsidR="001424D7" w:rsidRPr="00340CA0">
        <w:rPr>
          <w:rStyle w:val="example1"/>
          <w:rFonts w:ascii="Arial" w:hAnsi="Arial" w:cs="Arial"/>
        </w:rPr>
        <w:t xml:space="preserve"> per site to facilitate discussion about </w:t>
      </w:r>
      <w:r>
        <w:rPr>
          <w:rStyle w:val="example1"/>
          <w:rFonts w:ascii="Arial" w:hAnsi="Arial" w:cs="Arial"/>
        </w:rPr>
        <w:t>more challenging</w:t>
      </w:r>
      <w:r w:rsidR="001424D7" w:rsidRPr="00340CA0">
        <w:rPr>
          <w:rStyle w:val="example1"/>
          <w:rFonts w:ascii="Arial" w:hAnsi="Arial" w:cs="Arial"/>
        </w:rPr>
        <w:t xml:space="preserve"> assessments.</w:t>
      </w:r>
      <w:r w:rsidR="001424D7">
        <w:rPr>
          <w:rStyle w:val="example1"/>
          <w:rFonts w:ascii="Arial" w:hAnsi="Arial" w:cs="Arial"/>
        </w:rPr>
        <w:t xml:space="preserve"> Participants were advised that, preferably, </w:t>
      </w:r>
      <w:r w:rsidR="001424D7" w:rsidRPr="00340CA0">
        <w:rPr>
          <w:rStyle w:val="example1"/>
          <w:rFonts w:ascii="Arial" w:hAnsi="Arial" w:cs="Arial"/>
        </w:rPr>
        <w:t>auditors should have sound clinical knowledge about antimicrobial prescribing and local prescribing guidelines.</w:t>
      </w:r>
      <w:r w:rsidR="001424D7">
        <w:rPr>
          <w:rStyle w:val="example1"/>
          <w:rFonts w:ascii="Arial" w:hAnsi="Arial" w:cs="Arial"/>
        </w:rPr>
        <w:t xml:space="preserve"> </w:t>
      </w:r>
      <w:r w:rsidR="001424D7" w:rsidRPr="00340CA0">
        <w:rPr>
          <w:rStyle w:val="example1"/>
          <w:rFonts w:ascii="Arial" w:hAnsi="Arial" w:cs="Arial"/>
        </w:rPr>
        <w:t xml:space="preserve">If an on-site assessing team was not available, </w:t>
      </w:r>
      <w:r w:rsidR="001424D7">
        <w:rPr>
          <w:rStyle w:val="example1"/>
          <w:rFonts w:ascii="Arial" w:hAnsi="Arial" w:cs="Arial"/>
        </w:rPr>
        <w:t xml:space="preserve">participants were advised that </w:t>
      </w:r>
      <w:r w:rsidR="001424D7" w:rsidRPr="00340CA0">
        <w:rPr>
          <w:rStyle w:val="example1"/>
          <w:rFonts w:ascii="Arial" w:hAnsi="Arial" w:cs="Arial"/>
        </w:rPr>
        <w:t>the data should be reviewed by an external assessing team</w:t>
      </w:r>
      <w:r>
        <w:rPr>
          <w:rStyle w:val="example1"/>
          <w:rFonts w:ascii="Arial" w:hAnsi="Arial" w:cs="Arial"/>
        </w:rPr>
        <w:t>. F</w:t>
      </w:r>
      <w:r w:rsidR="00E065F2">
        <w:rPr>
          <w:rStyle w:val="example1"/>
          <w:rFonts w:ascii="Arial" w:hAnsi="Arial" w:cs="Arial"/>
        </w:rPr>
        <w:t xml:space="preserve">or example, </w:t>
      </w:r>
      <w:r w:rsidR="001424D7" w:rsidRPr="00340CA0">
        <w:rPr>
          <w:rStyle w:val="example1"/>
          <w:rFonts w:ascii="Arial" w:hAnsi="Arial" w:cs="Arial"/>
        </w:rPr>
        <w:t xml:space="preserve">within the hospital network or at a major </w:t>
      </w:r>
      <w:r>
        <w:rPr>
          <w:rStyle w:val="example1"/>
          <w:rFonts w:ascii="Arial" w:hAnsi="Arial" w:cs="Arial"/>
        </w:rPr>
        <w:t>centre</w:t>
      </w:r>
      <w:r w:rsidR="001424D7" w:rsidRPr="00340CA0">
        <w:rPr>
          <w:rStyle w:val="example1"/>
          <w:rFonts w:ascii="Arial" w:hAnsi="Arial" w:cs="Arial"/>
        </w:rPr>
        <w:t>. The NAPS support team was available to provide additional clinical advice for facilities without infectious diseases expertise.</w:t>
      </w:r>
    </w:p>
    <w:p w14:paraId="01762B0B" w14:textId="77777777" w:rsidR="00956066" w:rsidRDefault="00956066">
      <w:pPr>
        <w:spacing w:after="80"/>
        <w:rPr>
          <w:rFonts w:cs="Arial"/>
          <w:b/>
          <w:iCs/>
          <w:color w:val="1178A2"/>
          <w:kern w:val="28"/>
          <w:sz w:val="32"/>
          <w:szCs w:val="28"/>
        </w:rPr>
      </w:pPr>
      <w:r>
        <w:br w:type="page"/>
      </w:r>
    </w:p>
    <w:p w14:paraId="1ED64390" w14:textId="5A126B54" w:rsidR="00FD06BC" w:rsidRDefault="00FD06BC" w:rsidP="00FD06BC">
      <w:pPr>
        <w:pStyle w:val="Heading2"/>
      </w:pPr>
      <w:r>
        <w:lastRenderedPageBreak/>
        <w:t xml:space="preserve">Data </w:t>
      </w:r>
      <w:r w:rsidR="005A170C">
        <w:t>collection methodology</w:t>
      </w:r>
    </w:p>
    <w:p w14:paraId="5F016707" w14:textId="4E320472" w:rsidR="00A97650" w:rsidRPr="00A97650" w:rsidRDefault="00A97650" w:rsidP="00F57530">
      <w:pPr>
        <w:pStyle w:val="Heading3"/>
        <w:rPr>
          <w:b w:val="0"/>
          <w:color w:val="auto"/>
          <w:sz w:val="22"/>
          <w:szCs w:val="22"/>
        </w:rPr>
      </w:pPr>
      <w:r>
        <w:rPr>
          <w:b w:val="0"/>
          <w:color w:val="auto"/>
          <w:sz w:val="22"/>
          <w:szCs w:val="22"/>
        </w:rPr>
        <w:t>Participants were given the following options to choose from</w:t>
      </w:r>
      <w:r w:rsidR="00117CA8">
        <w:rPr>
          <w:b w:val="0"/>
          <w:color w:val="auto"/>
          <w:sz w:val="22"/>
          <w:szCs w:val="22"/>
        </w:rPr>
        <w:t>,</w:t>
      </w:r>
      <w:r>
        <w:rPr>
          <w:b w:val="0"/>
          <w:color w:val="auto"/>
          <w:sz w:val="22"/>
          <w:szCs w:val="22"/>
        </w:rPr>
        <w:t xml:space="preserve"> depending on the nature of their organisation. </w:t>
      </w:r>
    </w:p>
    <w:p w14:paraId="1CEAB831" w14:textId="0FAC63E3" w:rsidR="00FD06BC" w:rsidRDefault="00FD06BC" w:rsidP="00F57530">
      <w:pPr>
        <w:pStyle w:val="Heading3"/>
      </w:pPr>
      <w:r>
        <w:t xml:space="preserve">Option 1: Hospital-wide point prevalence </w:t>
      </w:r>
      <w:r w:rsidR="005A170C">
        <w:t xml:space="preserve">survey </w:t>
      </w:r>
      <w:r>
        <w:t>(preferred)</w:t>
      </w:r>
    </w:p>
    <w:p w14:paraId="73A8F136" w14:textId="35497100" w:rsidR="000F36CA" w:rsidRDefault="000F36CA" w:rsidP="001424D7">
      <w:pPr>
        <w:rPr>
          <w:rFonts w:eastAsia="Calibri"/>
          <w:lang w:eastAsia="en-US"/>
        </w:rPr>
      </w:pPr>
      <w:r>
        <w:rPr>
          <w:rFonts w:eastAsia="Calibri"/>
          <w:lang w:eastAsia="en-US"/>
        </w:rPr>
        <w:t>This methodology required all inpatients to be assessed so prevalence of antimicrobial use could be calculated. Data w</w:t>
      </w:r>
      <w:r w:rsidR="00AE54CB">
        <w:rPr>
          <w:rFonts w:eastAsia="Calibri"/>
          <w:lang w:eastAsia="en-US"/>
        </w:rPr>
        <w:t>ere</w:t>
      </w:r>
      <w:r>
        <w:rPr>
          <w:rFonts w:eastAsia="Calibri"/>
          <w:lang w:eastAsia="en-US"/>
        </w:rPr>
        <w:t xml:space="preserve"> collected on both the number of inpatients on antimicrobials (numerator) and the total number of inpatients (denominator). </w:t>
      </w:r>
      <w:r w:rsidR="00DB26E8">
        <w:rPr>
          <w:rFonts w:eastAsia="Calibri"/>
          <w:lang w:eastAsia="en-US"/>
        </w:rPr>
        <w:t xml:space="preserve">This option is recommended to be completed on a single calendar day. </w:t>
      </w:r>
      <w:r>
        <w:rPr>
          <w:rFonts w:eastAsia="Calibri"/>
          <w:lang w:eastAsia="en-US"/>
        </w:rPr>
        <w:t>However</w:t>
      </w:r>
      <w:r w:rsidR="007A3EC3">
        <w:rPr>
          <w:rFonts w:eastAsia="Calibri"/>
          <w:lang w:eastAsia="en-US"/>
        </w:rPr>
        <w:t>,</w:t>
      </w:r>
      <w:r>
        <w:rPr>
          <w:rFonts w:eastAsia="Calibri"/>
          <w:lang w:eastAsia="en-US"/>
        </w:rPr>
        <w:t xml:space="preserve"> if this was not possible, wards could be surveyed on separate days provided that all patients were surveyed once only. </w:t>
      </w:r>
    </w:p>
    <w:p w14:paraId="333A9469" w14:textId="77777777" w:rsidR="00FD06BC" w:rsidRDefault="00FD06BC" w:rsidP="00F57530">
      <w:pPr>
        <w:pStyle w:val="Heading3"/>
      </w:pPr>
      <w:r>
        <w:t>Option 2: Repeat point prevalence surveys (for smaller hospitals)</w:t>
      </w:r>
    </w:p>
    <w:p w14:paraId="695C5A48" w14:textId="6FE15889" w:rsidR="000F36CA" w:rsidRDefault="00DB26E8" w:rsidP="000F36CA">
      <w:pPr>
        <w:rPr>
          <w:rFonts w:eastAsia="Calibri"/>
          <w:lang w:eastAsia="en-US"/>
        </w:rPr>
      </w:pPr>
      <w:r>
        <w:rPr>
          <w:rFonts w:eastAsia="Calibri"/>
          <w:lang w:eastAsia="en-US"/>
        </w:rPr>
        <w:t>While Option 1</w:t>
      </w:r>
      <w:r w:rsidR="000F36CA">
        <w:rPr>
          <w:rFonts w:eastAsia="Calibri"/>
          <w:lang w:eastAsia="en-US"/>
        </w:rPr>
        <w:t xml:space="preserve"> will provide an estimate of antimicrobial prevalence, for smaller hospitals it may not allow sufficient data to be collected to assess prescribing appropriateness. Small hospitals</w:t>
      </w:r>
      <w:r w:rsidR="00A97650">
        <w:rPr>
          <w:rFonts w:eastAsia="Calibri"/>
          <w:lang w:eastAsia="en-US"/>
        </w:rPr>
        <w:t xml:space="preserve"> (those with less than 100 acute beds)</w:t>
      </w:r>
      <w:r w:rsidR="000F36CA">
        <w:rPr>
          <w:rFonts w:eastAsia="Calibri"/>
          <w:lang w:eastAsia="en-US"/>
        </w:rPr>
        <w:t xml:space="preserve"> </w:t>
      </w:r>
      <w:r w:rsidR="00EC52C9">
        <w:rPr>
          <w:rFonts w:eastAsia="Calibri"/>
          <w:lang w:eastAsia="en-US"/>
        </w:rPr>
        <w:t>could</w:t>
      </w:r>
      <w:r w:rsidR="000F36CA">
        <w:rPr>
          <w:rFonts w:eastAsia="Calibri"/>
          <w:lang w:eastAsia="en-US"/>
        </w:rPr>
        <w:t xml:space="preserve"> conduct repeat point prevalence surveys whereby a whole hospital survey is conducted multiple times, with surveys at least one week apart, until at least thirty antimicrobial prescriptions have been collected. Auditors were advised that all inpatients should be included in the repeat surveys, including those who have been surveyed previously, as the appropriateness of their respective antimicrobial prescriptions may change over time. </w:t>
      </w:r>
    </w:p>
    <w:p w14:paraId="170069B4" w14:textId="5DF7605D" w:rsidR="00FD06BC" w:rsidRDefault="00FD06BC" w:rsidP="00F57530">
      <w:pPr>
        <w:pStyle w:val="Heading3"/>
      </w:pPr>
      <w:r>
        <w:t xml:space="preserve">Option 3: Random sampling point prevalence </w:t>
      </w:r>
      <w:r w:rsidR="005A170C">
        <w:t xml:space="preserve">survey </w:t>
      </w:r>
      <w:r w:rsidR="00F57530">
        <w:t xml:space="preserve">(for hospitals with </w:t>
      </w:r>
      <w:r w:rsidR="00F57530">
        <w:rPr>
          <w:rFonts w:cstheme="minorHAnsi"/>
        </w:rPr>
        <w:t>≥</w:t>
      </w:r>
      <w:r w:rsidR="00F57530">
        <w:t xml:space="preserve"> 100 acute beds)</w:t>
      </w:r>
    </w:p>
    <w:p w14:paraId="05E3E74D" w14:textId="67BF7E0B" w:rsidR="000F36CA" w:rsidRDefault="000F36CA" w:rsidP="000F36CA">
      <w:pPr>
        <w:pStyle w:val="Normal-beforebullets"/>
        <w:rPr>
          <w:rFonts w:eastAsia="Calibri"/>
          <w:lang w:eastAsia="en-US"/>
        </w:rPr>
      </w:pPr>
      <w:r>
        <w:rPr>
          <w:rFonts w:eastAsia="Calibri"/>
          <w:lang w:eastAsia="en-US"/>
        </w:rPr>
        <w:t xml:space="preserve">For large hospitals </w:t>
      </w:r>
      <w:r w:rsidR="00DB26E8">
        <w:rPr>
          <w:rFonts w:eastAsia="Calibri"/>
          <w:lang w:eastAsia="en-US"/>
        </w:rPr>
        <w:t xml:space="preserve">where </w:t>
      </w:r>
      <w:r w:rsidR="00EC52C9">
        <w:rPr>
          <w:rFonts w:eastAsia="Calibri"/>
          <w:lang w:eastAsia="en-US"/>
        </w:rPr>
        <w:t>a whole-</w:t>
      </w:r>
      <w:r>
        <w:rPr>
          <w:rFonts w:eastAsia="Calibri"/>
          <w:lang w:eastAsia="en-US"/>
        </w:rPr>
        <w:t>hospital point prevalence survey</w:t>
      </w:r>
      <w:r w:rsidR="00DB26E8">
        <w:rPr>
          <w:rFonts w:eastAsia="Calibri"/>
          <w:lang w:eastAsia="en-US"/>
        </w:rPr>
        <w:t xml:space="preserve"> is not able to be undertaken</w:t>
      </w:r>
      <w:r w:rsidR="005A170C">
        <w:rPr>
          <w:rFonts w:eastAsia="Calibri"/>
          <w:lang w:eastAsia="en-US"/>
        </w:rPr>
        <w:t xml:space="preserve"> due to resource limitations</w:t>
      </w:r>
      <w:r>
        <w:rPr>
          <w:rFonts w:eastAsia="Calibri"/>
          <w:lang w:eastAsia="en-US"/>
        </w:rPr>
        <w:t>, data could be collected fro</w:t>
      </w:r>
      <w:r w:rsidR="0062753A">
        <w:rPr>
          <w:rFonts w:eastAsia="Calibri"/>
          <w:lang w:eastAsia="en-US"/>
        </w:rPr>
        <w:t>m a random sample of inpatients</w:t>
      </w:r>
      <w:r>
        <w:rPr>
          <w:rFonts w:eastAsia="Calibri"/>
          <w:lang w:eastAsia="en-US"/>
        </w:rPr>
        <w:t xml:space="preserve"> provided the following guidelines were adhered to:</w:t>
      </w:r>
    </w:p>
    <w:p w14:paraId="1DDB9689" w14:textId="77777777" w:rsidR="00956066" w:rsidRDefault="00956066" w:rsidP="000F36CA">
      <w:pPr>
        <w:pStyle w:val="Normal-beforebullets"/>
        <w:rPr>
          <w:rFonts w:eastAsia="Calibri"/>
          <w:lang w:eastAsia="en-US"/>
        </w:rPr>
      </w:pPr>
    </w:p>
    <w:p w14:paraId="132D1E56" w14:textId="77777777" w:rsidR="000F36CA" w:rsidRDefault="000F36CA" w:rsidP="003547BA">
      <w:pPr>
        <w:pStyle w:val="Bulletlist"/>
        <w:ind w:hanging="568"/>
        <w:rPr>
          <w:rFonts w:eastAsia="Calibri"/>
        </w:rPr>
      </w:pPr>
      <w:r>
        <w:rPr>
          <w:rFonts w:eastAsia="Calibri"/>
        </w:rPr>
        <w:t>A random sampling method should only be used in hospitals with ≥ 100 acute beds</w:t>
      </w:r>
    </w:p>
    <w:p w14:paraId="44F186E8" w14:textId="23E32875" w:rsidR="000F36CA" w:rsidRDefault="000F36CA" w:rsidP="003547BA">
      <w:pPr>
        <w:pStyle w:val="Bulletlist"/>
        <w:ind w:hanging="568"/>
        <w:rPr>
          <w:rFonts w:eastAsia="Calibri"/>
        </w:rPr>
      </w:pPr>
      <w:r>
        <w:rPr>
          <w:rFonts w:eastAsia="Calibri"/>
        </w:rPr>
        <w:t>The random sampling should include</w:t>
      </w:r>
      <w:r w:rsidR="00DB26E8">
        <w:rPr>
          <w:rFonts w:eastAsia="Calibri"/>
        </w:rPr>
        <w:t xml:space="preserve"> patients from</w:t>
      </w:r>
      <w:r>
        <w:rPr>
          <w:rFonts w:eastAsia="Calibri"/>
        </w:rPr>
        <w:t xml:space="preserve"> all wards within the hospital</w:t>
      </w:r>
    </w:p>
    <w:p w14:paraId="00D15EEE" w14:textId="522FCE65" w:rsidR="000F36CA" w:rsidRDefault="00DB26E8" w:rsidP="003547BA">
      <w:pPr>
        <w:pStyle w:val="Bulletlist"/>
        <w:ind w:hanging="568"/>
        <w:rPr>
          <w:rFonts w:eastAsia="Calibri"/>
        </w:rPr>
      </w:pPr>
      <w:r>
        <w:rPr>
          <w:rFonts w:eastAsia="Calibri"/>
        </w:rPr>
        <w:t xml:space="preserve">The proportion of </w:t>
      </w:r>
      <w:r w:rsidR="000F36CA">
        <w:rPr>
          <w:rFonts w:eastAsia="Calibri"/>
        </w:rPr>
        <w:t>patients sampled must be at least 50% of the inpatient population</w:t>
      </w:r>
    </w:p>
    <w:p w14:paraId="7B339278" w14:textId="77777777" w:rsidR="000F36CA" w:rsidRDefault="000F36CA" w:rsidP="003547BA">
      <w:pPr>
        <w:pStyle w:val="Bulletlist"/>
        <w:ind w:hanging="568"/>
        <w:rPr>
          <w:rFonts w:eastAsia="Calibri"/>
        </w:rPr>
      </w:pPr>
      <w:r>
        <w:rPr>
          <w:rFonts w:eastAsia="Calibri"/>
        </w:rPr>
        <w:t xml:space="preserve">The random sampling is based on inpatients, </w:t>
      </w:r>
      <w:r>
        <w:rPr>
          <w:rFonts w:eastAsia="Calibri"/>
          <w:u w:val="single"/>
        </w:rPr>
        <w:t>not</w:t>
      </w:r>
      <w:r>
        <w:rPr>
          <w:rFonts w:eastAsia="Calibri"/>
        </w:rPr>
        <w:t xml:space="preserve"> antimicrobial prescriptions</w:t>
      </w:r>
      <w:r w:rsidR="0062753A">
        <w:rPr>
          <w:rFonts w:eastAsia="Calibri"/>
        </w:rPr>
        <w:t>.</w:t>
      </w:r>
    </w:p>
    <w:p w14:paraId="048706C6" w14:textId="77777777" w:rsidR="00F57530" w:rsidRDefault="00F57530" w:rsidP="00F57530">
      <w:pPr>
        <w:pStyle w:val="Heading2"/>
      </w:pPr>
      <w:r>
        <w:t>Support for auditors</w:t>
      </w:r>
    </w:p>
    <w:p w14:paraId="4B1B9EA3" w14:textId="77777777" w:rsidR="00A51C39" w:rsidRDefault="00A51C39" w:rsidP="00974714">
      <w:pPr>
        <w:pStyle w:val="Normal-beforebullets"/>
      </w:pPr>
      <w:r>
        <w:t>Auditors</w:t>
      </w:r>
      <w:r w:rsidR="000F12D2">
        <w:t xml:space="preserve"> were</w:t>
      </w:r>
      <w:r>
        <w:t xml:space="preserve"> able to access the following </w:t>
      </w:r>
      <w:r w:rsidR="000F12D2">
        <w:t xml:space="preserve">online </w:t>
      </w:r>
      <w:r>
        <w:t>resources</w:t>
      </w:r>
      <w:r w:rsidR="000F12D2">
        <w:t xml:space="preserve"> </w:t>
      </w:r>
      <w:r>
        <w:t>to promote accurate data collection</w:t>
      </w:r>
      <w:r w:rsidR="009C1275">
        <w:t xml:space="preserve"> and </w:t>
      </w:r>
      <w:r w:rsidR="000F12D2">
        <w:t xml:space="preserve">prescription </w:t>
      </w:r>
      <w:r>
        <w:t>assessment</w:t>
      </w:r>
      <w:r w:rsidR="009C1275">
        <w:t>,</w:t>
      </w:r>
      <w:r w:rsidR="009C1275" w:rsidRPr="009C1275">
        <w:t xml:space="preserve"> </w:t>
      </w:r>
      <w:r w:rsidR="009C1275">
        <w:t xml:space="preserve">as well as assist with the reporting </w:t>
      </w:r>
      <w:r w:rsidR="00E065F2">
        <w:t xml:space="preserve">and feedback </w:t>
      </w:r>
      <w:r>
        <w:t>process:</w:t>
      </w:r>
    </w:p>
    <w:p w14:paraId="0C2AC397" w14:textId="77777777" w:rsidR="00956066" w:rsidRDefault="00956066" w:rsidP="00974714">
      <w:pPr>
        <w:pStyle w:val="Normal-beforebullets"/>
      </w:pPr>
    </w:p>
    <w:p w14:paraId="7DA1C2B4" w14:textId="77777777" w:rsidR="00F57530" w:rsidRPr="00974714" w:rsidRDefault="00A51C39" w:rsidP="003547BA">
      <w:pPr>
        <w:pStyle w:val="Bulletlist"/>
        <w:ind w:hanging="568"/>
      </w:pPr>
      <w:r w:rsidRPr="00974714">
        <w:t>User guide</w:t>
      </w:r>
    </w:p>
    <w:p w14:paraId="41B77E62" w14:textId="77777777" w:rsidR="00974714" w:rsidRPr="00974714" w:rsidRDefault="00974714" w:rsidP="003547BA">
      <w:pPr>
        <w:pStyle w:val="Bulletlist"/>
        <w:ind w:hanging="568"/>
      </w:pPr>
      <w:r w:rsidRPr="00974714">
        <w:t>Appropriateness definitions</w:t>
      </w:r>
    </w:p>
    <w:p w14:paraId="37784D58" w14:textId="77777777" w:rsidR="00A51C39" w:rsidRPr="00974714" w:rsidRDefault="00A51C39" w:rsidP="003547BA">
      <w:pPr>
        <w:pStyle w:val="Bulletlist"/>
        <w:ind w:hanging="568"/>
      </w:pPr>
      <w:r w:rsidRPr="00974714">
        <w:t>Case examples</w:t>
      </w:r>
    </w:p>
    <w:p w14:paraId="1D3BF759" w14:textId="77777777" w:rsidR="00974714" w:rsidRDefault="00A51C39" w:rsidP="003547BA">
      <w:pPr>
        <w:pStyle w:val="Bulletlist"/>
        <w:ind w:hanging="568"/>
      </w:pPr>
      <w:r w:rsidRPr="00974714">
        <w:t>eLearning module</w:t>
      </w:r>
    </w:p>
    <w:p w14:paraId="208CC4A9" w14:textId="77777777" w:rsidR="00F57530" w:rsidRDefault="00974714" w:rsidP="003547BA">
      <w:pPr>
        <w:pStyle w:val="Bulletlist"/>
        <w:ind w:hanging="568"/>
      </w:pPr>
      <w:r w:rsidRPr="00974714">
        <w:t>Reporting t</w:t>
      </w:r>
      <w:r w:rsidR="00F57530" w:rsidRPr="00974714">
        <w:t>emplates to h</w:t>
      </w:r>
      <w:r w:rsidRPr="00974714">
        <w:t xml:space="preserve">elp hospitals communicate </w:t>
      </w:r>
      <w:r w:rsidR="00F57530" w:rsidRPr="00974714">
        <w:t>survey results</w:t>
      </w:r>
      <w:r w:rsidRPr="00974714">
        <w:t xml:space="preserve"> locally</w:t>
      </w:r>
    </w:p>
    <w:p w14:paraId="53614B21" w14:textId="330E78C8" w:rsidR="000F12D2" w:rsidRDefault="000F12D2" w:rsidP="003547BA">
      <w:pPr>
        <w:pStyle w:val="Bulletlist"/>
        <w:ind w:hanging="568"/>
      </w:pPr>
      <w:r>
        <w:t>Links to useful AMS-related presentations and posters</w:t>
      </w:r>
      <w:r w:rsidR="00117CA8">
        <w:t>.</w:t>
      </w:r>
    </w:p>
    <w:p w14:paraId="568C129E" w14:textId="77777777" w:rsidR="000F12D2" w:rsidRDefault="000F12D2" w:rsidP="000F12D2">
      <w:pPr>
        <w:pStyle w:val="Normal-beforebullets"/>
      </w:pPr>
      <w:r>
        <w:t>The NAPS support</w:t>
      </w:r>
      <w:r w:rsidR="009C1275">
        <w:t xml:space="preserve"> team also provided</w:t>
      </w:r>
      <w:r>
        <w:t xml:space="preserve"> </w:t>
      </w:r>
      <w:r w:rsidR="00BE5600">
        <w:t xml:space="preserve">direct </w:t>
      </w:r>
      <w:r>
        <w:t xml:space="preserve">support </w:t>
      </w:r>
      <w:r w:rsidR="009C1275">
        <w:t>throughout the data collection period</w:t>
      </w:r>
      <w:r w:rsidR="00BE5600">
        <w:t xml:space="preserve"> in the form of</w:t>
      </w:r>
      <w:r>
        <w:t>:</w:t>
      </w:r>
    </w:p>
    <w:p w14:paraId="5F9E25B6" w14:textId="77777777" w:rsidR="00956066" w:rsidRDefault="00956066" w:rsidP="000F12D2">
      <w:pPr>
        <w:pStyle w:val="Normal-beforebullets"/>
      </w:pPr>
    </w:p>
    <w:p w14:paraId="56B32B3D" w14:textId="77777777" w:rsidR="000F12D2" w:rsidRDefault="000F12D2" w:rsidP="003547BA">
      <w:pPr>
        <w:pStyle w:val="Bulletlist"/>
        <w:ind w:hanging="568"/>
      </w:pPr>
      <w:r>
        <w:t>Webinar training sessions</w:t>
      </w:r>
    </w:p>
    <w:p w14:paraId="328E95F5" w14:textId="77777777" w:rsidR="00BE5600" w:rsidRDefault="00BE5600" w:rsidP="003547BA">
      <w:pPr>
        <w:pStyle w:val="Bulletlist"/>
        <w:ind w:hanging="568"/>
      </w:pPr>
      <w:r>
        <w:t>Helpdesk support via phone and email</w:t>
      </w:r>
    </w:p>
    <w:p w14:paraId="231BA6D5" w14:textId="77777777" w:rsidR="00305B4F" w:rsidRDefault="00BE5600" w:rsidP="003547BA">
      <w:pPr>
        <w:pStyle w:val="Bulletlist"/>
        <w:ind w:hanging="568"/>
      </w:pPr>
      <w:r>
        <w:t>A r</w:t>
      </w:r>
      <w:r w:rsidR="000F12D2">
        <w:t xml:space="preserve">emote expert </w:t>
      </w:r>
      <w:r w:rsidR="000F12D2" w:rsidRPr="00974714">
        <w:t>assessment</w:t>
      </w:r>
      <w:r>
        <w:t xml:space="preserve"> service</w:t>
      </w:r>
    </w:p>
    <w:p w14:paraId="76DBF026" w14:textId="78F53818" w:rsidR="00305B4F" w:rsidRDefault="005A170C" w:rsidP="003547BA">
      <w:pPr>
        <w:pStyle w:val="Bulletlist"/>
        <w:ind w:hanging="568"/>
      </w:pPr>
      <w:r>
        <w:t>A</w:t>
      </w:r>
      <w:r w:rsidR="00AE54CB" w:rsidRPr="00AE54CB">
        <w:t xml:space="preserve">ssistance </w:t>
      </w:r>
      <w:r>
        <w:t>with</w:t>
      </w:r>
      <w:r w:rsidRPr="00AE54CB">
        <w:t xml:space="preserve"> </w:t>
      </w:r>
      <w:r w:rsidR="00AE54CB" w:rsidRPr="00AE54CB">
        <w:t xml:space="preserve">the assessment of guideline compliance and prescription appropriateness </w:t>
      </w:r>
      <w:r w:rsidR="00AE54CB">
        <w:t>for h</w:t>
      </w:r>
      <w:r w:rsidR="00BE5600" w:rsidRPr="00340CA0">
        <w:t xml:space="preserve">ospitals without access to infectious diseases specialists </w:t>
      </w:r>
    </w:p>
    <w:p w14:paraId="6E98D98A" w14:textId="74DF6B51" w:rsidR="000F12D2" w:rsidRDefault="00AE54CB" w:rsidP="00117CA8">
      <w:pPr>
        <w:pStyle w:val="Bulletlist"/>
      </w:pPr>
      <w:r>
        <w:lastRenderedPageBreak/>
        <w:t xml:space="preserve">Capacity to </w:t>
      </w:r>
      <w:r w:rsidR="00BE5600" w:rsidRPr="00340CA0">
        <w:t xml:space="preserve">request </w:t>
      </w:r>
      <w:r w:rsidR="00BE5600">
        <w:t>an</w:t>
      </w:r>
      <w:r w:rsidR="00305B4F">
        <w:t xml:space="preserve"> assessment</w:t>
      </w:r>
      <w:r w:rsidR="00BE5600" w:rsidRPr="00340CA0">
        <w:t xml:space="preserve"> if </w:t>
      </w:r>
      <w:r>
        <w:t xml:space="preserve">hospitals </w:t>
      </w:r>
      <w:r w:rsidR="00BE5600" w:rsidRPr="00340CA0">
        <w:t xml:space="preserve">felt it would improve the </w:t>
      </w:r>
      <w:r w:rsidR="00BE5600">
        <w:t>reliability</w:t>
      </w:r>
      <w:r w:rsidR="00BE5600" w:rsidRPr="00340CA0">
        <w:t xml:space="preserve"> </w:t>
      </w:r>
      <w:r w:rsidR="00BE5600">
        <w:t>of the audit.</w:t>
      </w:r>
    </w:p>
    <w:p w14:paraId="78DE6729" w14:textId="77777777" w:rsidR="00E065F2" w:rsidRDefault="00E065F2" w:rsidP="00E065F2">
      <w:pPr>
        <w:pStyle w:val="Heading3"/>
      </w:pPr>
      <w:r>
        <w:t>eLearning module</w:t>
      </w:r>
    </w:p>
    <w:p w14:paraId="07287C9F" w14:textId="06DE587F" w:rsidR="00E065F2" w:rsidRDefault="00E065F2" w:rsidP="00E065F2">
      <w:r>
        <w:t>An online eLearning module was available through the NAPS website</w:t>
      </w:r>
      <w:r w:rsidR="00686B74">
        <w:t xml:space="preserve"> throughout the data collection period</w:t>
      </w:r>
      <w:r>
        <w:t xml:space="preserve">. This provided information regarding setting up the survey, data collection and assessments of compliance with guidelines and appropriateness. An assessment quiz was also provided at the end of the module requiring participants to answer at least 80% of the questions correctly in order to pass. At least one participant from each hospital was required to successfully pass the quiz in order </w:t>
      </w:r>
      <w:r w:rsidR="00BC21A2">
        <w:t>to finalise their patient</w:t>
      </w:r>
      <w:r>
        <w:t>s</w:t>
      </w:r>
      <w:r w:rsidR="00AE54CB">
        <w:t>’</w:t>
      </w:r>
      <w:r>
        <w:t xml:space="preserve"> data, however all participants were encouraged to </w:t>
      </w:r>
      <w:r w:rsidR="00487A57">
        <w:t xml:space="preserve">complete </w:t>
      </w:r>
      <w:r>
        <w:t xml:space="preserve">the eLearning module prior to data collection. </w:t>
      </w:r>
    </w:p>
    <w:p w14:paraId="37418274" w14:textId="77777777" w:rsidR="006D0FB0" w:rsidRDefault="006D0FB0" w:rsidP="00956066">
      <w:pPr>
        <w:pStyle w:val="Heading2"/>
      </w:pPr>
      <w:r>
        <w:t>Analyses</w:t>
      </w:r>
    </w:p>
    <w:p w14:paraId="673679CD" w14:textId="76B731CC" w:rsidR="00E065F2" w:rsidRDefault="00E065F2" w:rsidP="00956066">
      <w:pPr>
        <w:rPr>
          <w:rFonts w:ascii="Arial" w:hAnsi="Arial" w:cs="Arial"/>
        </w:rPr>
      </w:pPr>
      <w:r w:rsidRPr="000076AB">
        <w:rPr>
          <w:rFonts w:ascii="Arial" w:hAnsi="Arial" w:cs="Arial"/>
        </w:rPr>
        <w:t xml:space="preserve">Hospitals that conducted whole-hospital audits including single point prevalence surveys, </w:t>
      </w:r>
      <w:r w:rsidR="00683067">
        <w:rPr>
          <w:rFonts w:ascii="Arial" w:hAnsi="Arial" w:cs="Arial"/>
        </w:rPr>
        <w:t>repeat</w:t>
      </w:r>
      <w:r w:rsidRPr="000076AB">
        <w:rPr>
          <w:rFonts w:ascii="Arial" w:hAnsi="Arial" w:cs="Arial"/>
        </w:rPr>
        <w:t xml:space="preserve"> point prevalent surveys and randomised sample surveys were included in the analyses. </w:t>
      </w:r>
      <w:r>
        <w:rPr>
          <w:rFonts w:ascii="Arial" w:hAnsi="Arial" w:cs="Arial"/>
        </w:rPr>
        <w:t>To avoid issues with systematic bias, a</w:t>
      </w:r>
      <w:r w:rsidR="00DD5DA6">
        <w:rPr>
          <w:rFonts w:ascii="Arial" w:hAnsi="Arial" w:cs="Arial"/>
        </w:rPr>
        <w:t>ll other</w:t>
      </w:r>
      <w:r w:rsidR="001D7143">
        <w:rPr>
          <w:rFonts w:ascii="Arial" w:hAnsi="Arial" w:cs="Arial"/>
        </w:rPr>
        <w:t xml:space="preserve"> Hospital NAPS</w:t>
      </w:r>
      <w:r w:rsidR="00DD5DA6">
        <w:rPr>
          <w:rFonts w:ascii="Arial" w:hAnsi="Arial" w:cs="Arial"/>
        </w:rPr>
        <w:t xml:space="preserve"> survey methodologies</w:t>
      </w:r>
      <w:r w:rsidRPr="000076AB">
        <w:rPr>
          <w:rFonts w:ascii="Arial" w:hAnsi="Arial" w:cs="Arial"/>
        </w:rPr>
        <w:t xml:space="preserve"> including directed surveys</w:t>
      </w:r>
      <w:r>
        <w:rPr>
          <w:rFonts w:ascii="Arial" w:hAnsi="Arial" w:cs="Arial"/>
        </w:rPr>
        <w:t xml:space="preserve"> of selected antimicrobials, indications, specialities or wards</w:t>
      </w:r>
      <w:r w:rsidR="00DD5DA6">
        <w:rPr>
          <w:rFonts w:ascii="Arial" w:hAnsi="Arial" w:cs="Arial"/>
        </w:rPr>
        <w:t>, were excluded</w:t>
      </w:r>
      <w:r w:rsidRPr="000076AB">
        <w:rPr>
          <w:rFonts w:ascii="Arial" w:hAnsi="Arial" w:cs="Arial"/>
        </w:rPr>
        <w:t xml:space="preserve">. </w:t>
      </w:r>
      <w:r>
        <w:rPr>
          <w:rFonts w:ascii="Arial" w:hAnsi="Arial" w:cs="Arial"/>
        </w:rPr>
        <w:t>The selected survey methodology used does not impact on the data in this report, as each individual prescripti</w:t>
      </w:r>
      <w:r w:rsidR="00620F92">
        <w:rPr>
          <w:rFonts w:ascii="Arial" w:hAnsi="Arial" w:cs="Arial"/>
        </w:rPr>
        <w:t xml:space="preserve">on is analysed </w:t>
      </w:r>
      <w:r>
        <w:rPr>
          <w:rFonts w:ascii="Arial" w:hAnsi="Arial" w:cs="Arial"/>
        </w:rPr>
        <w:t>independent</w:t>
      </w:r>
      <w:r w:rsidR="00620F92">
        <w:rPr>
          <w:rFonts w:ascii="Arial" w:hAnsi="Arial" w:cs="Arial"/>
        </w:rPr>
        <w:t>ly</w:t>
      </w:r>
      <w:r>
        <w:rPr>
          <w:rFonts w:ascii="Arial" w:hAnsi="Arial" w:cs="Arial"/>
        </w:rPr>
        <w:t xml:space="preserve"> of the data collection methodology. </w:t>
      </w:r>
    </w:p>
    <w:p w14:paraId="2FEB8943" w14:textId="5E34E880" w:rsidR="00E065F2" w:rsidRDefault="00BC21A2" w:rsidP="00956066">
      <w:pPr>
        <w:rPr>
          <w:rFonts w:ascii="Arial" w:hAnsi="Arial" w:cs="Arial"/>
        </w:rPr>
      </w:pPr>
      <w:r>
        <w:rPr>
          <w:rFonts w:ascii="Arial" w:hAnsi="Arial" w:cs="Arial"/>
        </w:rPr>
        <w:t>De-identified hospital data are</w:t>
      </w:r>
      <w:r w:rsidR="00E065F2">
        <w:rPr>
          <w:rFonts w:ascii="Arial" w:hAnsi="Arial" w:cs="Arial"/>
        </w:rPr>
        <w:t xml:space="preserve"> analysed by sector (public or private), state or territory, the Australian Bureau of Statistics (ABS) remoteness classification</w:t>
      </w:r>
      <w:r w:rsidR="00E065F2" w:rsidRPr="00A96EC6">
        <w:rPr>
          <w:rFonts w:ascii="Arial" w:hAnsi="Arial" w:cs="Arial"/>
        </w:rPr>
        <w:t>s</w:t>
      </w:r>
      <w:r w:rsidR="000675E0" w:rsidRPr="00A96EC6">
        <w:rPr>
          <w:rFonts w:ascii="Arial" w:hAnsi="Arial" w:cs="Arial"/>
          <w:vertAlign w:val="superscript"/>
        </w:rPr>
        <w:t>7</w:t>
      </w:r>
      <w:r w:rsidR="00E065F2">
        <w:rPr>
          <w:rFonts w:ascii="Arial" w:hAnsi="Arial" w:cs="Arial"/>
        </w:rPr>
        <w:t xml:space="preserve"> and</w:t>
      </w:r>
      <w:r w:rsidR="00E065F2" w:rsidRPr="005C0019">
        <w:rPr>
          <w:rFonts w:ascii="Arial" w:hAnsi="Arial" w:cs="Arial"/>
        </w:rPr>
        <w:t xml:space="preserve"> </w:t>
      </w:r>
      <w:r w:rsidR="00E065F2">
        <w:rPr>
          <w:rFonts w:ascii="Arial" w:hAnsi="Arial" w:cs="Arial"/>
        </w:rPr>
        <w:t xml:space="preserve">the Australian </w:t>
      </w:r>
      <w:r>
        <w:rPr>
          <w:rFonts w:ascii="Arial" w:hAnsi="Arial" w:cs="Arial"/>
        </w:rPr>
        <w:t>Institute of Health and Welfare</w:t>
      </w:r>
      <w:r w:rsidR="00E065F2">
        <w:rPr>
          <w:rFonts w:ascii="Arial" w:hAnsi="Arial" w:cs="Arial"/>
        </w:rPr>
        <w:t xml:space="preserve"> (AIHW) peer group classifications</w:t>
      </w:r>
      <w:r w:rsidR="000675E0">
        <w:rPr>
          <w:rFonts w:ascii="Arial" w:hAnsi="Arial" w:cs="Arial"/>
        </w:rPr>
        <w:t>.</w:t>
      </w:r>
      <w:r w:rsidR="000675E0" w:rsidRPr="00A96EC6">
        <w:rPr>
          <w:rFonts w:ascii="Arial" w:hAnsi="Arial" w:cs="Arial"/>
          <w:vertAlign w:val="superscript"/>
        </w:rPr>
        <w:t>8</w:t>
      </w:r>
      <w:r w:rsidR="00E065F2">
        <w:rPr>
          <w:rFonts w:ascii="Arial" w:hAnsi="Arial" w:cs="Arial"/>
        </w:rPr>
        <w:t xml:space="preserve"> Key performance indicators are analysed and reported for these </w:t>
      </w:r>
      <w:r w:rsidR="00DD5DA6">
        <w:rPr>
          <w:rFonts w:ascii="Arial" w:hAnsi="Arial" w:cs="Arial"/>
        </w:rPr>
        <w:t>categories</w:t>
      </w:r>
      <w:r w:rsidR="00E065F2">
        <w:rPr>
          <w:rFonts w:ascii="Arial" w:hAnsi="Arial" w:cs="Arial"/>
        </w:rPr>
        <w:t>.</w:t>
      </w:r>
      <w:r w:rsidR="00B046C1">
        <w:rPr>
          <w:rFonts w:ascii="Arial" w:hAnsi="Arial" w:cs="Arial"/>
        </w:rPr>
        <w:t xml:space="preserve"> Five year comparison of Hospital</w:t>
      </w:r>
      <w:r>
        <w:rPr>
          <w:rFonts w:ascii="Arial" w:hAnsi="Arial" w:cs="Arial"/>
        </w:rPr>
        <w:t xml:space="preserve"> NAPS key performance indicator</w:t>
      </w:r>
      <w:r w:rsidR="00B046C1">
        <w:rPr>
          <w:rFonts w:ascii="Arial" w:hAnsi="Arial" w:cs="Arial"/>
        </w:rPr>
        <w:t xml:space="preserve"> analyses was performed using the chi</w:t>
      </w:r>
      <w:r w:rsidR="00B046C1">
        <w:rPr>
          <w:rFonts w:ascii="Arial" w:hAnsi="Arial" w:cs="Arial"/>
          <w:vertAlign w:val="superscript"/>
        </w:rPr>
        <w:t xml:space="preserve">2 </w:t>
      </w:r>
      <w:r w:rsidR="00B046C1">
        <w:rPr>
          <w:rFonts w:ascii="Arial" w:hAnsi="Arial" w:cs="Arial"/>
        </w:rPr>
        <w:t xml:space="preserve">test. </w:t>
      </w:r>
      <w:r w:rsidR="00E065F2">
        <w:rPr>
          <w:rFonts w:ascii="Arial" w:hAnsi="Arial" w:cs="Arial"/>
        </w:rPr>
        <w:t xml:space="preserve"> </w:t>
      </w:r>
    </w:p>
    <w:p w14:paraId="578F215C" w14:textId="77777777" w:rsidR="00956066" w:rsidRDefault="00956066" w:rsidP="00956066">
      <w:pPr>
        <w:rPr>
          <w:rFonts w:ascii="Arial" w:hAnsi="Arial" w:cs="Arial"/>
        </w:rPr>
      </w:pPr>
    </w:p>
    <w:p w14:paraId="79FD965E" w14:textId="77777777" w:rsidR="00F57530" w:rsidRDefault="00F57530" w:rsidP="00F57530">
      <w:pPr>
        <w:pStyle w:val="Heading2"/>
      </w:pPr>
      <w:r>
        <w:lastRenderedPageBreak/>
        <w:t>Limitations</w:t>
      </w:r>
    </w:p>
    <w:p w14:paraId="107E9BD9" w14:textId="77777777" w:rsidR="00F57530" w:rsidRDefault="00F57530" w:rsidP="009424A5">
      <w:r>
        <w:rPr>
          <w:noProof/>
        </w:rPr>
        <mc:AlternateContent>
          <mc:Choice Requires="wps">
            <w:drawing>
              <wp:inline distT="0" distB="0" distL="0" distR="0" wp14:anchorId="7F102689" wp14:editId="50C7D8F9">
                <wp:extent cx="6191250" cy="1403985"/>
                <wp:effectExtent l="0" t="0" r="0"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3985"/>
                        </a:xfrm>
                        <a:prstGeom prst="rect">
                          <a:avLst/>
                        </a:prstGeom>
                        <a:solidFill>
                          <a:schemeClr val="accent2">
                            <a:lumMod val="20000"/>
                            <a:lumOff val="80000"/>
                          </a:schemeClr>
                        </a:solidFill>
                        <a:ln w="9525">
                          <a:noFill/>
                          <a:miter lim="800000"/>
                          <a:headEnd/>
                          <a:tailEnd/>
                        </a:ln>
                      </wps:spPr>
                      <wps:txbx>
                        <w:txbxContent>
                          <w:p w14:paraId="4ED67AB9" w14:textId="77777777" w:rsidR="0038649A" w:rsidRDefault="0038649A" w:rsidP="00F57530">
                            <w:pPr>
                              <w:jc w:val="both"/>
                            </w:pPr>
                            <w:r>
                              <w:t>The results in this report should be interpreted in the context of the following limitations:</w:t>
                            </w:r>
                          </w:p>
                          <w:p w14:paraId="152EDBAF" w14:textId="77777777" w:rsidR="0038649A" w:rsidRPr="002C350A" w:rsidRDefault="0038649A" w:rsidP="00FF6000">
                            <w:pPr>
                              <w:pStyle w:val="Normal-beforebullets"/>
                              <w:rPr>
                                <w:rStyle w:val="Strong"/>
                              </w:rPr>
                            </w:pPr>
                            <w:r w:rsidRPr="002C350A">
                              <w:rPr>
                                <w:rStyle w:val="Strong"/>
                              </w:rPr>
                              <w:t>Sampling and selection bias</w:t>
                            </w:r>
                          </w:p>
                          <w:p w14:paraId="41AE7F32" w14:textId="49EA8F24" w:rsidR="0038649A" w:rsidRDefault="0038649A" w:rsidP="002C350A">
                            <w:r>
                              <w:t xml:space="preserve">Participation in the Hospital NAPS is voluntary. The facilities that choose to participate do not represent a randomised sample, hence the results may not be representative of all Australian hospitals. </w:t>
                            </w:r>
                          </w:p>
                          <w:p w14:paraId="5E528AF6" w14:textId="77777777" w:rsidR="0038649A" w:rsidRPr="00FF6000" w:rsidRDefault="0038649A" w:rsidP="00FF6000">
                            <w:pPr>
                              <w:pStyle w:val="Normal-beforebullets"/>
                              <w:rPr>
                                <w:rStyle w:val="Strong"/>
                              </w:rPr>
                            </w:pPr>
                            <w:r w:rsidRPr="00FF6000">
                              <w:rPr>
                                <w:rStyle w:val="Strong"/>
                              </w:rPr>
                              <w:t>Comparison with previous surveys</w:t>
                            </w:r>
                          </w:p>
                          <w:p w14:paraId="1FA9EB7E" w14:textId="1CE0693E" w:rsidR="0038649A" w:rsidRDefault="0038649A" w:rsidP="002C350A">
                            <w:r>
                              <w:t>In addition to the 2017</w:t>
                            </w:r>
                            <w:r w:rsidRPr="00FF6000">
                              <w:t xml:space="preserve"> </w:t>
                            </w:r>
                            <w:r>
                              <w:t xml:space="preserve">Hospital NAPS results, this report references elements of the 2013–2016 surveys. The ability to directly compare results with those from year to year is limited as a result of changes over time to the inclusion criteria, methodology and distribution of participating </w:t>
                            </w:r>
                            <w:r w:rsidRPr="00A40263">
                              <w:t>hospitals. Modifications have been made to the methodology and data specifications of the Hospital NAPS over time, to help improve the robustness of the data and allow improved auditing and benchmarking.</w:t>
                            </w:r>
                          </w:p>
                          <w:p w14:paraId="54BBF85F" w14:textId="77777777" w:rsidR="0038649A" w:rsidRPr="001E0727" w:rsidRDefault="0038649A" w:rsidP="001E0727">
                            <w:pPr>
                              <w:pStyle w:val="Normal-beforebullets"/>
                              <w:rPr>
                                <w:rStyle w:val="Strong"/>
                              </w:rPr>
                            </w:pPr>
                            <w:r w:rsidRPr="001E0727">
                              <w:rPr>
                                <w:rStyle w:val="Strong"/>
                              </w:rPr>
                              <w:t>Patients may be counted multiple times</w:t>
                            </w:r>
                          </w:p>
                          <w:p w14:paraId="4A3425CF" w14:textId="102EE9B8" w:rsidR="0038649A" w:rsidRDefault="0038649A" w:rsidP="002C350A">
                            <w:r>
                              <w:t>In regard to facilities that chose Option 2, certain patients may have been counted multiple times if they were still an inpatient on a subsequent audit day. This may artificially inflate the prevalence of some indications that require longer durations of treatment, or the antimicrobials that are used to treat these conditions.</w:t>
                            </w:r>
                          </w:p>
                          <w:p w14:paraId="4D9B531C" w14:textId="77777777" w:rsidR="0038649A" w:rsidRPr="00F30712" w:rsidRDefault="0038649A" w:rsidP="00F30712">
                            <w:pPr>
                              <w:pStyle w:val="Normal-beforebullets"/>
                              <w:rPr>
                                <w:rStyle w:val="Strong"/>
                              </w:rPr>
                            </w:pPr>
                            <w:r w:rsidRPr="00F30712">
                              <w:rPr>
                                <w:rStyle w:val="Strong"/>
                              </w:rPr>
                              <w:t>Subjective nature of assessments</w:t>
                            </w:r>
                          </w:p>
                          <w:p w14:paraId="5AD03C00" w14:textId="3A48B270" w:rsidR="0038649A" w:rsidRDefault="0038649A" w:rsidP="001424D7">
                            <w:r>
                              <w:t xml:space="preserve">Individual auditors at each facility were responsible for assessing antimicrobial prescribing appropriateness and compliance with guidelines, although remote expert assessments were conducted by the NAPS support team on request. These assessments involve some degree of interpretation; the standardised appropriateness definitions used by auditors will help to moderate subjectivity. </w:t>
                            </w:r>
                          </w:p>
                          <w:p w14:paraId="019ABC3F" w14:textId="77777777" w:rsidR="0038649A" w:rsidRPr="001424D7" w:rsidRDefault="0038649A" w:rsidP="003F00BF">
                            <w:pPr>
                              <w:spacing w:after="0"/>
                              <w:rPr>
                                <w:rStyle w:val="Strong"/>
                              </w:rPr>
                            </w:pPr>
                            <w:r w:rsidRPr="001424D7">
                              <w:rPr>
                                <w:rStyle w:val="Strong"/>
                              </w:rPr>
                              <w:t>Use of alternative audit tools</w:t>
                            </w:r>
                          </w:p>
                          <w:p w14:paraId="2834741C" w14:textId="011C689C" w:rsidR="0038649A" w:rsidRDefault="0038649A" w:rsidP="001424D7">
                            <w:r w:rsidRPr="004F46C0">
                              <w:t xml:space="preserve">Depending on local </w:t>
                            </w:r>
                            <w:r>
                              <w:t xml:space="preserve">AMS </w:t>
                            </w:r>
                            <w:r w:rsidRPr="004F46C0">
                              <w:t>issues</w:t>
                            </w:r>
                            <w:r>
                              <w:t xml:space="preserve">, </w:t>
                            </w:r>
                            <w:r w:rsidRPr="00FE5281">
                              <w:t>casemix and resources, hospitals may have chosen to use other audit tools, such as the Surgical NAPS or Quality Improvement NAPS.</w:t>
                            </w:r>
                            <w:r>
                              <w:t xml:space="preserve"> </w:t>
                            </w:r>
                            <w:r w:rsidRPr="004F46C0">
                              <w:t xml:space="preserve">This may </w:t>
                            </w:r>
                            <w:r>
                              <w:t xml:space="preserve">have </w:t>
                            </w:r>
                            <w:r w:rsidRPr="004F46C0">
                              <w:t>impact</w:t>
                            </w:r>
                            <w:r>
                              <w:t>ed</w:t>
                            </w:r>
                            <w:r w:rsidRPr="004F46C0">
                              <w:t xml:space="preserve"> on the number of hospitals </w:t>
                            </w:r>
                            <w:r>
                              <w:t xml:space="preserve">that chose to </w:t>
                            </w:r>
                            <w:r w:rsidRPr="004F46C0">
                              <w:t>participat</w:t>
                            </w:r>
                            <w:r>
                              <w:t>e in the 2017</w:t>
                            </w:r>
                            <w:r w:rsidRPr="004F46C0">
                              <w:t xml:space="preserve"> Hospital NAPS</w:t>
                            </w:r>
                            <w:r>
                              <w:t>.</w:t>
                            </w:r>
                          </w:p>
                          <w:p w14:paraId="2881C0C7" w14:textId="009AC797" w:rsidR="0038649A" w:rsidRPr="003F2C57" w:rsidRDefault="0038649A" w:rsidP="003F2C57">
                            <w:pPr>
                              <w:spacing w:after="0"/>
                            </w:pPr>
                            <w: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8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" fillcolor="#c5f1ff [661]" stroked="f">
                <v:textbox style="mso-fit-shape-to-text:t">
                  <w:txbxContent>
                    <w:p w14:paraId="4ED67AB9" w14:textId="77777777" w:rsidR="0038649A" w:rsidRDefault="0038649A" w:rsidP="00F57530">
                      <w:pPr>
                        <w:jc w:val="both"/>
                      </w:pPr>
                      <w:r>
                        <w:t>The results in this report should be interpreted in the context of the following limitations:</w:t>
                      </w:r>
                    </w:p>
                    <w:p w14:paraId="152EDBAF" w14:textId="77777777" w:rsidR="0038649A" w:rsidRPr="002C350A" w:rsidRDefault="0038649A" w:rsidP="00FF6000">
                      <w:pPr>
                        <w:pStyle w:val="Normal-beforebullets"/>
                        <w:rPr>
                          <w:rStyle w:val="Strong"/>
                        </w:rPr>
                      </w:pPr>
                      <w:r w:rsidRPr="002C350A">
                        <w:rPr>
                          <w:rStyle w:val="Strong"/>
                        </w:rPr>
                        <w:t>Sampling and selection bias</w:t>
                      </w:r>
                    </w:p>
                    <w:p w14:paraId="41AE7F32" w14:textId="49EA8F24" w:rsidR="0038649A" w:rsidRDefault="0038649A" w:rsidP="002C350A">
                      <w:r>
                        <w:t xml:space="preserve">Participation in the Hospital NAPS is voluntary. The facilities that choose to participate do not represent a randomised sample, hence the results may not be representative of all Australian hospitals. </w:t>
                      </w:r>
                    </w:p>
                    <w:p w14:paraId="5E528AF6" w14:textId="77777777" w:rsidR="0038649A" w:rsidRPr="00FF6000" w:rsidRDefault="0038649A" w:rsidP="00FF6000">
                      <w:pPr>
                        <w:pStyle w:val="Normal-beforebullets"/>
                        <w:rPr>
                          <w:rStyle w:val="Strong"/>
                        </w:rPr>
                      </w:pPr>
                      <w:r w:rsidRPr="00FF6000">
                        <w:rPr>
                          <w:rStyle w:val="Strong"/>
                        </w:rPr>
                        <w:t>Comparison with previous surveys</w:t>
                      </w:r>
                    </w:p>
                    <w:p w14:paraId="1FA9EB7E" w14:textId="1CE0693E" w:rsidR="0038649A" w:rsidRDefault="0038649A" w:rsidP="002C350A">
                      <w:r>
                        <w:t>In addition to the 2017</w:t>
                      </w:r>
                      <w:r w:rsidRPr="00FF6000">
                        <w:t xml:space="preserve"> </w:t>
                      </w:r>
                      <w:r>
                        <w:t xml:space="preserve">Hospital NAPS results, this report references elements of the 2013–2016 surveys. The ability to directly compare results with those from year to year is limited as a result of changes over time to the inclusion criteria, methodology and distribution of participating </w:t>
                      </w:r>
                      <w:r w:rsidRPr="00A40263">
                        <w:t>hospitals. Modifications have been made to the methodology and data specifications of the Hospital NAPS over time, to help improve the robustness of the data and allow improved auditing and benchmarking.</w:t>
                      </w:r>
                    </w:p>
                    <w:p w14:paraId="54BBF85F" w14:textId="77777777" w:rsidR="0038649A" w:rsidRPr="001E0727" w:rsidRDefault="0038649A" w:rsidP="001E0727">
                      <w:pPr>
                        <w:pStyle w:val="Normal-beforebullets"/>
                        <w:rPr>
                          <w:rStyle w:val="Strong"/>
                        </w:rPr>
                      </w:pPr>
                      <w:r w:rsidRPr="001E0727">
                        <w:rPr>
                          <w:rStyle w:val="Strong"/>
                        </w:rPr>
                        <w:t>Patients may be counted multiple times</w:t>
                      </w:r>
                    </w:p>
                    <w:p w14:paraId="4A3425CF" w14:textId="102EE9B8" w:rsidR="0038649A" w:rsidRDefault="0038649A" w:rsidP="002C350A">
                      <w:r>
                        <w:t>In regard to facilities that chose Option 2, certain patients may have been counted multiple times if they were still an inpatient on a subsequent audit day. This may artificially inflate the prevalence of some indications that require longer durations of treatment, or the antimicrobials that are used to treat these conditions.</w:t>
                      </w:r>
                    </w:p>
                    <w:p w14:paraId="4D9B531C" w14:textId="77777777" w:rsidR="0038649A" w:rsidRPr="00F30712" w:rsidRDefault="0038649A" w:rsidP="00F30712">
                      <w:pPr>
                        <w:pStyle w:val="Normal-beforebullets"/>
                        <w:rPr>
                          <w:rStyle w:val="Strong"/>
                        </w:rPr>
                      </w:pPr>
                      <w:r w:rsidRPr="00F30712">
                        <w:rPr>
                          <w:rStyle w:val="Strong"/>
                        </w:rPr>
                        <w:t>Subjective nature of assessments</w:t>
                      </w:r>
                    </w:p>
                    <w:p w14:paraId="5AD03C00" w14:textId="3A48B270" w:rsidR="0038649A" w:rsidRDefault="0038649A" w:rsidP="001424D7">
                      <w:r>
                        <w:t xml:space="preserve">Individual auditors at each facility were responsible for assessing antimicrobial prescribing appropriateness and compliance with guidelines, although remote expert assessments were conducted by the NAPS support team on request. These assessments involve some degree of interpretation; the standardised appropriateness definitions used by auditors will help to moderate subjectivity. </w:t>
                      </w:r>
                    </w:p>
                    <w:p w14:paraId="019ABC3F" w14:textId="77777777" w:rsidR="0038649A" w:rsidRPr="001424D7" w:rsidRDefault="0038649A" w:rsidP="003F00BF">
                      <w:pPr>
                        <w:spacing w:after="0"/>
                        <w:rPr>
                          <w:rStyle w:val="Strong"/>
                        </w:rPr>
                      </w:pPr>
                      <w:r w:rsidRPr="001424D7">
                        <w:rPr>
                          <w:rStyle w:val="Strong"/>
                        </w:rPr>
                        <w:t>Use of alternative audit tools</w:t>
                      </w:r>
                    </w:p>
                    <w:p w14:paraId="2834741C" w14:textId="011C689C" w:rsidR="0038649A" w:rsidRDefault="0038649A" w:rsidP="001424D7">
                      <w:r w:rsidRPr="004F46C0">
                        <w:t xml:space="preserve">Depending on local </w:t>
                      </w:r>
                      <w:r>
                        <w:t xml:space="preserve">AMS </w:t>
                      </w:r>
                      <w:r w:rsidRPr="004F46C0">
                        <w:t>issues</w:t>
                      </w:r>
                      <w:r>
                        <w:t xml:space="preserve">, </w:t>
                      </w:r>
                      <w:r w:rsidRPr="00FE5281">
                        <w:t>casemix and resources, hospitals may have chosen to use other audit tools, such as the Surgical NAPS or Quality Improvement NAPS.</w:t>
                      </w:r>
                      <w:r>
                        <w:t xml:space="preserve"> </w:t>
                      </w:r>
                      <w:r w:rsidRPr="004F46C0">
                        <w:t xml:space="preserve">This may </w:t>
                      </w:r>
                      <w:r>
                        <w:t xml:space="preserve">have </w:t>
                      </w:r>
                      <w:r w:rsidRPr="004F46C0">
                        <w:t>impact</w:t>
                      </w:r>
                      <w:r>
                        <w:t>ed</w:t>
                      </w:r>
                      <w:r w:rsidRPr="004F46C0">
                        <w:t xml:space="preserve"> on the number of hospitals </w:t>
                      </w:r>
                      <w:r>
                        <w:t xml:space="preserve">that chose to </w:t>
                      </w:r>
                      <w:r w:rsidRPr="004F46C0">
                        <w:t>participat</w:t>
                      </w:r>
                      <w:r>
                        <w:t>e in the 2017</w:t>
                      </w:r>
                      <w:r w:rsidRPr="004F46C0">
                        <w:t xml:space="preserve"> Hospital NAPS</w:t>
                      </w:r>
                      <w:r>
                        <w:t>.</w:t>
                      </w:r>
                    </w:p>
                    <w:p w14:paraId="2881C0C7" w14:textId="009AC797" w:rsidR="0038649A" w:rsidRPr="003F2C57" w:rsidRDefault="0038649A" w:rsidP="003F2C57">
                      <w:pPr>
                        <w:spacing w:after="0"/>
                      </w:pPr>
                      <w:r>
                        <w:t xml:space="preserve"> </w:t>
                      </w:r>
                    </w:p>
                  </w:txbxContent>
                </v:textbox>
                <w10:anchorlock/>
              </v:shape>
            </w:pict>
          </mc:Fallback>
        </mc:AlternateContent>
      </w:r>
    </w:p>
    <w:p w14:paraId="7FB6D379" w14:textId="77777777" w:rsidR="006F48AC" w:rsidRDefault="006F48AC">
      <w:pPr>
        <w:spacing w:after="80"/>
        <w:rPr>
          <w:rFonts w:cs="Arial"/>
          <w:b/>
          <w:bCs/>
          <w:color w:val="1178A2"/>
          <w:kern w:val="28"/>
          <w:sz w:val="40"/>
          <w:szCs w:val="32"/>
        </w:rPr>
      </w:pPr>
      <w:r>
        <w:br w:type="page"/>
      </w:r>
    </w:p>
    <w:p w14:paraId="642D8582" w14:textId="2030804D" w:rsidR="00D92032" w:rsidRDefault="00D92032" w:rsidP="00D92032">
      <w:pPr>
        <w:pStyle w:val="Heading1"/>
      </w:pPr>
      <w:bookmarkStart w:id="17" w:name="_Toc526841666"/>
      <w:r>
        <w:lastRenderedPageBreak/>
        <w:t>Findings</w:t>
      </w:r>
      <w:bookmarkEnd w:id="17"/>
    </w:p>
    <w:p w14:paraId="4167B67A" w14:textId="77777777" w:rsidR="00D92032" w:rsidRDefault="00D92032" w:rsidP="00D92032">
      <w:pPr>
        <w:pStyle w:val="Heading2"/>
      </w:pPr>
      <w:r>
        <w:t>Participation</w:t>
      </w:r>
    </w:p>
    <w:p w14:paraId="153C5E57" w14:textId="42D7CF06" w:rsidR="00854AAC" w:rsidRPr="00683067" w:rsidRDefault="006D0FB0" w:rsidP="002B7779">
      <w:r>
        <w:t>Data tha</w:t>
      </w:r>
      <w:r w:rsidR="00620F92">
        <w:t>t met the inclusion criteria were</w:t>
      </w:r>
      <w:r>
        <w:t xml:space="preserve"> submitted by 314 hospitals (228 public and 86 private) and analysed for this report.</w:t>
      </w:r>
      <w:r w:rsidR="00C95F8F">
        <w:t xml:space="preserve"> </w:t>
      </w:r>
      <w:r w:rsidR="00683067">
        <w:t>There has been a steady increase in the number of Hospital NAPS participants since 2013 (1</w:t>
      </w:r>
      <w:r w:rsidR="009D12D9">
        <w:t>29% increase). However, 2017 saw</w:t>
      </w:r>
      <w:r w:rsidR="00683067">
        <w:t xml:space="preserve"> a decrease </w:t>
      </w:r>
      <w:r w:rsidR="00BC21A2">
        <w:t xml:space="preserve">of 3.4% </w:t>
      </w:r>
      <w:r w:rsidR="00683067">
        <w:t xml:space="preserve">in participating hospitals compared to 2016 </w:t>
      </w:r>
      <w:r w:rsidR="00BC21A2">
        <w:t>(</w:t>
      </w:r>
      <w:r w:rsidR="001A2ABA">
        <w:t>Figure 1</w:t>
      </w:r>
      <w:r w:rsidR="00BC21A2">
        <w:t>)</w:t>
      </w:r>
      <w:r w:rsidR="002B7779">
        <w:t xml:space="preserve">. </w:t>
      </w:r>
      <w:r w:rsidR="00236206">
        <w:t>It is noted that a Surgical NAPS commenced in the same time period</w:t>
      </w:r>
      <w:r w:rsidR="001A2ABA">
        <w:t xml:space="preserve">. </w:t>
      </w:r>
      <w:r w:rsidR="00D825AF">
        <w:t xml:space="preserve">Further analysis of the participation in </w:t>
      </w:r>
      <w:r w:rsidR="00D722B9">
        <w:t xml:space="preserve">both of </w:t>
      </w:r>
      <w:r w:rsidR="00D825AF">
        <w:t xml:space="preserve">these modules can be found </w:t>
      </w:r>
      <w:r w:rsidR="000675E0">
        <w:t xml:space="preserve">later </w:t>
      </w:r>
      <w:r w:rsidR="00D825AF">
        <w:t xml:space="preserve">in </w:t>
      </w:r>
      <w:r w:rsidR="000675E0">
        <w:t>this section.</w:t>
      </w:r>
      <w:r w:rsidR="006F48AC">
        <w:t xml:space="preserve"> </w:t>
      </w:r>
    </w:p>
    <w:p w14:paraId="47FBF763" w14:textId="1EBE0917" w:rsidR="00603501" w:rsidRDefault="00603501" w:rsidP="00FF5BAC">
      <w:pPr>
        <w:pStyle w:val="FigureTitle"/>
      </w:pPr>
      <w:r>
        <w:t>Figure 1</w:t>
      </w:r>
      <w:r w:rsidR="00E25C6C">
        <w:tab/>
      </w:r>
      <w:r w:rsidR="001A2ABA">
        <w:t>Number of public and private hospitals</w:t>
      </w:r>
      <w:r w:rsidR="006A3DB9">
        <w:t xml:space="preserve"> that have contributed to Hospital NAPS</w:t>
      </w:r>
      <w:r w:rsidR="001A2ABA">
        <w:t>, 2013</w:t>
      </w:r>
      <w:r w:rsidR="006A3DB9">
        <w:t>–</w:t>
      </w:r>
      <w:r w:rsidR="001A2ABA">
        <w:t>2017</w:t>
      </w:r>
    </w:p>
    <w:p w14:paraId="062381DE" w14:textId="2045E704" w:rsidR="00D36C3A" w:rsidRDefault="00D36C3A" w:rsidP="00FF5BAC">
      <w:pPr>
        <w:pStyle w:val="FigureTitle"/>
      </w:pPr>
      <w:r>
        <w:rPr>
          <w:noProof/>
        </w:rPr>
        <w:drawing>
          <wp:inline distT="0" distB="0" distL="0" distR="0" wp14:anchorId="34BC54A1" wp14:editId="1AF72117">
            <wp:extent cx="5829300" cy="30480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4E6B41" w14:textId="2EA04267" w:rsidR="008B155B" w:rsidRDefault="008B155B" w:rsidP="00603501"/>
    <w:p w14:paraId="637571BB" w14:textId="77777777" w:rsidR="009C2539" w:rsidRDefault="009C2539" w:rsidP="00956066">
      <w:pPr>
        <w:spacing w:after="0"/>
      </w:pPr>
    </w:p>
    <w:p w14:paraId="6922ACE1" w14:textId="4BF3E652" w:rsidR="00111E31" w:rsidRDefault="00111E31" w:rsidP="002C0380">
      <w:r w:rsidRPr="00111E31">
        <w:t xml:space="preserve">Approximately one third of all eligible public (33.5%) and private (29.1%) hospitals participated in the 2017 Hospital NAPS, and all Australian states and territories were represented. </w:t>
      </w:r>
      <w:r w:rsidR="005A170C">
        <w:t xml:space="preserve">Principal referral hospitals had the highest participation rate (93.3%) and contributed 32.6% of all prescriptions. </w:t>
      </w:r>
    </w:p>
    <w:p w14:paraId="6DDBED35" w14:textId="3C2133B7" w:rsidR="005A170C" w:rsidRDefault="002C0380" w:rsidP="002C0380">
      <w:r w:rsidRPr="00FF133A">
        <w:t>Details of hospital participation by state and remoteness classification are presented in Table 1</w:t>
      </w:r>
      <w:r w:rsidRPr="00B6541B">
        <w:t>.</w:t>
      </w:r>
      <w:r>
        <w:t xml:space="preserve"> </w:t>
      </w:r>
    </w:p>
    <w:p w14:paraId="2B98F9F6" w14:textId="2927F148" w:rsidR="002C0380" w:rsidRDefault="002C0380" w:rsidP="002C0380">
      <w:r w:rsidRPr="00340CA0">
        <w:t xml:space="preserve">There was </w:t>
      </w:r>
      <w:r w:rsidR="00683067">
        <w:t>participation</w:t>
      </w:r>
      <w:r w:rsidRPr="00340CA0">
        <w:t xml:space="preserve"> from public hospitals across all remoteness classifications</w:t>
      </w:r>
      <w:r w:rsidR="00854AAC">
        <w:t>;</w:t>
      </w:r>
      <w:r w:rsidR="00432277">
        <w:t xml:space="preserve"> </w:t>
      </w:r>
      <w:r w:rsidR="00236206">
        <w:t xml:space="preserve">however, </w:t>
      </w:r>
      <w:r w:rsidR="00854AAC">
        <w:t xml:space="preserve">contributors were </w:t>
      </w:r>
      <w:r w:rsidR="00432277">
        <w:t>predominantly from hospitals in major cities (56%) and inner regional areas (41.8%)</w:t>
      </w:r>
      <w:r w:rsidR="00DD7B7D">
        <w:t xml:space="preserve">. </w:t>
      </w:r>
      <w:r w:rsidR="00DD7B7D" w:rsidRPr="00340CA0">
        <w:t>Most private hospitals in Australia are located in major cities, with none being clas</w:t>
      </w:r>
      <w:r w:rsidR="00DD7B7D">
        <w:t>sified as remote or very remote</w:t>
      </w:r>
      <w:r w:rsidR="00854AAC" w:rsidRPr="00FF133A">
        <w:t xml:space="preserve">. </w:t>
      </w:r>
      <w:r w:rsidR="00236206">
        <w:t>Participation by</w:t>
      </w:r>
      <w:r w:rsidR="00854AAC" w:rsidRPr="00FF133A">
        <w:t xml:space="preserve"> private hospitals by remoteness classification </w:t>
      </w:r>
      <w:r w:rsidR="00AB00A7" w:rsidRPr="00FF133A">
        <w:t>rang</w:t>
      </w:r>
      <w:r w:rsidR="00432277" w:rsidRPr="00FF133A">
        <w:t>ed</w:t>
      </w:r>
      <w:r w:rsidR="00AB00A7" w:rsidRPr="00FF133A">
        <w:t xml:space="preserve"> from 27.1</w:t>
      </w:r>
      <w:r w:rsidRPr="00FF133A">
        <w:t>% to 3</w:t>
      </w:r>
      <w:r w:rsidR="00AB00A7" w:rsidRPr="00FF133A">
        <w:t>1.3</w:t>
      </w:r>
      <w:r w:rsidRPr="00FF133A">
        <w:t>%.</w:t>
      </w:r>
      <w:r w:rsidRPr="00340CA0">
        <w:t xml:space="preserve"> </w:t>
      </w:r>
      <w:r w:rsidR="00247AE6">
        <w:t>Table 2 shows the corresponding data arranged by peer group.</w:t>
      </w:r>
    </w:p>
    <w:p w14:paraId="26BA22D8" w14:textId="77777777" w:rsidR="0061011A" w:rsidRPr="00247AE6" w:rsidRDefault="0061011A" w:rsidP="00247AE6">
      <w:pPr>
        <w:spacing w:after="80"/>
        <w:rPr>
          <w:b/>
        </w:rPr>
        <w:sectPr w:rsidR="0061011A" w:rsidRPr="00247AE6" w:rsidSect="00956066">
          <w:headerReference w:type="default" r:id="rId18"/>
          <w:footerReference w:type="default" r:id="rId19"/>
          <w:footerReference w:type="first" r:id="rId20"/>
          <w:pgSz w:w="11906" w:h="16838"/>
          <w:pgMar w:top="1134" w:right="1134" w:bottom="1134" w:left="1134" w:header="708" w:footer="708" w:gutter="0"/>
          <w:cols w:space="708"/>
          <w:docGrid w:linePitch="360"/>
        </w:sectPr>
      </w:pPr>
      <w:bookmarkStart w:id="18" w:name="_Toc447006701"/>
      <w:bookmarkStart w:id="19" w:name="_Toc447006718"/>
      <w:bookmarkStart w:id="20" w:name="_Toc460597406"/>
      <w:r>
        <w:br w:type="page"/>
      </w:r>
    </w:p>
    <w:p w14:paraId="4DD76F17" w14:textId="00B7B733" w:rsidR="00900A0A" w:rsidRDefault="00900A0A" w:rsidP="007A459F">
      <w:pPr>
        <w:pStyle w:val="FigureTitle"/>
      </w:pPr>
      <w:r w:rsidRPr="00340CA0">
        <w:lastRenderedPageBreak/>
        <w:t xml:space="preserve">Table </w:t>
      </w:r>
      <w:r w:rsidRPr="00340CA0">
        <w:rPr>
          <w:noProof/>
        </w:rPr>
        <w:t>1</w:t>
      </w:r>
      <w:r w:rsidR="00557374">
        <w:rPr>
          <w:noProof/>
        </w:rPr>
        <w:t xml:space="preserve">: </w:t>
      </w:r>
      <w:r w:rsidR="006A3DB9">
        <w:t>P</w:t>
      </w:r>
      <w:r>
        <w:t xml:space="preserve">ublic and private </w:t>
      </w:r>
      <w:r w:rsidRPr="00340CA0">
        <w:t>hospitals</w:t>
      </w:r>
      <w:r w:rsidR="006A3DB9">
        <w:t xml:space="preserve"> that contributed to Hospital NAPS</w:t>
      </w:r>
      <w:r w:rsidRPr="00340CA0">
        <w:t xml:space="preserve"> by state</w:t>
      </w:r>
      <w:r>
        <w:t>,</w:t>
      </w:r>
      <w:r w:rsidR="00620F92">
        <w:t xml:space="preserve"> territory, and</w:t>
      </w:r>
      <w:r w:rsidRPr="00340CA0">
        <w:t xml:space="preserve"> remoteness</w:t>
      </w:r>
      <w:r w:rsidR="00854AAC">
        <w:t xml:space="preserve"> area</w:t>
      </w:r>
      <w:r>
        <w:t>, 2017</w:t>
      </w:r>
      <w:r w:rsidRPr="00340CA0">
        <w:t xml:space="preserve"> </w:t>
      </w:r>
    </w:p>
    <w:tbl>
      <w:tblPr>
        <w:tblW w:w="14034" w:type="dxa"/>
        <w:tblInd w:w="108" w:type="dxa"/>
        <w:tblLayout w:type="fixed"/>
        <w:tblLook w:val="04A0" w:firstRow="1" w:lastRow="0" w:firstColumn="1" w:lastColumn="0" w:noHBand="0" w:noVBand="1"/>
      </w:tblPr>
      <w:tblGrid>
        <w:gridCol w:w="1418"/>
        <w:gridCol w:w="1417"/>
        <w:gridCol w:w="1134"/>
        <w:gridCol w:w="1883"/>
        <w:gridCol w:w="1883"/>
        <w:gridCol w:w="1763"/>
        <w:gridCol w:w="1281"/>
        <w:gridCol w:w="136"/>
        <w:gridCol w:w="1701"/>
        <w:gridCol w:w="1418"/>
      </w:tblGrid>
      <w:tr w:rsidR="00620F92" w:rsidRPr="0061011A" w14:paraId="69E253ED" w14:textId="77777777" w:rsidTr="00956066">
        <w:trPr>
          <w:trHeight w:val="333"/>
        </w:trPr>
        <w:tc>
          <w:tcPr>
            <w:tcW w:w="2835" w:type="dxa"/>
            <w:gridSpan w:val="2"/>
            <w:vMerge w:val="restart"/>
            <w:tcBorders>
              <w:top w:val="nil"/>
              <w:left w:val="nil"/>
              <w:bottom w:val="nil"/>
              <w:right w:val="nil"/>
            </w:tcBorders>
            <w:shd w:val="clear" w:color="000000" w:fill="808080"/>
            <w:vAlign w:val="center"/>
            <w:hideMark/>
          </w:tcPr>
          <w:p w14:paraId="5CCDAF27" w14:textId="77777777" w:rsidR="00620F92" w:rsidRPr="0061011A" w:rsidRDefault="00620F92" w:rsidP="0061011A">
            <w:pPr>
              <w:spacing w:after="0"/>
              <w:jc w:val="center"/>
              <w:rPr>
                <w:rFonts w:ascii="Arial" w:hAnsi="Arial" w:cs="Arial"/>
                <w:b/>
                <w:bCs/>
                <w:color w:val="FFFFFF"/>
                <w:sz w:val="20"/>
                <w:szCs w:val="20"/>
              </w:rPr>
            </w:pPr>
            <w:r w:rsidRPr="0061011A">
              <w:rPr>
                <w:rFonts w:ascii="Arial" w:hAnsi="Arial" w:cs="Arial"/>
                <w:b/>
                <w:bCs/>
                <w:color w:val="FFFFFF"/>
                <w:sz w:val="20"/>
                <w:szCs w:val="20"/>
              </w:rPr>
              <w:t>Participating hospitals</w:t>
            </w:r>
          </w:p>
        </w:tc>
        <w:tc>
          <w:tcPr>
            <w:tcW w:w="1134" w:type="dxa"/>
            <w:vMerge w:val="restart"/>
            <w:tcBorders>
              <w:top w:val="nil"/>
              <w:left w:val="nil"/>
              <w:bottom w:val="nil"/>
              <w:right w:val="nil"/>
            </w:tcBorders>
            <w:shd w:val="clear" w:color="000000" w:fill="808080"/>
            <w:noWrap/>
            <w:vAlign w:val="center"/>
            <w:hideMark/>
          </w:tcPr>
          <w:p w14:paraId="59C5574A" w14:textId="77777777" w:rsidR="00620F92" w:rsidRPr="0061011A" w:rsidRDefault="00620F92" w:rsidP="0061011A">
            <w:pPr>
              <w:spacing w:after="0"/>
              <w:jc w:val="center"/>
              <w:rPr>
                <w:rFonts w:ascii="Arial" w:hAnsi="Arial" w:cs="Arial"/>
                <w:color w:val="FFFFFF"/>
                <w:sz w:val="18"/>
                <w:szCs w:val="18"/>
              </w:rPr>
            </w:pPr>
            <w:r w:rsidRPr="0061011A">
              <w:rPr>
                <w:rFonts w:ascii="Arial" w:hAnsi="Arial" w:cs="Arial"/>
                <w:color w:val="FFFFFF"/>
                <w:sz w:val="18"/>
                <w:szCs w:val="18"/>
              </w:rPr>
              <w:t>Funding type</w:t>
            </w:r>
          </w:p>
        </w:tc>
        <w:tc>
          <w:tcPr>
            <w:tcW w:w="1883" w:type="dxa"/>
            <w:vMerge w:val="restart"/>
            <w:tcBorders>
              <w:top w:val="nil"/>
              <w:left w:val="nil"/>
              <w:bottom w:val="nil"/>
              <w:right w:val="nil"/>
            </w:tcBorders>
            <w:shd w:val="clear" w:color="000000" w:fill="808080"/>
            <w:noWrap/>
            <w:vAlign w:val="center"/>
            <w:hideMark/>
          </w:tcPr>
          <w:p w14:paraId="02B28FD9" w14:textId="7084FABA" w:rsidR="00620F92" w:rsidRPr="0061011A" w:rsidRDefault="00620F92" w:rsidP="00062E45">
            <w:pPr>
              <w:spacing w:after="0"/>
              <w:jc w:val="center"/>
              <w:rPr>
                <w:rFonts w:ascii="Arial" w:hAnsi="Arial" w:cs="Arial"/>
                <w:color w:val="FFFFFF"/>
                <w:sz w:val="18"/>
                <w:szCs w:val="18"/>
              </w:rPr>
            </w:pPr>
            <w:bookmarkStart w:id="21" w:name="RANGE!E2"/>
            <w:r w:rsidRPr="0061011A">
              <w:rPr>
                <w:rFonts w:ascii="Arial" w:hAnsi="Arial" w:cs="Arial"/>
                <w:color w:val="FFFFFF"/>
                <w:sz w:val="18"/>
                <w:szCs w:val="18"/>
              </w:rPr>
              <w:t xml:space="preserve">Number </w:t>
            </w:r>
            <w:r>
              <w:rPr>
                <w:rFonts w:ascii="Arial" w:hAnsi="Arial" w:cs="Arial"/>
                <w:color w:val="FFFFFF"/>
                <w:sz w:val="18"/>
                <w:szCs w:val="18"/>
              </w:rPr>
              <w:t xml:space="preserve">of </w:t>
            </w:r>
            <w:r w:rsidRPr="0061011A">
              <w:rPr>
                <w:rFonts w:ascii="Arial" w:hAnsi="Arial" w:cs="Arial"/>
                <w:color w:val="FFFFFF"/>
                <w:sz w:val="18"/>
                <w:szCs w:val="18"/>
              </w:rPr>
              <w:t xml:space="preserve">participating </w:t>
            </w:r>
            <w:r>
              <w:rPr>
                <w:rFonts w:ascii="Arial" w:hAnsi="Arial" w:cs="Arial"/>
                <w:color w:val="FFFFFF"/>
                <w:sz w:val="18"/>
                <w:szCs w:val="18"/>
              </w:rPr>
              <w:t>hospital</w:t>
            </w:r>
            <w:r w:rsidR="00062E45">
              <w:rPr>
                <w:rFonts w:ascii="Arial" w:hAnsi="Arial" w:cs="Arial"/>
                <w:color w:val="FFFFFF"/>
                <w:sz w:val="18"/>
                <w:szCs w:val="18"/>
              </w:rPr>
              <w:t>s (n)</w:t>
            </w:r>
            <w:r>
              <w:rPr>
                <w:rFonts w:ascii="Arial" w:hAnsi="Arial" w:cs="Arial"/>
                <w:color w:val="FFFFFF"/>
                <w:sz w:val="18"/>
                <w:szCs w:val="18"/>
              </w:rPr>
              <w:t xml:space="preserve"> </w:t>
            </w:r>
          </w:p>
        </w:tc>
        <w:bookmarkEnd w:id="21"/>
        <w:tc>
          <w:tcPr>
            <w:tcW w:w="1883" w:type="dxa"/>
            <w:vMerge w:val="restart"/>
            <w:tcBorders>
              <w:top w:val="nil"/>
              <w:left w:val="nil"/>
              <w:bottom w:val="nil"/>
              <w:right w:val="nil"/>
            </w:tcBorders>
            <w:shd w:val="clear" w:color="000000" w:fill="808080"/>
            <w:vAlign w:val="center"/>
          </w:tcPr>
          <w:p w14:paraId="174522C5" w14:textId="6C88D088" w:rsidR="00620F92" w:rsidRPr="00695D8A" w:rsidRDefault="00620F92" w:rsidP="00695D8A">
            <w:pPr>
              <w:spacing w:after="0"/>
              <w:jc w:val="center"/>
              <w:rPr>
                <w:rFonts w:ascii="Arial" w:hAnsi="Arial" w:cs="Arial"/>
                <w:color w:val="FFFFFF"/>
                <w:sz w:val="18"/>
                <w:szCs w:val="18"/>
              </w:rPr>
            </w:pPr>
            <w:r>
              <w:rPr>
                <w:rFonts w:ascii="Arial" w:hAnsi="Arial" w:cs="Arial"/>
                <w:color w:val="FFFFFF"/>
                <w:sz w:val="18"/>
                <w:szCs w:val="18"/>
              </w:rPr>
              <w:t xml:space="preserve">Number of hospitals in reporting </w:t>
            </w:r>
            <w:r w:rsidRPr="0061011A">
              <w:rPr>
                <w:rFonts w:ascii="Arial" w:hAnsi="Arial" w:cs="Arial"/>
                <w:color w:val="FFFFFF"/>
                <w:sz w:val="18"/>
                <w:szCs w:val="18"/>
              </w:rPr>
              <w:t>group</w:t>
            </w:r>
            <w:r w:rsidR="00695D8A">
              <w:rPr>
                <w:rFonts w:ascii="Arial" w:hAnsi="Arial" w:cs="Arial"/>
                <w:color w:val="FFFFFF"/>
                <w:sz w:val="18"/>
                <w:szCs w:val="18"/>
                <w:vertAlign w:val="superscript"/>
              </w:rPr>
              <w:t>*</w:t>
            </w:r>
            <w:r w:rsidR="00062E45">
              <w:rPr>
                <w:rFonts w:ascii="Arial" w:hAnsi="Arial" w:cs="Arial"/>
                <w:color w:val="FFFFFF"/>
                <w:sz w:val="18"/>
                <w:szCs w:val="18"/>
              </w:rPr>
              <w:t>(n)</w:t>
            </w:r>
          </w:p>
        </w:tc>
        <w:tc>
          <w:tcPr>
            <w:tcW w:w="1763" w:type="dxa"/>
            <w:vMerge w:val="restart"/>
            <w:tcBorders>
              <w:top w:val="nil"/>
              <w:left w:val="nil"/>
              <w:bottom w:val="nil"/>
              <w:right w:val="single" w:sz="12" w:space="0" w:color="FFFFFF" w:themeColor="background1"/>
            </w:tcBorders>
            <w:shd w:val="clear" w:color="000000" w:fill="808080"/>
            <w:noWrap/>
            <w:vAlign w:val="center"/>
            <w:hideMark/>
          </w:tcPr>
          <w:p w14:paraId="5253961E" w14:textId="7E4F2D4F" w:rsidR="00620F92" w:rsidRPr="0061011A" w:rsidRDefault="00620F92" w:rsidP="00062E45">
            <w:pPr>
              <w:spacing w:after="0"/>
              <w:jc w:val="center"/>
              <w:rPr>
                <w:rFonts w:ascii="Arial" w:hAnsi="Arial" w:cs="Arial"/>
                <w:color w:val="FFFFFF"/>
                <w:sz w:val="18"/>
                <w:szCs w:val="18"/>
              </w:rPr>
            </w:pPr>
            <w:r w:rsidRPr="0061011A">
              <w:rPr>
                <w:rFonts w:ascii="Arial" w:hAnsi="Arial" w:cs="Arial"/>
                <w:color w:val="FFFFFF"/>
                <w:sz w:val="18"/>
                <w:szCs w:val="18"/>
              </w:rPr>
              <w:t>Percent participation</w:t>
            </w:r>
            <w:r w:rsidR="00062E45">
              <w:rPr>
                <w:rFonts w:ascii="Arial" w:hAnsi="Arial" w:cs="Arial"/>
                <w:color w:val="FFFFFF"/>
                <w:sz w:val="18"/>
                <w:szCs w:val="18"/>
              </w:rPr>
              <w:t xml:space="preserve"> (%)</w:t>
            </w:r>
          </w:p>
        </w:tc>
        <w:tc>
          <w:tcPr>
            <w:tcW w:w="1417" w:type="dxa"/>
            <w:gridSpan w:val="2"/>
            <w:vMerge w:val="restart"/>
            <w:tcBorders>
              <w:top w:val="nil"/>
              <w:left w:val="single" w:sz="12" w:space="0" w:color="FFFFFF" w:themeColor="background1"/>
              <w:bottom w:val="nil"/>
              <w:right w:val="nil"/>
            </w:tcBorders>
            <w:shd w:val="clear" w:color="000000" w:fill="808080"/>
            <w:noWrap/>
            <w:vAlign w:val="center"/>
            <w:hideMark/>
          </w:tcPr>
          <w:p w14:paraId="6BB2D05E" w14:textId="7FB57D2E" w:rsidR="00620F92" w:rsidRPr="0061011A" w:rsidRDefault="00620F92" w:rsidP="00561D6E">
            <w:pPr>
              <w:spacing w:after="0"/>
              <w:jc w:val="center"/>
              <w:rPr>
                <w:rFonts w:ascii="Arial" w:hAnsi="Arial" w:cs="Arial"/>
                <w:color w:val="FFFFFF"/>
                <w:sz w:val="18"/>
                <w:szCs w:val="18"/>
              </w:rPr>
            </w:pPr>
            <w:r w:rsidRPr="0061011A">
              <w:rPr>
                <w:rFonts w:ascii="Arial" w:hAnsi="Arial" w:cs="Arial"/>
                <w:color w:val="FFFFFF"/>
                <w:sz w:val="18"/>
                <w:szCs w:val="18"/>
              </w:rPr>
              <w:t xml:space="preserve">Number </w:t>
            </w:r>
            <w:r>
              <w:rPr>
                <w:rFonts w:ascii="Arial" w:hAnsi="Arial" w:cs="Arial"/>
                <w:color w:val="FFFFFF"/>
                <w:sz w:val="18"/>
                <w:szCs w:val="18"/>
              </w:rPr>
              <w:t xml:space="preserve">of </w:t>
            </w:r>
            <w:r w:rsidRPr="0061011A">
              <w:rPr>
                <w:rFonts w:ascii="Arial" w:hAnsi="Arial" w:cs="Arial"/>
                <w:color w:val="FFFFFF"/>
                <w:sz w:val="18"/>
                <w:szCs w:val="18"/>
              </w:rPr>
              <w:t xml:space="preserve">participating </w:t>
            </w:r>
            <w:r>
              <w:rPr>
                <w:rFonts w:ascii="Arial" w:hAnsi="Arial" w:cs="Arial"/>
                <w:color w:val="FFFFFF"/>
                <w:sz w:val="18"/>
                <w:szCs w:val="18"/>
              </w:rPr>
              <w:t>hospitals</w:t>
            </w:r>
            <w:r w:rsidR="00062E45">
              <w:rPr>
                <w:rFonts w:ascii="Arial" w:hAnsi="Arial" w:cs="Arial"/>
                <w:color w:val="FFFFFF"/>
                <w:sz w:val="18"/>
                <w:szCs w:val="18"/>
              </w:rPr>
              <w:t xml:space="preserve"> (n) </w:t>
            </w:r>
            <w:r>
              <w:rPr>
                <w:rFonts w:ascii="Arial" w:hAnsi="Arial" w:cs="Arial"/>
                <w:color w:val="FFFFFF"/>
                <w:sz w:val="18"/>
                <w:szCs w:val="18"/>
              </w:rPr>
              <w:t xml:space="preserve"> </w:t>
            </w:r>
          </w:p>
        </w:tc>
        <w:tc>
          <w:tcPr>
            <w:tcW w:w="1701" w:type="dxa"/>
            <w:vMerge w:val="restart"/>
            <w:tcBorders>
              <w:top w:val="nil"/>
              <w:left w:val="nil"/>
              <w:bottom w:val="nil"/>
              <w:right w:val="nil"/>
            </w:tcBorders>
            <w:shd w:val="clear" w:color="000000" w:fill="808080"/>
            <w:vAlign w:val="center"/>
          </w:tcPr>
          <w:p w14:paraId="45F08D53" w14:textId="70905900" w:rsidR="00620F92" w:rsidRPr="0061011A" w:rsidRDefault="00620F92" w:rsidP="00854AAC">
            <w:pPr>
              <w:spacing w:after="0"/>
              <w:jc w:val="center"/>
              <w:rPr>
                <w:rFonts w:ascii="Arial" w:hAnsi="Arial" w:cs="Arial"/>
                <w:color w:val="FFFFFF"/>
                <w:sz w:val="18"/>
                <w:szCs w:val="18"/>
              </w:rPr>
            </w:pPr>
            <w:r>
              <w:rPr>
                <w:rFonts w:ascii="Arial" w:hAnsi="Arial" w:cs="Arial"/>
                <w:color w:val="FFFFFF"/>
                <w:sz w:val="18"/>
                <w:szCs w:val="18"/>
              </w:rPr>
              <w:t xml:space="preserve">Number of hospitals in reporting </w:t>
            </w:r>
            <w:r w:rsidRPr="0061011A">
              <w:rPr>
                <w:rFonts w:ascii="Arial" w:hAnsi="Arial" w:cs="Arial"/>
                <w:color w:val="FFFFFF"/>
                <w:sz w:val="18"/>
                <w:szCs w:val="18"/>
              </w:rPr>
              <w:t>group</w:t>
            </w:r>
            <w:r w:rsidR="00854AAC">
              <w:rPr>
                <w:rFonts w:ascii="Arial" w:hAnsi="Arial" w:cs="Arial"/>
                <w:color w:val="FFFFFF"/>
                <w:sz w:val="18"/>
                <w:szCs w:val="18"/>
                <w:vertAlign w:val="superscript"/>
              </w:rPr>
              <w:t>*</w:t>
            </w:r>
            <w:r w:rsidR="00062E45">
              <w:rPr>
                <w:rFonts w:ascii="Arial" w:hAnsi="Arial" w:cs="Arial"/>
                <w:color w:val="FFFFFF"/>
                <w:sz w:val="18"/>
                <w:szCs w:val="18"/>
                <w:vertAlign w:val="superscript"/>
              </w:rPr>
              <w:t xml:space="preserve"> </w:t>
            </w:r>
            <w:r w:rsidR="00062E45">
              <w:rPr>
                <w:rFonts w:ascii="Arial" w:hAnsi="Arial" w:cs="Arial"/>
                <w:color w:val="FFFFFF"/>
                <w:sz w:val="18"/>
                <w:szCs w:val="18"/>
              </w:rPr>
              <w:t>(n)</w:t>
            </w:r>
          </w:p>
        </w:tc>
        <w:tc>
          <w:tcPr>
            <w:tcW w:w="1418" w:type="dxa"/>
            <w:vMerge w:val="restart"/>
            <w:tcBorders>
              <w:top w:val="nil"/>
              <w:left w:val="nil"/>
              <w:bottom w:val="nil"/>
              <w:right w:val="nil"/>
            </w:tcBorders>
            <w:shd w:val="clear" w:color="000000" w:fill="808080"/>
            <w:noWrap/>
            <w:vAlign w:val="center"/>
            <w:hideMark/>
          </w:tcPr>
          <w:p w14:paraId="386A87A3" w14:textId="7969288A" w:rsidR="00620F92" w:rsidRPr="0061011A" w:rsidRDefault="00620F92" w:rsidP="0061011A">
            <w:pPr>
              <w:spacing w:after="0"/>
              <w:jc w:val="center"/>
              <w:rPr>
                <w:rFonts w:ascii="Arial" w:hAnsi="Arial" w:cs="Arial"/>
                <w:color w:val="FFFFFF"/>
                <w:sz w:val="18"/>
                <w:szCs w:val="18"/>
              </w:rPr>
            </w:pPr>
            <w:r w:rsidRPr="0061011A">
              <w:rPr>
                <w:rFonts w:ascii="Arial" w:hAnsi="Arial" w:cs="Arial"/>
                <w:color w:val="FFFFFF"/>
                <w:sz w:val="18"/>
                <w:szCs w:val="18"/>
              </w:rPr>
              <w:t xml:space="preserve">Total percent </w:t>
            </w:r>
            <w:proofErr w:type="gramStart"/>
            <w:r w:rsidRPr="0061011A">
              <w:rPr>
                <w:rFonts w:ascii="Arial" w:hAnsi="Arial" w:cs="Arial"/>
                <w:color w:val="FFFFFF"/>
                <w:sz w:val="18"/>
                <w:szCs w:val="18"/>
              </w:rPr>
              <w:t>participation</w:t>
            </w:r>
            <w:r w:rsidR="00062E45">
              <w:rPr>
                <w:rFonts w:ascii="Arial" w:hAnsi="Arial" w:cs="Arial"/>
                <w:color w:val="FFFFFF"/>
                <w:sz w:val="18"/>
                <w:szCs w:val="18"/>
              </w:rPr>
              <w:t xml:space="preserve">  (</w:t>
            </w:r>
            <w:proofErr w:type="gramEnd"/>
            <w:r w:rsidR="00062E45">
              <w:rPr>
                <w:rFonts w:ascii="Arial" w:hAnsi="Arial" w:cs="Arial"/>
                <w:color w:val="FFFFFF"/>
                <w:sz w:val="18"/>
                <w:szCs w:val="18"/>
              </w:rPr>
              <w:t>%)</w:t>
            </w:r>
            <w:r w:rsidRPr="0061011A">
              <w:rPr>
                <w:rFonts w:ascii="Arial" w:hAnsi="Arial" w:cs="Arial"/>
                <w:color w:val="FFFFFF"/>
                <w:sz w:val="18"/>
                <w:szCs w:val="18"/>
              </w:rPr>
              <w:t xml:space="preserve"> </w:t>
            </w:r>
          </w:p>
        </w:tc>
      </w:tr>
      <w:tr w:rsidR="00620F92" w:rsidRPr="0061011A" w14:paraId="4E768154" w14:textId="77777777" w:rsidTr="00956066">
        <w:trPr>
          <w:trHeight w:val="333"/>
        </w:trPr>
        <w:tc>
          <w:tcPr>
            <w:tcW w:w="2835" w:type="dxa"/>
            <w:gridSpan w:val="2"/>
            <w:vMerge/>
            <w:tcBorders>
              <w:top w:val="nil"/>
              <w:left w:val="nil"/>
              <w:bottom w:val="nil"/>
              <w:right w:val="nil"/>
            </w:tcBorders>
            <w:vAlign w:val="center"/>
            <w:hideMark/>
          </w:tcPr>
          <w:p w14:paraId="2ABA9187" w14:textId="77777777" w:rsidR="00620F92" w:rsidRPr="0061011A" w:rsidRDefault="00620F92" w:rsidP="0061011A">
            <w:pPr>
              <w:spacing w:after="0"/>
              <w:rPr>
                <w:rFonts w:ascii="Arial" w:hAnsi="Arial" w:cs="Arial"/>
                <w:b/>
                <w:bCs/>
                <w:color w:val="FFFFFF"/>
                <w:sz w:val="20"/>
                <w:szCs w:val="20"/>
              </w:rPr>
            </w:pPr>
          </w:p>
        </w:tc>
        <w:tc>
          <w:tcPr>
            <w:tcW w:w="1134" w:type="dxa"/>
            <w:vMerge/>
            <w:tcBorders>
              <w:top w:val="nil"/>
              <w:left w:val="nil"/>
              <w:bottom w:val="nil"/>
              <w:right w:val="nil"/>
            </w:tcBorders>
            <w:vAlign w:val="center"/>
            <w:hideMark/>
          </w:tcPr>
          <w:p w14:paraId="526DA722" w14:textId="77777777" w:rsidR="00620F92" w:rsidRPr="0061011A" w:rsidRDefault="00620F92" w:rsidP="0061011A">
            <w:pPr>
              <w:spacing w:after="0"/>
              <w:rPr>
                <w:rFonts w:ascii="Arial" w:hAnsi="Arial" w:cs="Arial"/>
                <w:color w:val="FFFFFF"/>
                <w:sz w:val="18"/>
                <w:szCs w:val="18"/>
              </w:rPr>
            </w:pPr>
          </w:p>
        </w:tc>
        <w:tc>
          <w:tcPr>
            <w:tcW w:w="1883" w:type="dxa"/>
            <w:vMerge/>
            <w:tcBorders>
              <w:top w:val="nil"/>
              <w:left w:val="nil"/>
              <w:bottom w:val="nil"/>
              <w:right w:val="nil"/>
            </w:tcBorders>
            <w:vAlign w:val="center"/>
            <w:hideMark/>
          </w:tcPr>
          <w:p w14:paraId="53B19AF1" w14:textId="77777777" w:rsidR="00620F92" w:rsidRPr="0061011A" w:rsidRDefault="00620F92" w:rsidP="0061011A">
            <w:pPr>
              <w:spacing w:after="0"/>
              <w:rPr>
                <w:rFonts w:ascii="Arial" w:hAnsi="Arial" w:cs="Arial"/>
                <w:color w:val="FFFFFF"/>
                <w:sz w:val="18"/>
                <w:szCs w:val="18"/>
              </w:rPr>
            </w:pPr>
          </w:p>
        </w:tc>
        <w:tc>
          <w:tcPr>
            <w:tcW w:w="1883" w:type="dxa"/>
            <w:vMerge/>
            <w:tcBorders>
              <w:top w:val="nil"/>
              <w:left w:val="nil"/>
              <w:bottom w:val="nil"/>
              <w:right w:val="nil"/>
            </w:tcBorders>
            <w:vAlign w:val="center"/>
          </w:tcPr>
          <w:p w14:paraId="5F91F65A" w14:textId="77777777" w:rsidR="00620F92" w:rsidRPr="0061011A" w:rsidRDefault="00620F92" w:rsidP="0061011A">
            <w:pPr>
              <w:spacing w:after="0"/>
              <w:rPr>
                <w:rFonts w:ascii="Arial" w:hAnsi="Arial" w:cs="Arial"/>
                <w:color w:val="FFFFFF"/>
                <w:sz w:val="18"/>
                <w:szCs w:val="18"/>
              </w:rPr>
            </w:pPr>
          </w:p>
        </w:tc>
        <w:tc>
          <w:tcPr>
            <w:tcW w:w="1763" w:type="dxa"/>
            <w:vMerge/>
            <w:tcBorders>
              <w:top w:val="nil"/>
              <w:left w:val="nil"/>
              <w:bottom w:val="nil"/>
              <w:right w:val="single" w:sz="12" w:space="0" w:color="FFFFFF" w:themeColor="background1"/>
            </w:tcBorders>
            <w:vAlign w:val="center"/>
            <w:hideMark/>
          </w:tcPr>
          <w:p w14:paraId="7DA4BCA0" w14:textId="77777777" w:rsidR="00620F92" w:rsidRPr="0061011A" w:rsidRDefault="00620F92" w:rsidP="0061011A">
            <w:pPr>
              <w:spacing w:after="0"/>
              <w:rPr>
                <w:rFonts w:ascii="Arial" w:hAnsi="Arial" w:cs="Arial"/>
                <w:color w:val="FFFFFF"/>
                <w:sz w:val="18"/>
                <w:szCs w:val="18"/>
              </w:rPr>
            </w:pPr>
          </w:p>
        </w:tc>
        <w:tc>
          <w:tcPr>
            <w:tcW w:w="1417" w:type="dxa"/>
            <w:gridSpan w:val="2"/>
            <w:vMerge/>
            <w:tcBorders>
              <w:top w:val="nil"/>
              <w:left w:val="single" w:sz="12" w:space="0" w:color="FFFFFF" w:themeColor="background1"/>
              <w:right w:val="nil"/>
            </w:tcBorders>
            <w:vAlign w:val="center"/>
            <w:hideMark/>
          </w:tcPr>
          <w:p w14:paraId="33E52F7A" w14:textId="77777777" w:rsidR="00620F92" w:rsidRPr="0061011A" w:rsidRDefault="00620F92" w:rsidP="0061011A">
            <w:pPr>
              <w:spacing w:after="0"/>
              <w:rPr>
                <w:rFonts w:ascii="Arial" w:hAnsi="Arial" w:cs="Arial"/>
                <w:color w:val="FFFFFF"/>
                <w:sz w:val="18"/>
                <w:szCs w:val="18"/>
              </w:rPr>
            </w:pPr>
          </w:p>
        </w:tc>
        <w:tc>
          <w:tcPr>
            <w:tcW w:w="1701" w:type="dxa"/>
            <w:vMerge/>
            <w:tcBorders>
              <w:top w:val="nil"/>
              <w:left w:val="nil"/>
              <w:right w:val="nil"/>
            </w:tcBorders>
            <w:vAlign w:val="center"/>
          </w:tcPr>
          <w:p w14:paraId="7A5B1DC7" w14:textId="77777777" w:rsidR="00620F92" w:rsidRPr="0061011A" w:rsidRDefault="00620F92" w:rsidP="0061011A">
            <w:pPr>
              <w:spacing w:after="0"/>
              <w:rPr>
                <w:rFonts w:ascii="Arial" w:hAnsi="Arial" w:cs="Arial"/>
                <w:color w:val="FFFFFF"/>
                <w:sz w:val="18"/>
                <w:szCs w:val="18"/>
              </w:rPr>
            </w:pPr>
          </w:p>
        </w:tc>
        <w:tc>
          <w:tcPr>
            <w:tcW w:w="1418" w:type="dxa"/>
            <w:vMerge/>
            <w:tcBorders>
              <w:top w:val="nil"/>
              <w:left w:val="nil"/>
              <w:right w:val="nil"/>
            </w:tcBorders>
            <w:vAlign w:val="center"/>
            <w:hideMark/>
          </w:tcPr>
          <w:p w14:paraId="14925FEB" w14:textId="77777777" w:rsidR="00620F92" w:rsidRPr="0061011A" w:rsidRDefault="00620F92" w:rsidP="0061011A">
            <w:pPr>
              <w:spacing w:after="0"/>
              <w:rPr>
                <w:rFonts w:ascii="Arial" w:hAnsi="Arial" w:cs="Arial"/>
                <w:color w:val="FFFFFF"/>
                <w:sz w:val="18"/>
                <w:szCs w:val="18"/>
              </w:rPr>
            </w:pPr>
          </w:p>
        </w:tc>
      </w:tr>
      <w:tr w:rsidR="0061011A" w:rsidRPr="0061011A" w14:paraId="65DFFC6B" w14:textId="77777777" w:rsidTr="00956066">
        <w:trPr>
          <w:trHeight w:val="227"/>
        </w:trPr>
        <w:tc>
          <w:tcPr>
            <w:tcW w:w="1418" w:type="dxa"/>
            <w:tcBorders>
              <w:top w:val="single" w:sz="12" w:space="0" w:color="FFFFFF" w:themeColor="background1"/>
              <w:left w:val="nil"/>
              <w:bottom w:val="nil"/>
              <w:right w:val="nil"/>
            </w:tcBorders>
            <w:shd w:val="clear" w:color="000000" w:fill="808080"/>
            <w:vAlign w:val="center"/>
            <w:hideMark/>
          </w:tcPr>
          <w:p w14:paraId="334C4DE1" w14:textId="77777777" w:rsidR="0061011A" w:rsidRPr="0061011A" w:rsidRDefault="0061011A" w:rsidP="0061011A">
            <w:pPr>
              <w:spacing w:after="0"/>
              <w:jc w:val="both"/>
              <w:rPr>
                <w:rFonts w:ascii="Arial" w:hAnsi="Arial" w:cs="Arial"/>
                <w:color w:val="FFFFFF"/>
                <w:sz w:val="18"/>
                <w:szCs w:val="18"/>
              </w:rPr>
            </w:pPr>
            <w:r w:rsidRPr="0061011A">
              <w:rPr>
                <w:rFonts w:ascii="Arial" w:hAnsi="Arial" w:cs="Arial"/>
                <w:color w:val="FFFFFF"/>
                <w:sz w:val="18"/>
                <w:szCs w:val="18"/>
              </w:rPr>
              <w:t> </w:t>
            </w:r>
          </w:p>
        </w:tc>
        <w:tc>
          <w:tcPr>
            <w:tcW w:w="1417" w:type="dxa"/>
            <w:vMerge w:val="restart"/>
            <w:tcBorders>
              <w:top w:val="nil"/>
              <w:left w:val="nil"/>
              <w:right w:val="nil"/>
            </w:tcBorders>
            <w:shd w:val="clear" w:color="auto" w:fill="FFFFFF" w:themeFill="background1"/>
            <w:vAlign w:val="center"/>
            <w:hideMark/>
          </w:tcPr>
          <w:p w14:paraId="11548CD4" w14:textId="77777777" w:rsidR="0061011A" w:rsidRPr="0061011A" w:rsidRDefault="0061011A" w:rsidP="00FF133A">
            <w:pPr>
              <w:spacing w:after="0"/>
              <w:rPr>
                <w:rFonts w:ascii="Arial" w:hAnsi="Arial" w:cs="Arial"/>
                <w:color w:val="000000"/>
                <w:sz w:val="16"/>
                <w:szCs w:val="16"/>
              </w:rPr>
            </w:pPr>
            <w:r w:rsidRPr="0061011A">
              <w:rPr>
                <w:rFonts w:ascii="Arial" w:hAnsi="Arial" w:cs="Arial"/>
                <w:color w:val="000000"/>
                <w:sz w:val="16"/>
                <w:szCs w:val="16"/>
              </w:rPr>
              <w:t>NSW</w:t>
            </w:r>
          </w:p>
        </w:tc>
        <w:tc>
          <w:tcPr>
            <w:tcW w:w="1134" w:type="dxa"/>
            <w:tcBorders>
              <w:top w:val="nil"/>
              <w:left w:val="nil"/>
              <w:bottom w:val="single" w:sz="2" w:space="0" w:color="808080" w:themeColor="background1" w:themeShade="80"/>
              <w:right w:val="nil"/>
            </w:tcBorders>
            <w:shd w:val="clear" w:color="auto" w:fill="FFFFFF" w:themeFill="background1"/>
            <w:noWrap/>
            <w:vAlign w:val="center"/>
            <w:hideMark/>
          </w:tcPr>
          <w:p w14:paraId="73AB5D8E" w14:textId="77777777" w:rsidR="0061011A" w:rsidRPr="0061011A" w:rsidRDefault="0061011A" w:rsidP="0061011A">
            <w:pPr>
              <w:spacing w:after="0"/>
              <w:rPr>
                <w:rFonts w:ascii="Arial" w:hAnsi="Arial" w:cs="Arial"/>
                <w:color w:val="000000"/>
                <w:sz w:val="16"/>
                <w:szCs w:val="16"/>
              </w:rPr>
            </w:pPr>
            <w:r w:rsidRPr="0061011A">
              <w:rPr>
                <w:rFonts w:ascii="Arial" w:hAnsi="Arial" w:cs="Arial"/>
                <w:color w:val="000000"/>
                <w:sz w:val="16"/>
                <w:szCs w:val="16"/>
              </w:rPr>
              <w:t>Public</w:t>
            </w:r>
          </w:p>
        </w:tc>
        <w:tc>
          <w:tcPr>
            <w:tcW w:w="1883" w:type="dxa"/>
            <w:tcBorders>
              <w:top w:val="nil"/>
              <w:left w:val="nil"/>
              <w:bottom w:val="single" w:sz="2" w:space="0" w:color="808080" w:themeColor="background1" w:themeShade="80"/>
              <w:right w:val="nil"/>
            </w:tcBorders>
            <w:shd w:val="clear" w:color="auto" w:fill="FFFFFF" w:themeFill="background1"/>
            <w:noWrap/>
            <w:vAlign w:val="center"/>
            <w:hideMark/>
          </w:tcPr>
          <w:p w14:paraId="103107CD" w14:textId="77777777" w:rsidR="0061011A" w:rsidRPr="0061011A" w:rsidRDefault="0061011A" w:rsidP="00332142">
            <w:pPr>
              <w:spacing w:after="0"/>
              <w:jc w:val="center"/>
              <w:rPr>
                <w:rFonts w:ascii="Arial" w:hAnsi="Arial" w:cs="Arial"/>
                <w:color w:val="333333"/>
                <w:sz w:val="16"/>
                <w:szCs w:val="16"/>
              </w:rPr>
            </w:pPr>
            <w:r w:rsidRPr="0061011A">
              <w:rPr>
                <w:rFonts w:ascii="Arial" w:hAnsi="Arial" w:cs="Arial"/>
                <w:color w:val="333333"/>
                <w:sz w:val="16"/>
                <w:szCs w:val="16"/>
              </w:rPr>
              <w:t>81</w:t>
            </w:r>
          </w:p>
        </w:tc>
        <w:tc>
          <w:tcPr>
            <w:tcW w:w="1883" w:type="dxa"/>
            <w:tcBorders>
              <w:top w:val="nil"/>
              <w:left w:val="nil"/>
              <w:bottom w:val="single" w:sz="2" w:space="0" w:color="808080" w:themeColor="background1" w:themeShade="80"/>
              <w:right w:val="nil"/>
            </w:tcBorders>
            <w:shd w:val="clear" w:color="auto" w:fill="FFFFFF" w:themeFill="background1"/>
            <w:noWrap/>
            <w:vAlign w:val="center"/>
            <w:hideMark/>
          </w:tcPr>
          <w:p w14:paraId="4404F6A6" w14:textId="77777777" w:rsidR="0061011A" w:rsidRPr="0061011A" w:rsidRDefault="0061011A" w:rsidP="00332142">
            <w:pPr>
              <w:spacing w:after="0"/>
              <w:jc w:val="center"/>
              <w:rPr>
                <w:rFonts w:ascii="Arial" w:hAnsi="Arial" w:cs="Arial"/>
                <w:color w:val="000000"/>
                <w:sz w:val="16"/>
                <w:szCs w:val="16"/>
              </w:rPr>
            </w:pPr>
            <w:r w:rsidRPr="0061011A">
              <w:rPr>
                <w:rFonts w:ascii="Arial" w:hAnsi="Arial" w:cs="Arial"/>
                <w:color w:val="000000"/>
                <w:sz w:val="16"/>
                <w:szCs w:val="16"/>
              </w:rPr>
              <w:t>215</w:t>
            </w:r>
          </w:p>
        </w:tc>
        <w:tc>
          <w:tcPr>
            <w:tcW w:w="1763" w:type="dxa"/>
            <w:tcBorders>
              <w:top w:val="nil"/>
              <w:left w:val="nil"/>
              <w:bottom w:val="single" w:sz="2" w:space="0" w:color="808080" w:themeColor="background1" w:themeShade="80"/>
              <w:right w:val="single" w:sz="12" w:space="0" w:color="808080" w:themeColor="background1" w:themeShade="80"/>
            </w:tcBorders>
            <w:shd w:val="clear" w:color="auto" w:fill="FFFFFF" w:themeFill="background1"/>
            <w:noWrap/>
            <w:vAlign w:val="center"/>
            <w:hideMark/>
          </w:tcPr>
          <w:p w14:paraId="0D771A78" w14:textId="39385011" w:rsidR="0061011A" w:rsidRPr="0061011A" w:rsidRDefault="0061011A" w:rsidP="00332142">
            <w:pPr>
              <w:spacing w:after="0"/>
              <w:jc w:val="center"/>
              <w:rPr>
                <w:rFonts w:ascii="Arial" w:hAnsi="Arial" w:cs="Arial"/>
                <w:color w:val="000000"/>
                <w:sz w:val="16"/>
                <w:szCs w:val="16"/>
              </w:rPr>
            </w:pPr>
            <w:r w:rsidRPr="0061011A">
              <w:rPr>
                <w:rFonts w:ascii="Arial" w:hAnsi="Arial" w:cs="Arial"/>
                <w:color w:val="000000"/>
                <w:sz w:val="16"/>
                <w:szCs w:val="16"/>
              </w:rPr>
              <w:t>37.7</w:t>
            </w:r>
          </w:p>
        </w:tc>
        <w:tc>
          <w:tcPr>
            <w:tcW w:w="1281" w:type="dxa"/>
            <w:vMerge w:val="restart"/>
            <w:tcBorders>
              <w:left w:val="single" w:sz="12" w:space="0" w:color="808080" w:themeColor="background1" w:themeShade="80"/>
              <w:right w:val="nil"/>
            </w:tcBorders>
            <w:shd w:val="clear" w:color="auto" w:fill="FFFFFF" w:themeFill="background1"/>
            <w:noWrap/>
            <w:vAlign w:val="center"/>
            <w:hideMark/>
          </w:tcPr>
          <w:p w14:paraId="2D3F311B" w14:textId="77777777" w:rsidR="0061011A" w:rsidRPr="0061011A" w:rsidRDefault="0061011A" w:rsidP="00332142">
            <w:pPr>
              <w:spacing w:after="0"/>
              <w:jc w:val="center"/>
              <w:rPr>
                <w:rFonts w:ascii="Arial" w:hAnsi="Arial" w:cs="Arial"/>
                <w:color w:val="000000"/>
                <w:sz w:val="16"/>
                <w:szCs w:val="16"/>
              </w:rPr>
            </w:pPr>
            <w:r w:rsidRPr="0061011A">
              <w:rPr>
                <w:rFonts w:ascii="Arial" w:hAnsi="Arial" w:cs="Arial"/>
                <w:color w:val="000000"/>
                <w:sz w:val="16"/>
                <w:szCs w:val="16"/>
              </w:rPr>
              <w:t>112</w:t>
            </w:r>
          </w:p>
        </w:tc>
        <w:tc>
          <w:tcPr>
            <w:tcW w:w="1837" w:type="dxa"/>
            <w:gridSpan w:val="2"/>
            <w:vMerge w:val="restart"/>
            <w:tcBorders>
              <w:left w:val="nil"/>
              <w:right w:val="nil"/>
            </w:tcBorders>
            <w:shd w:val="clear" w:color="auto" w:fill="FFFFFF" w:themeFill="background1"/>
            <w:vAlign w:val="center"/>
            <w:hideMark/>
          </w:tcPr>
          <w:p w14:paraId="6C4BA588" w14:textId="77777777" w:rsidR="0061011A" w:rsidRPr="0061011A" w:rsidRDefault="0061011A" w:rsidP="00332142">
            <w:pPr>
              <w:spacing w:after="0"/>
              <w:jc w:val="center"/>
              <w:rPr>
                <w:rFonts w:ascii="Arial" w:hAnsi="Arial" w:cs="Arial"/>
                <w:color w:val="000000"/>
                <w:sz w:val="16"/>
                <w:szCs w:val="16"/>
              </w:rPr>
            </w:pPr>
            <w:r w:rsidRPr="0061011A">
              <w:rPr>
                <w:rFonts w:ascii="Arial" w:hAnsi="Arial" w:cs="Arial"/>
                <w:color w:val="000000"/>
                <w:sz w:val="16"/>
                <w:szCs w:val="16"/>
              </w:rPr>
              <w:t>318</w:t>
            </w:r>
          </w:p>
        </w:tc>
        <w:tc>
          <w:tcPr>
            <w:tcW w:w="1418" w:type="dxa"/>
            <w:vMerge w:val="restart"/>
            <w:tcBorders>
              <w:left w:val="nil"/>
              <w:right w:val="nil"/>
            </w:tcBorders>
            <w:shd w:val="clear" w:color="auto" w:fill="FFFFFF" w:themeFill="background1"/>
            <w:vAlign w:val="center"/>
            <w:hideMark/>
          </w:tcPr>
          <w:p w14:paraId="2D1A529C" w14:textId="40645C8A" w:rsidR="0061011A" w:rsidRPr="0061011A" w:rsidRDefault="0061011A" w:rsidP="00332142">
            <w:pPr>
              <w:spacing w:after="0"/>
              <w:jc w:val="center"/>
              <w:rPr>
                <w:rFonts w:ascii="Arial" w:hAnsi="Arial" w:cs="Arial"/>
                <w:color w:val="000000"/>
                <w:sz w:val="16"/>
                <w:szCs w:val="16"/>
              </w:rPr>
            </w:pPr>
            <w:r w:rsidRPr="0061011A">
              <w:rPr>
                <w:rFonts w:ascii="Arial" w:hAnsi="Arial" w:cs="Arial"/>
                <w:color w:val="000000"/>
                <w:sz w:val="16"/>
                <w:szCs w:val="16"/>
              </w:rPr>
              <w:t>35.2</w:t>
            </w:r>
          </w:p>
        </w:tc>
      </w:tr>
      <w:tr w:rsidR="0061011A" w:rsidRPr="0061011A" w14:paraId="047EAB00" w14:textId="77777777" w:rsidTr="00956066">
        <w:trPr>
          <w:trHeight w:val="227"/>
        </w:trPr>
        <w:tc>
          <w:tcPr>
            <w:tcW w:w="1418" w:type="dxa"/>
            <w:tcBorders>
              <w:top w:val="nil"/>
              <w:left w:val="nil"/>
              <w:bottom w:val="nil"/>
              <w:right w:val="nil"/>
            </w:tcBorders>
            <w:shd w:val="clear" w:color="000000" w:fill="808080"/>
            <w:vAlign w:val="center"/>
            <w:hideMark/>
          </w:tcPr>
          <w:p w14:paraId="5CE3753A" w14:textId="77777777" w:rsidR="0061011A" w:rsidRPr="0061011A" w:rsidRDefault="0061011A" w:rsidP="0061011A">
            <w:pPr>
              <w:spacing w:after="0"/>
              <w:jc w:val="both"/>
              <w:rPr>
                <w:rFonts w:ascii="Arial" w:hAnsi="Arial" w:cs="Arial"/>
                <w:color w:val="FFFFFF"/>
                <w:sz w:val="18"/>
                <w:szCs w:val="18"/>
              </w:rPr>
            </w:pPr>
            <w:r w:rsidRPr="0061011A">
              <w:rPr>
                <w:rFonts w:ascii="Arial" w:hAnsi="Arial" w:cs="Arial"/>
                <w:color w:val="FFFFFF"/>
                <w:sz w:val="18"/>
                <w:szCs w:val="18"/>
              </w:rPr>
              <w:t> </w:t>
            </w:r>
          </w:p>
        </w:tc>
        <w:tc>
          <w:tcPr>
            <w:tcW w:w="1417" w:type="dxa"/>
            <w:vMerge/>
            <w:tcBorders>
              <w:left w:val="nil"/>
              <w:right w:val="nil"/>
            </w:tcBorders>
            <w:vAlign w:val="center"/>
            <w:hideMark/>
          </w:tcPr>
          <w:p w14:paraId="1D15228A" w14:textId="77777777" w:rsidR="0061011A" w:rsidRPr="0061011A" w:rsidRDefault="0061011A">
            <w:pPr>
              <w:spacing w:after="0"/>
              <w:rPr>
                <w:rFonts w:ascii="Arial" w:hAnsi="Arial" w:cs="Arial"/>
                <w:color w:val="000000"/>
                <w:sz w:val="16"/>
                <w:szCs w:val="16"/>
              </w:rPr>
            </w:pPr>
          </w:p>
        </w:tc>
        <w:tc>
          <w:tcPr>
            <w:tcW w:w="1134" w:type="dxa"/>
            <w:tcBorders>
              <w:top w:val="single" w:sz="2" w:space="0" w:color="808080" w:themeColor="background1" w:themeShade="80"/>
              <w:left w:val="nil"/>
              <w:right w:val="nil"/>
            </w:tcBorders>
            <w:shd w:val="clear" w:color="auto" w:fill="FFFFFF" w:themeFill="background1"/>
            <w:noWrap/>
            <w:vAlign w:val="center"/>
            <w:hideMark/>
          </w:tcPr>
          <w:p w14:paraId="4EDAD442" w14:textId="77777777" w:rsidR="0061011A" w:rsidRPr="0061011A" w:rsidRDefault="0061011A" w:rsidP="0061011A">
            <w:pPr>
              <w:spacing w:after="0"/>
              <w:rPr>
                <w:rFonts w:ascii="Arial" w:hAnsi="Arial" w:cs="Arial"/>
                <w:color w:val="000000"/>
                <w:sz w:val="16"/>
                <w:szCs w:val="16"/>
              </w:rPr>
            </w:pPr>
            <w:r w:rsidRPr="0061011A">
              <w:rPr>
                <w:rFonts w:ascii="Arial" w:hAnsi="Arial" w:cs="Arial"/>
                <w:color w:val="000000"/>
                <w:sz w:val="16"/>
                <w:szCs w:val="16"/>
              </w:rPr>
              <w:t>Private</w:t>
            </w:r>
          </w:p>
        </w:tc>
        <w:tc>
          <w:tcPr>
            <w:tcW w:w="1883" w:type="dxa"/>
            <w:tcBorders>
              <w:top w:val="single" w:sz="2" w:space="0" w:color="808080" w:themeColor="background1" w:themeShade="80"/>
              <w:left w:val="nil"/>
              <w:right w:val="nil"/>
            </w:tcBorders>
            <w:shd w:val="clear" w:color="auto" w:fill="FFFFFF" w:themeFill="background1"/>
            <w:noWrap/>
            <w:vAlign w:val="center"/>
            <w:hideMark/>
          </w:tcPr>
          <w:p w14:paraId="3C0DD6CC" w14:textId="77777777" w:rsidR="0061011A" w:rsidRPr="0061011A" w:rsidRDefault="0061011A" w:rsidP="00332142">
            <w:pPr>
              <w:spacing w:after="0"/>
              <w:jc w:val="center"/>
              <w:rPr>
                <w:rFonts w:ascii="Arial" w:hAnsi="Arial" w:cs="Arial"/>
                <w:color w:val="333333"/>
                <w:sz w:val="16"/>
                <w:szCs w:val="16"/>
              </w:rPr>
            </w:pPr>
            <w:r w:rsidRPr="0061011A">
              <w:rPr>
                <w:rFonts w:ascii="Arial" w:hAnsi="Arial" w:cs="Arial"/>
                <w:color w:val="333333"/>
                <w:sz w:val="16"/>
                <w:szCs w:val="16"/>
              </w:rPr>
              <w:t>31</w:t>
            </w:r>
          </w:p>
        </w:tc>
        <w:tc>
          <w:tcPr>
            <w:tcW w:w="1883" w:type="dxa"/>
            <w:tcBorders>
              <w:top w:val="single" w:sz="2" w:space="0" w:color="808080" w:themeColor="background1" w:themeShade="80"/>
              <w:left w:val="nil"/>
              <w:right w:val="nil"/>
            </w:tcBorders>
            <w:shd w:val="clear" w:color="auto" w:fill="FFFFFF" w:themeFill="background1"/>
            <w:noWrap/>
            <w:vAlign w:val="center"/>
            <w:hideMark/>
          </w:tcPr>
          <w:p w14:paraId="79F61C62" w14:textId="77777777" w:rsidR="0061011A" w:rsidRPr="0061011A" w:rsidRDefault="0061011A" w:rsidP="00332142">
            <w:pPr>
              <w:spacing w:after="0"/>
              <w:jc w:val="center"/>
              <w:rPr>
                <w:rFonts w:ascii="Arial" w:hAnsi="Arial" w:cs="Arial"/>
                <w:color w:val="000000"/>
                <w:sz w:val="16"/>
                <w:szCs w:val="16"/>
              </w:rPr>
            </w:pPr>
            <w:r w:rsidRPr="0061011A">
              <w:rPr>
                <w:rFonts w:ascii="Arial" w:hAnsi="Arial" w:cs="Arial"/>
                <w:color w:val="000000"/>
                <w:sz w:val="16"/>
                <w:szCs w:val="16"/>
              </w:rPr>
              <w:t>103</w:t>
            </w:r>
          </w:p>
        </w:tc>
        <w:tc>
          <w:tcPr>
            <w:tcW w:w="1763" w:type="dxa"/>
            <w:tcBorders>
              <w:top w:val="single" w:sz="2" w:space="0" w:color="808080" w:themeColor="background1" w:themeShade="80"/>
              <w:left w:val="nil"/>
              <w:right w:val="single" w:sz="12" w:space="0" w:color="808080" w:themeColor="background1" w:themeShade="80"/>
            </w:tcBorders>
            <w:shd w:val="clear" w:color="auto" w:fill="FFFFFF" w:themeFill="background1"/>
            <w:noWrap/>
            <w:vAlign w:val="center"/>
            <w:hideMark/>
          </w:tcPr>
          <w:p w14:paraId="71ABD85B" w14:textId="653EF518" w:rsidR="0061011A" w:rsidRPr="0061011A" w:rsidRDefault="0061011A" w:rsidP="00332142">
            <w:pPr>
              <w:spacing w:after="0"/>
              <w:jc w:val="center"/>
              <w:rPr>
                <w:rFonts w:ascii="Arial" w:hAnsi="Arial" w:cs="Arial"/>
                <w:color w:val="000000"/>
                <w:sz w:val="16"/>
                <w:szCs w:val="16"/>
              </w:rPr>
            </w:pPr>
            <w:r w:rsidRPr="0061011A">
              <w:rPr>
                <w:rFonts w:ascii="Arial" w:hAnsi="Arial" w:cs="Arial"/>
                <w:color w:val="000000"/>
                <w:sz w:val="16"/>
                <w:szCs w:val="16"/>
              </w:rPr>
              <w:t>30.1</w:t>
            </w:r>
          </w:p>
        </w:tc>
        <w:tc>
          <w:tcPr>
            <w:tcW w:w="1281" w:type="dxa"/>
            <w:vMerge/>
            <w:tcBorders>
              <w:top w:val="nil"/>
              <w:left w:val="single" w:sz="12" w:space="0" w:color="808080" w:themeColor="background1" w:themeShade="80"/>
              <w:right w:val="nil"/>
            </w:tcBorders>
            <w:vAlign w:val="center"/>
            <w:hideMark/>
          </w:tcPr>
          <w:p w14:paraId="68980588" w14:textId="77777777" w:rsidR="0061011A" w:rsidRPr="0061011A" w:rsidRDefault="0061011A" w:rsidP="00332142">
            <w:pPr>
              <w:spacing w:after="0"/>
              <w:jc w:val="center"/>
              <w:rPr>
                <w:rFonts w:ascii="Arial" w:hAnsi="Arial" w:cs="Arial"/>
                <w:color w:val="000000"/>
                <w:sz w:val="16"/>
                <w:szCs w:val="16"/>
              </w:rPr>
            </w:pPr>
          </w:p>
        </w:tc>
        <w:tc>
          <w:tcPr>
            <w:tcW w:w="1837" w:type="dxa"/>
            <w:gridSpan w:val="2"/>
            <w:vMerge/>
            <w:tcBorders>
              <w:top w:val="nil"/>
              <w:left w:val="nil"/>
              <w:right w:val="nil"/>
            </w:tcBorders>
            <w:vAlign w:val="center"/>
            <w:hideMark/>
          </w:tcPr>
          <w:p w14:paraId="2B191098" w14:textId="77777777" w:rsidR="0061011A" w:rsidRPr="0061011A" w:rsidRDefault="0061011A" w:rsidP="00332142">
            <w:pPr>
              <w:spacing w:after="0"/>
              <w:jc w:val="center"/>
              <w:rPr>
                <w:rFonts w:ascii="Arial" w:hAnsi="Arial" w:cs="Arial"/>
                <w:color w:val="000000"/>
                <w:sz w:val="16"/>
                <w:szCs w:val="16"/>
              </w:rPr>
            </w:pPr>
          </w:p>
        </w:tc>
        <w:tc>
          <w:tcPr>
            <w:tcW w:w="1418" w:type="dxa"/>
            <w:vMerge/>
            <w:tcBorders>
              <w:top w:val="nil"/>
              <w:left w:val="nil"/>
              <w:right w:val="nil"/>
            </w:tcBorders>
            <w:vAlign w:val="center"/>
            <w:hideMark/>
          </w:tcPr>
          <w:p w14:paraId="7B9E570E" w14:textId="77777777" w:rsidR="0061011A" w:rsidRPr="0061011A" w:rsidRDefault="0061011A" w:rsidP="00332142">
            <w:pPr>
              <w:spacing w:after="0"/>
              <w:jc w:val="center"/>
              <w:rPr>
                <w:rFonts w:ascii="Arial" w:hAnsi="Arial" w:cs="Arial"/>
                <w:color w:val="000000"/>
                <w:sz w:val="16"/>
                <w:szCs w:val="16"/>
              </w:rPr>
            </w:pPr>
          </w:p>
        </w:tc>
      </w:tr>
      <w:tr w:rsidR="00850819" w:rsidRPr="0061011A" w14:paraId="0DC1CAEE" w14:textId="77777777" w:rsidTr="00956066">
        <w:trPr>
          <w:trHeight w:val="227"/>
        </w:trPr>
        <w:tc>
          <w:tcPr>
            <w:tcW w:w="1418" w:type="dxa"/>
            <w:tcBorders>
              <w:top w:val="nil"/>
              <w:left w:val="nil"/>
              <w:bottom w:val="nil"/>
              <w:right w:val="nil"/>
            </w:tcBorders>
            <w:shd w:val="clear" w:color="000000" w:fill="808080"/>
            <w:vAlign w:val="center"/>
          </w:tcPr>
          <w:p w14:paraId="0A72DCAB" w14:textId="77777777" w:rsidR="00850819" w:rsidRPr="0061011A" w:rsidRDefault="00850819" w:rsidP="0061011A">
            <w:pPr>
              <w:spacing w:after="0"/>
              <w:jc w:val="both"/>
              <w:rPr>
                <w:rFonts w:ascii="Arial" w:hAnsi="Arial" w:cs="Arial"/>
                <w:color w:val="FFFFFF"/>
                <w:sz w:val="18"/>
                <w:szCs w:val="18"/>
              </w:rPr>
            </w:pPr>
          </w:p>
        </w:tc>
        <w:tc>
          <w:tcPr>
            <w:tcW w:w="1417" w:type="dxa"/>
            <w:vMerge w:val="restart"/>
            <w:tcBorders>
              <w:left w:val="nil"/>
              <w:right w:val="nil"/>
            </w:tcBorders>
            <w:shd w:val="clear" w:color="auto" w:fill="D9D9D9" w:themeFill="background1" w:themeFillShade="D9"/>
            <w:vAlign w:val="center"/>
          </w:tcPr>
          <w:p w14:paraId="73885267" w14:textId="77777777" w:rsidR="00850819" w:rsidRPr="0061011A" w:rsidRDefault="00850819" w:rsidP="00FF133A">
            <w:pPr>
              <w:spacing w:after="0"/>
              <w:rPr>
                <w:rFonts w:ascii="Arial" w:hAnsi="Arial" w:cs="Arial"/>
                <w:color w:val="000000"/>
                <w:sz w:val="16"/>
                <w:szCs w:val="16"/>
              </w:rPr>
            </w:pPr>
            <w:r>
              <w:rPr>
                <w:rFonts w:ascii="Arial" w:hAnsi="Arial" w:cs="Arial"/>
                <w:color w:val="000000"/>
                <w:sz w:val="16"/>
                <w:szCs w:val="16"/>
              </w:rPr>
              <w:t>Vic</w:t>
            </w:r>
          </w:p>
        </w:tc>
        <w:tc>
          <w:tcPr>
            <w:tcW w:w="1134" w:type="dxa"/>
            <w:tcBorders>
              <w:left w:val="nil"/>
              <w:bottom w:val="single" w:sz="2" w:space="0" w:color="808080" w:themeColor="background1" w:themeShade="80"/>
              <w:right w:val="nil"/>
            </w:tcBorders>
            <w:shd w:val="clear" w:color="auto" w:fill="D9D9D9" w:themeFill="background1" w:themeFillShade="D9"/>
            <w:noWrap/>
            <w:vAlign w:val="center"/>
          </w:tcPr>
          <w:p w14:paraId="4FCE21CB" w14:textId="77777777" w:rsidR="00850819" w:rsidRPr="0061011A" w:rsidRDefault="00850819" w:rsidP="00561D6E">
            <w:pPr>
              <w:spacing w:after="0"/>
              <w:rPr>
                <w:rFonts w:ascii="Arial" w:hAnsi="Arial" w:cs="Arial"/>
                <w:color w:val="000000"/>
                <w:sz w:val="16"/>
                <w:szCs w:val="16"/>
              </w:rPr>
            </w:pPr>
            <w:r w:rsidRPr="0061011A">
              <w:rPr>
                <w:rFonts w:ascii="Arial" w:hAnsi="Arial" w:cs="Arial"/>
                <w:color w:val="000000"/>
                <w:sz w:val="16"/>
                <w:szCs w:val="16"/>
              </w:rPr>
              <w:t>Public</w:t>
            </w:r>
          </w:p>
        </w:tc>
        <w:tc>
          <w:tcPr>
            <w:tcW w:w="1883" w:type="dxa"/>
            <w:tcBorders>
              <w:left w:val="nil"/>
              <w:bottom w:val="single" w:sz="2" w:space="0" w:color="808080" w:themeColor="background1" w:themeShade="80"/>
              <w:right w:val="nil"/>
            </w:tcBorders>
            <w:shd w:val="clear" w:color="auto" w:fill="D9D9D9" w:themeFill="background1" w:themeFillShade="D9"/>
            <w:noWrap/>
            <w:vAlign w:val="center"/>
          </w:tcPr>
          <w:p w14:paraId="31F343A3" w14:textId="77777777" w:rsidR="00850819" w:rsidRPr="0061011A" w:rsidRDefault="00850819" w:rsidP="00332142">
            <w:pPr>
              <w:spacing w:after="0"/>
              <w:jc w:val="center"/>
              <w:rPr>
                <w:rFonts w:ascii="Arial" w:hAnsi="Arial" w:cs="Arial"/>
                <w:color w:val="333333"/>
                <w:sz w:val="16"/>
                <w:szCs w:val="16"/>
              </w:rPr>
            </w:pPr>
            <w:r w:rsidRPr="0061011A">
              <w:rPr>
                <w:rFonts w:ascii="Arial" w:hAnsi="Arial" w:cs="Arial"/>
                <w:color w:val="333333"/>
                <w:sz w:val="16"/>
                <w:szCs w:val="16"/>
              </w:rPr>
              <w:t>76</w:t>
            </w:r>
          </w:p>
        </w:tc>
        <w:tc>
          <w:tcPr>
            <w:tcW w:w="1883" w:type="dxa"/>
            <w:tcBorders>
              <w:left w:val="nil"/>
              <w:bottom w:val="single" w:sz="2" w:space="0" w:color="808080" w:themeColor="background1" w:themeShade="80"/>
              <w:right w:val="nil"/>
            </w:tcBorders>
            <w:shd w:val="clear" w:color="auto" w:fill="D9D9D9" w:themeFill="background1" w:themeFillShade="D9"/>
            <w:noWrap/>
            <w:vAlign w:val="center"/>
          </w:tcPr>
          <w:p w14:paraId="5C76845A"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144</w:t>
            </w:r>
          </w:p>
        </w:tc>
        <w:tc>
          <w:tcPr>
            <w:tcW w:w="1763" w:type="dxa"/>
            <w:tcBorders>
              <w:left w:val="nil"/>
              <w:bottom w:val="single" w:sz="2" w:space="0" w:color="808080" w:themeColor="background1" w:themeShade="80"/>
              <w:right w:val="single" w:sz="12" w:space="0" w:color="808080" w:themeColor="background1" w:themeShade="80"/>
            </w:tcBorders>
            <w:shd w:val="clear" w:color="auto" w:fill="D9D9D9" w:themeFill="background1" w:themeFillShade="D9"/>
            <w:noWrap/>
            <w:vAlign w:val="center"/>
          </w:tcPr>
          <w:p w14:paraId="49C05D1E" w14:textId="3B4D8731"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52.8</w:t>
            </w:r>
          </w:p>
        </w:tc>
        <w:tc>
          <w:tcPr>
            <w:tcW w:w="1281" w:type="dxa"/>
            <w:vMerge w:val="restart"/>
            <w:tcBorders>
              <w:left w:val="single" w:sz="12" w:space="0" w:color="808080" w:themeColor="background1" w:themeShade="80"/>
              <w:right w:val="nil"/>
            </w:tcBorders>
            <w:shd w:val="clear" w:color="auto" w:fill="D9D9D9" w:themeFill="background1" w:themeFillShade="D9"/>
            <w:noWrap/>
            <w:vAlign w:val="center"/>
          </w:tcPr>
          <w:p w14:paraId="73C11B5E"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94</w:t>
            </w:r>
          </w:p>
        </w:tc>
        <w:tc>
          <w:tcPr>
            <w:tcW w:w="1837" w:type="dxa"/>
            <w:gridSpan w:val="2"/>
            <w:vMerge w:val="restart"/>
            <w:tcBorders>
              <w:left w:val="nil"/>
              <w:right w:val="nil"/>
            </w:tcBorders>
            <w:shd w:val="clear" w:color="auto" w:fill="D9D9D9" w:themeFill="background1" w:themeFillShade="D9"/>
            <w:vAlign w:val="center"/>
          </w:tcPr>
          <w:p w14:paraId="5243CC53"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215</w:t>
            </w:r>
          </w:p>
        </w:tc>
        <w:tc>
          <w:tcPr>
            <w:tcW w:w="1418" w:type="dxa"/>
            <w:vMerge w:val="restart"/>
            <w:tcBorders>
              <w:left w:val="nil"/>
              <w:right w:val="nil"/>
            </w:tcBorders>
            <w:shd w:val="clear" w:color="auto" w:fill="D9D9D9" w:themeFill="background1" w:themeFillShade="D9"/>
            <w:vAlign w:val="center"/>
          </w:tcPr>
          <w:p w14:paraId="0E026AA4" w14:textId="284824BD"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43.7</w:t>
            </w:r>
          </w:p>
        </w:tc>
      </w:tr>
      <w:tr w:rsidR="00850819" w:rsidRPr="0061011A" w14:paraId="2FEB941A" w14:textId="77777777" w:rsidTr="00956066">
        <w:trPr>
          <w:trHeight w:val="227"/>
        </w:trPr>
        <w:tc>
          <w:tcPr>
            <w:tcW w:w="1418" w:type="dxa"/>
            <w:tcBorders>
              <w:top w:val="nil"/>
              <w:left w:val="nil"/>
              <w:bottom w:val="nil"/>
              <w:right w:val="nil"/>
            </w:tcBorders>
            <w:shd w:val="clear" w:color="000000" w:fill="808080"/>
            <w:vAlign w:val="center"/>
          </w:tcPr>
          <w:p w14:paraId="5E92CC86" w14:textId="77777777" w:rsidR="00850819" w:rsidRPr="0061011A" w:rsidRDefault="00850819" w:rsidP="0061011A">
            <w:pPr>
              <w:spacing w:after="0"/>
              <w:jc w:val="both"/>
              <w:rPr>
                <w:rFonts w:ascii="Arial" w:hAnsi="Arial" w:cs="Arial"/>
                <w:color w:val="FFFFFF"/>
                <w:sz w:val="18"/>
                <w:szCs w:val="18"/>
              </w:rPr>
            </w:pPr>
          </w:p>
        </w:tc>
        <w:tc>
          <w:tcPr>
            <w:tcW w:w="1417" w:type="dxa"/>
            <w:vMerge/>
            <w:tcBorders>
              <w:left w:val="nil"/>
              <w:right w:val="nil"/>
            </w:tcBorders>
            <w:shd w:val="clear" w:color="000000" w:fill="FFFFFF"/>
            <w:vAlign w:val="center"/>
          </w:tcPr>
          <w:p w14:paraId="40BD1622" w14:textId="77777777" w:rsidR="00850819" w:rsidRPr="0061011A" w:rsidRDefault="00850819" w:rsidP="005C45EA">
            <w:pPr>
              <w:spacing w:after="0"/>
              <w:rPr>
                <w:rFonts w:ascii="Arial" w:hAnsi="Arial" w:cs="Arial"/>
                <w:color w:val="000000"/>
                <w:sz w:val="16"/>
                <w:szCs w:val="16"/>
              </w:rPr>
            </w:pPr>
          </w:p>
        </w:tc>
        <w:tc>
          <w:tcPr>
            <w:tcW w:w="1134" w:type="dxa"/>
            <w:tcBorders>
              <w:top w:val="single" w:sz="2" w:space="0" w:color="808080" w:themeColor="background1" w:themeShade="80"/>
              <w:left w:val="nil"/>
              <w:right w:val="nil"/>
            </w:tcBorders>
            <w:shd w:val="clear" w:color="auto" w:fill="D9D9D9" w:themeFill="background1" w:themeFillShade="D9"/>
            <w:noWrap/>
            <w:vAlign w:val="center"/>
          </w:tcPr>
          <w:p w14:paraId="3106EDF2" w14:textId="77777777" w:rsidR="00850819" w:rsidRPr="0061011A" w:rsidRDefault="00850819" w:rsidP="00561D6E">
            <w:pPr>
              <w:spacing w:after="0"/>
              <w:rPr>
                <w:rFonts w:ascii="Arial" w:hAnsi="Arial" w:cs="Arial"/>
                <w:color w:val="000000"/>
                <w:sz w:val="16"/>
                <w:szCs w:val="16"/>
              </w:rPr>
            </w:pPr>
            <w:r w:rsidRPr="0061011A">
              <w:rPr>
                <w:rFonts w:ascii="Arial" w:hAnsi="Arial" w:cs="Arial"/>
                <w:color w:val="000000"/>
                <w:sz w:val="16"/>
                <w:szCs w:val="16"/>
              </w:rPr>
              <w:t>Private</w:t>
            </w:r>
          </w:p>
        </w:tc>
        <w:tc>
          <w:tcPr>
            <w:tcW w:w="1883" w:type="dxa"/>
            <w:tcBorders>
              <w:top w:val="single" w:sz="2" w:space="0" w:color="808080" w:themeColor="background1" w:themeShade="80"/>
              <w:left w:val="nil"/>
              <w:right w:val="nil"/>
            </w:tcBorders>
            <w:shd w:val="clear" w:color="auto" w:fill="D9D9D9" w:themeFill="background1" w:themeFillShade="D9"/>
            <w:noWrap/>
            <w:vAlign w:val="center"/>
          </w:tcPr>
          <w:p w14:paraId="71E31D5A" w14:textId="77777777" w:rsidR="00850819" w:rsidRPr="0061011A" w:rsidRDefault="00850819" w:rsidP="00332142">
            <w:pPr>
              <w:spacing w:after="0"/>
              <w:jc w:val="center"/>
              <w:rPr>
                <w:rFonts w:ascii="Arial" w:hAnsi="Arial" w:cs="Arial"/>
                <w:color w:val="333333"/>
                <w:sz w:val="16"/>
                <w:szCs w:val="16"/>
              </w:rPr>
            </w:pPr>
            <w:r w:rsidRPr="0061011A">
              <w:rPr>
                <w:rFonts w:ascii="Arial" w:hAnsi="Arial" w:cs="Arial"/>
                <w:color w:val="333333"/>
                <w:sz w:val="16"/>
                <w:szCs w:val="16"/>
              </w:rPr>
              <w:t>18</w:t>
            </w:r>
          </w:p>
        </w:tc>
        <w:tc>
          <w:tcPr>
            <w:tcW w:w="1883" w:type="dxa"/>
            <w:tcBorders>
              <w:top w:val="single" w:sz="2" w:space="0" w:color="808080" w:themeColor="background1" w:themeShade="80"/>
              <w:left w:val="nil"/>
              <w:right w:val="nil"/>
            </w:tcBorders>
            <w:shd w:val="clear" w:color="auto" w:fill="D9D9D9" w:themeFill="background1" w:themeFillShade="D9"/>
            <w:noWrap/>
            <w:vAlign w:val="center"/>
          </w:tcPr>
          <w:p w14:paraId="30E9E7A1"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71</w:t>
            </w:r>
          </w:p>
        </w:tc>
        <w:tc>
          <w:tcPr>
            <w:tcW w:w="1763" w:type="dxa"/>
            <w:tcBorders>
              <w:top w:val="single" w:sz="2" w:space="0" w:color="808080" w:themeColor="background1" w:themeShade="80"/>
              <w:left w:val="nil"/>
              <w:right w:val="single" w:sz="12" w:space="0" w:color="808080" w:themeColor="background1" w:themeShade="80"/>
            </w:tcBorders>
            <w:shd w:val="clear" w:color="auto" w:fill="D9D9D9" w:themeFill="background1" w:themeFillShade="D9"/>
            <w:noWrap/>
            <w:vAlign w:val="center"/>
          </w:tcPr>
          <w:p w14:paraId="1867CE8D" w14:textId="72B63A81"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25.4</w:t>
            </w:r>
          </w:p>
        </w:tc>
        <w:tc>
          <w:tcPr>
            <w:tcW w:w="1281" w:type="dxa"/>
            <w:vMerge/>
            <w:tcBorders>
              <w:left w:val="single" w:sz="12" w:space="0" w:color="808080" w:themeColor="background1" w:themeShade="80"/>
              <w:right w:val="nil"/>
            </w:tcBorders>
            <w:shd w:val="clear" w:color="auto" w:fill="auto"/>
            <w:noWrap/>
            <w:vAlign w:val="center"/>
          </w:tcPr>
          <w:p w14:paraId="616BC080" w14:textId="77777777" w:rsidR="00850819" w:rsidRPr="0061011A" w:rsidRDefault="00850819" w:rsidP="00332142">
            <w:pPr>
              <w:spacing w:after="0"/>
              <w:jc w:val="center"/>
              <w:rPr>
                <w:rFonts w:ascii="Arial" w:hAnsi="Arial" w:cs="Arial"/>
                <w:color w:val="000000"/>
                <w:sz w:val="16"/>
                <w:szCs w:val="16"/>
              </w:rPr>
            </w:pPr>
          </w:p>
        </w:tc>
        <w:tc>
          <w:tcPr>
            <w:tcW w:w="1837" w:type="dxa"/>
            <w:gridSpan w:val="2"/>
            <w:vMerge/>
            <w:tcBorders>
              <w:left w:val="nil"/>
              <w:right w:val="nil"/>
            </w:tcBorders>
            <w:shd w:val="clear" w:color="auto" w:fill="auto"/>
            <w:vAlign w:val="center"/>
          </w:tcPr>
          <w:p w14:paraId="7DC4E110" w14:textId="77777777" w:rsidR="00850819" w:rsidRPr="0061011A" w:rsidRDefault="00850819" w:rsidP="00332142">
            <w:pPr>
              <w:spacing w:after="0"/>
              <w:jc w:val="center"/>
              <w:rPr>
                <w:rFonts w:ascii="Arial" w:hAnsi="Arial" w:cs="Arial"/>
                <w:color w:val="000000"/>
                <w:sz w:val="16"/>
                <w:szCs w:val="16"/>
              </w:rPr>
            </w:pPr>
          </w:p>
        </w:tc>
        <w:tc>
          <w:tcPr>
            <w:tcW w:w="1418" w:type="dxa"/>
            <w:vMerge/>
            <w:tcBorders>
              <w:left w:val="nil"/>
              <w:right w:val="nil"/>
            </w:tcBorders>
            <w:shd w:val="clear" w:color="auto" w:fill="auto"/>
            <w:vAlign w:val="center"/>
          </w:tcPr>
          <w:p w14:paraId="04FB189B" w14:textId="77777777" w:rsidR="00850819" w:rsidRPr="0061011A" w:rsidRDefault="00850819" w:rsidP="00332142">
            <w:pPr>
              <w:spacing w:after="0"/>
              <w:jc w:val="center"/>
              <w:rPr>
                <w:rFonts w:ascii="Arial" w:hAnsi="Arial" w:cs="Arial"/>
                <w:color w:val="000000"/>
                <w:sz w:val="16"/>
                <w:szCs w:val="16"/>
              </w:rPr>
            </w:pPr>
          </w:p>
        </w:tc>
      </w:tr>
      <w:tr w:rsidR="00850819" w:rsidRPr="0061011A" w14:paraId="78B9B4C0" w14:textId="77777777" w:rsidTr="00956066">
        <w:trPr>
          <w:trHeight w:val="227"/>
        </w:trPr>
        <w:tc>
          <w:tcPr>
            <w:tcW w:w="1418" w:type="dxa"/>
            <w:tcBorders>
              <w:top w:val="nil"/>
              <w:left w:val="nil"/>
              <w:bottom w:val="nil"/>
              <w:right w:val="nil"/>
            </w:tcBorders>
            <w:shd w:val="clear" w:color="000000" w:fill="808080"/>
            <w:vAlign w:val="center"/>
            <w:hideMark/>
          </w:tcPr>
          <w:p w14:paraId="7B9D8035" w14:textId="77777777" w:rsidR="00850819" w:rsidRPr="0061011A" w:rsidRDefault="00850819" w:rsidP="0061011A">
            <w:pPr>
              <w:spacing w:after="0"/>
              <w:jc w:val="both"/>
              <w:rPr>
                <w:rFonts w:ascii="Arial" w:hAnsi="Arial" w:cs="Arial"/>
                <w:color w:val="FFFFFF"/>
                <w:sz w:val="18"/>
                <w:szCs w:val="18"/>
              </w:rPr>
            </w:pPr>
            <w:r w:rsidRPr="0061011A">
              <w:rPr>
                <w:rFonts w:ascii="Arial" w:hAnsi="Arial" w:cs="Arial"/>
                <w:color w:val="FFFFFF"/>
                <w:sz w:val="18"/>
                <w:szCs w:val="18"/>
              </w:rPr>
              <w:t> </w:t>
            </w:r>
          </w:p>
        </w:tc>
        <w:tc>
          <w:tcPr>
            <w:tcW w:w="1417" w:type="dxa"/>
            <w:vMerge w:val="restart"/>
            <w:tcBorders>
              <w:left w:val="nil"/>
              <w:right w:val="nil"/>
            </w:tcBorders>
            <w:shd w:val="clear" w:color="000000" w:fill="FFFFFF"/>
            <w:vAlign w:val="center"/>
          </w:tcPr>
          <w:p w14:paraId="644C7E7E" w14:textId="77777777" w:rsidR="00850819" w:rsidRPr="0061011A" w:rsidRDefault="00850819" w:rsidP="00FF133A">
            <w:pPr>
              <w:spacing w:after="0"/>
              <w:rPr>
                <w:rFonts w:ascii="Arial" w:hAnsi="Arial" w:cs="Arial"/>
                <w:color w:val="000000"/>
                <w:sz w:val="16"/>
                <w:szCs w:val="16"/>
              </w:rPr>
            </w:pPr>
            <w:r w:rsidRPr="0061011A">
              <w:rPr>
                <w:rFonts w:ascii="Arial" w:hAnsi="Arial" w:cs="Arial"/>
                <w:color w:val="000000"/>
                <w:sz w:val="16"/>
                <w:szCs w:val="16"/>
              </w:rPr>
              <w:t>Qld</w:t>
            </w:r>
          </w:p>
        </w:tc>
        <w:tc>
          <w:tcPr>
            <w:tcW w:w="1134" w:type="dxa"/>
            <w:tcBorders>
              <w:left w:val="nil"/>
              <w:bottom w:val="single" w:sz="2" w:space="0" w:color="808080" w:themeColor="background1" w:themeShade="80"/>
              <w:right w:val="nil"/>
            </w:tcBorders>
            <w:shd w:val="clear" w:color="auto" w:fill="auto"/>
            <w:noWrap/>
            <w:vAlign w:val="center"/>
          </w:tcPr>
          <w:p w14:paraId="659D90BF" w14:textId="77777777" w:rsidR="00850819" w:rsidRPr="0061011A" w:rsidRDefault="00850819" w:rsidP="00561D6E">
            <w:pPr>
              <w:spacing w:after="0"/>
              <w:rPr>
                <w:rFonts w:ascii="Arial" w:hAnsi="Arial" w:cs="Arial"/>
                <w:color w:val="000000"/>
                <w:sz w:val="16"/>
                <w:szCs w:val="16"/>
              </w:rPr>
            </w:pPr>
            <w:r w:rsidRPr="0061011A">
              <w:rPr>
                <w:rFonts w:ascii="Arial" w:hAnsi="Arial" w:cs="Arial"/>
                <w:color w:val="000000"/>
                <w:sz w:val="16"/>
                <w:szCs w:val="16"/>
              </w:rPr>
              <w:t>Public</w:t>
            </w:r>
          </w:p>
        </w:tc>
        <w:tc>
          <w:tcPr>
            <w:tcW w:w="1883" w:type="dxa"/>
            <w:tcBorders>
              <w:left w:val="nil"/>
              <w:bottom w:val="single" w:sz="2" w:space="0" w:color="808080" w:themeColor="background1" w:themeShade="80"/>
              <w:right w:val="nil"/>
            </w:tcBorders>
            <w:shd w:val="clear" w:color="auto" w:fill="auto"/>
            <w:noWrap/>
            <w:vAlign w:val="center"/>
          </w:tcPr>
          <w:p w14:paraId="68C6DB95" w14:textId="77777777" w:rsidR="00850819" w:rsidRPr="0061011A" w:rsidRDefault="00850819" w:rsidP="00332142">
            <w:pPr>
              <w:spacing w:after="0"/>
              <w:jc w:val="center"/>
              <w:rPr>
                <w:rFonts w:ascii="Arial" w:hAnsi="Arial" w:cs="Arial"/>
                <w:color w:val="333333"/>
                <w:sz w:val="16"/>
                <w:szCs w:val="16"/>
              </w:rPr>
            </w:pPr>
            <w:r w:rsidRPr="0061011A">
              <w:rPr>
                <w:rFonts w:ascii="Arial" w:hAnsi="Arial" w:cs="Arial"/>
                <w:color w:val="333333"/>
                <w:sz w:val="16"/>
                <w:szCs w:val="16"/>
              </w:rPr>
              <w:t>36</w:t>
            </w:r>
          </w:p>
        </w:tc>
        <w:tc>
          <w:tcPr>
            <w:tcW w:w="1883" w:type="dxa"/>
            <w:tcBorders>
              <w:left w:val="nil"/>
              <w:bottom w:val="single" w:sz="2" w:space="0" w:color="808080" w:themeColor="background1" w:themeShade="80"/>
              <w:right w:val="nil"/>
            </w:tcBorders>
            <w:shd w:val="clear" w:color="auto" w:fill="auto"/>
            <w:noWrap/>
            <w:vAlign w:val="center"/>
          </w:tcPr>
          <w:p w14:paraId="2FE2C80F"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123</w:t>
            </w:r>
          </w:p>
        </w:tc>
        <w:tc>
          <w:tcPr>
            <w:tcW w:w="1763" w:type="dxa"/>
            <w:tcBorders>
              <w:left w:val="nil"/>
              <w:bottom w:val="single" w:sz="2" w:space="0" w:color="808080" w:themeColor="background1" w:themeShade="80"/>
              <w:right w:val="single" w:sz="12" w:space="0" w:color="808080" w:themeColor="background1" w:themeShade="80"/>
            </w:tcBorders>
            <w:shd w:val="clear" w:color="auto" w:fill="auto"/>
            <w:noWrap/>
            <w:vAlign w:val="center"/>
          </w:tcPr>
          <w:p w14:paraId="2A21B4A1" w14:textId="53EF4A84"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29.3</w:t>
            </w:r>
          </w:p>
        </w:tc>
        <w:tc>
          <w:tcPr>
            <w:tcW w:w="1281" w:type="dxa"/>
            <w:vMerge w:val="restart"/>
            <w:tcBorders>
              <w:left w:val="single" w:sz="12" w:space="0" w:color="808080" w:themeColor="background1" w:themeShade="80"/>
              <w:right w:val="nil"/>
            </w:tcBorders>
            <w:shd w:val="clear" w:color="auto" w:fill="auto"/>
            <w:noWrap/>
            <w:vAlign w:val="center"/>
          </w:tcPr>
          <w:p w14:paraId="6A1B3B69"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52</w:t>
            </w:r>
          </w:p>
        </w:tc>
        <w:tc>
          <w:tcPr>
            <w:tcW w:w="1837" w:type="dxa"/>
            <w:gridSpan w:val="2"/>
            <w:vMerge w:val="restart"/>
            <w:tcBorders>
              <w:left w:val="nil"/>
              <w:right w:val="nil"/>
            </w:tcBorders>
            <w:shd w:val="clear" w:color="auto" w:fill="auto"/>
            <w:vAlign w:val="center"/>
          </w:tcPr>
          <w:p w14:paraId="31C30A74"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182</w:t>
            </w:r>
          </w:p>
        </w:tc>
        <w:tc>
          <w:tcPr>
            <w:tcW w:w="1418" w:type="dxa"/>
            <w:vMerge w:val="restart"/>
            <w:tcBorders>
              <w:left w:val="nil"/>
              <w:right w:val="nil"/>
            </w:tcBorders>
            <w:shd w:val="clear" w:color="auto" w:fill="auto"/>
            <w:vAlign w:val="center"/>
          </w:tcPr>
          <w:p w14:paraId="2274DFC8" w14:textId="1E0A9A20"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28.6</w:t>
            </w:r>
          </w:p>
        </w:tc>
      </w:tr>
      <w:tr w:rsidR="00850819" w:rsidRPr="0061011A" w14:paraId="00A15F0B" w14:textId="77777777" w:rsidTr="00956066">
        <w:trPr>
          <w:trHeight w:val="227"/>
        </w:trPr>
        <w:tc>
          <w:tcPr>
            <w:tcW w:w="1418" w:type="dxa"/>
            <w:tcBorders>
              <w:top w:val="nil"/>
              <w:left w:val="nil"/>
              <w:bottom w:val="nil"/>
              <w:right w:val="nil"/>
            </w:tcBorders>
            <w:shd w:val="clear" w:color="000000" w:fill="808080"/>
            <w:vAlign w:val="center"/>
            <w:hideMark/>
          </w:tcPr>
          <w:p w14:paraId="07581354" w14:textId="77777777" w:rsidR="00850819" w:rsidRPr="0061011A" w:rsidRDefault="00850819" w:rsidP="0061011A">
            <w:pPr>
              <w:spacing w:after="0"/>
              <w:jc w:val="both"/>
              <w:rPr>
                <w:rFonts w:ascii="Arial" w:hAnsi="Arial" w:cs="Arial"/>
                <w:color w:val="FFFFFF"/>
                <w:sz w:val="18"/>
                <w:szCs w:val="18"/>
              </w:rPr>
            </w:pPr>
            <w:r w:rsidRPr="0061011A">
              <w:rPr>
                <w:rFonts w:ascii="Arial" w:hAnsi="Arial" w:cs="Arial"/>
                <w:color w:val="FFFFFF"/>
                <w:sz w:val="18"/>
                <w:szCs w:val="18"/>
              </w:rPr>
              <w:t> </w:t>
            </w:r>
          </w:p>
        </w:tc>
        <w:tc>
          <w:tcPr>
            <w:tcW w:w="1417" w:type="dxa"/>
            <w:vMerge/>
            <w:tcBorders>
              <w:top w:val="nil"/>
              <w:left w:val="nil"/>
              <w:right w:val="nil"/>
            </w:tcBorders>
            <w:vAlign w:val="center"/>
            <w:hideMark/>
          </w:tcPr>
          <w:p w14:paraId="58EA2E71" w14:textId="77777777" w:rsidR="00850819" w:rsidRPr="0061011A" w:rsidRDefault="00850819">
            <w:pPr>
              <w:spacing w:after="0"/>
              <w:rPr>
                <w:rFonts w:ascii="Arial" w:hAnsi="Arial" w:cs="Arial"/>
                <w:color w:val="000000"/>
                <w:sz w:val="16"/>
                <w:szCs w:val="16"/>
              </w:rPr>
            </w:pPr>
          </w:p>
        </w:tc>
        <w:tc>
          <w:tcPr>
            <w:tcW w:w="1134" w:type="dxa"/>
            <w:tcBorders>
              <w:top w:val="single" w:sz="2" w:space="0" w:color="808080" w:themeColor="background1" w:themeShade="80"/>
              <w:left w:val="nil"/>
              <w:right w:val="nil"/>
            </w:tcBorders>
            <w:shd w:val="clear" w:color="auto" w:fill="auto"/>
            <w:noWrap/>
            <w:vAlign w:val="center"/>
          </w:tcPr>
          <w:p w14:paraId="2B049658" w14:textId="77777777" w:rsidR="00850819" w:rsidRPr="0061011A" w:rsidRDefault="00850819" w:rsidP="00561D6E">
            <w:pPr>
              <w:spacing w:after="0"/>
              <w:rPr>
                <w:rFonts w:ascii="Arial" w:hAnsi="Arial" w:cs="Arial"/>
                <w:color w:val="000000"/>
                <w:sz w:val="16"/>
                <w:szCs w:val="16"/>
              </w:rPr>
            </w:pPr>
            <w:r w:rsidRPr="0061011A">
              <w:rPr>
                <w:rFonts w:ascii="Arial" w:hAnsi="Arial" w:cs="Arial"/>
                <w:color w:val="000000"/>
                <w:sz w:val="16"/>
                <w:szCs w:val="16"/>
              </w:rPr>
              <w:t>Private</w:t>
            </w:r>
          </w:p>
        </w:tc>
        <w:tc>
          <w:tcPr>
            <w:tcW w:w="1883" w:type="dxa"/>
            <w:tcBorders>
              <w:top w:val="single" w:sz="2" w:space="0" w:color="808080" w:themeColor="background1" w:themeShade="80"/>
              <w:left w:val="nil"/>
              <w:right w:val="nil"/>
            </w:tcBorders>
            <w:shd w:val="clear" w:color="auto" w:fill="auto"/>
            <w:noWrap/>
            <w:vAlign w:val="center"/>
          </w:tcPr>
          <w:p w14:paraId="6A087A05" w14:textId="77777777" w:rsidR="00850819" w:rsidRPr="0061011A" w:rsidRDefault="00850819" w:rsidP="00332142">
            <w:pPr>
              <w:spacing w:after="0"/>
              <w:jc w:val="center"/>
              <w:rPr>
                <w:rFonts w:ascii="Arial" w:hAnsi="Arial" w:cs="Arial"/>
                <w:color w:val="333333"/>
                <w:sz w:val="16"/>
                <w:szCs w:val="16"/>
              </w:rPr>
            </w:pPr>
            <w:r w:rsidRPr="0061011A">
              <w:rPr>
                <w:rFonts w:ascii="Arial" w:hAnsi="Arial" w:cs="Arial"/>
                <w:color w:val="333333"/>
                <w:sz w:val="16"/>
                <w:szCs w:val="16"/>
              </w:rPr>
              <w:t>16</w:t>
            </w:r>
          </w:p>
        </w:tc>
        <w:tc>
          <w:tcPr>
            <w:tcW w:w="1883" w:type="dxa"/>
            <w:tcBorders>
              <w:top w:val="single" w:sz="2" w:space="0" w:color="808080" w:themeColor="background1" w:themeShade="80"/>
              <w:left w:val="nil"/>
              <w:right w:val="nil"/>
            </w:tcBorders>
            <w:shd w:val="clear" w:color="auto" w:fill="auto"/>
            <w:noWrap/>
            <w:vAlign w:val="center"/>
          </w:tcPr>
          <w:p w14:paraId="623DF9AA"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59</w:t>
            </w:r>
          </w:p>
        </w:tc>
        <w:tc>
          <w:tcPr>
            <w:tcW w:w="1763" w:type="dxa"/>
            <w:tcBorders>
              <w:top w:val="single" w:sz="2" w:space="0" w:color="808080" w:themeColor="background1" w:themeShade="80"/>
              <w:left w:val="nil"/>
              <w:right w:val="single" w:sz="12" w:space="0" w:color="808080" w:themeColor="background1" w:themeShade="80"/>
            </w:tcBorders>
            <w:shd w:val="clear" w:color="auto" w:fill="auto"/>
            <w:noWrap/>
            <w:vAlign w:val="center"/>
          </w:tcPr>
          <w:p w14:paraId="7E9FE584" w14:textId="17C76DE2"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27.1</w:t>
            </w:r>
          </w:p>
        </w:tc>
        <w:tc>
          <w:tcPr>
            <w:tcW w:w="1281" w:type="dxa"/>
            <w:vMerge/>
            <w:tcBorders>
              <w:top w:val="nil"/>
              <w:left w:val="single" w:sz="12" w:space="0" w:color="808080" w:themeColor="background1" w:themeShade="80"/>
              <w:right w:val="nil"/>
            </w:tcBorders>
            <w:vAlign w:val="center"/>
            <w:hideMark/>
          </w:tcPr>
          <w:p w14:paraId="5734F555" w14:textId="77777777" w:rsidR="00850819" w:rsidRPr="0061011A" w:rsidRDefault="00850819" w:rsidP="00332142">
            <w:pPr>
              <w:spacing w:after="0"/>
              <w:jc w:val="center"/>
              <w:rPr>
                <w:rFonts w:ascii="Arial" w:hAnsi="Arial" w:cs="Arial"/>
                <w:color w:val="000000"/>
                <w:sz w:val="16"/>
                <w:szCs w:val="16"/>
              </w:rPr>
            </w:pPr>
          </w:p>
        </w:tc>
        <w:tc>
          <w:tcPr>
            <w:tcW w:w="1837" w:type="dxa"/>
            <w:gridSpan w:val="2"/>
            <w:vMerge/>
            <w:tcBorders>
              <w:top w:val="nil"/>
              <w:left w:val="nil"/>
              <w:right w:val="nil"/>
            </w:tcBorders>
            <w:vAlign w:val="center"/>
            <w:hideMark/>
          </w:tcPr>
          <w:p w14:paraId="25B4ABCD" w14:textId="77777777" w:rsidR="00850819" w:rsidRPr="0061011A" w:rsidRDefault="00850819" w:rsidP="00332142">
            <w:pPr>
              <w:spacing w:after="0"/>
              <w:jc w:val="center"/>
              <w:rPr>
                <w:rFonts w:ascii="Arial" w:hAnsi="Arial" w:cs="Arial"/>
                <w:color w:val="000000"/>
                <w:sz w:val="16"/>
                <w:szCs w:val="16"/>
              </w:rPr>
            </w:pPr>
          </w:p>
        </w:tc>
        <w:tc>
          <w:tcPr>
            <w:tcW w:w="1418" w:type="dxa"/>
            <w:vMerge/>
            <w:tcBorders>
              <w:top w:val="nil"/>
              <w:left w:val="nil"/>
              <w:right w:val="nil"/>
            </w:tcBorders>
            <w:vAlign w:val="center"/>
            <w:hideMark/>
          </w:tcPr>
          <w:p w14:paraId="1F2F9CDC" w14:textId="77777777" w:rsidR="00850819" w:rsidRPr="0061011A" w:rsidRDefault="00850819" w:rsidP="00332142">
            <w:pPr>
              <w:spacing w:after="0"/>
              <w:jc w:val="center"/>
              <w:rPr>
                <w:rFonts w:ascii="Arial" w:hAnsi="Arial" w:cs="Arial"/>
                <w:color w:val="000000"/>
                <w:sz w:val="16"/>
                <w:szCs w:val="16"/>
              </w:rPr>
            </w:pPr>
          </w:p>
        </w:tc>
      </w:tr>
      <w:tr w:rsidR="00850819" w:rsidRPr="0061011A" w14:paraId="0E29C589" w14:textId="77777777" w:rsidTr="00956066">
        <w:trPr>
          <w:trHeight w:val="227"/>
        </w:trPr>
        <w:tc>
          <w:tcPr>
            <w:tcW w:w="1418" w:type="dxa"/>
            <w:tcBorders>
              <w:top w:val="nil"/>
              <w:left w:val="nil"/>
              <w:bottom w:val="nil"/>
              <w:right w:val="nil"/>
            </w:tcBorders>
            <w:shd w:val="clear" w:color="000000" w:fill="808080"/>
            <w:vAlign w:val="center"/>
          </w:tcPr>
          <w:p w14:paraId="49C7E889" w14:textId="77777777" w:rsidR="00850819" w:rsidRPr="0061011A" w:rsidRDefault="00850819" w:rsidP="0061011A">
            <w:pPr>
              <w:spacing w:after="0"/>
              <w:jc w:val="both"/>
              <w:rPr>
                <w:rFonts w:ascii="Arial" w:hAnsi="Arial" w:cs="Arial"/>
                <w:color w:val="FFFFFF"/>
                <w:sz w:val="18"/>
                <w:szCs w:val="18"/>
              </w:rPr>
            </w:pPr>
          </w:p>
        </w:tc>
        <w:tc>
          <w:tcPr>
            <w:tcW w:w="1417" w:type="dxa"/>
            <w:vMerge w:val="restart"/>
            <w:tcBorders>
              <w:left w:val="nil"/>
              <w:right w:val="nil"/>
            </w:tcBorders>
            <w:shd w:val="clear" w:color="auto" w:fill="D9D9D9" w:themeFill="background1" w:themeFillShade="D9"/>
            <w:vAlign w:val="center"/>
            <w:hideMark/>
          </w:tcPr>
          <w:p w14:paraId="1530AAD0" w14:textId="77777777" w:rsidR="00850819" w:rsidRPr="0061011A" w:rsidRDefault="00850819" w:rsidP="00FF133A">
            <w:pPr>
              <w:spacing w:after="0"/>
              <w:rPr>
                <w:rFonts w:ascii="Arial" w:hAnsi="Arial" w:cs="Arial"/>
                <w:color w:val="000000"/>
                <w:sz w:val="16"/>
                <w:szCs w:val="16"/>
              </w:rPr>
            </w:pPr>
            <w:r w:rsidRPr="0061011A">
              <w:rPr>
                <w:rFonts w:ascii="Arial" w:hAnsi="Arial" w:cs="Arial"/>
                <w:color w:val="000000"/>
                <w:sz w:val="16"/>
                <w:szCs w:val="16"/>
              </w:rPr>
              <w:t>SA</w:t>
            </w:r>
          </w:p>
        </w:tc>
        <w:tc>
          <w:tcPr>
            <w:tcW w:w="1134" w:type="dxa"/>
            <w:tcBorders>
              <w:left w:val="nil"/>
              <w:bottom w:val="single" w:sz="2" w:space="0" w:color="808080" w:themeColor="background1" w:themeShade="80"/>
              <w:right w:val="nil"/>
            </w:tcBorders>
            <w:shd w:val="clear" w:color="auto" w:fill="D9D9D9" w:themeFill="background1" w:themeFillShade="D9"/>
            <w:noWrap/>
            <w:vAlign w:val="center"/>
            <w:hideMark/>
          </w:tcPr>
          <w:p w14:paraId="0715A0BE" w14:textId="77777777" w:rsidR="00850819" w:rsidRPr="0061011A" w:rsidRDefault="00850819" w:rsidP="0061011A">
            <w:pPr>
              <w:spacing w:after="0"/>
              <w:rPr>
                <w:rFonts w:ascii="Arial" w:hAnsi="Arial" w:cs="Arial"/>
                <w:color w:val="000000"/>
                <w:sz w:val="16"/>
                <w:szCs w:val="16"/>
              </w:rPr>
            </w:pPr>
            <w:r w:rsidRPr="0061011A">
              <w:rPr>
                <w:rFonts w:ascii="Arial" w:hAnsi="Arial" w:cs="Arial"/>
                <w:color w:val="000000"/>
                <w:sz w:val="16"/>
                <w:szCs w:val="16"/>
              </w:rPr>
              <w:t>Public</w:t>
            </w:r>
          </w:p>
        </w:tc>
        <w:tc>
          <w:tcPr>
            <w:tcW w:w="1883" w:type="dxa"/>
            <w:tcBorders>
              <w:left w:val="nil"/>
              <w:bottom w:val="single" w:sz="2" w:space="0" w:color="808080" w:themeColor="background1" w:themeShade="80"/>
              <w:right w:val="nil"/>
            </w:tcBorders>
            <w:shd w:val="clear" w:color="auto" w:fill="D9D9D9" w:themeFill="background1" w:themeFillShade="D9"/>
            <w:noWrap/>
            <w:vAlign w:val="center"/>
            <w:hideMark/>
          </w:tcPr>
          <w:p w14:paraId="63C44ED2" w14:textId="77777777" w:rsidR="00850819" w:rsidRPr="0061011A" w:rsidRDefault="00850819" w:rsidP="00332142">
            <w:pPr>
              <w:spacing w:after="0"/>
              <w:jc w:val="center"/>
              <w:rPr>
                <w:rFonts w:ascii="Arial" w:hAnsi="Arial" w:cs="Arial"/>
                <w:color w:val="333333"/>
                <w:sz w:val="16"/>
                <w:szCs w:val="16"/>
              </w:rPr>
            </w:pPr>
            <w:r w:rsidRPr="0061011A">
              <w:rPr>
                <w:rFonts w:ascii="Arial" w:hAnsi="Arial" w:cs="Arial"/>
                <w:color w:val="333333"/>
                <w:sz w:val="16"/>
                <w:szCs w:val="16"/>
              </w:rPr>
              <w:t>5</w:t>
            </w:r>
          </w:p>
        </w:tc>
        <w:tc>
          <w:tcPr>
            <w:tcW w:w="1883" w:type="dxa"/>
            <w:tcBorders>
              <w:left w:val="nil"/>
              <w:bottom w:val="single" w:sz="2" w:space="0" w:color="808080" w:themeColor="background1" w:themeShade="80"/>
              <w:right w:val="nil"/>
            </w:tcBorders>
            <w:shd w:val="clear" w:color="auto" w:fill="D9D9D9" w:themeFill="background1" w:themeFillShade="D9"/>
            <w:noWrap/>
            <w:vAlign w:val="center"/>
            <w:hideMark/>
          </w:tcPr>
          <w:p w14:paraId="7D10B829"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77</w:t>
            </w:r>
          </w:p>
        </w:tc>
        <w:tc>
          <w:tcPr>
            <w:tcW w:w="1763" w:type="dxa"/>
            <w:tcBorders>
              <w:left w:val="nil"/>
              <w:bottom w:val="single" w:sz="2" w:space="0" w:color="808080" w:themeColor="background1" w:themeShade="80"/>
              <w:right w:val="single" w:sz="12" w:space="0" w:color="808080" w:themeColor="background1" w:themeShade="80"/>
            </w:tcBorders>
            <w:shd w:val="clear" w:color="auto" w:fill="D9D9D9" w:themeFill="background1" w:themeFillShade="D9"/>
            <w:noWrap/>
            <w:vAlign w:val="center"/>
            <w:hideMark/>
          </w:tcPr>
          <w:p w14:paraId="0575EFFD" w14:textId="58CF29AD"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6.5</w:t>
            </w:r>
          </w:p>
        </w:tc>
        <w:tc>
          <w:tcPr>
            <w:tcW w:w="1281" w:type="dxa"/>
            <w:vMerge w:val="restart"/>
            <w:tcBorders>
              <w:left w:val="single" w:sz="12" w:space="0" w:color="808080" w:themeColor="background1" w:themeShade="80"/>
              <w:right w:val="nil"/>
            </w:tcBorders>
            <w:shd w:val="clear" w:color="auto" w:fill="D9D9D9" w:themeFill="background1" w:themeFillShade="D9"/>
            <w:noWrap/>
            <w:vAlign w:val="center"/>
            <w:hideMark/>
          </w:tcPr>
          <w:p w14:paraId="18847063"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12</w:t>
            </w:r>
          </w:p>
        </w:tc>
        <w:tc>
          <w:tcPr>
            <w:tcW w:w="1837" w:type="dxa"/>
            <w:gridSpan w:val="2"/>
            <w:vMerge w:val="restart"/>
            <w:tcBorders>
              <w:left w:val="nil"/>
              <w:right w:val="nil"/>
            </w:tcBorders>
            <w:shd w:val="clear" w:color="auto" w:fill="D9D9D9" w:themeFill="background1" w:themeFillShade="D9"/>
            <w:vAlign w:val="center"/>
            <w:hideMark/>
          </w:tcPr>
          <w:p w14:paraId="2BD857A3"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105</w:t>
            </w:r>
          </w:p>
        </w:tc>
        <w:tc>
          <w:tcPr>
            <w:tcW w:w="1418" w:type="dxa"/>
            <w:vMerge w:val="restart"/>
            <w:tcBorders>
              <w:left w:val="nil"/>
              <w:right w:val="nil"/>
            </w:tcBorders>
            <w:shd w:val="clear" w:color="auto" w:fill="D9D9D9" w:themeFill="background1" w:themeFillShade="D9"/>
            <w:vAlign w:val="center"/>
            <w:hideMark/>
          </w:tcPr>
          <w:p w14:paraId="25A6E19B" w14:textId="1E7EC2FE"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11.4</w:t>
            </w:r>
          </w:p>
        </w:tc>
      </w:tr>
      <w:tr w:rsidR="00850819" w:rsidRPr="0061011A" w14:paraId="0EFC8B06" w14:textId="77777777" w:rsidTr="00956066">
        <w:trPr>
          <w:trHeight w:val="227"/>
        </w:trPr>
        <w:tc>
          <w:tcPr>
            <w:tcW w:w="1418" w:type="dxa"/>
            <w:tcBorders>
              <w:top w:val="nil"/>
              <w:left w:val="nil"/>
              <w:bottom w:val="nil"/>
              <w:right w:val="nil"/>
            </w:tcBorders>
            <w:shd w:val="clear" w:color="000000" w:fill="808080"/>
            <w:noWrap/>
            <w:vAlign w:val="center"/>
            <w:hideMark/>
          </w:tcPr>
          <w:p w14:paraId="738BE485" w14:textId="77777777" w:rsidR="00850819" w:rsidRPr="0061011A" w:rsidRDefault="00850819" w:rsidP="0061011A">
            <w:pPr>
              <w:spacing w:after="0"/>
              <w:jc w:val="both"/>
              <w:rPr>
                <w:rFonts w:ascii="Arial" w:hAnsi="Arial" w:cs="Arial"/>
                <w:color w:val="FFFFFF"/>
                <w:sz w:val="18"/>
                <w:szCs w:val="18"/>
              </w:rPr>
            </w:pPr>
            <w:r w:rsidRPr="0061011A">
              <w:rPr>
                <w:rFonts w:ascii="Arial" w:hAnsi="Arial" w:cs="Arial"/>
                <w:color w:val="FFFFFF"/>
                <w:sz w:val="18"/>
                <w:szCs w:val="18"/>
              </w:rPr>
              <w:t> </w:t>
            </w:r>
          </w:p>
        </w:tc>
        <w:tc>
          <w:tcPr>
            <w:tcW w:w="1417" w:type="dxa"/>
            <w:vMerge/>
            <w:tcBorders>
              <w:left w:val="nil"/>
              <w:right w:val="nil"/>
            </w:tcBorders>
            <w:vAlign w:val="center"/>
            <w:hideMark/>
          </w:tcPr>
          <w:p w14:paraId="58CAB4A8" w14:textId="77777777" w:rsidR="00850819" w:rsidRPr="0061011A" w:rsidRDefault="00850819">
            <w:pPr>
              <w:spacing w:after="0"/>
              <w:rPr>
                <w:rFonts w:ascii="Arial" w:hAnsi="Arial" w:cs="Arial"/>
                <w:color w:val="000000"/>
                <w:sz w:val="16"/>
                <w:szCs w:val="16"/>
              </w:rPr>
            </w:pPr>
          </w:p>
        </w:tc>
        <w:tc>
          <w:tcPr>
            <w:tcW w:w="1134" w:type="dxa"/>
            <w:tcBorders>
              <w:top w:val="single" w:sz="2" w:space="0" w:color="808080" w:themeColor="background1" w:themeShade="80"/>
              <w:left w:val="nil"/>
              <w:right w:val="nil"/>
            </w:tcBorders>
            <w:shd w:val="clear" w:color="auto" w:fill="D9D9D9" w:themeFill="background1" w:themeFillShade="D9"/>
            <w:noWrap/>
            <w:vAlign w:val="center"/>
            <w:hideMark/>
          </w:tcPr>
          <w:p w14:paraId="73817210" w14:textId="77777777" w:rsidR="00850819" w:rsidRPr="0061011A" w:rsidRDefault="00850819" w:rsidP="0061011A">
            <w:pPr>
              <w:spacing w:after="0"/>
              <w:rPr>
                <w:rFonts w:ascii="Arial" w:hAnsi="Arial" w:cs="Arial"/>
                <w:color w:val="000000"/>
                <w:sz w:val="16"/>
                <w:szCs w:val="16"/>
              </w:rPr>
            </w:pPr>
            <w:r w:rsidRPr="0061011A">
              <w:rPr>
                <w:rFonts w:ascii="Arial" w:hAnsi="Arial" w:cs="Arial"/>
                <w:color w:val="000000"/>
                <w:sz w:val="16"/>
                <w:szCs w:val="16"/>
              </w:rPr>
              <w:t>Private</w:t>
            </w:r>
          </w:p>
        </w:tc>
        <w:tc>
          <w:tcPr>
            <w:tcW w:w="1883" w:type="dxa"/>
            <w:tcBorders>
              <w:top w:val="single" w:sz="2" w:space="0" w:color="808080" w:themeColor="background1" w:themeShade="80"/>
              <w:left w:val="nil"/>
              <w:right w:val="nil"/>
            </w:tcBorders>
            <w:shd w:val="clear" w:color="auto" w:fill="D9D9D9" w:themeFill="background1" w:themeFillShade="D9"/>
            <w:noWrap/>
            <w:vAlign w:val="center"/>
            <w:hideMark/>
          </w:tcPr>
          <w:p w14:paraId="4801B245" w14:textId="77777777" w:rsidR="00850819" w:rsidRPr="0061011A" w:rsidRDefault="00850819" w:rsidP="00332142">
            <w:pPr>
              <w:spacing w:after="0"/>
              <w:jc w:val="center"/>
              <w:rPr>
                <w:rFonts w:ascii="Arial" w:hAnsi="Arial" w:cs="Arial"/>
                <w:color w:val="333333"/>
                <w:sz w:val="16"/>
                <w:szCs w:val="16"/>
              </w:rPr>
            </w:pPr>
            <w:r w:rsidRPr="0061011A">
              <w:rPr>
                <w:rFonts w:ascii="Arial" w:hAnsi="Arial" w:cs="Arial"/>
                <w:color w:val="333333"/>
                <w:sz w:val="16"/>
                <w:szCs w:val="16"/>
              </w:rPr>
              <w:t>7</w:t>
            </w:r>
          </w:p>
        </w:tc>
        <w:tc>
          <w:tcPr>
            <w:tcW w:w="1883" w:type="dxa"/>
            <w:tcBorders>
              <w:top w:val="single" w:sz="2" w:space="0" w:color="808080" w:themeColor="background1" w:themeShade="80"/>
              <w:left w:val="nil"/>
              <w:right w:val="nil"/>
            </w:tcBorders>
            <w:shd w:val="clear" w:color="auto" w:fill="D9D9D9" w:themeFill="background1" w:themeFillShade="D9"/>
            <w:noWrap/>
            <w:vAlign w:val="center"/>
            <w:hideMark/>
          </w:tcPr>
          <w:p w14:paraId="0420CE9F"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28</w:t>
            </w:r>
          </w:p>
        </w:tc>
        <w:tc>
          <w:tcPr>
            <w:tcW w:w="1763" w:type="dxa"/>
            <w:tcBorders>
              <w:top w:val="single" w:sz="2" w:space="0" w:color="808080" w:themeColor="background1" w:themeShade="80"/>
              <w:left w:val="nil"/>
              <w:right w:val="single" w:sz="12" w:space="0" w:color="808080" w:themeColor="background1" w:themeShade="80"/>
            </w:tcBorders>
            <w:shd w:val="clear" w:color="auto" w:fill="D9D9D9" w:themeFill="background1" w:themeFillShade="D9"/>
            <w:noWrap/>
            <w:vAlign w:val="center"/>
            <w:hideMark/>
          </w:tcPr>
          <w:p w14:paraId="79A35D29" w14:textId="000B4865"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25.0</w:t>
            </w:r>
          </w:p>
        </w:tc>
        <w:tc>
          <w:tcPr>
            <w:tcW w:w="1281" w:type="dxa"/>
            <w:vMerge/>
            <w:tcBorders>
              <w:top w:val="nil"/>
              <w:left w:val="single" w:sz="12" w:space="0" w:color="808080" w:themeColor="background1" w:themeShade="80"/>
              <w:right w:val="nil"/>
            </w:tcBorders>
            <w:vAlign w:val="center"/>
            <w:hideMark/>
          </w:tcPr>
          <w:p w14:paraId="0B39DEF7" w14:textId="77777777" w:rsidR="00850819" w:rsidRPr="0061011A" w:rsidRDefault="00850819" w:rsidP="00332142">
            <w:pPr>
              <w:spacing w:after="0"/>
              <w:jc w:val="center"/>
              <w:rPr>
                <w:rFonts w:ascii="Arial" w:hAnsi="Arial" w:cs="Arial"/>
                <w:color w:val="000000"/>
                <w:sz w:val="16"/>
                <w:szCs w:val="16"/>
              </w:rPr>
            </w:pPr>
          </w:p>
        </w:tc>
        <w:tc>
          <w:tcPr>
            <w:tcW w:w="1837" w:type="dxa"/>
            <w:gridSpan w:val="2"/>
            <w:vMerge/>
            <w:tcBorders>
              <w:top w:val="nil"/>
              <w:left w:val="nil"/>
              <w:right w:val="nil"/>
            </w:tcBorders>
            <w:vAlign w:val="center"/>
            <w:hideMark/>
          </w:tcPr>
          <w:p w14:paraId="462B60F4" w14:textId="77777777" w:rsidR="00850819" w:rsidRPr="0061011A" w:rsidRDefault="00850819" w:rsidP="00332142">
            <w:pPr>
              <w:spacing w:after="0"/>
              <w:jc w:val="center"/>
              <w:rPr>
                <w:rFonts w:ascii="Arial" w:hAnsi="Arial" w:cs="Arial"/>
                <w:color w:val="000000"/>
                <w:sz w:val="16"/>
                <w:szCs w:val="16"/>
              </w:rPr>
            </w:pPr>
          </w:p>
        </w:tc>
        <w:tc>
          <w:tcPr>
            <w:tcW w:w="1418" w:type="dxa"/>
            <w:vMerge/>
            <w:tcBorders>
              <w:top w:val="nil"/>
              <w:left w:val="nil"/>
              <w:right w:val="nil"/>
            </w:tcBorders>
            <w:vAlign w:val="center"/>
            <w:hideMark/>
          </w:tcPr>
          <w:p w14:paraId="09334577" w14:textId="77777777" w:rsidR="00850819" w:rsidRPr="0061011A" w:rsidRDefault="00850819" w:rsidP="00332142">
            <w:pPr>
              <w:spacing w:after="0"/>
              <w:jc w:val="center"/>
              <w:rPr>
                <w:rFonts w:ascii="Arial" w:hAnsi="Arial" w:cs="Arial"/>
                <w:color w:val="000000"/>
                <w:sz w:val="16"/>
                <w:szCs w:val="16"/>
              </w:rPr>
            </w:pPr>
          </w:p>
        </w:tc>
      </w:tr>
      <w:tr w:rsidR="00850819" w:rsidRPr="0061011A" w14:paraId="788EAE9B" w14:textId="77777777" w:rsidTr="00956066">
        <w:trPr>
          <w:trHeight w:val="227"/>
        </w:trPr>
        <w:tc>
          <w:tcPr>
            <w:tcW w:w="1418" w:type="dxa"/>
            <w:tcBorders>
              <w:top w:val="nil"/>
              <w:left w:val="nil"/>
              <w:bottom w:val="nil"/>
              <w:right w:val="nil"/>
            </w:tcBorders>
            <w:shd w:val="clear" w:color="000000" w:fill="808080"/>
            <w:noWrap/>
            <w:vAlign w:val="center"/>
          </w:tcPr>
          <w:p w14:paraId="096E1FC7" w14:textId="77777777" w:rsidR="00850819" w:rsidRPr="0061011A" w:rsidRDefault="00850819" w:rsidP="00561D6E">
            <w:pPr>
              <w:spacing w:after="0"/>
              <w:jc w:val="both"/>
              <w:rPr>
                <w:rFonts w:ascii="Arial" w:hAnsi="Arial" w:cs="Arial"/>
                <w:color w:val="FFFFFF"/>
                <w:sz w:val="18"/>
                <w:szCs w:val="18"/>
              </w:rPr>
            </w:pPr>
            <w:r w:rsidRPr="0061011A">
              <w:rPr>
                <w:rFonts w:ascii="Arial" w:hAnsi="Arial" w:cs="Arial"/>
                <w:color w:val="FFFFFF"/>
                <w:sz w:val="18"/>
                <w:szCs w:val="18"/>
              </w:rPr>
              <w:t>State or</w:t>
            </w:r>
          </w:p>
        </w:tc>
        <w:tc>
          <w:tcPr>
            <w:tcW w:w="1417" w:type="dxa"/>
            <w:vMerge w:val="restart"/>
            <w:tcBorders>
              <w:left w:val="nil"/>
              <w:right w:val="nil"/>
            </w:tcBorders>
            <w:vAlign w:val="center"/>
          </w:tcPr>
          <w:p w14:paraId="60C5CA6A" w14:textId="77777777" w:rsidR="00850819" w:rsidRPr="0061011A" w:rsidRDefault="00850819" w:rsidP="00FF133A">
            <w:pPr>
              <w:spacing w:after="0"/>
              <w:rPr>
                <w:rFonts w:ascii="Arial" w:hAnsi="Arial" w:cs="Arial"/>
                <w:color w:val="000000"/>
                <w:sz w:val="16"/>
                <w:szCs w:val="16"/>
              </w:rPr>
            </w:pPr>
            <w:r w:rsidRPr="0061011A">
              <w:rPr>
                <w:rFonts w:ascii="Arial" w:hAnsi="Arial" w:cs="Arial"/>
                <w:color w:val="000000"/>
                <w:sz w:val="16"/>
                <w:szCs w:val="16"/>
              </w:rPr>
              <w:t>WA</w:t>
            </w:r>
          </w:p>
        </w:tc>
        <w:tc>
          <w:tcPr>
            <w:tcW w:w="1134" w:type="dxa"/>
            <w:tcBorders>
              <w:left w:val="nil"/>
              <w:bottom w:val="single" w:sz="2" w:space="0" w:color="808080" w:themeColor="background1" w:themeShade="80"/>
              <w:right w:val="nil"/>
            </w:tcBorders>
            <w:shd w:val="clear" w:color="auto" w:fill="auto"/>
            <w:noWrap/>
            <w:vAlign w:val="center"/>
          </w:tcPr>
          <w:p w14:paraId="1EF33C65" w14:textId="77777777" w:rsidR="00850819" w:rsidRPr="0061011A" w:rsidRDefault="00850819" w:rsidP="00561D6E">
            <w:pPr>
              <w:spacing w:after="0"/>
              <w:rPr>
                <w:rFonts w:ascii="Arial" w:hAnsi="Arial" w:cs="Arial"/>
                <w:color w:val="000000"/>
                <w:sz w:val="16"/>
                <w:szCs w:val="16"/>
              </w:rPr>
            </w:pPr>
            <w:r w:rsidRPr="0061011A">
              <w:rPr>
                <w:rFonts w:ascii="Arial" w:hAnsi="Arial" w:cs="Arial"/>
                <w:color w:val="000000"/>
                <w:sz w:val="16"/>
                <w:szCs w:val="16"/>
              </w:rPr>
              <w:t>Public</w:t>
            </w:r>
          </w:p>
        </w:tc>
        <w:tc>
          <w:tcPr>
            <w:tcW w:w="1883" w:type="dxa"/>
            <w:tcBorders>
              <w:left w:val="nil"/>
              <w:bottom w:val="single" w:sz="2" w:space="0" w:color="808080" w:themeColor="background1" w:themeShade="80"/>
              <w:right w:val="nil"/>
            </w:tcBorders>
            <w:shd w:val="clear" w:color="auto" w:fill="auto"/>
            <w:noWrap/>
            <w:vAlign w:val="center"/>
          </w:tcPr>
          <w:p w14:paraId="7460BA24" w14:textId="77777777" w:rsidR="00850819" w:rsidRPr="0061011A" w:rsidRDefault="00850819" w:rsidP="00332142">
            <w:pPr>
              <w:spacing w:after="0"/>
              <w:jc w:val="center"/>
              <w:rPr>
                <w:rFonts w:ascii="Arial" w:hAnsi="Arial" w:cs="Arial"/>
                <w:color w:val="333333"/>
                <w:sz w:val="16"/>
                <w:szCs w:val="16"/>
              </w:rPr>
            </w:pPr>
            <w:r w:rsidRPr="0061011A">
              <w:rPr>
                <w:rFonts w:ascii="Arial" w:hAnsi="Arial" w:cs="Arial"/>
                <w:color w:val="333333"/>
                <w:sz w:val="16"/>
                <w:szCs w:val="16"/>
              </w:rPr>
              <w:t>24</w:t>
            </w:r>
          </w:p>
        </w:tc>
        <w:tc>
          <w:tcPr>
            <w:tcW w:w="1883" w:type="dxa"/>
            <w:tcBorders>
              <w:left w:val="nil"/>
              <w:bottom w:val="single" w:sz="2" w:space="0" w:color="808080" w:themeColor="background1" w:themeShade="80"/>
              <w:right w:val="nil"/>
            </w:tcBorders>
            <w:shd w:val="clear" w:color="auto" w:fill="auto"/>
            <w:noWrap/>
            <w:vAlign w:val="center"/>
          </w:tcPr>
          <w:p w14:paraId="3DD1F3E9"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91</w:t>
            </w:r>
          </w:p>
        </w:tc>
        <w:tc>
          <w:tcPr>
            <w:tcW w:w="1763" w:type="dxa"/>
            <w:tcBorders>
              <w:left w:val="nil"/>
              <w:bottom w:val="single" w:sz="2" w:space="0" w:color="808080" w:themeColor="background1" w:themeShade="80"/>
              <w:right w:val="single" w:sz="12" w:space="0" w:color="808080" w:themeColor="background1" w:themeShade="80"/>
            </w:tcBorders>
            <w:shd w:val="clear" w:color="auto" w:fill="auto"/>
            <w:noWrap/>
            <w:vAlign w:val="center"/>
          </w:tcPr>
          <w:p w14:paraId="3A86FCCC" w14:textId="4BE4EE0F"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26.4</w:t>
            </w:r>
          </w:p>
        </w:tc>
        <w:tc>
          <w:tcPr>
            <w:tcW w:w="1281" w:type="dxa"/>
            <w:vMerge w:val="restart"/>
            <w:tcBorders>
              <w:top w:val="nil"/>
              <w:left w:val="single" w:sz="12" w:space="0" w:color="808080" w:themeColor="background1" w:themeShade="80"/>
              <w:right w:val="nil"/>
            </w:tcBorders>
            <w:vAlign w:val="center"/>
          </w:tcPr>
          <w:p w14:paraId="679CFF11"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31</w:t>
            </w:r>
          </w:p>
        </w:tc>
        <w:tc>
          <w:tcPr>
            <w:tcW w:w="1837" w:type="dxa"/>
            <w:gridSpan w:val="2"/>
            <w:vMerge w:val="restart"/>
            <w:tcBorders>
              <w:top w:val="nil"/>
              <w:left w:val="nil"/>
              <w:right w:val="nil"/>
            </w:tcBorders>
            <w:vAlign w:val="center"/>
          </w:tcPr>
          <w:p w14:paraId="0CF20AAB"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114</w:t>
            </w:r>
          </w:p>
        </w:tc>
        <w:tc>
          <w:tcPr>
            <w:tcW w:w="1418" w:type="dxa"/>
            <w:vMerge w:val="restart"/>
            <w:tcBorders>
              <w:top w:val="nil"/>
              <w:left w:val="nil"/>
              <w:right w:val="nil"/>
            </w:tcBorders>
            <w:vAlign w:val="center"/>
          </w:tcPr>
          <w:p w14:paraId="3C8FED48" w14:textId="288D851A"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27.2</w:t>
            </w:r>
          </w:p>
        </w:tc>
      </w:tr>
      <w:tr w:rsidR="00850819" w:rsidRPr="0061011A" w14:paraId="5F9A29D3" w14:textId="77777777" w:rsidTr="00956066">
        <w:trPr>
          <w:trHeight w:val="227"/>
        </w:trPr>
        <w:tc>
          <w:tcPr>
            <w:tcW w:w="1418" w:type="dxa"/>
            <w:tcBorders>
              <w:top w:val="nil"/>
              <w:left w:val="nil"/>
              <w:bottom w:val="nil"/>
              <w:right w:val="nil"/>
            </w:tcBorders>
            <w:shd w:val="clear" w:color="000000" w:fill="808080"/>
            <w:noWrap/>
            <w:vAlign w:val="center"/>
          </w:tcPr>
          <w:p w14:paraId="14CD6D24" w14:textId="77777777" w:rsidR="00850819" w:rsidRPr="0061011A" w:rsidRDefault="00850819" w:rsidP="00561D6E">
            <w:pPr>
              <w:spacing w:after="0"/>
              <w:jc w:val="both"/>
              <w:rPr>
                <w:rFonts w:ascii="Arial" w:hAnsi="Arial" w:cs="Arial"/>
                <w:color w:val="FFFFFF"/>
                <w:sz w:val="18"/>
                <w:szCs w:val="18"/>
              </w:rPr>
            </w:pPr>
            <w:r w:rsidRPr="0061011A">
              <w:rPr>
                <w:rFonts w:ascii="Arial" w:hAnsi="Arial" w:cs="Arial"/>
                <w:color w:val="FFFFFF"/>
                <w:sz w:val="18"/>
                <w:szCs w:val="18"/>
              </w:rPr>
              <w:t>territory</w:t>
            </w:r>
          </w:p>
        </w:tc>
        <w:tc>
          <w:tcPr>
            <w:tcW w:w="1417" w:type="dxa"/>
            <w:vMerge/>
            <w:tcBorders>
              <w:left w:val="nil"/>
              <w:right w:val="nil"/>
            </w:tcBorders>
            <w:vAlign w:val="center"/>
          </w:tcPr>
          <w:p w14:paraId="27E0C93C" w14:textId="77777777" w:rsidR="00850819" w:rsidRPr="0061011A" w:rsidRDefault="00850819">
            <w:pPr>
              <w:spacing w:after="0"/>
              <w:rPr>
                <w:rFonts w:ascii="Arial" w:hAnsi="Arial" w:cs="Arial"/>
                <w:color w:val="000000"/>
                <w:sz w:val="16"/>
                <w:szCs w:val="16"/>
              </w:rPr>
            </w:pPr>
          </w:p>
        </w:tc>
        <w:tc>
          <w:tcPr>
            <w:tcW w:w="1134" w:type="dxa"/>
            <w:tcBorders>
              <w:top w:val="single" w:sz="2" w:space="0" w:color="808080" w:themeColor="background1" w:themeShade="80"/>
              <w:left w:val="nil"/>
              <w:right w:val="nil"/>
            </w:tcBorders>
            <w:shd w:val="clear" w:color="auto" w:fill="auto"/>
            <w:noWrap/>
            <w:vAlign w:val="center"/>
          </w:tcPr>
          <w:p w14:paraId="7594BD63" w14:textId="77777777" w:rsidR="00850819" w:rsidRPr="0061011A" w:rsidRDefault="00850819" w:rsidP="00561D6E">
            <w:pPr>
              <w:spacing w:after="0"/>
              <w:rPr>
                <w:rFonts w:ascii="Arial" w:hAnsi="Arial" w:cs="Arial"/>
                <w:color w:val="000000"/>
                <w:sz w:val="16"/>
                <w:szCs w:val="16"/>
              </w:rPr>
            </w:pPr>
            <w:r w:rsidRPr="0061011A">
              <w:rPr>
                <w:rFonts w:ascii="Arial" w:hAnsi="Arial" w:cs="Arial"/>
                <w:color w:val="000000"/>
                <w:sz w:val="16"/>
                <w:szCs w:val="16"/>
              </w:rPr>
              <w:t>Private</w:t>
            </w:r>
          </w:p>
        </w:tc>
        <w:tc>
          <w:tcPr>
            <w:tcW w:w="1883" w:type="dxa"/>
            <w:tcBorders>
              <w:top w:val="single" w:sz="2" w:space="0" w:color="808080" w:themeColor="background1" w:themeShade="80"/>
              <w:left w:val="nil"/>
              <w:right w:val="nil"/>
            </w:tcBorders>
            <w:shd w:val="clear" w:color="auto" w:fill="auto"/>
            <w:noWrap/>
            <w:vAlign w:val="center"/>
          </w:tcPr>
          <w:p w14:paraId="663280D0" w14:textId="77777777" w:rsidR="00850819" w:rsidRPr="0061011A" w:rsidRDefault="00850819" w:rsidP="00332142">
            <w:pPr>
              <w:spacing w:after="0"/>
              <w:jc w:val="center"/>
              <w:rPr>
                <w:rFonts w:ascii="Arial" w:hAnsi="Arial" w:cs="Arial"/>
                <w:color w:val="333333"/>
                <w:sz w:val="16"/>
                <w:szCs w:val="16"/>
              </w:rPr>
            </w:pPr>
            <w:r w:rsidRPr="0061011A">
              <w:rPr>
                <w:rFonts w:ascii="Arial" w:hAnsi="Arial" w:cs="Arial"/>
                <w:color w:val="333333"/>
                <w:sz w:val="16"/>
                <w:szCs w:val="16"/>
              </w:rPr>
              <w:t>7</w:t>
            </w:r>
          </w:p>
        </w:tc>
        <w:tc>
          <w:tcPr>
            <w:tcW w:w="1883" w:type="dxa"/>
            <w:tcBorders>
              <w:top w:val="single" w:sz="2" w:space="0" w:color="808080" w:themeColor="background1" w:themeShade="80"/>
              <w:left w:val="nil"/>
              <w:right w:val="nil"/>
            </w:tcBorders>
            <w:shd w:val="clear" w:color="auto" w:fill="auto"/>
            <w:noWrap/>
            <w:vAlign w:val="center"/>
          </w:tcPr>
          <w:p w14:paraId="3A84A386"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23</w:t>
            </w:r>
          </w:p>
        </w:tc>
        <w:tc>
          <w:tcPr>
            <w:tcW w:w="1763" w:type="dxa"/>
            <w:tcBorders>
              <w:top w:val="single" w:sz="2" w:space="0" w:color="808080" w:themeColor="background1" w:themeShade="80"/>
              <w:left w:val="nil"/>
              <w:right w:val="single" w:sz="12" w:space="0" w:color="808080" w:themeColor="background1" w:themeShade="80"/>
            </w:tcBorders>
            <w:shd w:val="clear" w:color="auto" w:fill="auto"/>
            <w:noWrap/>
            <w:vAlign w:val="center"/>
          </w:tcPr>
          <w:p w14:paraId="0D821E1B" w14:textId="5837FAC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30.4</w:t>
            </w:r>
          </w:p>
        </w:tc>
        <w:tc>
          <w:tcPr>
            <w:tcW w:w="1281" w:type="dxa"/>
            <w:vMerge/>
            <w:tcBorders>
              <w:left w:val="single" w:sz="12" w:space="0" w:color="808080" w:themeColor="background1" w:themeShade="80"/>
              <w:right w:val="nil"/>
            </w:tcBorders>
            <w:vAlign w:val="center"/>
          </w:tcPr>
          <w:p w14:paraId="53C99DCA" w14:textId="77777777" w:rsidR="00850819" w:rsidRPr="0061011A" w:rsidRDefault="00850819" w:rsidP="00332142">
            <w:pPr>
              <w:spacing w:after="0"/>
              <w:jc w:val="center"/>
              <w:rPr>
                <w:rFonts w:ascii="Arial" w:hAnsi="Arial" w:cs="Arial"/>
                <w:color w:val="000000"/>
                <w:sz w:val="16"/>
                <w:szCs w:val="16"/>
              </w:rPr>
            </w:pPr>
          </w:p>
        </w:tc>
        <w:tc>
          <w:tcPr>
            <w:tcW w:w="1837" w:type="dxa"/>
            <w:gridSpan w:val="2"/>
            <w:vMerge/>
            <w:tcBorders>
              <w:left w:val="nil"/>
              <w:right w:val="nil"/>
            </w:tcBorders>
            <w:vAlign w:val="center"/>
          </w:tcPr>
          <w:p w14:paraId="78B7401F" w14:textId="77777777" w:rsidR="00850819" w:rsidRPr="0061011A" w:rsidRDefault="00850819" w:rsidP="00332142">
            <w:pPr>
              <w:spacing w:after="0"/>
              <w:jc w:val="center"/>
              <w:rPr>
                <w:rFonts w:ascii="Arial" w:hAnsi="Arial" w:cs="Arial"/>
                <w:color w:val="000000"/>
                <w:sz w:val="16"/>
                <w:szCs w:val="16"/>
              </w:rPr>
            </w:pPr>
          </w:p>
        </w:tc>
        <w:tc>
          <w:tcPr>
            <w:tcW w:w="1418" w:type="dxa"/>
            <w:vMerge/>
            <w:tcBorders>
              <w:left w:val="nil"/>
              <w:right w:val="nil"/>
            </w:tcBorders>
            <w:vAlign w:val="center"/>
          </w:tcPr>
          <w:p w14:paraId="2923DB20" w14:textId="77777777" w:rsidR="00850819" w:rsidRPr="0061011A" w:rsidRDefault="00850819" w:rsidP="00332142">
            <w:pPr>
              <w:spacing w:after="0"/>
              <w:jc w:val="center"/>
              <w:rPr>
                <w:rFonts w:ascii="Arial" w:hAnsi="Arial" w:cs="Arial"/>
                <w:color w:val="000000"/>
                <w:sz w:val="16"/>
                <w:szCs w:val="16"/>
              </w:rPr>
            </w:pPr>
          </w:p>
        </w:tc>
      </w:tr>
      <w:tr w:rsidR="00850819" w:rsidRPr="0061011A" w14:paraId="6BDF45A4" w14:textId="77777777" w:rsidTr="00956066">
        <w:trPr>
          <w:trHeight w:val="227"/>
        </w:trPr>
        <w:tc>
          <w:tcPr>
            <w:tcW w:w="1418" w:type="dxa"/>
            <w:tcBorders>
              <w:top w:val="nil"/>
              <w:left w:val="nil"/>
              <w:bottom w:val="nil"/>
              <w:right w:val="nil"/>
            </w:tcBorders>
            <w:shd w:val="clear" w:color="000000" w:fill="808080"/>
            <w:vAlign w:val="center"/>
            <w:hideMark/>
          </w:tcPr>
          <w:p w14:paraId="38435D44" w14:textId="77777777" w:rsidR="00850819" w:rsidRPr="0061011A" w:rsidRDefault="00850819" w:rsidP="0061011A">
            <w:pPr>
              <w:spacing w:after="0"/>
              <w:jc w:val="both"/>
              <w:rPr>
                <w:rFonts w:ascii="Arial" w:hAnsi="Arial" w:cs="Arial"/>
                <w:color w:val="FFFFFF"/>
                <w:sz w:val="18"/>
                <w:szCs w:val="18"/>
              </w:rPr>
            </w:pPr>
            <w:r w:rsidRPr="0061011A">
              <w:rPr>
                <w:rFonts w:ascii="Arial" w:hAnsi="Arial" w:cs="Arial"/>
                <w:color w:val="FFFFFF"/>
                <w:sz w:val="18"/>
                <w:szCs w:val="18"/>
              </w:rPr>
              <w:t> </w:t>
            </w:r>
          </w:p>
        </w:tc>
        <w:tc>
          <w:tcPr>
            <w:tcW w:w="1417" w:type="dxa"/>
            <w:vMerge w:val="restart"/>
            <w:tcBorders>
              <w:left w:val="nil"/>
              <w:right w:val="nil"/>
            </w:tcBorders>
            <w:shd w:val="clear" w:color="000000" w:fill="D9D9D9"/>
            <w:vAlign w:val="center"/>
            <w:hideMark/>
          </w:tcPr>
          <w:p w14:paraId="0B5DDCD6" w14:textId="77777777" w:rsidR="00850819" w:rsidRPr="0061011A" w:rsidRDefault="00850819" w:rsidP="00FF133A">
            <w:pPr>
              <w:spacing w:after="0"/>
              <w:rPr>
                <w:rFonts w:ascii="Arial" w:hAnsi="Arial" w:cs="Arial"/>
                <w:color w:val="000000"/>
                <w:sz w:val="16"/>
                <w:szCs w:val="16"/>
              </w:rPr>
            </w:pPr>
            <w:proofErr w:type="spellStart"/>
            <w:r w:rsidRPr="0061011A">
              <w:rPr>
                <w:rFonts w:ascii="Arial" w:hAnsi="Arial" w:cs="Arial"/>
                <w:color w:val="000000"/>
                <w:sz w:val="16"/>
                <w:szCs w:val="16"/>
              </w:rPr>
              <w:t>Tas</w:t>
            </w:r>
            <w:proofErr w:type="spellEnd"/>
          </w:p>
        </w:tc>
        <w:tc>
          <w:tcPr>
            <w:tcW w:w="1134" w:type="dxa"/>
            <w:tcBorders>
              <w:left w:val="nil"/>
              <w:bottom w:val="single" w:sz="2" w:space="0" w:color="808080" w:themeColor="background1" w:themeShade="80"/>
              <w:right w:val="nil"/>
            </w:tcBorders>
            <w:shd w:val="clear" w:color="auto" w:fill="D9D9D9" w:themeFill="background1" w:themeFillShade="D9"/>
            <w:noWrap/>
            <w:vAlign w:val="center"/>
            <w:hideMark/>
          </w:tcPr>
          <w:p w14:paraId="2AEDBD22" w14:textId="77777777" w:rsidR="00850819" w:rsidRPr="0061011A" w:rsidRDefault="00850819" w:rsidP="0061011A">
            <w:pPr>
              <w:spacing w:after="0"/>
              <w:rPr>
                <w:rFonts w:ascii="Arial" w:hAnsi="Arial" w:cs="Arial"/>
                <w:color w:val="000000"/>
                <w:sz w:val="16"/>
                <w:szCs w:val="16"/>
              </w:rPr>
            </w:pPr>
            <w:r w:rsidRPr="0061011A">
              <w:rPr>
                <w:rFonts w:ascii="Arial" w:hAnsi="Arial" w:cs="Arial"/>
                <w:color w:val="000000"/>
                <w:sz w:val="16"/>
                <w:szCs w:val="16"/>
              </w:rPr>
              <w:t>Public</w:t>
            </w:r>
          </w:p>
        </w:tc>
        <w:tc>
          <w:tcPr>
            <w:tcW w:w="1883" w:type="dxa"/>
            <w:tcBorders>
              <w:left w:val="nil"/>
              <w:bottom w:val="single" w:sz="2" w:space="0" w:color="808080" w:themeColor="background1" w:themeShade="80"/>
              <w:right w:val="nil"/>
            </w:tcBorders>
            <w:shd w:val="clear" w:color="auto" w:fill="D9D9D9" w:themeFill="background1" w:themeFillShade="D9"/>
            <w:noWrap/>
            <w:vAlign w:val="center"/>
            <w:hideMark/>
          </w:tcPr>
          <w:p w14:paraId="7D7D8E73" w14:textId="77777777" w:rsidR="00850819" w:rsidRPr="0061011A" w:rsidRDefault="00850819" w:rsidP="00332142">
            <w:pPr>
              <w:spacing w:after="0"/>
              <w:jc w:val="center"/>
              <w:rPr>
                <w:rFonts w:ascii="Arial" w:hAnsi="Arial" w:cs="Arial"/>
                <w:color w:val="333333"/>
                <w:sz w:val="16"/>
                <w:szCs w:val="16"/>
              </w:rPr>
            </w:pPr>
            <w:r w:rsidRPr="0061011A">
              <w:rPr>
                <w:rFonts w:ascii="Arial" w:hAnsi="Arial" w:cs="Arial"/>
                <w:color w:val="333333"/>
                <w:sz w:val="16"/>
                <w:szCs w:val="16"/>
              </w:rPr>
              <w:t>3</w:t>
            </w:r>
          </w:p>
        </w:tc>
        <w:tc>
          <w:tcPr>
            <w:tcW w:w="1883" w:type="dxa"/>
            <w:tcBorders>
              <w:left w:val="nil"/>
              <w:bottom w:val="single" w:sz="2" w:space="0" w:color="808080" w:themeColor="background1" w:themeShade="80"/>
              <w:right w:val="nil"/>
            </w:tcBorders>
            <w:shd w:val="clear" w:color="auto" w:fill="D9D9D9" w:themeFill="background1" w:themeFillShade="D9"/>
            <w:noWrap/>
            <w:vAlign w:val="center"/>
            <w:hideMark/>
          </w:tcPr>
          <w:p w14:paraId="54CECE75"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23</w:t>
            </w:r>
          </w:p>
        </w:tc>
        <w:tc>
          <w:tcPr>
            <w:tcW w:w="1763" w:type="dxa"/>
            <w:tcBorders>
              <w:left w:val="nil"/>
              <w:bottom w:val="single" w:sz="2" w:space="0" w:color="808080" w:themeColor="background1" w:themeShade="80"/>
              <w:right w:val="single" w:sz="12" w:space="0" w:color="808080" w:themeColor="background1" w:themeShade="80"/>
            </w:tcBorders>
            <w:shd w:val="clear" w:color="auto" w:fill="D9D9D9" w:themeFill="background1" w:themeFillShade="D9"/>
            <w:noWrap/>
            <w:vAlign w:val="center"/>
            <w:hideMark/>
          </w:tcPr>
          <w:p w14:paraId="1CD341F0" w14:textId="769C974E"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13.0</w:t>
            </w:r>
          </w:p>
        </w:tc>
        <w:tc>
          <w:tcPr>
            <w:tcW w:w="1281" w:type="dxa"/>
            <w:vMerge w:val="restart"/>
            <w:tcBorders>
              <w:left w:val="single" w:sz="12" w:space="0" w:color="808080" w:themeColor="background1" w:themeShade="80"/>
              <w:right w:val="nil"/>
            </w:tcBorders>
            <w:shd w:val="clear" w:color="auto" w:fill="D9D9D9" w:themeFill="background1" w:themeFillShade="D9"/>
            <w:noWrap/>
            <w:vAlign w:val="center"/>
            <w:hideMark/>
          </w:tcPr>
          <w:p w14:paraId="6F954916"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7</w:t>
            </w:r>
          </w:p>
        </w:tc>
        <w:tc>
          <w:tcPr>
            <w:tcW w:w="1837" w:type="dxa"/>
            <w:gridSpan w:val="2"/>
            <w:vMerge w:val="restart"/>
            <w:tcBorders>
              <w:left w:val="nil"/>
              <w:right w:val="nil"/>
            </w:tcBorders>
            <w:shd w:val="clear" w:color="auto" w:fill="D9D9D9" w:themeFill="background1" w:themeFillShade="D9"/>
            <w:vAlign w:val="center"/>
            <w:hideMark/>
          </w:tcPr>
          <w:p w14:paraId="4D21B3F9"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30</w:t>
            </w:r>
          </w:p>
        </w:tc>
        <w:tc>
          <w:tcPr>
            <w:tcW w:w="1418" w:type="dxa"/>
            <w:vMerge w:val="restart"/>
            <w:tcBorders>
              <w:left w:val="nil"/>
              <w:right w:val="nil"/>
            </w:tcBorders>
            <w:shd w:val="clear" w:color="auto" w:fill="D9D9D9" w:themeFill="background1" w:themeFillShade="D9"/>
            <w:vAlign w:val="center"/>
            <w:hideMark/>
          </w:tcPr>
          <w:p w14:paraId="21022F5A" w14:textId="70658491"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23.3</w:t>
            </w:r>
          </w:p>
        </w:tc>
      </w:tr>
      <w:tr w:rsidR="00850819" w:rsidRPr="0061011A" w14:paraId="3D6A11B3" w14:textId="77777777" w:rsidTr="00956066">
        <w:trPr>
          <w:trHeight w:val="227"/>
        </w:trPr>
        <w:tc>
          <w:tcPr>
            <w:tcW w:w="1418" w:type="dxa"/>
            <w:tcBorders>
              <w:top w:val="nil"/>
              <w:left w:val="nil"/>
              <w:bottom w:val="nil"/>
              <w:right w:val="nil"/>
            </w:tcBorders>
            <w:shd w:val="clear" w:color="000000" w:fill="808080"/>
            <w:vAlign w:val="center"/>
            <w:hideMark/>
          </w:tcPr>
          <w:p w14:paraId="6F7F9C63" w14:textId="77777777" w:rsidR="00850819" w:rsidRPr="0061011A" w:rsidRDefault="00850819" w:rsidP="0061011A">
            <w:pPr>
              <w:spacing w:after="0"/>
              <w:jc w:val="both"/>
              <w:rPr>
                <w:rFonts w:ascii="Arial" w:hAnsi="Arial" w:cs="Arial"/>
                <w:color w:val="FFFFFF"/>
                <w:sz w:val="18"/>
                <w:szCs w:val="18"/>
              </w:rPr>
            </w:pPr>
            <w:r w:rsidRPr="0061011A">
              <w:rPr>
                <w:rFonts w:ascii="Arial" w:hAnsi="Arial" w:cs="Arial"/>
                <w:color w:val="FFFFFF"/>
                <w:sz w:val="18"/>
                <w:szCs w:val="18"/>
              </w:rPr>
              <w:t> </w:t>
            </w:r>
          </w:p>
        </w:tc>
        <w:tc>
          <w:tcPr>
            <w:tcW w:w="1417" w:type="dxa"/>
            <w:vMerge/>
            <w:tcBorders>
              <w:left w:val="nil"/>
              <w:right w:val="nil"/>
            </w:tcBorders>
            <w:vAlign w:val="center"/>
            <w:hideMark/>
          </w:tcPr>
          <w:p w14:paraId="0D9F6CE4" w14:textId="77777777" w:rsidR="00850819" w:rsidRPr="0061011A" w:rsidRDefault="00850819">
            <w:pPr>
              <w:spacing w:after="0"/>
              <w:rPr>
                <w:rFonts w:ascii="Arial" w:hAnsi="Arial" w:cs="Arial"/>
                <w:color w:val="000000"/>
                <w:sz w:val="16"/>
                <w:szCs w:val="16"/>
              </w:rPr>
            </w:pPr>
          </w:p>
        </w:tc>
        <w:tc>
          <w:tcPr>
            <w:tcW w:w="1134" w:type="dxa"/>
            <w:tcBorders>
              <w:top w:val="single" w:sz="2" w:space="0" w:color="808080" w:themeColor="background1" w:themeShade="80"/>
              <w:left w:val="nil"/>
              <w:right w:val="nil"/>
            </w:tcBorders>
            <w:shd w:val="clear" w:color="auto" w:fill="D9D9D9" w:themeFill="background1" w:themeFillShade="D9"/>
            <w:noWrap/>
            <w:vAlign w:val="center"/>
            <w:hideMark/>
          </w:tcPr>
          <w:p w14:paraId="38212219" w14:textId="77777777" w:rsidR="00850819" w:rsidRPr="0061011A" w:rsidRDefault="00850819" w:rsidP="0061011A">
            <w:pPr>
              <w:spacing w:after="0"/>
              <w:rPr>
                <w:rFonts w:ascii="Arial" w:hAnsi="Arial" w:cs="Arial"/>
                <w:color w:val="000000"/>
                <w:sz w:val="16"/>
                <w:szCs w:val="16"/>
              </w:rPr>
            </w:pPr>
            <w:r w:rsidRPr="0061011A">
              <w:rPr>
                <w:rFonts w:ascii="Arial" w:hAnsi="Arial" w:cs="Arial"/>
                <w:color w:val="000000"/>
                <w:sz w:val="16"/>
                <w:szCs w:val="16"/>
              </w:rPr>
              <w:t>Private</w:t>
            </w:r>
          </w:p>
        </w:tc>
        <w:tc>
          <w:tcPr>
            <w:tcW w:w="1883" w:type="dxa"/>
            <w:tcBorders>
              <w:top w:val="single" w:sz="2" w:space="0" w:color="808080" w:themeColor="background1" w:themeShade="80"/>
              <w:left w:val="nil"/>
              <w:right w:val="nil"/>
            </w:tcBorders>
            <w:shd w:val="clear" w:color="auto" w:fill="D9D9D9" w:themeFill="background1" w:themeFillShade="D9"/>
            <w:noWrap/>
            <w:vAlign w:val="center"/>
            <w:hideMark/>
          </w:tcPr>
          <w:p w14:paraId="6A25E68E" w14:textId="77777777" w:rsidR="00850819" w:rsidRPr="0061011A" w:rsidRDefault="00850819" w:rsidP="00332142">
            <w:pPr>
              <w:spacing w:after="0"/>
              <w:jc w:val="center"/>
              <w:rPr>
                <w:rFonts w:ascii="Arial" w:hAnsi="Arial" w:cs="Arial"/>
                <w:color w:val="333333"/>
                <w:sz w:val="16"/>
                <w:szCs w:val="16"/>
              </w:rPr>
            </w:pPr>
            <w:r w:rsidRPr="0061011A">
              <w:rPr>
                <w:rFonts w:ascii="Arial" w:hAnsi="Arial" w:cs="Arial"/>
                <w:color w:val="333333"/>
                <w:sz w:val="16"/>
                <w:szCs w:val="16"/>
              </w:rPr>
              <w:t>4</w:t>
            </w:r>
          </w:p>
        </w:tc>
        <w:tc>
          <w:tcPr>
            <w:tcW w:w="1883" w:type="dxa"/>
            <w:tcBorders>
              <w:top w:val="single" w:sz="2" w:space="0" w:color="808080" w:themeColor="background1" w:themeShade="80"/>
              <w:left w:val="nil"/>
              <w:right w:val="nil"/>
            </w:tcBorders>
            <w:shd w:val="clear" w:color="auto" w:fill="D9D9D9" w:themeFill="background1" w:themeFillShade="D9"/>
            <w:noWrap/>
            <w:vAlign w:val="center"/>
            <w:hideMark/>
          </w:tcPr>
          <w:p w14:paraId="4B0ACEBF"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7</w:t>
            </w:r>
          </w:p>
        </w:tc>
        <w:tc>
          <w:tcPr>
            <w:tcW w:w="1763" w:type="dxa"/>
            <w:tcBorders>
              <w:top w:val="single" w:sz="2" w:space="0" w:color="808080" w:themeColor="background1" w:themeShade="80"/>
              <w:left w:val="nil"/>
              <w:right w:val="single" w:sz="12" w:space="0" w:color="808080" w:themeColor="background1" w:themeShade="80"/>
            </w:tcBorders>
            <w:shd w:val="clear" w:color="auto" w:fill="D9D9D9" w:themeFill="background1" w:themeFillShade="D9"/>
            <w:noWrap/>
            <w:vAlign w:val="center"/>
            <w:hideMark/>
          </w:tcPr>
          <w:p w14:paraId="78AA4435" w14:textId="019BAAD6"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57.1</w:t>
            </w:r>
          </w:p>
        </w:tc>
        <w:tc>
          <w:tcPr>
            <w:tcW w:w="1281" w:type="dxa"/>
            <w:vMerge/>
            <w:tcBorders>
              <w:top w:val="nil"/>
              <w:left w:val="single" w:sz="12" w:space="0" w:color="808080" w:themeColor="background1" w:themeShade="80"/>
              <w:right w:val="nil"/>
            </w:tcBorders>
            <w:vAlign w:val="center"/>
            <w:hideMark/>
          </w:tcPr>
          <w:p w14:paraId="3707A8C1" w14:textId="77777777" w:rsidR="00850819" w:rsidRPr="0061011A" w:rsidRDefault="00850819" w:rsidP="00332142">
            <w:pPr>
              <w:spacing w:after="0"/>
              <w:jc w:val="center"/>
              <w:rPr>
                <w:rFonts w:ascii="Arial" w:hAnsi="Arial" w:cs="Arial"/>
                <w:color w:val="000000"/>
                <w:sz w:val="16"/>
                <w:szCs w:val="16"/>
              </w:rPr>
            </w:pPr>
          </w:p>
        </w:tc>
        <w:tc>
          <w:tcPr>
            <w:tcW w:w="1837" w:type="dxa"/>
            <w:gridSpan w:val="2"/>
            <w:vMerge/>
            <w:tcBorders>
              <w:top w:val="nil"/>
              <w:left w:val="nil"/>
              <w:right w:val="nil"/>
            </w:tcBorders>
            <w:vAlign w:val="center"/>
            <w:hideMark/>
          </w:tcPr>
          <w:p w14:paraId="3BE1C590" w14:textId="77777777" w:rsidR="00850819" w:rsidRPr="0061011A" w:rsidRDefault="00850819" w:rsidP="00332142">
            <w:pPr>
              <w:spacing w:after="0"/>
              <w:jc w:val="center"/>
              <w:rPr>
                <w:rFonts w:ascii="Arial" w:hAnsi="Arial" w:cs="Arial"/>
                <w:color w:val="000000"/>
                <w:sz w:val="16"/>
                <w:szCs w:val="16"/>
              </w:rPr>
            </w:pPr>
          </w:p>
        </w:tc>
        <w:tc>
          <w:tcPr>
            <w:tcW w:w="1418" w:type="dxa"/>
            <w:vMerge/>
            <w:tcBorders>
              <w:top w:val="nil"/>
              <w:left w:val="nil"/>
              <w:right w:val="nil"/>
            </w:tcBorders>
            <w:vAlign w:val="center"/>
            <w:hideMark/>
          </w:tcPr>
          <w:p w14:paraId="5F64E9CC" w14:textId="77777777" w:rsidR="00850819" w:rsidRPr="0061011A" w:rsidRDefault="00850819" w:rsidP="00332142">
            <w:pPr>
              <w:spacing w:after="0"/>
              <w:jc w:val="center"/>
              <w:rPr>
                <w:rFonts w:ascii="Arial" w:hAnsi="Arial" w:cs="Arial"/>
                <w:color w:val="000000"/>
                <w:sz w:val="16"/>
                <w:szCs w:val="16"/>
              </w:rPr>
            </w:pPr>
          </w:p>
        </w:tc>
      </w:tr>
      <w:tr w:rsidR="00850819" w:rsidRPr="0061011A" w14:paraId="08874171" w14:textId="77777777" w:rsidTr="00956066">
        <w:trPr>
          <w:trHeight w:val="227"/>
        </w:trPr>
        <w:tc>
          <w:tcPr>
            <w:tcW w:w="1418" w:type="dxa"/>
            <w:tcBorders>
              <w:top w:val="nil"/>
              <w:left w:val="nil"/>
              <w:bottom w:val="nil"/>
              <w:right w:val="nil"/>
            </w:tcBorders>
            <w:shd w:val="clear" w:color="000000" w:fill="808080"/>
            <w:vAlign w:val="center"/>
            <w:hideMark/>
          </w:tcPr>
          <w:p w14:paraId="2935CAA8" w14:textId="77777777" w:rsidR="00850819" w:rsidRPr="0061011A" w:rsidRDefault="00850819" w:rsidP="0061011A">
            <w:pPr>
              <w:spacing w:after="0"/>
              <w:jc w:val="both"/>
              <w:rPr>
                <w:rFonts w:ascii="Arial" w:hAnsi="Arial" w:cs="Arial"/>
                <w:color w:val="FFFFFF"/>
                <w:sz w:val="18"/>
                <w:szCs w:val="18"/>
              </w:rPr>
            </w:pPr>
            <w:r w:rsidRPr="0061011A">
              <w:rPr>
                <w:rFonts w:ascii="Arial" w:hAnsi="Arial" w:cs="Arial"/>
                <w:color w:val="FFFFFF"/>
                <w:sz w:val="18"/>
                <w:szCs w:val="18"/>
              </w:rPr>
              <w:t> </w:t>
            </w:r>
          </w:p>
        </w:tc>
        <w:tc>
          <w:tcPr>
            <w:tcW w:w="1417" w:type="dxa"/>
            <w:vMerge w:val="restart"/>
            <w:tcBorders>
              <w:left w:val="nil"/>
              <w:right w:val="nil"/>
            </w:tcBorders>
            <w:shd w:val="clear" w:color="auto" w:fill="auto"/>
            <w:vAlign w:val="center"/>
            <w:hideMark/>
          </w:tcPr>
          <w:p w14:paraId="0FAC6594" w14:textId="77777777" w:rsidR="00850819" w:rsidRPr="0061011A" w:rsidRDefault="00850819" w:rsidP="00FF133A">
            <w:pPr>
              <w:spacing w:after="0"/>
              <w:rPr>
                <w:rFonts w:ascii="Arial" w:hAnsi="Arial" w:cs="Arial"/>
                <w:color w:val="000000"/>
                <w:sz w:val="16"/>
                <w:szCs w:val="16"/>
              </w:rPr>
            </w:pPr>
            <w:r w:rsidRPr="0061011A">
              <w:rPr>
                <w:rFonts w:ascii="Arial" w:hAnsi="Arial" w:cs="Arial"/>
                <w:color w:val="000000"/>
                <w:sz w:val="16"/>
                <w:szCs w:val="16"/>
              </w:rPr>
              <w:t>NT</w:t>
            </w:r>
          </w:p>
        </w:tc>
        <w:tc>
          <w:tcPr>
            <w:tcW w:w="1134" w:type="dxa"/>
            <w:tcBorders>
              <w:left w:val="nil"/>
              <w:bottom w:val="single" w:sz="2" w:space="0" w:color="808080" w:themeColor="background1" w:themeShade="80"/>
              <w:right w:val="nil"/>
            </w:tcBorders>
            <w:shd w:val="clear" w:color="auto" w:fill="auto"/>
            <w:noWrap/>
            <w:vAlign w:val="center"/>
            <w:hideMark/>
          </w:tcPr>
          <w:p w14:paraId="63C18A5F" w14:textId="77777777" w:rsidR="00850819" w:rsidRPr="0061011A" w:rsidRDefault="00850819" w:rsidP="00561D6E">
            <w:pPr>
              <w:spacing w:after="0"/>
              <w:rPr>
                <w:rFonts w:ascii="Arial" w:hAnsi="Arial" w:cs="Arial"/>
                <w:color w:val="000000"/>
                <w:sz w:val="16"/>
                <w:szCs w:val="16"/>
              </w:rPr>
            </w:pPr>
            <w:r w:rsidRPr="0061011A">
              <w:rPr>
                <w:rFonts w:ascii="Arial" w:hAnsi="Arial" w:cs="Arial"/>
                <w:color w:val="000000"/>
                <w:sz w:val="16"/>
                <w:szCs w:val="16"/>
              </w:rPr>
              <w:t>Public</w:t>
            </w:r>
          </w:p>
        </w:tc>
        <w:tc>
          <w:tcPr>
            <w:tcW w:w="1883" w:type="dxa"/>
            <w:tcBorders>
              <w:left w:val="nil"/>
              <w:bottom w:val="single" w:sz="2" w:space="0" w:color="808080" w:themeColor="background1" w:themeShade="80"/>
              <w:right w:val="nil"/>
            </w:tcBorders>
            <w:shd w:val="clear" w:color="auto" w:fill="auto"/>
            <w:noWrap/>
            <w:vAlign w:val="center"/>
          </w:tcPr>
          <w:p w14:paraId="12E653C7" w14:textId="77777777" w:rsidR="00850819" w:rsidRPr="0061011A" w:rsidRDefault="00850819" w:rsidP="00332142">
            <w:pPr>
              <w:spacing w:after="0"/>
              <w:jc w:val="center"/>
              <w:rPr>
                <w:rFonts w:ascii="Arial" w:hAnsi="Arial" w:cs="Arial"/>
                <w:color w:val="333333"/>
                <w:sz w:val="16"/>
                <w:szCs w:val="16"/>
              </w:rPr>
            </w:pPr>
            <w:r w:rsidRPr="0061011A">
              <w:rPr>
                <w:rFonts w:ascii="Arial" w:hAnsi="Arial" w:cs="Arial"/>
                <w:color w:val="333333"/>
                <w:sz w:val="16"/>
                <w:szCs w:val="16"/>
              </w:rPr>
              <w:t>1</w:t>
            </w:r>
          </w:p>
        </w:tc>
        <w:tc>
          <w:tcPr>
            <w:tcW w:w="1883" w:type="dxa"/>
            <w:tcBorders>
              <w:left w:val="nil"/>
              <w:bottom w:val="single" w:sz="2" w:space="0" w:color="808080" w:themeColor="background1" w:themeShade="80"/>
              <w:right w:val="nil"/>
            </w:tcBorders>
            <w:shd w:val="clear" w:color="auto" w:fill="auto"/>
            <w:noWrap/>
            <w:vAlign w:val="center"/>
          </w:tcPr>
          <w:p w14:paraId="2928B709"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5</w:t>
            </w:r>
          </w:p>
        </w:tc>
        <w:tc>
          <w:tcPr>
            <w:tcW w:w="1763" w:type="dxa"/>
            <w:tcBorders>
              <w:left w:val="nil"/>
              <w:bottom w:val="single" w:sz="2" w:space="0" w:color="808080" w:themeColor="background1" w:themeShade="80"/>
              <w:right w:val="single" w:sz="12" w:space="0" w:color="808080" w:themeColor="background1" w:themeShade="80"/>
            </w:tcBorders>
            <w:shd w:val="clear" w:color="auto" w:fill="auto"/>
            <w:noWrap/>
            <w:vAlign w:val="center"/>
          </w:tcPr>
          <w:p w14:paraId="1A02A186" w14:textId="4BF58678"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20.0</w:t>
            </w:r>
          </w:p>
        </w:tc>
        <w:tc>
          <w:tcPr>
            <w:tcW w:w="1281" w:type="dxa"/>
            <w:vMerge w:val="restart"/>
            <w:tcBorders>
              <w:left w:val="single" w:sz="12" w:space="0" w:color="808080" w:themeColor="background1" w:themeShade="80"/>
              <w:right w:val="nil"/>
            </w:tcBorders>
            <w:shd w:val="clear" w:color="auto" w:fill="auto"/>
            <w:noWrap/>
            <w:vAlign w:val="center"/>
          </w:tcPr>
          <w:p w14:paraId="71FB4F91"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w:t>
            </w:r>
          </w:p>
        </w:tc>
        <w:tc>
          <w:tcPr>
            <w:tcW w:w="1837" w:type="dxa"/>
            <w:gridSpan w:val="2"/>
            <w:vMerge w:val="restart"/>
            <w:tcBorders>
              <w:left w:val="nil"/>
              <w:right w:val="nil"/>
            </w:tcBorders>
            <w:shd w:val="clear" w:color="auto" w:fill="auto"/>
            <w:vAlign w:val="center"/>
          </w:tcPr>
          <w:p w14:paraId="51286F3A"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6</w:t>
            </w:r>
          </w:p>
        </w:tc>
        <w:tc>
          <w:tcPr>
            <w:tcW w:w="1418" w:type="dxa"/>
            <w:vMerge w:val="restart"/>
            <w:tcBorders>
              <w:left w:val="nil"/>
              <w:right w:val="nil"/>
            </w:tcBorders>
            <w:shd w:val="clear" w:color="auto" w:fill="auto"/>
            <w:vAlign w:val="center"/>
          </w:tcPr>
          <w:p w14:paraId="173FE029" w14:textId="25348250"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33.3</w:t>
            </w:r>
          </w:p>
        </w:tc>
      </w:tr>
      <w:tr w:rsidR="00850819" w:rsidRPr="0061011A" w14:paraId="1F48A88C" w14:textId="77777777" w:rsidTr="00956066">
        <w:trPr>
          <w:trHeight w:val="227"/>
        </w:trPr>
        <w:tc>
          <w:tcPr>
            <w:tcW w:w="1418" w:type="dxa"/>
            <w:tcBorders>
              <w:top w:val="nil"/>
              <w:left w:val="nil"/>
              <w:bottom w:val="nil"/>
              <w:right w:val="nil"/>
            </w:tcBorders>
            <w:shd w:val="clear" w:color="000000" w:fill="808080"/>
            <w:vAlign w:val="center"/>
            <w:hideMark/>
          </w:tcPr>
          <w:p w14:paraId="47E63689" w14:textId="77777777" w:rsidR="00850819" w:rsidRPr="0061011A" w:rsidRDefault="00850819" w:rsidP="0061011A">
            <w:pPr>
              <w:spacing w:after="0"/>
              <w:jc w:val="both"/>
              <w:rPr>
                <w:rFonts w:ascii="Arial" w:hAnsi="Arial" w:cs="Arial"/>
                <w:color w:val="FFFFFF"/>
                <w:sz w:val="18"/>
                <w:szCs w:val="18"/>
              </w:rPr>
            </w:pPr>
            <w:r w:rsidRPr="0061011A">
              <w:rPr>
                <w:rFonts w:ascii="Arial" w:hAnsi="Arial" w:cs="Arial"/>
                <w:color w:val="FFFFFF"/>
                <w:sz w:val="18"/>
                <w:szCs w:val="18"/>
              </w:rPr>
              <w:t> </w:t>
            </w:r>
          </w:p>
        </w:tc>
        <w:tc>
          <w:tcPr>
            <w:tcW w:w="1417" w:type="dxa"/>
            <w:vMerge/>
            <w:tcBorders>
              <w:left w:val="nil"/>
              <w:right w:val="nil"/>
            </w:tcBorders>
            <w:vAlign w:val="center"/>
            <w:hideMark/>
          </w:tcPr>
          <w:p w14:paraId="65C6FF3B" w14:textId="77777777" w:rsidR="00850819" w:rsidRPr="0061011A" w:rsidRDefault="00850819">
            <w:pPr>
              <w:spacing w:after="0"/>
              <w:rPr>
                <w:rFonts w:ascii="Arial" w:hAnsi="Arial" w:cs="Arial"/>
                <w:color w:val="000000"/>
                <w:sz w:val="16"/>
                <w:szCs w:val="16"/>
              </w:rPr>
            </w:pPr>
          </w:p>
        </w:tc>
        <w:tc>
          <w:tcPr>
            <w:tcW w:w="1134" w:type="dxa"/>
            <w:tcBorders>
              <w:top w:val="single" w:sz="2" w:space="0" w:color="808080" w:themeColor="background1" w:themeShade="80"/>
              <w:left w:val="nil"/>
              <w:right w:val="nil"/>
            </w:tcBorders>
            <w:shd w:val="clear" w:color="auto" w:fill="auto"/>
            <w:noWrap/>
            <w:vAlign w:val="center"/>
            <w:hideMark/>
          </w:tcPr>
          <w:p w14:paraId="1E3A75FE" w14:textId="77777777" w:rsidR="00850819" w:rsidRPr="0061011A" w:rsidRDefault="00850819" w:rsidP="00561D6E">
            <w:pPr>
              <w:spacing w:after="0"/>
              <w:rPr>
                <w:rFonts w:ascii="Arial" w:hAnsi="Arial" w:cs="Arial"/>
                <w:color w:val="000000"/>
                <w:sz w:val="16"/>
                <w:szCs w:val="16"/>
              </w:rPr>
            </w:pPr>
            <w:r w:rsidRPr="0061011A">
              <w:rPr>
                <w:rFonts w:ascii="Arial" w:hAnsi="Arial" w:cs="Arial"/>
                <w:color w:val="000000"/>
                <w:sz w:val="16"/>
                <w:szCs w:val="16"/>
              </w:rPr>
              <w:t>Private</w:t>
            </w:r>
          </w:p>
        </w:tc>
        <w:tc>
          <w:tcPr>
            <w:tcW w:w="1883" w:type="dxa"/>
            <w:tcBorders>
              <w:top w:val="single" w:sz="2" w:space="0" w:color="808080" w:themeColor="background1" w:themeShade="80"/>
              <w:left w:val="nil"/>
              <w:right w:val="nil"/>
            </w:tcBorders>
            <w:shd w:val="clear" w:color="auto" w:fill="auto"/>
            <w:noWrap/>
            <w:vAlign w:val="center"/>
          </w:tcPr>
          <w:p w14:paraId="43CD58E8" w14:textId="77777777" w:rsidR="00850819" w:rsidRPr="0061011A" w:rsidRDefault="00850819" w:rsidP="00332142">
            <w:pPr>
              <w:spacing w:after="0"/>
              <w:jc w:val="center"/>
              <w:rPr>
                <w:rFonts w:ascii="Arial" w:hAnsi="Arial" w:cs="Arial"/>
                <w:color w:val="333333"/>
                <w:sz w:val="16"/>
                <w:szCs w:val="16"/>
              </w:rPr>
            </w:pPr>
            <w:r w:rsidRPr="0061011A">
              <w:rPr>
                <w:rFonts w:ascii="Arial" w:hAnsi="Arial" w:cs="Arial"/>
                <w:color w:val="333333"/>
                <w:sz w:val="16"/>
                <w:szCs w:val="16"/>
              </w:rPr>
              <w:t>1</w:t>
            </w:r>
          </w:p>
        </w:tc>
        <w:tc>
          <w:tcPr>
            <w:tcW w:w="1883" w:type="dxa"/>
            <w:tcBorders>
              <w:top w:val="single" w:sz="2" w:space="0" w:color="808080" w:themeColor="background1" w:themeShade="80"/>
              <w:left w:val="nil"/>
              <w:right w:val="nil"/>
            </w:tcBorders>
            <w:shd w:val="clear" w:color="auto" w:fill="auto"/>
            <w:noWrap/>
            <w:vAlign w:val="center"/>
          </w:tcPr>
          <w:p w14:paraId="37D888A2"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1</w:t>
            </w:r>
          </w:p>
        </w:tc>
        <w:tc>
          <w:tcPr>
            <w:tcW w:w="1763" w:type="dxa"/>
            <w:tcBorders>
              <w:top w:val="single" w:sz="2" w:space="0" w:color="808080" w:themeColor="background1" w:themeShade="80"/>
              <w:left w:val="nil"/>
              <w:right w:val="single" w:sz="12" w:space="0" w:color="808080" w:themeColor="background1" w:themeShade="80"/>
            </w:tcBorders>
            <w:shd w:val="clear" w:color="auto" w:fill="auto"/>
            <w:noWrap/>
            <w:vAlign w:val="center"/>
          </w:tcPr>
          <w:p w14:paraId="08FE8C37" w14:textId="6A77F866"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100.0</w:t>
            </w:r>
          </w:p>
        </w:tc>
        <w:tc>
          <w:tcPr>
            <w:tcW w:w="1281" w:type="dxa"/>
            <w:vMerge/>
            <w:tcBorders>
              <w:top w:val="nil"/>
              <w:left w:val="single" w:sz="12" w:space="0" w:color="808080" w:themeColor="background1" w:themeShade="80"/>
              <w:right w:val="nil"/>
            </w:tcBorders>
            <w:vAlign w:val="center"/>
            <w:hideMark/>
          </w:tcPr>
          <w:p w14:paraId="2855D9E5" w14:textId="77777777" w:rsidR="00850819" w:rsidRPr="0061011A" w:rsidRDefault="00850819" w:rsidP="00332142">
            <w:pPr>
              <w:spacing w:after="0"/>
              <w:jc w:val="center"/>
              <w:rPr>
                <w:rFonts w:ascii="Arial" w:hAnsi="Arial" w:cs="Arial"/>
                <w:color w:val="000000"/>
                <w:sz w:val="16"/>
                <w:szCs w:val="16"/>
              </w:rPr>
            </w:pPr>
          </w:p>
        </w:tc>
        <w:tc>
          <w:tcPr>
            <w:tcW w:w="1837" w:type="dxa"/>
            <w:gridSpan w:val="2"/>
            <w:vMerge/>
            <w:tcBorders>
              <w:top w:val="nil"/>
              <w:left w:val="nil"/>
              <w:right w:val="nil"/>
            </w:tcBorders>
            <w:vAlign w:val="center"/>
            <w:hideMark/>
          </w:tcPr>
          <w:p w14:paraId="0094FDB6" w14:textId="77777777" w:rsidR="00850819" w:rsidRPr="0061011A" w:rsidRDefault="00850819" w:rsidP="00332142">
            <w:pPr>
              <w:spacing w:after="0"/>
              <w:jc w:val="center"/>
              <w:rPr>
                <w:rFonts w:ascii="Arial" w:hAnsi="Arial" w:cs="Arial"/>
                <w:color w:val="000000"/>
                <w:sz w:val="16"/>
                <w:szCs w:val="16"/>
              </w:rPr>
            </w:pPr>
          </w:p>
        </w:tc>
        <w:tc>
          <w:tcPr>
            <w:tcW w:w="1418" w:type="dxa"/>
            <w:vMerge/>
            <w:tcBorders>
              <w:top w:val="nil"/>
              <w:left w:val="nil"/>
              <w:right w:val="nil"/>
            </w:tcBorders>
            <w:vAlign w:val="center"/>
            <w:hideMark/>
          </w:tcPr>
          <w:p w14:paraId="6ED5E896" w14:textId="77777777" w:rsidR="00850819" w:rsidRPr="0061011A" w:rsidRDefault="00850819" w:rsidP="00332142">
            <w:pPr>
              <w:spacing w:after="0"/>
              <w:jc w:val="center"/>
              <w:rPr>
                <w:rFonts w:ascii="Arial" w:hAnsi="Arial" w:cs="Arial"/>
                <w:color w:val="000000"/>
                <w:sz w:val="16"/>
                <w:szCs w:val="16"/>
              </w:rPr>
            </w:pPr>
          </w:p>
        </w:tc>
      </w:tr>
      <w:tr w:rsidR="00850819" w:rsidRPr="0061011A" w14:paraId="3B32C5EA" w14:textId="77777777" w:rsidTr="00956066">
        <w:trPr>
          <w:trHeight w:val="227"/>
        </w:trPr>
        <w:tc>
          <w:tcPr>
            <w:tcW w:w="1418" w:type="dxa"/>
            <w:tcBorders>
              <w:top w:val="nil"/>
              <w:left w:val="nil"/>
              <w:bottom w:val="nil"/>
              <w:right w:val="nil"/>
            </w:tcBorders>
            <w:shd w:val="clear" w:color="000000" w:fill="808080"/>
            <w:vAlign w:val="center"/>
            <w:hideMark/>
          </w:tcPr>
          <w:p w14:paraId="4176D103" w14:textId="77777777" w:rsidR="00850819" w:rsidRPr="0061011A" w:rsidRDefault="00850819" w:rsidP="0061011A">
            <w:pPr>
              <w:spacing w:after="0"/>
              <w:jc w:val="both"/>
              <w:rPr>
                <w:rFonts w:ascii="Arial" w:hAnsi="Arial" w:cs="Arial"/>
                <w:color w:val="FFFFFF"/>
                <w:sz w:val="18"/>
                <w:szCs w:val="18"/>
              </w:rPr>
            </w:pPr>
            <w:r w:rsidRPr="0061011A">
              <w:rPr>
                <w:rFonts w:ascii="Arial" w:hAnsi="Arial" w:cs="Arial"/>
                <w:color w:val="FFFFFF"/>
                <w:sz w:val="18"/>
                <w:szCs w:val="18"/>
              </w:rPr>
              <w:t> </w:t>
            </w:r>
          </w:p>
        </w:tc>
        <w:tc>
          <w:tcPr>
            <w:tcW w:w="1417" w:type="dxa"/>
            <w:vMerge w:val="restart"/>
            <w:tcBorders>
              <w:left w:val="nil"/>
              <w:right w:val="nil"/>
            </w:tcBorders>
            <w:shd w:val="clear" w:color="auto" w:fill="D9D9D9" w:themeFill="background1" w:themeFillShade="D9"/>
            <w:vAlign w:val="center"/>
          </w:tcPr>
          <w:p w14:paraId="063D24E1" w14:textId="77777777" w:rsidR="00850819" w:rsidRPr="0061011A" w:rsidRDefault="00850819" w:rsidP="00FF133A">
            <w:pPr>
              <w:spacing w:after="0"/>
              <w:rPr>
                <w:rFonts w:ascii="Arial" w:hAnsi="Arial" w:cs="Arial"/>
                <w:color w:val="000000"/>
                <w:sz w:val="16"/>
                <w:szCs w:val="16"/>
              </w:rPr>
            </w:pPr>
            <w:r w:rsidRPr="0061011A">
              <w:rPr>
                <w:rFonts w:ascii="Arial" w:hAnsi="Arial" w:cs="Arial"/>
                <w:color w:val="000000"/>
                <w:sz w:val="16"/>
                <w:szCs w:val="16"/>
              </w:rPr>
              <w:t>ACT</w:t>
            </w:r>
          </w:p>
        </w:tc>
        <w:tc>
          <w:tcPr>
            <w:tcW w:w="1134" w:type="dxa"/>
            <w:tcBorders>
              <w:left w:val="nil"/>
              <w:bottom w:val="single" w:sz="2" w:space="0" w:color="808080" w:themeColor="background1" w:themeShade="80"/>
              <w:right w:val="nil"/>
            </w:tcBorders>
            <w:shd w:val="clear" w:color="auto" w:fill="D9D9D9" w:themeFill="background1" w:themeFillShade="D9"/>
            <w:noWrap/>
            <w:vAlign w:val="center"/>
          </w:tcPr>
          <w:p w14:paraId="72BC7578" w14:textId="77777777" w:rsidR="00850819" w:rsidRPr="0061011A" w:rsidRDefault="00850819" w:rsidP="00561D6E">
            <w:pPr>
              <w:spacing w:after="0"/>
              <w:rPr>
                <w:rFonts w:ascii="Arial" w:hAnsi="Arial" w:cs="Arial"/>
                <w:color w:val="000000"/>
                <w:sz w:val="16"/>
                <w:szCs w:val="16"/>
              </w:rPr>
            </w:pPr>
            <w:r w:rsidRPr="0061011A">
              <w:rPr>
                <w:rFonts w:ascii="Arial" w:hAnsi="Arial" w:cs="Arial"/>
                <w:color w:val="000000"/>
                <w:sz w:val="16"/>
                <w:szCs w:val="16"/>
              </w:rPr>
              <w:t>Public</w:t>
            </w:r>
          </w:p>
        </w:tc>
        <w:tc>
          <w:tcPr>
            <w:tcW w:w="1883" w:type="dxa"/>
            <w:tcBorders>
              <w:left w:val="nil"/>
              <w:bottom w:val="single" w:sz="2" w:space="0" w:color="808080" w:themeColor="background1" w:themeShade="80"/>
              <w:right w:val="nil"/>
            </w:tcBorders>
            <w:shd w:val="clear" w:color="auto" w:fill="D9D9D9" w:themeFill="background1" w:themeFillShade="D9"/>
            <w:noWrap/>
            <w:vAlign w:val="center"/>
          </w:tcPr>
          <w:p w14:paraId="42F38377" w14:textId="77777777" w:rsidR="00850819" w:rsidRPr="0061011A" w:rsidRDefault="00850819" w:rsidP="00332142">
            <w:pPr>
              <w:spacing w:after="0"/>
              <w:jc w:val="center"/>
              <w:rPr>
                <w:rFonts w:ascii="Arial" w:hAnsi="Arial" w:cs="Arial"/>
                <w:color w:val="333333"/>
                <w:sz w:val="16"/>
                <w:szCs w:val="16"/>
              </w:rPr>
            </w:pPr>
            <w:r w:rsidRPr="0061011A">
              <w:rPr>
                <w:rFonts w:ascii="Arial" w:hAnsi="Arial" w:cs="Arial"/>
                <w:color w:val="333333"/>
                <w:sz w:val="16"/>
                <w:szCs w:val="16"/>
              </w:rPr>
              <w:t>2</w:t>
            </w:r>
          </w:p>
        </w:tc>
        <w:tc>
          <w:tcPr>
            <w:tcW w:w="1883" w:type="dxa"/>
            <w:tcBorders>
              <w:left w:val="nil"/>
              <w:bottom w:val="single" w:sz="2" w:space="0" w:color="808080" w:themeColor="background1" w:themeShade="80"/>
              <w:right w:val="nil"/>
            </w:tcBorders>
            <w:shd w:val="clear" w:color="auto" w:fill="D9D9D9" w:themeFill="background1" w:themeFillShade="D9"/>
            <w:noWrap/>
            <w:vAlign w:val="center"/>
          </w:tcPr>
          <w:p w14:paraId="13074446"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w:t>
            </w:r>
          </w:p>
        </w:tc>
        <w:tc>
          <w:tcPr>
            <w:tcW w:w="1763" w:type="dxa"/>
            <w:tcBorders>
              <w:left w:val="nil"/>
              <w:bottom w:val="single" w:sz="2" w:space="0" w:color="808080" w:themeColor="background1" w:themeShade="80"/>
              <w:right w:val="single" w:sz="12" w:space="0" w:color="808080" w:themeColor="background1" w:themeShade="80"/>
            </w:tcBorders>
            <w:shd w:val="clear" w:color="auto" w:fill="D9D9D9" w:themeFill="background1" w:themeFillShade="D9"/>
            <w:noWrap/>
            <w:vAlign w:val="center"/>
          </w:tcPr>
          <w:p w14:paraId="18D2F551" w14:textId="178149E2"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100.0</w:t>
            </w:r>
          </w:p>
        </w:tc>
        <w:tc>
          <w:tcPr>
            <w:tcW w:w="1281" w:type="dxa"/>
            <w:vMerge w:val="restart"/>
            <w:tcBorders>
              <w:left w:val="single" w:sz="12" w:space="0" w:color="808080" w:themeColor="background1" w:themeShade="80"/>
              <w:right w:val="nil"/>
            </w:tcBorders>
            <w:shd w:val="clear" w:color="auto" w:fill="D9D9D9" w:themeFill="background1" w:themeFillShade="D9"/>
            <w:noWrap/>
            <w:vAlign w:val="center"/>
          </w:tcPr>
          <w:p w14:paraId="7019EDA1"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4</w:t>
            </w:r>
          </w:p>
        </w:tc>
        <w:tc>
          <w:tcPr>
            <w:tcW w:w="1837" w:type="dxa"/>
            <w:gridSpan w:val="2"/>
            <w:vMerge w:val="restart"/>
            <w:tcBorders>
              <w:left w:val="nil"/>
              <w:right w:val="nil"/>
            </w:tcBorders>
            <w:shd w:val="clear" w:color="auto" w:fill="D9D9D9" w:themeFill="background1" w:themeFillShade="D9"/>
            <w:vAlign w:val="center"/>
          </w:tcPr>
          <w:p w14:paraId="2DBE2516"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6</w:t>
            </w:r>
          </w:p>
        </w:tc>
        <w:tc>
          <w:tcPr>
            <w:tcW w:w="1418" w:type="dxa"/>
            <w:vMerge w:val="restart"/>
            <w:tcBorders>
              <w:left w:val="nil"/>
              <w:right w:val="nil"/>
            </w:tcBorders>
            <w:shd w:val="clear" w:color="auto" w:fill="D9D9D9" w:themeFill="background1" w:themeFillShade="D9"/>
            <w:vAlign w:val="center"/>
          </w:tcPr>
          <w:p w14:paraId="72A19089" w14:textId="55FC1AFF"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66.7</w:t>
            </w:r>
          </w:p>
        </w:tc>
      </w:tr>
      <w:tr w:rsidR="00850819" w:rsidRPr="0061011A" w14:paraId="0950A9EC" w14:textId="77777777" w:rsidTr="00956066">
        <w:trPr>
          <w:trHeight w:val="227"/>
        </w:trPr>
        <w:tc>
          <w:tcPr>
            <w:tcW w:w="1418" w:type="dxa"/>
            <w:tcBorders>
              <w:top w:val="nil"/>
              <w:left w:val="nil"/>
              <w:bottom w:val="single" w:sz="12" w:space="0" w:color="FFFFFF" w:themeColor="background1"/>
              <w:right w:val="nil"/>
            </w:tcBorders>
            <w:shd w:val="clear" w:color="000000" w:fill="808080"/>
            <w:vAlign w:val="center"/>
            <w:hideMark/>
          </w:tcPr>
          <w:p w14:paraId="25DF7C73" w14:textId="77777777" w:rsidR="00850819" w:rsidRPr="0061011A" w:rsidRDefault="00850819" w:rsidP="0061011A">
            <w:pPr>
              <w:spacing w:after="0"/>
              <w:jc w:val="both"/>
              <w:rPr>
                <w:rFonts w:ascii="Arial" w:hAnsi="Arial" w:cs="Arial"/>
                <w:color w:val="FFFFFF"/>
                <w:sz w:val="18"/>
                <w:szCs w:val="18"/>
              </w:rPr>
            </w:pPr>
            <w:r w:rsidRPr="0061011A">
              <w:rPr>
                <w:rFonts w:ascii="Arial" w:hAnsi="Arial" w:cs="Arial"/>
                <w:color w:val="FFFFFF"/>
                <w:sz w:val="18"/>
                <w:szCs w:val="18"/>
              </w:rPr>
              <w:t> </w:t>
            </w:r>
          </w:p>
        </w:tc>
        <w:tc>
          <w:tcPr>
            <w:tcW w:w="1417" w:type="dxa"/>
            <w:vMerge/>
            <w:tcBorders>
              <w:left w:val="nil"/>
              <w:bottom w:val="single" w:sz="12" w:space="0" w:color="808080" w:themeColor="background1" w:themeShade="80"/>
              <w:right w:val="nil"/>
            </w:tcBorders>
            <w:vAlign w:val="center"/>
            <w:hideMark/>
          </w:tcPr>
          <w:p w14:paraId="09B60479" w14:textId="77777777" w:rsidR="00850819" w:rsidRPr="0061011A" w:rsidRDefault="00850819">
            <w:pPr>
              <w:spacing w:after="0"/>
              <w:rPr>
                <w:rFonts w:ascii="Arial" w:hAnsi="Arial" w:cs="Arial"/>
                <w:color w:val="000000"/>
                <w:sz w:val="16"/>
                <w:szCs w:val="16"/>
              </w:rPr>
            </w:pPr>
          </w:p>
        </w:tc>
        <w:tc>
          <w:tcPr>
            <w:tcW w:w="1134" w:type="dxa"/>
            <w:tcBorders>
              <w:top w:val="single" w:sz="2" w:space="0" w:color="808080" w:themeColor="background1" w:themeShade="80"/>
              <w:left w:val="nil"/>
              <w:bottom w:val="single" w:sz="12" w:space="0" w:color="808080" w:themeColor="background1" w:themeShade="80"/>
              <w:right w:val="nil"/>
            </w:tcBorders>
            <w:shd w:val="clear" w:color="auto" w:fill="D9D9D9" w:themeFill="background1" w:themeFillShade="D9"/>
            <w:noWrap/>
            <w:vAlign w:val="center"/>
          </w:tcPr>
          <w:p w14:paraId="26D64E61" w14:textId="77777777" w:rsidR="00850819" w:rsidRPr="0061011A" w:rsidRDefault="00850819" w:rsidP="00561D6E">
            <w:pPr>
              <w:spacing w:after="0"/>
              <w:rPr>
                <w:rFonts w:ascii="Arial" w:hAnsi="Arial" w:cs="Arial"/>
                <w:color w:val="000000"/>
                <w:sz w:val="16"/>
                <w:szCs w:val="16"/>
              </w:rPr>
            </w:pPr>
            <w:r w:rsidRPr="0061011A">
              <w:rPr>
                <w:rFonts w:ascii="Arial" w:hAnsi="Arial" w:cs="Arial"/>
                <w:color w:val="000000"/>
                <w:sz w:val="16"/>
                <w:szCs w:val="16"/>
              </w:rPr>
              <w:t>Private</w:t>
            </w:r>
          </w:p>
        </w:tc>
        <w:tc>
          <w:tcPr>
            <w:tcW w:w="1883" w:type="dxa"/>
            <w:tcBorders>
              <w:top w:val="single" w:sz="2" w:space="0" w:color="808080" w:themeColor="background1" w:themeShade="80"/>
              <w:left w:val="nil"/>
              <w:bottom w:val="single" w:sz="12" w:space="0" w:color="808080" w:themeColor="background1" w:themeShade="80"/>
              <w:right w:val="nil"/>
            </w:tcBorders>
            <w:shd w:val="clear" w:color="auto" w:fill="D9D9D9" w:themeFill="background1" w:themeFillShade="D9"/>
            <w:noWrap/>
            <w:vAlign w:val="center"/>
          </w:tcPr>
          <w:p w14:paraId="0689B077" w14:textId="77777777" w:rsidR="00850819" w:rsidRPr="0061011A" w:rsidRDefault="00850819" w:rsidP="00332142">
            <w:pPr>
              <w:spacing w:after="0"/>
              <w:jc w:val="center"/>
              <w:rPr>
                <w:rFonts w:ascii="Arial" w:hAnsi="Arial" w:cs="Arial"/>
                <w:color w:val="333333"/>
                <w:sz w:val="16"/>
                <w:szCs w:val="16"/>
              </w:rPr>
            </w:pPr>
            <w:r w:rsidRPr="0061011A">
              <w:rPr>
                <w:rFonts w:ascii="Arial" w:hAnsi="Arial" w:cs="Arial"/>
                <w:color w:val="333333"/>
                <w:sz w:val="16"/>
                <w:szCs w:val="16"/>
              </w:rPr>
              <w:t>2</w:t>
            </w:r>
          </w:p>
        </w:tc>
        <w:tc>
          <w:tcPr>
            <w:tcW w:w="1883" w:type="dxa"/>
            <w:tcBorders>
              <w:top w:val="single" w:sz="2" w:space="0" w:color="808080" w:themeColor="background1" w:themeShade="80"/>
              <w:left w:val="nil"/>
              <w:bottom w:val="single" w:sz="12" w:space="0" w:color="808080" w:themeColor="background1" w:themeShade="80"/>
              <w:right w:val="nil"/>
            </w:tcBorders>
            <w:shd w:val="clear" w:color="auto" w:fill="D9D9D9" w:themeFill="background1" w:themeFillShade="D9"/>
            <w:noWrap/>
            <w:vAlign w:val="center"/>
          </w:tcPr>
          <w:p w14:paraId="6B4374CF"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4</w:t>
            </w:r>
          </w:p>
        </w:tc>
        <w:tc>
          <w:tcPr>
            <w:tcW w:w="1763" w:type="dxa"/>
            <w:tcBorders>
              <w:top w:val="single" w:sz="2" w:space="0" w:color="808080" w:themeColor="background1" w:themeShade="80"/>
              <w:left w:val="nil"/>
              <w:bottom w:val="single" w:sz="12" w:space="0" w:color="808080" w:themeColor="background1" w:themeShade="80"/>
              <w:right w:val="single" w:sz="12" w:space="0" w:color="808080" w:themeColor="background1" w:themeShade="80"/>
            </w:tcBorders>
            <w:shd w:val="clear" w:color="auto" w:fill="D9D9D9" w:themeFill="background1" w:themeFillShade="D9"/>
            <w:noWrap/>
            <w:vAlign w:val="center"/>
          </w:tcPr>
          <w:p w14:paraId="15E51027" w14:textId="43A495CF"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50.0</w:t>
            </w:r>
          </w:p>
        </w:tc>
        <w:tc>
          <w:tcPr>
            <w:tcW w:w="1281" w:type="dxa"/>
            <w:vMerge/>
            <w:tcBorders>
              <w:top w:val="nil"/>
              <w:left w:val="single" w:sz="12" w:space="0" w:color="808080" w:themeColor="background1" w:themeShade="80"/>
              <w:bottom w:val="single" w:sz="12" w:space="0" w:color="808080" w:themeColor="background1" w:themeShade="80"/>
              <w:right w:val="nil"/>
            </w:tcBorders>
            <w:vAlign w:val="center"/>
            <w:hideMark/>
          </w:tcPr>
          <w:p w14:paraId="0FA971D3" w14:textId="77777777" w:rsidR="00850819" w:rsidRPr="0061011A" w:rsidRDefault="00850819" w:rsidP="00332142">
            <w:pPr>
              <w:spacing w:after="0"/>
              <w:jc w:val="center"/>
              <w:rPr>
                <w:rFonts w:ascii="Arial" w:hAnsi="Arial" w:cs="Arial"/>
                <w:color w:val="000000"/>
                <w:sz w:val="16"/>
                <w:szCs w:val="16"/>
              </w:rPr>
            </w:pPr>
          </w:p>
        </w:tc>
        <w:tc>
          <w:tcPr>
            <w:tcW w:w="1837" w:type="dxa"/>
            <w:gridSpan w:val="2"/>
            <w:vMerge/>
            <w:tcBorders>
              <w:top w:val="nil"/>
              <w:left w:val="nil"/>
              <w:bottom w:val="single" w:sz="12" w:space="0" w:color="808080" w:themeColor="background1" w:themeShade="80"/>
              <w:right w:val="nil"/>
            </w:tcBorders>
            <w:vAlign w:val="center"/>
            <w:hideMark/>
          </w:tcPr>
          <w:p w14:paraId="72807454" w14:textId="77777777" w:rsidR="00850819" w:rsidRPr="0061011A" w:rsidRDefault="00850819" w:rsidP="00332142">
            <w:pPr>
              <w:spacing w:after="0"/>
              <w:jc w:val="center"/>
              <w:rPr>
                <w:rFonts w:ascii="Arial" w:hAnsi="Arial" w:cs="Arial"/>
                <w:color w:val="000000"/>
                <w:sz w:val="16"/>
                <w:szCs w:val="16"/>
              </w:rPr>
            </w:pPr>
          </w:p>
        </w:tc>
        <w:tc>
          <w:tcPr>
            <w:tcW w:w="1418" w:type="dxa"/>
            <w:vMerge/>
            <w:tcBorders>
              <w:top w:val="nil"/>
              <w:left w:val="nil"/>
              <w:bottom w:val="single" w:sz="12" w:space="0" w:color="808080" w:themeColor="background1" w:themeShade="80"/>
              <w:right w:val="nil"/>
            </w:tcBorders>
            <w:vAlign w:val="center"/>
            <w:hideMark/>
          </w:tcPr>
          <w:p w14:paraId="44FBC210" w14:textId="77777777" w:rsidR="00850819" w:rsidRPr="0061011A" w:rsidRDefault="00850819" w:rsidP="00332142">
            <w:pPr>
              <w:spacing w:after="0"/>
              <w:jc w:val="center"/>
              <w:rPr>
                <w:rFonts w:ascii="Arial" w:hAnsi="Arial" w:cs="Arial"/>
                <w:color w:val="000000"/>
                <w:sz w:val="16"/>
                <w:szCs w:val="16"/>
              </w:rPr>
            </w:pPr>
          </w:p>
        </w:tc>
      </w:tr>
      <w:tr w:rsidR="00850819" w:rsidRPr="0061011A" w14:paraId="14B27657" w14:textId="77777777" w:rsidTr="00956066">
        <w:trPr>
          <w:trHeight w:val="227"/>
        </w:trPr>
        <w:tc>
          <w:tcPr>
            <w:tcW w:w="1418" w:type="dxa"/>
            <w:tcBorders>
              <w:top w:val="single" w:sz="12" w:space="0" w:color="FFFFFF" w:themeColor="background1"/>
              <w:left w:val="nil"/>
              <w:bottom w:val="nil"/>
              <w:right w:val="nil"/>
            </w:tcBorders>
            <w:shd w:val="clear" w:color="000000" w:fill="808080"/>
            <w:vAlign w:val="center"/>
            <w:hideMark/>
          </w:tcPr>
          <w:p w14:paraId="7693687F" w14:textId="77777777" w:rsidR="00850819" w:rsidRPr="0061011A" w:rsidRDefault="00850819" w:rsidP="0061011A">
            <w:pPr>
              <w:spacing w:after="0"/>
              <w:jc w:val="both"/>
              <w:rPr>
                <w:rFonts w:ascii="Arial" w:hAnsi="Arial" w:cs="Arial"/>
                <w:color w:val="FFFFFF"/>
                <w:sz w:val="18"/>
                <w:szCs w:val="18"/>
              </w:rPr>
            </w:pPr>
            <w:r w:rsidRPr="0061011A">
              <w:rPr>
                <w:rFonts w:ascii="Arial" w:hAnsi="Arial" w:cs="Arial"/>
                <w:color w:val="FFFFFF"/>
                <w:sz w:val="18"/>
                <w:szCs w:val="18"/>
              </w:rPr>
              <w:t> </w:t>
            </w:r>
          </w:p>
        </w:tc>
        <w:tc>
          <w:tcPr>
            <w:tcW w:w="1417" w:type="dxa"/>
            <w:vMerge w:val="restart"/>
            <w:tcBorders>
              <w:top w:val="single" w:sz="12" w:space="0" w:color="808080" w:themeColor="background1" w:themeShade="80"/>
              <w:left w:val="nil"/>
              <w:right w:val="nil"/>
            </w:tcBorders>
            <w:shd w:val="clear" w:color="auto" w:fill="auto"/>
            <w:vAlign w:val="center"/>
            <w:hideMark/>
          </w:tcPr>
          <w:p w14:paraId="101CBEF5" w14:textId="77777777" w:rsidR="00850819" w:rsidRPr="0061011A" w:rsidRDefault="00850819" w:rsidP="00FF133A">
            <w:pPr>
              <w:spacing w:after="0"/>
              <w:rPr>
                <w:rFonts w:ascii="Arial" w:hAnsi="Arial" w:cs="Arial"/>
                <w:color w:val="000000"/>
                <w:sz w:val="16"/>
                <w:szCs w:val="16"/>
              </w:rPr>
            </w:pPr>
            <w:r w:rsidRPr="0061011A">
              <w:rPr>
                <w:rFonts w:ascii="Arial" w:hAnsi="Arial" w:cs="Arial"/>
                <w:color w:val="000000"/>
                <w:sz w:val="16"/>
                <w:szCs w:val="16"/>
              </w:rPr>
              <w:t>Major cities</w:t>
            </w:r>
          </w:p>
        </w:tc>
        <w:tc>
          <w:tcPr>
            <w:tcW w:w="1134" w:type="dxa"/>
            <w:tcBorders>
              <w:top w:val="single" w:sz="12" w:space="0" w:color="808080" w:themeColor="background1" w:themeShade="80"/>
              <w:left w:val="nil"/>
              <w:bottom w:val="single" w:sz="2" w:space="0" w:color="808080" w:themeColor="background1" w:themeShade="80"/>
              <w:right w:val="nil"/>
            </w:tcBorders>
            <w:shd w:val="clear" w:color="auto" w:fill="auto"/>
            <w:noWrap/>
            <w:vAlign w:val="center"/>
            <w:hideMark/>
          </w:tcPr>
          <w:p w14:paraId="39D6895B" w14:textId="77777777" w:rsidR="00850819" w:rsidRPr="0061011A" w:rsidRDefault="00850819" w:rsidP="0061011A">
            <w:pPr>
              <w:spacing w:after="0"/>
              <w:rPr>
                <w:rFonts w:ascii="Arial" w:hAnsi="Arial" w:cs="Arial"/>
                <w:color w:val="000000"/>
                <w:sz w:val="16"/>
                <w:szCs w:val="16"/>
              </w:rPr>
            </w:pPr>
            <w:r w:rsidRPr="0061011A">
              <w:rPr>
                <w:rFonts w:ascii="Arial" w:hAnsi="Arial" w:cs="Arial"/>
                <w:color w:val="000000"/>
                <w:sz w:val="16"/>
                <w:szCs w:val="16"/>
              </w:rPr>
              <w:t>Public</w:t>
            </w:r>
          </w:p>
        </w:tc>
        <w:tc>
          <w:tcPr>
            <w:tcW w:w="1883" w:type="dxa"/>
            <w:tcBorders>
              <w:top w:val="single" w:sz="12" w:space="0" w:color="808080" w:themeColor="background1" w:themeShade="80"/>
              <w:left w:val="nil"/>
              <w:bottom w:val="single" w:sz="2" w:space="0" w:color="808080" w:themeColor="background1" w:themeShade="80"/>
              <w:right w:val="nil"/>
            </w:tcBorders>
            <w:shd w:val="clear" w:color="auto" w:fill="auto"/>
            <w:noWrap/>
            <w:vAlign w:val="center"/>
            <w:hideMark/>
          </w:tcPr>
          <w:p w14:paraId="7660456B"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94</w:t>
            </w:r>
          </w:p>
        </w:tc>
        <w:tc>
          <w:tcPr>
            <w:tcW w:w="1883" w:type="dxa"/>
            <w:tcBorders>
              <w:top w:val="single" w:sz="12" w:space="0" w:color="808080" w:themeColor="background1" w:themeShade="80"/>
              <w:left w:val="nil"/>
              <w:bottom w:val="single" w:sz="2" w:space="0" w:color="808080" w:themeColor="background1" w:themeShade="80"/>
              <w:right w:val="nil"/>
            </w:tcBorders>
            <w:shd w:val="clear" w:color="auto" w:fill="auto"/>
            <w:noWrap/>
            <w:vAlign w:val="center"/>
            <w:hideMark/>
          </w:tcPr>
          <w:p w14:paraId="66540025"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168</w:t>
            </w:r>
          </w:p>
        </w:tc>
        <w:tc>
          <w:tcPr>
            <w:tcW w:w="1763" w:type="dxa"/>
            <w:tcBorders>
              <w:top w:val="single" w:sz="12" w:space="0" w:color="808080" w:themeColor="background1" w:themeShade="80"/>
              <w:left w:val="nil"/>
              <w:bottom w:val="single" w:sz="2" w:space="0" w:color="808080" w:themeColor="background1" w:themeShade="80"/>
              <w:right w:val="single" w:sz="12" w:space="0" w:color="808080" w:themeColor="background1" w:themeShade="80"/>
            </w:tcBorders>
            <w:shd w:val="clear" w:color="auto" w:fill="auto"/>
            <w:noWrap/>
            <w:vAlign w:val="center"/>
            <w:hideMark/>
          </w:tcPr>
          <w:p w14:paraId="3F968965" w14:textId="1C13F2A1"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56.0</w:t>
            </w:r>
          </w:p>
        </w:tc>
        <w:tc>
          <w:tcPr>
            <w:tcW w:w="1281" w:type="dxa"/>
            <w:vMerge w:val="restart"/>
            <w:tcBorders>
              <w:top w:val="single" w:sz="12" w:space="0" w:color="808080" w:themeColor="background1" w:themeShade="80"/>
              <w:left w:val="single" w:sz="12" w:space="0" w:color="808080" w:themeColor="background1" w:themeShade="80"/>
              <w:right w:val="nil"/>
            </w:tcBorders>
            <w:shd w:val="clear" w:color="auto" w:fill="auto"/>
            <w:noWrap/>
            <w:vAlign w:val="center"/>
            <w:hideMark/>
          </w:tcPr>
          <w:p w14:paraId="0D21CE7F"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159</w:t>
            </w:r>
          </w:p>
        </w:tc>
        <w:tc>
          <w:tcPr>
            <w:tcW w:w="1837" w:type="dxa"/>
            <w:gridSpan w:val="2"/>
            <w:vMerge w:val="restart"/>
            <w:tcBorders>
              <w:top w:val="single" w:sz="12" w:space="0" w:color="808080" w:themeColor="background1" w:themeShade="80"/>
              <w:left w:val="nil"/>
              <w:right w:val="nil"/>
            </w:tcBorders>
            <w:shd w:val="clear" w:color="auto" w:fill="auto"/>
            <w:vAlign w:val="center"/>
            <w:hideMark/>
          </w:tcPr>
          <w:p w14:paraId="64FB99B4"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389</w:t>
            </w:r>
          </w:p>
        </w:tc>
        <w:tc>
          <w:tcPr>
            <w:tcW w:w="1418" w:type="dxa"/>
            <w:vMerge w:val="restart"/>
            <w:tcBorders>
              <w:top w:val="single" w:sz="12" w:space="0" w:color="808080" w:themeColor="background1" w:themeShade="80"/>
              <w:left w:val="nil"/>
              <w:right w:val="nil"/>
            </w:tcBorders>
            <w:shd w:val="clear" w:color="auto" w:fill="auto"/>
            <w:vAlign w:val="center"/>
            <w:hideMark/>
          </w:tcPr>
          <w:p w14:paraId="234477BE" w14:textId="444FC874"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40.9</w:t>
            </w:r>
          </w:p>
        </w:tc>
      </w:tr>
      <w:tr w:rsidR="00850819" w:rsidRPr="0061011A" w14:paraId="402B5876" w14:textId="77777777" w:rsidTr="00956066">
        <w:trPr>
          <w:trHeight w:val="227"/>
        </w:trPr>
        <w:tc>
          <w:tcPr>
            <w:tcW w:w="1418" w:type="dxa"/>
            <w:tcBorders>
              <w:top w:val="nil"/>
              <w:left w:val="nil"/>
              <w:bottom w:val="nil"/>
              <w:right w:val="nil"/>
            </w:tcBorders>
            <w:shd w:val="clear" w:color="000000" w:fill="808080"/>
            <w:vAlign w:val="center"/>
            <w:hideMark/>
          </w:tcPr>
          <w:p w14:paraId="1D729191" w14:textId="77777777" w:rsidR="00850819" w:rsidRPr="0061011A" w:rsidRDefault="00850819" w:rsidP="0061011A">
            <w:pPr>
              <w:spacing w:after="0"/>
              <w:jc w:val="both"/>
              <w:rPr>
                <w:rFonts w:ascii="Arial" w:hAnsi="Arial" w:cs="Arial"/>
                <w:color w:val="FFFFFF"/>
                <w:sz w:val="18"/>
                <w:szCs w:val="18"/>
              </w:rPr>
            </w:pPr>
            <w:r w:rsidRPr="0061011A">
              <w:rPr>
                <w:rFonts w:ascii="Arial" w:hAnsi="Arial" w:cs="Arial"/>
                <w:color w:val="FFFFFF"/>
                <w:sz w:val="18"/>
                <w:szCs w:val="18"/>
              </w:rPr>
              <w:t> </w:t>
            </w:r>
          </w:p>
        </w:tc>
        <w:tc>
          <w:tcPr>
            <w:tcW w:w="1417" w:type="dxa"/>
            <w:vMerge/>
            <w:tcBorders>
              <w:left w:val="nil"/>
              <w:right w:val="nil"/>
            </w:tcBorders>
            <w:vAlign w:val="center"/>
            <w:hideMark/>
          </w:tcPr>
          <w:p w14:paraId="4F4736B9" w14:textId="77777777" w:rsidR="00850819" w:rsidRPr="0061011A" w:rsidRDefault="00850819">
            <w:pPr>
              <w:spacing w:after="0"/>
              <w:rPr>
                <w:rFonts w:ascii="Arial" w:hAnsi="Arial" w:cs="Arial"/>
                <w:color w:val="000000"/>
                <w:sz w:val="16"/>
                <w:szCs w:val="16"/>
              </w:rPr>
            </w:pPr>
          </w:p>
        </w:tc>
        <w:tc>
          <w:tcPr>
            <w:tcW w:w="1134" w:type="dxa"/>
            <w:tcBorders>
              <w:top w:val="single" w:sz="2" w:space="0" w:color="808080" w:themeColor="background1" w:themeShade="80"/>
              <w:left w:val="nil"/>
              <w:right w:val="nil"/>
            </w:tcBorders>
            <w:shd w:val="clear" w:color="auto" w:fill="auto"/>
            <w:noWrap/>
            <w:vAlign w:val="center"/>
            <w:hideMark/>
          </w:tcPr>
          <w:p w14:paraId="7A0B493F" w14:textId="77777777" w:rsidR="00850819" w:rsidRPr="0061011A" w:rsidRDefault="00850819" w:rsidP="0061011A">
            <w:pPr>
              <w:spacing w:after="0"/>
              <w:rPr>
                <w:rFonts w:ascii="Arial" w:hAnsi="Arial" w:cs="Arial"/>
                <w:color w:val="000000"/>
                <w:sz w:val="16"/>
                <w:szCs w:val="16"/>
              </w:rPr>
            </w:pPr>
            <w:r w:rsidRPr="0061011A">
              <w:rPr>
                <w:rFonts w:ascii="Arial" w:hAnsi="Arial" w:cs="Arial"/>
                <w:color w:val="000000"/>
                <w:sz w:val="16"/>
                <w:szCs w:val="16"/>
              </w:rPr>
              <w:t>Private</w:t>
            </w:r>
          </w:p>
        </w:tc>
        <w:tc>
          <w:tcPr>
            <w:tcW w:w="1883" w:type="dxa"/>
            <w:tcBorders>
              <w:top w:val="single" w:sz="2" w:space="0" w:color="808080" w:themeColor="background1" w:themeShade="80"/>
              <w:left w:val="nil"/>
              <w:right w:val="nil"/>
            </w:tcBorders>
            <w:shd w:val="clear" w:color="auto" w:fill="auto"/>
            <w:noWrap/>
            <w:vAlign w:val="center"/>
            <w:hideMark/>
          </w:tcPr>
          <w:p w14:paraId="1E05E143"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65</w:t>
            </w:r>
          </w:p>
        </w:tc>
        <w:tc>
          <w:tcPr>
            <w:tcW w:w="1883" w:type="dxa"/>
            <w:tcBorders>
              <w:top w:val="single" w:sz="2" w:space="0" w:color="808080" w:themeColor="background1" w:themeShade="80"/>
              <w:left w:val="nil"/>
              <w:right w:val="nil"/>
            </w:tcBorders>
            <w:shd w:val="clear" w:color="auto" w:fill="auto"/>
            <w:noWrap/>
            <w:vAlign w:val="center"/>
            <w:hideMark/>
          </w:tcPr>
          <w:p w14:paraId="629F860E"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221</w:t>
            </w:r>
          </w:p>
        </w:tc>
        <w:tc>
          <w:tcPr>
            <w:tcW w:w="1763" w:type="dxa"/>
            <w:tcBorders>
              <w:top w:val="single" w:sz="2" w:space="0" w:color="808080" w:themeColor="background1" w:themeShade="80"/>
              <w:left w:val="nil"/>
              <w:right w:val="single" w:sz="12" w:space="0" w:color="808080" w:themeColor="background1" w:themeShade="80"/>
            </w:tcBorders>
            <w:shd w:val="clear" w:color="auto" w:fill="auto"/>
            <w:noWrap/>
            <w:vAlign w:val="center"/>
            <w:hideMark/>
          </w:tcPr>
          <w:p w14:paraId="1CE6A234" w14:textId="43C9EC4C"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29.4</w:t>
            </w:r>
          </w:p>
        </w:tc>
        <w:tc>
          <w:tcPr>
            <w:tcW w:w="1281" w:type="dxa"/>
            <w:vMerge/>
            <w:tcBorders>
              <w:left w:val="single" w:sz="12" w:space="0" w:color="808080" w:themeColor="background1" w:themeShade="80"/>
              <w:right w:val="nil"/>
            </w:tcBorders>
            <w:vAlign w:val="center"/>
            <w:hideMark/>
          </w:tcPr>
          <w:p w14:paraId="56E95392" w14:textId="77777777" w:rsidR="00850819" w:rsidRPr="0061011A" w:rsidRDefault="00850819" w:rsidP="00332142">
            <w:pPr>
              <w:spacing w:after="0"/>
              <w:jc w:val="center"/>
              <w:rPr>
                <w:rFonts w:ascii="Arial" w:hAnsi="Arial" w:cs="Arial"/>
                <w:color w:val="000000"/>
                <w:sz w:val="16"/>
                <w:szCs w:val="16"/>
              </w:rPr>
            </w:pPr>
          </w:p>
        </w:tc>
        <w:tc>
          <w:tcPr>
            <w:tcW w:w="1837" w:type="dxa"/>
            <w:gridSpan w:val="2"/>
            <w:vMerge/>
            <w:tcBorders>
              <w:left w:val="nil"/>
              <w:right w:val="nil"/>
            </w:tcBorders>
            <w:vAlign w:val="center"/>
            <w:hideMark/>
          </w:tcPr>
          <w:p w14:paraId="5037E819" w14:textId="77777777" w:rsidR="00850819" w:rsidRPr="0061011A" w:rsidRDefault="00850819" w:rsidP="00332142">
            <w:pPr>
              <w:spacing w:after="0"/>
              <w:jc w:val="center"/>
              <w:rPr>
                <w:rFonts w:ascii="Arial" w:hAnsi="Arial" w:cs="Arial"/>
                <w:color w:val="000000"/>
                <w:sz w:val="16"/>
                <w:szCs w:val="16"/>
              </w:rPr>
            </w:pPr>
          </w:p>
        </w:tc>
        <w:tc>
          <w:tcPr>
            <w:tcW w:w="1418" w:type="dxa"/>
            <w:vMerge/>
            <w:tcBorders>
              <w:left w:val="nil"/>
              <w:right w:val="nil"/>
            </w:tcBorders>
            <w:vAlign w:val="center"/>
            <w:hideMark/>
          </w:tcPr>
          <w:p w14:paraId="0BCFDBAE" w14:textId="77777777" w:rsidR="00850819" w:rsidRPr="0061011A" w:rsidRDefault="00850819" w:rsidP="00332142">
            <w:pPr>
              <w:spacing w:after="0"/>
              <w:jc w:val="center"/>
              <w:rPr>
                <w:rFonts w:ascii="Arial" w:hAnsi="Arial" w:cs="Arial"/>
                <w:color w:val="000000"/>
                <w:sz w:val="16"/>
                <w:szCs w:val="16"/>
              </w:rPr>
            </w:pPr>
          </w:p>
        </w:tc>
      </w:tr>
      <w:tr w:rsidR="00850819" w:rsidRPr="0061011A" w14:paraId="359884D3" w14:textId="77777777" w:rsidTr="00956066">
        <w:trPr>
          <w:trHeight w:val="227"/>
        </w:trPr>
        <w:tc>
          <w:tcPr>
            <w:tcW w:w="1418" w:type="dxa"/>
            <w:tcBorders>
              <w:top w:val="nil"/>
              <w:left w:val="nil"/>
              <w:bottom w:val="nil"/>
              <w:right w:val="nil"/>
            </w:tcBorders>
            <w:shd w:val="clear" w:color="000000" w:fill="808080"/>
            <w:vAlign w:val="center"/>
            <w:hideMark/>
          </w:tcPr>
          <w:p w14:paraId="59ED6DD3" w14:textId="77777777" w:rsidR="00850819" w:rsidRPr="0061011A" w:rsidRDefault="00850819" w:rsidP="0061011A">
            <w:pPr>
              <w:spacing w:after="0"/>
              <w:jc w:val="both"/>
              <w:rPr>
                <w:rFonts w:ascii="Arial" w:hAnsi="Arial" w:cs="Arial"/>
                <w:color w:val="FFFFFF"/>
                <w:sz w:val="18"/>
                <w:szCs w:val="18"/>
              </w:rPr>
            </w:pPr>
            <w:r w:rsidRPr="0061011A">
              <w:rPr>
                <w:rFonts w:ascii="Arial" w:hAnsi="Arial" w:cs="Arial"/>
                <w:color w:val="FFFFFF"/>
                <w:sz w:val="18"/>
                <w:szCs w:val="18"/>
              </w:rPr>
              <w:t> </w:t>
            </w:r>
          </w:p>
        </w:tc>
        <w:tc>
          <w:tcPr>
            <w:tcW w:w="1417" w:type="dxa"/>
            <w:vMerge w:val="restart"/>
            <w:tcBorders>
              <w:left w:val="nil"/>
              <w:right w:val="nil"/>
            </w:tcBorders>
            <w:shd w:val="clear" w:color="auto" w:fill="D9D9D9" w:themeFill="background1" w:themeFillShade="D9"/>
            <w:vAlign w:val="center"/>
            <w:hideMark/>
          </w:tcPr>
          <w:p w14:paraId="049B1205" w14:textId="77777777" w:rsidR="00850819" w:rsidRPr="0061011A" w:rsidRDefault="00850819" w:rsidP="00FF133A">
            <w:pPr>
              <w:spacing w:after="0"/>
              <w:rPr>
                <w:rFonts w:ascii="Arial" w:hAnsi="Arial" w:cs="Arial"/>
                <w:color w:val="000000"/>
                <w:sz w:val="16"/>
                <w:szCs w:val="16"/>
              </w:rPr>
            </w:pPr>
            <w:r w:rsidRPr="0061011A">
              <w:rPr>
                <w:rFonts w:ascii="Arial" w:hAnsi="Arial" w:cs="Arial"/>
                <w:color w:val="000000"/>
                <w:sz w:val="16"/>
                <w:szCs w:val="16"/>
              </w:rPr>
              <w:t xml:space="preserve">Inner regional </w:t>
            </w:r>
          </w:p>
        </w:tc>
        <w:tc>
          <w:tcPr>
            <w:tcW w:w="1134" w:type="dxa"/>
            <w:tcBorders>
              <w:left w:val="nil"/>
              <w:bottom w:val="single" w:sz="2" w:space="0" w:color="808080" w:themeColor="background1" w:themeShade="80"/>
              <w:right w:val="nil"/>
            </w:tcBorders>
            <w:shd w:val="clear" w:color="auto" w:fill="D9D9D9" w:themeFill="background1" w:themeFillShade="D9"/>
            <w:noWrap/>
            <w:vAlign w:val="center"/>
            <w:hideMark/>
          </w:tcPr>
          <w:p w14:paraId="4C0EFF8A" w14:textId="77777777" w:rsidR="00850819" w:rsidRPr="0061011A" w:rsidRDefault="00850819" w:rsidP="0061011A">
            <w:pPr>
              <w:spacing w:after="0"/>
              <w:rPr>
                <w:rFonts w:ascii="Arial" w:hAnsi="Arial" w:cs="Arial"/>
                <w:color w:val="000000"/>
                <w:sz w:val="16"/>
                <w:szCs w:val="16"/>
              </w:rPr>
            </w:pPr>
            <w:r w:rsidRPr="0061011A">
              <w:rPr>
                <w:rFonts w:ascii="Arial" w:hAnsi="Arial" w:cs="Arial"/>
                <w:color w:val="000000"/>
                <w:sz w:val="16"/>
                <w:szCs w:val="16"/>
              </w:rPr>
              <w:t>Public</w:t>
            </w:r>
          </w:p>
        </w:tc>
        <w:tc>
          <w:tcPr>
            <w:tcW w:w="1883" w:type="dxa"/>
            <w:tcBorders>
              <w:left w:val="nil"/>
              <w:bottom w:val="single" w:sz="2" w:space="0" w:color="808080" w:themeColor="background1" w:themeShade="80"/>
              <w:right w:val="nil"/>
            </w:tcBorders>
            <w:shd w:val="clear" w:color="auto" w:fill="D9D9D9" w:themeFill="background1" w:themeFillShade="D9"/>
            <w:noWrap/>
            <w:vAlign w:val="center"/>
            <w:hideMark/>
          </w:tcPr>
          <w:p w14:paraId="766E3409"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79</w:t>
            </w:r>
          </w:p>
        </w:tc>
        <w:tc>
          <w:tcPr>
            <w:tcW w:w="1883" w:type="dxa"/>
            <w:tcBorders>
              <w:left w:val="nil"/>
              <w:bottom w:val="single" w:sz="2" w:space="0" w:color="808080" w:themeColor="background1" w:themeShade="80"/>
              <w:right w:val="nil"/>
            </w:tcBorders>
            <w:shd w:val="clear" w:color="auto" w:fill="D9D9D9" w:themeFill="background1" w:themeFillShade="D9"/>
            <w:noWrap/>
            <w:vAlign w:val="center"/>
            <w:hideMark/>
          </w:tcPr>
          <w:p w14:paraId="7CCF347A"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189</w:t>
            </w:r>
          </w:p>
        </w:tc>
        <w:tc>
          <w:tcPr>
            <w:tcW w:w="1763" w:type="dxa"/>
            <w:tcBorders>
              <w:left w:val="nil"/>
              <w:bottom w:val="single" w:sz="2" w:space="0" w:color="808080" w:themeColor="background1" w:themeShade="80"/>
              <w:right w:val="single" w:sz="12" w:space="0" w:color="808080" w:themeColor="background1" w:themeShade="80"/>
            </w:tcBorders>
            <w:shd w:val="clear" w:color="auto" w:fill="D9D9D9" w:themeFill="background1" w:themeFillShade="D9"/>
            <w:noWrap/>
            <w:vAlign w:val="center"/>
            <w:hideMark/>
          </w:tcPr>
          <w:p w14:paraId="341D2C39" w14:textId="347AF780"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41.8</w:t>
            </w:r>
          </w:p>
        </w:tc>
        <w:tc>
          <w:tcPr>
            <w:tcW w:w="1281" w:type="dxa"/>
            <w:vMerge w:val="restart"/>
            <w:tcBorders>
              <w:left w:val="single" w:sz="12" w:space="0" w:color="808080" w:themeColor="background1" w:themeShade="80"/>
              <w:right w:val="nil"/>
            </w:tcBorders>
            <w:shd w:val="clear" w:color="auto" w:fill="D9D9D9" w:themeFill="background1" w:themeFillShade="D9"/>
            <w:noWrap/>
            <w:vAlign w:val="center"/>
            <w:hideMark/>
          </w:tcPr>
          <w:p w14:paraId="5E3662F1"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95</w:t>
            </w:r>
          </w:p>
        </w:tc>
        <w:tc>
          <w:tcPr>
            <w:tcW w:w="1837" w:type="dxa"/>
            <w:gridSpan w:val="2"/>
            <w:vMerge w:val="restart"/>
            <w:tcBorders>
              <w:left w:val="nil"/>
              <w:right w:val="nil"/>
            </w:tcBorders>
            <w:shd w:val="clear" w:color="auto" w:fill="D9D9D9" w:themeFill="background1" w:themeFillShade="D9"/>
            <w:vAlign w:val="center"/>
            <w:hideMark/>
          </w:tcPr>
          <w:p w14:paraId="677EA864"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248</w:t>
            </w:r>
          </w:p>
        </w:tc>
        <w:tc>
          <w:tcPr>
            <w:tcW w:w="1418" w:type="dxa"/>
            <w:vMerge w:val="restart"/>
            <w:tcBorders>
              <w:left w:val="nil"/>
              <w:right w:val="nil"/>
            </w:tcBorders>
            <w:shd w:val="clear" w:color="auto" w:fill="D9D9D9" w:themeFill="background1" w:themeFillShade="D9"/>
            <w:vAlign w:val="center"/>
            <w:hideMark/>
          </w:tcPr>
          <w:p w14:paraId="010EF34D" w14:textId="6C75C5CF"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38.3</w:t>
            </w:r>
          </w:p>
        </w:tc>
      </w:tr>
      <w:tr w:rsidR="00850819" w:rsidRPr="0061011A" w14:paraId="4AB8DB1A" w14:textId="77777777" w:rsidTr="00956066">
        <w:trPr>
          <w:trHeight w:val="227"/>
        </w:trPr>
        <w:tc>
          <w:tcPr>
            <w:tcW w:w="1418" w:type="dxa"/>
            <w:tcBorders>
              <w:top w:val="nil"/>
              <w:left w:val="nil"/>
              <w:bottom w:val="nil"/>
              <w:right w:val="nil"/>
            </w:tcBorders>
            <w:shd w:val="clear" w:color="000000" w:fill="808080"/>
            <w:vAlign w:val="center"/>
            <w:hideMark/>
          </w:tcPr>
          <w:p w14:paraId="372C60CE" w14:textId="77777777" w:rsidR="00850819" w:rsidRPr="0061011A" w:rsidRDefault="00850819" w:rsidP="0061011A">
            <w:pPr>
              <w:spacing w:after="0"/>
              <w:rPr>
                <w:rFonts w:ascii="Calibri" w:hAnsi="Calibri"/>
                <w:color w:val="000000"/>
              </w:rPr>
            </w:pPr>
            <w:r w:rsidRPr="0061011A">
              <w:rPr>
                <w:rFonts w:ascii="Calibri" w:hAnsi="Calibri"/>
                <w:color w:val="000000"/>
              </w:rPr>
              <w:t> </w:t>
            </w:r>
          </w:p>
        </w:tc>
        <w:tc>
          <w:tcPr>
            <w:tcW w:w="1417" w:type="dxa"/>
            <w:vMerge/>
            <w:tcBorders>
              <w:left w:val="nil"/>
              <w:right w:val="nil"/>
            </w:tcBorders>
            <w:vAlign w:val="center"/>
            <w:hideMark/>
          </w:tcPr>
          <w:p w14:paraId="3C8A8F16" w14:textId="77777777" w:rsidR="00850819" w:rsidRPr="0061011A" w:rsidRDefault="00850819">
            <w:pPr>
              <w:spacing w:after="0"/>
              <w:rPr>
                <w:rFonts w:ascii="Arial" w:hAnsi="Arial" w:cs="Arial"/>
                <w:color w:val="000000"/>
                <w:sz w:val="16"/>
                <w:szCs w:val="16"/>
              </w:rPr>
            </w:pPr>
          </w:p>
        </w:tc>
        <w:tc>
          <w:tcPr>
            <w:tcW w:w="1134" w:type="dxa"/>
            <w:tcBorders>
              <w:top w:val="single" w:sz="2" w:space="0" w:color="808080" w:themeColor="background1" w:themeShade="80"/>
              <w:left w:val="nil"/>
              <w:right w:val="nil"/>
            </w:tcBorders>
            <w:shd w:val="clear" w:color="auto" w:fill="D9D9D9" w:themeFill="background1" w:themeFillShade="D9"/>
            <w:noWrap/>
            <w:vAlign w:val="center"/>
            <w:hideMark/>
          </w:tcPr>
          <w:p w14:paraId="2AA00713" w14:textId="77777777" w:rsidR="00850819" w:rsidRPr="0061011A" w:rsidRDefault="00850819" w:rsidP="0061011A">
            <w:pPr>
              <w:spacing w:after="0"/>
              <w:rPr>
                <w:rFonts w:ascii="Arial" w:hAnsi="Arial" w:cs="Arial"/>
                <w:color w:val="000000"/>
                <w:sz w:val="16"/>
                <w:szCs w:val="16"/>
              </w:rPr>
            </w:pPr>
            <w:r w:rsidRPr="0061011A">
              <w:rPr>
                <w:rFonts w:ascii="Arial" w:hAnsi="Arial" w:cs="Arial"/>
                <w:color w:val="000000"/>
                <w:sz w:val="16"/>
                <w:szCs w:val="16"/>
              </w:rPr>
              <w:t>Private</w:t>
            </w:r>
          </w:p>
        </w:tc>
        <w:tc>
          <w:tcPr>
            <w:tcW w:w="1883" w:type="dxa"/>
            <w:tcBorders>
              <w:top w:val="single" w:sz="2" w:space="0" w:color="808080" w:themeColor="background1" w:themeShade="80"/>
              <w:left w:val="nil"/>
              <w:right w:val="nil"/>
            </w:tcBorders>
            <w:shd w:val="clear" w:color="auto" w:fill="D9D9D9" w:themeFill="background1" w:themeFillShade="D9"/>
            <w:noWrap/>
            <w:vAlign w:val="center"/>
            <w:hideMark/>
          </w:tcPr>
          <w:p w14:paraId="583C33B3"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16</w:t>
            </w:r>
          </w:p>
        </w:tc>
        <w:tc>
          <w:tcPr>
            <w:tcW w:w="1883" w:type="dxa"/>
            <w:tcBorders>
              <w:top w:val="single" w:sz="2" w:space="0" w:color="808080" w:themeColor="background1" w:themeShade="80"/>
              <w:left w:val="nil"/>
              <w:right w:val="nil"/>
            </w:tcBorders>
            <w:shd w:val="clear" w:color="auto" w:fill="D9D9D9" w:themeFill="background1" w:themeFillShade="D9"/>
            <w:noWrap/>
            <w:vAlign w:val="center"/>
            <w:hideMark/>
          </w:tcPr>
          <w:p w14:paraId="18984507"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59</w:t>
            </w:r>
          </w:p>
        </w:tc>
        <w:tc>
          <w:tcPr>
            <w:tcW w:w="1763" w:type="dxa"/>
            <w:tcBorders>
              <w:top w:val="single" w:sz="2" w:space="0" w:color="808080" w:themeColor="background1" w:themeShade="80"/>
              <w:left w:val="nil"/>
              <w:right w:val="single" w:sz="12" w:space="0" w:color="808080" w:themeColor="background1" w:themeShade="80"/>
            </w:tcBorders>
            <w:shd w:val="clear" w:color="auto" w:fill="D9D9D9" w:themeFill="background1" w:themeFillShade="D9"/>
            <w:noWrap/>
            <w:vAlign w:val="center"/>
            <w:hideMark/>
          </w:tcPr>
          <w:p w14:paraId="249CDFB5" w14:textId="7D328E02"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27.1</w:t>
            </w:r>
          </w:p>
        </w:tc>
        <w:tc>
          <w:tcPr>
            <w:tcW w:w="1281" w:type="dxa"/>
            <w:vMerge/>
            <w:tcBorders>
              <w:left w:val="single" w:sz="12" w:space="0" w:color="808080" w:themeColor="background1" w:themeShade="80"/>
              <w:right w:val="nil"/>
            </w:tcBorders>
            <w:shd w:val="clear" w:color="auto" w:fill="D9D9D9" w:themeFill="background1" w:themeFillShade="D9"/>
            <w:vAlign w:val="center"/>
            <w:hideMark/>
          </w:tcPr>
          <w:p w14:paraId="313EE524" w14:textId="77777777" w:rsidR="00850819" w:rsidRPr="0061011A" w:rsidRDefault="00850819" w:rsidP="00332142">
            <w:pPr>
              <w:spacing w:after="0"/>
              <w:jc w:val="center"/>
              <w:rPr>
                <w:rFonts w:ascii="Arial" w:hAnsi="Arial" w:cs="Arial"/>
                <w:color w:val="000000"/>
                <w:sz w:val="16"/>
                <w:szCs w:val="16"/>
              </w:rPr>
            </w:pPr>
          </w:p>
        </w:tc>
        <w:tc>
          <w:tcPr>
            <w:tcW w:w="1837" w:type="dxa"/>
            <w:gridSpan w:val="2"/>
            <w:vMerge/>
            <w:tcBorders>
              <w:left w:val="nil"/>
              <w:right w:val="nil"/>
            </w:tcBorders>
            <w:vAlign w:val="center"/>
            <w:hideMark/>
          </w:tcPr>
          <w:p w14:paraId="54E96D5E" w14:textId="77777777" w:rsidR="00850819" w:rsidRPr="0061011A" w:rsidRDefault="00850819" w:rsidP="00332142">
            <w:pPr>
              <w:spacing w:after="0"/>
              <w:jc w:val="center"/>
              <w:rPr>
                <w:rFonts w:ascii="Arial" w:hAnsi="Arial" w:cs="Arial"/>
                <w:color w:val="000000"/>
                <w:sz w:val="16"/>
                <w:szCs w:val="16"/>
              </w:rPr>
            </w:pPr>
          </w:p>
        </w:tc>
        <w:tc>
          <w:tcPr>
            <w:tcW w:w="1418" w:type="dxa"/>
            <w:vMerge/>
            <w:tcBorders>
              <w:left w:val="nil"/>
              <w:right w:val="nil"/>
            </w:tcBorders>
            <w:vAlign w:val="center"/>
            <w:hideMark/>
          </w:tcPr>
          <w:p w14:paraId="1A15A071" w14:textId="77777777" w:rsidR="00850819" w:rsidRPr="0061011A" w:rsidRDefault="00850819" w:rsidP="00332142">
            <w:pPr>
              <w:spacing w:after="0"/>
              <w:jc w:val="center"/>
              <w:rPr>
                <w:rFonts w:ascii="Arial" w:hAnsi="Arial" w:cs="Arial"/>
                <w:color w:val="000000"/>
                <w:sz w:val="16"/>
                <w:szCs w:val="16"/>
              </w:rPr>
            </w:pPr>
          </w:p>
        </w:tc>
      </w:tr>
      <w:tr w:rsidR="00850819" w:rsidRPr="0061011A" w14:paraId="0F95FD52" w14:textId="77777777" w:rsidTr="00956066">
        <w:trPr>
          <w:trHeight w:val="227"/>
        </w:trPr>
        <w:tc>
          <w:tcPr>
            <w:tcW w:w="1418" w:type="dxa"/>
            <w:tcBorders>
              <w:top w:val="nil"/>
              <w:left w:val="nil"/>
              <w:bottom w:val="nil"/>
              <w:right w:val="nil"/>
            </w:tcBorders>
            <w:shd w:val="clear" w:color="000000" w:fill="808080"/>
            <w:vAlign w:val="center"/>
            <w:hideMark/>
          </w:tcPr>
          <w:p w14:paraId="30BA5C4C" w14:textId="77777777" w:rsidR="00850819" w:rsidRPr="0061011A" w:rsidRDefault="00850819" w:rsidP="0061011A">
            <w:pPr>
              <w:spacing w:after="0"/>
              <w:rPr>
                <w:rFonts w:ascii="Arial" w:hAnsi="Arial" w:cs="Arial"/>
                <w:color w:val="FFFFFF"/>
                <w:sz w:val="18"/>
                <w:szCs w:val="18"/>
              </w:rPr>
            </w:pPr>
            <w:r w:rsidRPr="0061011A">
              <w:rPr>
                <w:rFonts w:ascii="Arial" w:hAnsi="Arial" w:cs="Arial"/>
                <w:color w:val="FFFFFF"/>
                <w:sz w:val="18"/>
                <w:szCs w:val="18"/>
              </w:rPr>
              <w:t>Remoteness</w:t>
            </w:r>
          </w:p>
        </w:tc>
        <w:tc>
          <w:tcPr>
            <w:tcW w:w="1417" w:type="dxa"/>
            <w:vMerge w:val="restart"/>
            <w:tcBorders>
              <w:left w:val="nil"/>
              <w:right w:val="nil"/>
            </w:tcBorders>
            <w:shd w:val="clear" w:color="auto" w:fill="auto"/>
            <w:vAlign w:val="center"/>
            <w:hideMark/>
          </w:tcPr>
          <w:p w14:paraId="7873A001" w14:textId="77777777" w:rsidR="00850819" w:rsidRPr="0061011A" w:rsidRDefault="00850819" w:rsidP="00FF133A">
            <w:pPr>
              <w:spacing w:after="0"/>
              <w:rPr>
                <w:rFonts w:ascii="Arial" w:hAnsi="Arial" w:cs="Arial"/>
                <w:color w:val="000000"/>
                <w:sz w:val="16"/>
                <w:szCs w:val="16"/>
              </w:rPr>
            </w:pPr>
            <w:r w:rsidRPr="0061011A">
              <w:rPr>
                <w:rFonts w:ascii="Arial" w:hAnsi="Arial" w:cs="Arial"/>
                <w:color w:val="000000"/>
                <w:sz w:val="16"/>
                <w:szCs w:val="16"/>
              </w:rPr>
              <w:t>Outer regional</w:t>
            </w:r>
          </w:p>
        </w:tc>
        <w:tc>
          <w:tcPr>
            <w:tcW w:w="1134" w:type="dxa"/>
            <w:tcBorders>
              <w:left w:val="nil"/>
              <w:bottom w:val="single" w:sz="2" w:space="0" w:color="808080" w:themeColor="background1" w:themeShade="80"/>
              <w:right w:val="nil"/>
            </w:tcBorders>
            <w:shd w:val="clear" w:color="auto" w:fill="auto"/>
            <w:noWrap/>
            <w:vAlign w:val="center"/>
            <w:hideMark/>
          </w:tcPr>
          <w:p w14:paraId="06CE42C0" w14:textId="77777777" w:rsidR="00850819" w:rsidRPr="0061011A" w:rsidRDefault="00850819" w:rsidP="0061011A">
            <w:pPr>
              <w:spacing w:after="0"/>
              <w:rPr>
                <w:rFonts w:ascii="Arial" w:hAnsi="Arial" w:cs="Arial"/>
                <w:color w:val="000000"/>
                <w:sz w:val="16"/>
                <w:szCs w:val="16"/>
              </w:rPr>
            </w:pPr>
            <w:r w:rsidRPr="0061011A">
              <w:rPr>
                <w:rFonts w:ascii="Arial" w:hAnsi="Arial" w:cs="Arial"/>
                <w:color w:val="000000"/>
                <w:sz w:val="16"/>
                <w:szCs w:val="16"/>
              </w:rPr>
              <w:t>Public</w:t>
            </w:r>
          </w:p>
        </w:tc>
        <w:tc>
          <w:tcPr>
            <w:tcW w:w="1883" w:type="dxa"/>
            <w:tcBorders>
              <w:left w:val="nil"/>
              <w:bottom w:val="single" w:sz="2" w:space="0" w:color="808080" w:themeColor="background1" w:themeShade="80"/>
              <w:right w:val="nil"/>
            </w:tcBorders>
            <w:shd w:val="clear" w:color="auto" w:fill="auto"/>
            <w:noWrap/>
            <w:vAlign w:val="center"/>
            <w:hideMark/>
          </w:tcPr>
          <w:p w14:paraId="31E360F2"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47</w:t>
            </w:r>
          </w:p>
        </w:tc>
        <w:tc>
          <w:tcPr>
            <w:tcW w:w="1883" w:type="dxa"/>
            <w:tcBorders>
              <w:left w:val="nil"/>
              <w:bottom w:val="single" w:sz="2" w:space="0" w:color="808080" w:themeColor="background1" w:themeShade="80"/>
              <w:right w:val="nil"/>
            </w:tcBorders>
            <w:shd w:val="clear" w:color="auto" w:fill="auto"/>
            <w:noWrap/>
            <w:vAlign w:val="center"/>
            <w:hideMark/>
          </w:tcPr>
          <w:p w14:paraId="7B0AE94B"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213</w:t>
            </w:r>
          </w:p>
        </w:tc>
        <w:tc>
          <w:tcPr>
            <w:tcW w:w="1763" w:type="dxa"/>
            <w:tcBorders>
              <w:left w:val="nil"/>
              <w:bottom w:val="single" w:sz="2" w:space="0" w:color="808080" w:themeColor="background1" w:themeShade="80"/>
              <w:right w:val="single" w:sz="12" w:space="0" w:color="808080" w:themeColor="background1" w:themeShade="80"/>
            </w:tcBorders>
            <w:shd w:val="clear" w:color="auto" w:fill="auto"/>
            <w:noWrap/>
            <w:vAlign w:val="center"/>
            <w:hideMark/>
          </w:tcPr>
          <w:p w14:paraId="6CA4EA17" w14:textId="177ECDA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22.1</w:t>
            </w:r>
          </w:p>
        </w:tc>
        <w:tc>
          <w:tcPr>
            <w:tcW w:w="1281" w:type="dxa"/>
            <w:vMerge w:val="restart"/>
            <w:tcBorders>
              <w:left w:val="single" w:sz="12" w:space="0" w:color="808080" w:themeColor="background1" w:themeShade="80"/>
              <w:right w:val="nil"/>
            </w:tcBorders>
            <w:shd w:val="clear" w:color="auto" w:fill="auto"/>
            <w:noWrap/>
            <w:vAlign w:val="center"/>
            <w:hideMark/>
          </w:tcPr>
          <w:p w14:paraId="0DB55A56"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52</w:t>
            </w:r>
          </w:p>
        </w:tc>
        <w:tc>
          <w:tcPr>
            <w:tcW w:w="1837" w:type="dxa"/>
            <w:gridSpan w:val="2"/>
            <w:vMerge w:val="restart"/>
            <w:tcBorders>
              <w:left w:val="nil"/>
              <w:right w:val="nil"/>
            </w:tcBorders>
            <w:shd w:val="clear" w:color="auto" w:fill="auto"/>
            <w:vAlign w:val="center"/>
            <w:hideMark/>
          </w:tcPr>
          <w:p w14:paraId="015750F7"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229</w:t>
            </w:r>
          </w:p>
        </w:tc>
        <w:tc>
          <w:tcPr>
            <w:tcW w:w="1418" w:type="dxa"/>
            <w:vMerge w:val="restart"/>
            <w:tcBorders>
              <w:left w:val="nil"/>
              <w:right w:val="nil"/>
            </w:tcBorders>
            <w:shd w:val="clear" w:color="auto" w:fill="auto"/>
            <w:vAlign w:val="center"/>
            <w:hideMark/>
          </w:tcPr>
          <w:p w14:paraId="0DC9BE4B" w14:textId="76A43AEF"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22.7</w:t>
            </w:r>
          </w:p>
        </w:tc>
      </w:tr>
      <w:tr w:rsidR="00850819" w:rsidRPr="0061011A" w14:paraId="53966B27" w14:textId="77777777" w:rsidTr="00956066">
        <w:trPr>
          <w:trHeight w:val="227"/>
        </w:trPr>
        <w:tc>
          <w:tcPr>
            <w:tcW w:w="1418" w:type="dxa"/>
            <w:tcBorders>
              <w:top w:val="nil"/>
              <w:left w:val="nil"/>
              <w:bottom w:val="nil"/>
              <w:right w:val="nil"/>
            </w:tcBorders>
            <w:shd w:val="clear" w:color="000000" w:fill="808080"/>
            <w:vAlign w:val="center"/>
            <w:hideMark/>
          </w:tcPr>
          <w:p w14:paraId="0823E901" w14:textId="77777777" w:rsidR="00850819" w:rsidRPr="0061011A" w:rsidRDefault="00850819" w:rsidP="0061011A">
            <w:pPr>
              <w:spacing w:after="0"/>
              <w:jc w:val="both"/>
              <w:rPr>
                <w:rFonts w:ascii="Arial" w:hAnsi="Arial" w:cs="Arial"/>
                <w:color w:val="FFFFFF"/>
                <w:sz w:val="18"/>
                <w:szCs w:val="18"/>
              </w:rPr>
            </w:pPr>
            <w:r w:rsidRPr="0061011A">
              <w:rPr>
                <w:rFonts w:ascii="Arial" w:hAnsi="Arial" w:cs="Arial"/>
                <w:color w:val="FFFFFF"/>
                <w:sz w:val="18"/>
                <w:szCs w:val="18"/>
              </w:rPr>
              <w:t> </w:t>
            </w:r>
          </w:p>
        </w:tc>
        <w:tc>
          <w:tcPr>
            <w:tcW w:w="1417" w:type="dxa"/>
            <w:vMerge/>
            <w:tcBorders>
              <w:left w:val="nil"/>
              <w:right w:val="nil"/>
            </w:tcBorders>
            <w:vAlign w:val="center"/>
            <w:hideMark/>
          </w:tcPr>
          <w:p w14:paraId="64AE7BA7" w14:textId="77777777" w:rsidR="00850819" w:rsidRPr="0061011A" w:rsidRDefault="00850819">
            <w:pPr>
              <w:spacing w:after="0"/>
              <w:rPr>
                <w:rFonts w:ascii="Arial" w:hAnsi="Arial" w:cs="Arial"/>
                <w:color w:val="000000"/>
                <w:sz w:val="16"/>
                <w:szCs w:val="16"/>
              </w:rPr>
            </w:pPr>
          </w:p>
        </w:tc>
        <w:tc>
          <w:tcPr>
            <w:tcW w:w="1134" w:type="dxa"/>
            <w:tcBorders>
              <w:top w:val="single" w:sz="2" w:space="0" w:color="808080" w:themeColor="background1" w:themeShade="80"/>
              <w:left w:val="nil"/>
              <w:right w:val="nil"/>
            </w:tcBorders>
            <w:shd w:val="clear" w:color="auto" w:fill="auto"/>
            <w:noWrap/>
            <w:vAlign w:val="center"/>
            <w:hideMark/>
          </w:tcPr>
          <w:p w14:paraId="14CAA547" w14:textId="77777777" w:rsidR="00850819" w:rsidRPr="0061011A" w:rsidRDefault="00850819" w:rsidP="0061011A">
            <w:pPr>
              <w:spacing w:after="0"/>
              <w:rPr>
                <w:rFonts w:ascii="Arial" w:hAnsi="Arial" w:cs="Arial"/>
                <w:color w:val="000000"/>
                <w:sz w:val="16"/>
                <w:szCs w:val="16"/>
              </w:rPr>
            </w:pPr>
            <w:r w:rsidRPr="0061011A">
              <w:rPr>
                <w:rFonts w:ascii="Arial" w:hAnsi="Arial" w:cs="Arial"/>
                <w:color w:val="000000"/>
                <w:sz w:val="16"/>
                <w:szCs w:val="16"/>
              </w:rPr>
              <w:t>Private</w:t>
            </w:r>
          </w:p>
        </w:tc>
        <w:tc>
          <w:tcPr>
            <w:tcW w:w="1883" w:type="dxa"/>
            <w:tcBorders>
              <w:top w:val="single" w:sz="2" w:space="0" w:color="808080" w:themeColor="background1" w:themeShade="80"/>
              <w:left w:val="nil"/>
              <w:right w:val="nil"/>
            </w:tcBorders>
            <w:shd w:val="clear" w:color="auto" w:fill="auto"/>
            <w:noWrap/>
            <w:vAlign w:val="center"/>
            <w:hideMark/>
          </w:tcPr>
          <w:p w14:paraId="3D334A4B"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5</w:t>
            </w:r>
          </w:p>
        </w:tc>
        <w:tc>
          <w:tcPr>
            <w:tcW w:w="1883" w:type="dxa"/>
            <w:tcBorders>
              <w:top w:val="single" w:sz="2" w:space="0" w:color="808080" w:themeColor="background1" w:themeShade="80"/>
              <w:left w:val="nil"/>
              <w:right w:val="nil"/>
            </w:tcBorders>
            <w:shd w:val="clear" w:color="auto" w:fill="auto"/>
            <w:noWrap/>
            <w:vAlign w:val="center"/>
            <w:hideMark/>
          </w:tcPr>
          <w:p w14:paraId="73B5ED3E"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16</w:t>
            </w:r>
          </w:p>
        </w:tc>
        <w:tc>
          <w:tcPr>
            <w:tcW w:w="1763" w:type="dxa"/>
            <w:tcBorders>
              <w:top w:val="single" w:sz="2" w:space="0" w:color="808080" w:themeColor="background1" w:themeShade="80"/>
              <w:left w:val="nil"/>
              <w:right w:val="single" w:sz="12" w:space="0" w:color="808080" w:themeColor="background1" w:themeShade="80"/>
            </w:tcBorders>
            <w:shd w:val="clear" w:color="auto" w:fill="auto"/>
            <w:noWrap/>
            <w:vAlign w:val="center"/>
            <w:hideMark/>
          </w:tcPr>
          <w:p w14:paraId="255B6719" w14:textId="1575D6AB"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31.3</w:t>
            </w:r>
          </w:p>
        </w:tc>
        <w:tc>
          <w:tcPr>
            <w:tcW w:w="1281" w:type="dxa"/>
            <w:vMerge/>
            <w:tcBorders>
              <w:left w:val="single" w:sz="12" w:space="0" w:color="808080" w:themeColor="background1" w:themeShade="80"/>
              <w:right w:val="nil"/>
            </w:tcBorders>
            <w:vAlign w:val="center"/>
            <w:hideMark/>
          </w:tcPr>
          <w:p w14:paraId="3E8F026C" w14:textId="77777777" w:rsidR="00850819" w:rsidRPr="0061011A" w:rsidRDefault="00850819" w:rsidP="00332142">
            <w:pPr>
              <w:spacing w:after="0"/>
              <w:jc w:val="center"/>
              <w:rPr>
                <w:rFonts w:ascii="Arial" w:hAnsi="Arial" w:cs="Arial"/>
                <w:color w:val="000000"/>
                <w:sz w:val="16"/>
                <w:szCs w:val="16"/>
              </w:rPr>
            </w:pPr>
          </w:p>
        </w:tc>
        <w:tc>
          <w:tcPr>
            <w:tcW w:w="1837" w:type="dxa"/>
            <w:gridSpan w:val="2"/>
            <w:vMerge/>
            <w:tcBorders>
              <w:left w:val="nil"/>
              <w:right w:val="nil"/>
            </w:tcBorders>
            <w:vAlign w:val="center"/>
            <w:hideMark/>
          </w:tcPr>
          <w:p w14:paraId="0F5CC8FF" w14:textId="77777777" w:rsidR="00850819" w:rsidRPr="0061011A" w:rsidRDefault="00850819" w:rsidP="00332142">
            <w:pPr>
              <w:spacing w:after="0"/>
              <w:jc w:val="center"/>
              <w:rPr>
                <w:rFonts w:ascii="Arial" w:hAnsi="Arial" w:cs="Arial"/>
                <w:color w:val="000000"/>
                <w:sz w:val="16"/>
                <w:szCs w:val="16"/>
              </w:rPr>
            </w:pPr>
          </w:p>
        </w:tc>
        <w:tc>
          <w:tcPr>
            <w:tcW w:w="1418" w:type="dxa"/>
            <w:vMerge/>
            <w:tcBorders>
              <w:left w:val="nil"/>
              <w:right w:val="nil"/>
            </w:tcBorders>
            <w:vAlign w:val="center"/>
            <w:hideMark/>
          </w:tcPr>
          <w:p w14:paraId="7597975B" w14:textId="77777777" w:rsidR="00850819" w:rsidRPr="0061011A" w:rsidRDefault="00850819" w:rsidP="00332142">
            <w:pPr>
              <w:spacing w:after="0"/>
              <w:jc w:val="center"/>
              <w:rPr>
                <w:rFonts w:ascii="Arial" w:hAnsi="Arial" w:cs="Arial"/>
                <w:color w:val="000000"/>
                <w:sz w:val="16"/>
                <w:szCs w:val="16"/>
              </w:rPr>
            </w:pPr>
          </w:p>
        </w:tc>
      </w:tr>
      <w:tr w:rsidR="00850819" w:rsidRPr="0061011A" w14:paraId="35EFED18" w14:textId="77777777" w:rsidTr="00956066">
        <w:trPr>
          <w:trHeight w:val="227"/>
        </w:trPr>
        <w:tc>
          <w:tcPr>
            <w:tcW w:w="1418" w:type="dxa"/>
            <w:tcBorders>
              <w:top w:val="nil"/>
              <w:left w:val="nil"/>
              <w:bottom w:val="nil"/>
              <w:right w:val="nil"/>
            </w:tcBorders>
            <w:shd w:val="clear" w:color="000000" w:fill="808080"/>
            <w:vAlign w:val="center"/>
            <w:hideMark/>
          </w:tcPr>
          <w:p w14:paraId="4C99A2FD" w14:textId="77777777" w:rsidR="00850819" w:rsidRPr="0061011A" w:rsidRDefault="00850819" w:rsidP="0061011A">
            <w:pPr>
              <w:spacing w:after="0"/>
              <w:rPr>
                <w:rFonts w:ascii="Calibri" w:hAnsi="Calibri"/>
                <w:color w:val="000000"/>
              </w:rPr>
            </w:pPr>
            <w:r w:rsidRPr="0061011A">
              <w:rPr>
                <w:rFonts w:ascii="Calibri" w:hAnsi="Calibri"/>
                <w:color w:val="000000"/>
              </w:rPr>
              <w:t> </w:t>
            </w:r>
          </w:p>
        </w:tc>
        <w:tc>
          <w:tcPr>
            <w:tcW w:w="1417" w:type="dxa"/>
            <w:vMerge w:val="restart"/>
            <w:tcBorders>
              <w:left w:val="nil"/>
              <w:right w:val="nil"/>
            </w:tcBorders>
            <w:shd w:val="clear" w:color="000000" w:fill="D9D9D9"/>
            <w:vAlign w:val="center"/>
            <w:hideMark/>
          </w:tcPr>
          <w:p w14:paraId="3D0EAC5C" w14:textId="77777777" w:rsidR="00850819" w:rsidRPr="0061011A" w:rsidRDefault="00850819" w:rsidP="00FF133A">
            <w:pPr>
              <w:spacing w:after="0"/>
              <w:rPr>
                <w:rFonts w:ascii="Arial" w:hAnsi="Arial" w:cs="Arial"/>
                <w:color w:val="000000"/>
                <w:sz w:val="16"/>
                <w:szCs w:val="16"/>
              </w:rPr>
            </w:pPr>
            <w:r w:rsidRPr="0061011A">
              <w:rPr>
                <w:rFonts w:ascii="Arial" w:hAnsi="Arial" w:cs="Arial"/>
                <w:color w:val="000000"/>
                <w:sz w:val="16"/>
                <w:szCs w:val="16"/>
              </w:rPr>
              <w:t xml:space="preserve">Remote </w:t>
            </w:r>
          </w:p>
        </w:tc>
        <w:tc>
          <w:tcPr>
            <w:tcW w:w="1134" w:type="dxa"/>
            <w:tcBorders>
              <w:left w:val="nil"/>
              <w:bottom w:val="single" w:sz="2" w:space="0" w:color="808080" w:themeColor="background1" w:themeShade="80"/>
              <w:right w:val="nil"/>
            </w:tcBorders>
            <w:shd w:val="clear" w:color="auto" w:fill="D9D9D9" w:themeFill="background1" w:themeFillShade="D9"/>
            <w:noWrap/>
            <w:vAlign w:val="center"/>
            <w:hideMark/>
          </w:tcPr>
          <w:p w14:paraId="76F72733" w14:textId="77777777" w:rsidR="00850819" w:rsidRPr="0061011A" w:rsidRDefault="00850819" w:rsidP="0061011A">
            <w:pPr>
              <w:spacing w:after="0"/>
              <w:rPr>
                <w:rFonts w:ascii="Arial" w:hAnsi="Arial" w:cs="Arial"/>
                <w:color w:val="000000"/>
                <w:sz w:val="16"/>
                <w:szCs w:val="16"/>
              </w:rPr>
            </w:pPr>
            <w:r w:rsidRPr="0061011A">
              <w:rPr>
                <w:rFonts w:ascii="Arial" w:hAnsi="Arial" w:cs="Arial"/>
                <w:color w:val="000000"/>
                <w:sz w:val="16"/>
                <w:szCs w:val="16"/>
              </w:rPr>
              <w:t>Public</w:t>
            </w:r>
          </w:p>
        </w:tc>
        <w:tc>
          <w:tcPr>
            <w:tcW w:w="1883" w:type="dxa"/>
            <w:tcBorders>
              <w:left w:val="nil"/>
              <w:bottom w:val="single" w:sz="2" w:space="0" w:color="808080" w:themeColor="background1" w:themeShade="80"/>
              <w:right w:val="nil"/>
            </w:tcBorders>
            <w:shd w:val="clear" w:color="auto" w:fill="D9D9D9" w:themeFill="background1" w:themeFillShade="D9"/>
            <w:noWrap/>
            <w:vAlign w:val="center"/>
            <w:hideMark/>
          </w:tcPr>
          <w:p w14:paraId="02A7D14F"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5</w:t>
            </w:r>
          </w:p>
        </w:tc>
        <w:tc>
          <w:tcPr>
            <w:tcW w:w="1883" w:type="dxa"/>
            <w:tcBorders>
              <w:left w:val="nil"/>
              <w:bottom w:val="single" w:sz="2" w:space="0" w:color="808080" w:themeColor="background1" w:themeShade="80"/>
              <w:right w:val="nil"/>
            </w:tcBorders>
            <w:shd w:val="clear" w:color="auto" w:fill="D9D9D9" w:themeFill="background1" w:themeFillShade="D9"/>
            <w:noWrap/>
            <w:vAlign w:val="center"/>
            <w:hideMark/>
          </w:tcPr>
          <w:p w14:paraId="7B1567E3"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61</w:t>
            </w:r>
          </w:p>
        </w:tc>
        <w:tc>
          <w:tcPr>
            <w:tcW w:w="1763" w:type="dxa"/>
            <w:tcBorders>
              <w:left w:val="nil"/>
              <w:bottom w:val="single" w:sz="2" w:space="0" w:color="808080" w:themeColor="background1" w:themeShade="80"/>
              <w:right w:val="single" w:sz="12" w:space="0" w:color="808080" w:themeColor="background1" w:themeShade="80"/>
            </w:tcBorders>
            <w:shd w:val="clear" w:color="auto" w:fill="D9D9D9" w:themeFill="background1" w:themeFillShade="D9"/>
            <w:noWrap/>
            <w:vAlign w:val="center"/>
            <w:hideMark/>
          </w:tcPr>
          <w:p w14:paraId="7F3F6567" w14:textId="64B90A8D"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8.2</w:t>
            </w:r>
          </w:p>
        </w:tc>
        <w:tc>
          <w:tcPr>
            <w:tcW w:w="1281" w:type="dxa"/>
            <w:vMerge w:val="restart"/>
            <w:tcBorders>
              <w:left w:val="single" w:sz="12" w:space="0" w:color="808080" w:themeColor="background1" w:themeShade="80"/>
              <w:right w:val="nil"/>
            </w:tcBorders>
            <w:shd w:val="clear" w:color="000000" w:fill="D9D9D9"/>
            <w:noWrap/>
            <w:vAlign w:val="center"/>
            <w:hideMark/>
          </w:tcPr>
          <w:p w14:paraId="3E220D97"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5</w:t>
            </w:r>
          </w:p>
        </w:tc>
        <w:tc>
          <w:tcPr>
            <w:tcW w:w="1837" w:type="dxa"/>
            <w:gridSpan w:val="2"/>
            <w:vMerge w:val="restart"/>
            <w:tcBorders>
              <w:left w:val="nil"/>
              <w:right w:val="nil"/>
            </w:tcBorders>
            <w:shd w:val="clear" w:color="000000" w:fill="D9D9D9"/>
            <w:vAlign w:val="center"/>
            <w:hideMark/>
          </w:tcPr>
          <w:p w14:paraId="3B70265C"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61</w:t>
            </w:r>
          </w:p>
        </w:tc>
        <w:tc>
          <w:tcPr>
            <w:tcW w:w="1418" w:type="dxa"/>
            <w:vMerge w:val="restart"/>
            <w:tcBorders>
              <w:left w:val="nil"/>
              <w:right w:val="nil"/>
            </w:tcBorders>
            <w:shd w:val="clear" w:color="auto" w:fill="D9D9D9" w:themeFill="background1" w:themeFillShade="D9"/>
            <w:vAlign w:val="center"/>
            <w:hideMark/>
          </w:tcPr>
          <w:p w14:paraId="587C5C5B" w14:textId="29D6B86A"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8.2</w:t>
            </w:r>
          </w:p>
        </w:tc>
      </w:tr>
      <w:tr w:rsidR="00850819" w:rsidRPr="0061011A" w14:paraId="7BE79BAA" w14:textId="77777777" w:rsidTr="00956066">
        <w:trPr>
          <w:trHeight w:val="227"/>
        </w:trPr>
        <w:tc>
          <w:tcPr>
            <w:tcW w:w="1418" w:type="dxa"/>
            <w:tcBorders>
              <w:top w:val="nil"/>
              <w:left w:val="nil"/>
              <w:bottom w:val="nil"/>
              <w:right w:val="nil"/>
            </w:tcBorders>
            <w:shd w:val="clear" w:color="000000" w:fill="808080"/>
            <w:vAlign w:val="center"/>
            <w:hideMark/>
          </w:tcPr>
          <w:p w14:paraId="506789FC" w14:textId="77777777" w:rsidR="00850819" w:rsidRPr="0061011A" w:rsidRDefault="00850819" w:rsidP="0061011A">
            <w:pPr>
              <w:spacing w:after="0"/>
              <w:rPr>
                <w:rFonts w:ascii="Calibri" w:hAnsi="Calibri"/>
                <w:color w:val="000000"/>
              </w:rPr>
            </w:pPr>
            <w:r w:rsidRPr="0061011A">
              <w:rPr>
                <w:rFonts w:ascii="Calibri" w:hAnsi="Calibri"/>
                <w:color w:val="000000"/>
              </w:rPr>
              <w:t> </w:t>
            </w:r>
          </w:p>
        </w:tc>
        <w:tc>
          <w:tcPr>
            <w:tcW w:w="1417" w:type="dxa"/>
            <w:vMerge/>
            <w:tcBorders>
              <w:left w:val="nil"/>
              <w:right w:val="nil"/>
            </w:tcBorders>
            <w:vAlign w:val="center"/>
            <w:hideMark/>
          </w:tcPr>
          <w:p w14:paraId="2F256157" w14:textId="77777777" w:rsidR="00850819" w:rsidRPr="0061011A" w:rsidRDefault="00850819">
            <w:pPr>
              <w:spacing w:after="0"/>
              <w:rPr>
                <w:rFonts w:ascii="Arial" w:hAnsi="Arial" w:cs="Arial"/>
                <w:color w:val="000000"/>
                <w:sz w:val="16"/>
                <w:szCs w:val="16"/>
              </w:rPr>
            </w:pPr>
          </w:p>
        </w:tc>
        <w:tc>
          <w:tcPr>
            <w:tcW w:w="1134" w:type="dxa"/>
            <w:tcBorders>
              <w:top w:val="single" w:sz="2" w:space="0" w:color="808080" w:themeColor="background1" w:themeShade="80"/>
              <w:left w:val="nil"/>
              <w:right w:val="nil"/>
            </w:tcBorders>
            <w:shd w:val="clear" w:color="auto" w:fill="D9D9D9" w:themeFill="background1" w:themeFillShade="D9"/>
            <w:noWrap/>
            <w:vAlign w:val="center"/>
            <w:hideMark/>
          </w:tcPr>
          <w:p w14:paraId="48140372" w14:textId="77777777" w:rsidR="00850819" w:rsidRPr="0061011A" w:rsidRDefault="00850819" w:rsidP="0061011A">
            <w:pPr>
              <w:spacing w:after="0"/>
              <w:rPr>
                <w:rFonts w:ascii="Arial" w:hAnsi="Arial" w:cs="Arial"/>
                <w:color w:val="000000"/>
                <w:sz w:val="16"/>
                <w:szCs w:val="16"/>
              </w:rPr>
            </w:pPr>
            <w:r w:rsidRPr="0061011A">
              <w:rPr>
                <w:rFonts w:ascii="Arial" w:hAnsi="Arial" w:cs="Arial"/>
                <w:color w:val="000000"/>
                <w:sz w:val="16"/>
                <w:szCs w:val="16"/>
              </w:rPr>
              <w:t>Private</w:t>
            </w:r>
          </w:p>
        </w:tc>
        <w:tc>
          <w:tcPr>
            <w:tcW w:w="1883" w:type="dxa"/>
            <w:tcBorders>
              <w:top w:val="single" w:sz="2" w:space="0" w:color="808080" w:themeColor="background1" w:themeShade="80"/>
              <w:left w:val="nil"/>
              <w:right w:val="nil"/>
            </w:tcBorders>
            <w:shd w:val="clear" w:color="auto" w:fill="D9D9D9" w:themeFill="background1" w:themeFillShade="D9"/>
            <w:noWrap/>
            <w:vAlign w:val="center"/>
            <w:hideMark/>
          </w:tcPr>
          <w:p w14:paraId="42D51923" w14:textId="77777777" w:rsidR="00850819" w:rsidRPr="0061011A" w:rsidRDefault="00850819" w:rsidP="00332142">
            <w:pPr>
              <w:spacing w:after="0"/>
              <w:jc w:val="center"/>
              <w:rPr>
                <w:rFonts w:ascii="Arial" w:hAnsi="Arial" w:cs="Arial"/>
                <w:color w:val="000000"/>
                <w:sz w:val="16"/>
                <w:szCs w:val="16"/>
              </w:rPr>
            </w:pPr>
            <w:proofErr w:type="spellStart"/>
            <w:r w:rsidRPr="0061011A">
              <w:rPr>
                <w:rFonts w:ascii="Arial" w:hAnsi="Arial" w:cs="Arial"/>
                <w:color w:val="000000"/>
                <w:sz w:val="16"/>
                <w:szCs w:val="16"/>
              </w:rPr>
              <w:t>na</w:t>
            </w:r>
            <w:proofErr w:type="spellEnd"/>
          </w:p>
        </w:tc>
        <w:tc>
          <w:tcPr>
            <w:tcW w:w="1883" w:type="dxa"/>
            <w:tcBorders>
              <w:top w:val="single" w:sz="2" w:space="0" w:color="808080" w:themeColor="background1" w:themeShade="80"/>
              <w:left w:val="nil"/>
              <w:right w:val="nil"/>
            </w:tcBorders>
            <w:shd w:val="clear" w:color="auto" w:fill="D9D9D9" w:themeFill="background1" w:themeFillShade="D9"/>
            <w:noWrap/>
            <w:vAlign w:val="center"/>
            <w:hideMark/>
          </w:tcPr>
          <w:p w14:paraId="04321CB3" w14:textId="77777777" w:rsidR="00850819" w:rsidRPr="0061011A" w:rsidRDefault="00850819" w:rsidP="00332142">
            <w:pPr>
              <w:spacing w:after="0"/>
              <w:jc w:val="center"/>
              <w:rPr>
                <w:rFonts w:ascii="Arial" w:hAnsi="Arial" w:cs="Arial"/>
                <w:color w:val="000000"/>
                <w:sz w:val="16"/>
                <w:szCs w:val="16"/>
              </w:rPr>
            </w:pPr>
            <w:proofErr w:type="spellStart"/>
            <w:r w:rsidRPr="0061011A">
              <w:rPr>
                <w:rFonts w:ascii="Arial" w:hAnsi="Arial" w:cs="Arial"/>
                <w:color w:val="000000"/>
                <w:sz w:val="16"/>
                <w:szCs w:val="16"/>
              </w:rPr>
              <w:t>na</w:t>
            </w:r>
            <w:proofErr w:type="spellEnd"/>
          </w:p>
        </w:tc>
        <w:tc>
          <w:tcPr>
            <w:tcW w:w="1763" w:type="dxa"/>
            <w:tcBorders>
              <w:top w:val="single" w:sz="2" w:space="0" w:color="808080" w:themeColor="background1" w:themeShade="80"/>
              <w:left w:val="nil"/>
              <w:right w:val="single" w:sz="12" w:space="0" w:color="808080" w:themeColor="background1" w:themeShade="80"/>
            </w:tcBorders>
            <w:shd w:val="clear" w:color="auto" w:fill="D9D9D9" w:themeFill="background1" w:themeFillShade="D9"/>
            <w:noWrap/>
            <w:vAlign w:val="center"/>
            <w:hideMark/>
          </w:tcPr>
          <w:p w14:paraId="1183AF5C" w14:textId="77777777" w:rsidR="00850819" w:rsidRPr="0061011A" w:rsidRDefault="00850819" w:rsidP="00332142">
            <w:pPr>
              <w:spacing w:after="0"/>
              <w:jc w:val="center"/>
              <w:rPr>
                <w:rFonts w:ascii="Arial" w:hAnsi="Arial" w:cs="Arial"/>
                <w:color w:val="000000"/>
                <w:sz w:val="16"/>
                <w:szCs w:val="16"/>
              </w:rPr>
            </w:pPr>
            <w:proofErr w:type="spellStart"/>
            <w:r w:rsidRPr="0061011A">
              <w:rPr>
                <w:rFonts w:ascii="Arial" w:hAnsi="Arial" w:cs="Arial"/>
                <w:color w:val="000000"/>
                <w:sz w:val="16"/>
                <w:szCs w:val="16"/>
              </w:rPr>
              <w:t>na</w:t>
            </w:r>
            <w:proofErr w:type="spellEnd"/>
          </w:p>
        </w:tc>
        <w:tc>
          <w:tcPr>
            <w:tcW w:w="1281" w:type="dxa"/>
            <w:vMerge/>
            <w:tcBorders>
              <w:left w:val="single" w:sz="12" w:space="0" w:color="808080" w:themeColor="background1" w:themeShade="80"/>
              <w:right w:val="nil"/>
            </w:tcBorders>
            <w:vAlign w:val="center"/>
            <w:hideMark/>
          </w:tcPr>
          <w:p w14:paraId="03EB15F9" w14:textId="77777777" w:rsidR="00850819" w:rsidRPr="0061011A" w:rsidRDefault="00850819" w:rsidP="00332142">
            <w:pPr>
              <w:spacing w:after="0"/>
              <w:jc w:val="center"/>
              <w:rPr>
                <w:rFonts w:ascii="Arial" w:hAnsi="Arial" w:cs="Arial"/>
                <w:color w:val="000000"/>
                <w:sz w:val="16"/>
                <w:szCs w:val="16"/>
              </w:rPr>
            </w:pPr>
          </w:p>
        </w:tc>
        <w:tc>
          <w:tcPr>
            <w:tcW w:w="1837" w:type="dxa"/>
            <w:gridSpan w:val="2"/>
            <w:vMerge/>
            <w:tcBorders>
              <w:left w:val="nil"/>
              <w:right w:val="nil"/>
            </w:tcBorders>
            <w:vAlign w:val="center"/>
            <w:hideMark/>
          </w:tcPr>
          <w:p w14:paraId="6CB691C0" w14:textId="77777777" w:rsidR="00850819" w:rsidRPr="0061011A" w:rsidRDefault="00850819" w:rsidP="00332142">
            <w:pPr>
              <w:spacing w:after="0"/>
              <w:jc w:val="center"/>
              <w:rPr>
                <w:rFonts w:ascii="Arial" w:hAnsi="Arial" w:cs="Arial"/>
                <w:color w:val="000000"/>
                <w:sz w:val="16"/>
                <w:szCs w:val="16"/>
              </w:rPr>
            </w:pPr>
          </w:p>
        </w:tc>
        <w:tc>
          <w:tcPr>
            <w:tcW w:w="1418" w:type="dxa"/>
            <w:vMerge/>
            <w:tcBorders>
              <w:left w:val="nil"/>
              <w:right w:val="nil"/>
            </w:tcBorders>
            <w:shd w:val="clear" w:color="auto" w:fill="D9D9D9" w:themeFill="background1" w:themeFillShade="D9"/>
            <w:vAlign w:val="center"/>
            <w:hideMark/>
          </w:tcPr>
          <w:p w14:paraId="3302579B" w14:textId="77777777" w:rsidR="00850819" w:rsidRPr="0061011A" w:rsidRDefault="00850819" w:rsidP="00332142">
            <w:pPr>
              <w:spacing w:after="0"/>
              <w:jc w:val="center"/>
              <w:rPr>
                <w:rFonts w:ascii="Arial" w:hAnsi="Arial" w:cs="Arial"/>
                <w:color w:val="000000"/>
                <w:sz w:val="16"/>
                <w:szCs w:val="16"/>
              </w:rPr>
            </w:pPr>
          </w:p>
        </w:tc>
      </w:tr>
      <w:tr w:rsidR="00850819" w:rsidRPr="0061011A" w14:paraId="6E1E4658" w14:textId="77777777" w:rsidTr="00956066">
        <w:trPr>
          <w:trHeight w:val="227"/>
        </w:trPr>
        <w:tc>
          <w:tcPr>
            <w:tcW w:w="1418" w:type="dxa"/>
            <w:tcBorders>
              <w:top w:val="nil"/>
              <w:left w:val="nil"/>
              <w:bottom w:val="nil"/>
              <w:right w:val="nil"/>
            </w:tcBorders>
            <w:shd w:val="clear" w:color="000000" w:fill="808080"/>
            <w:vAlign w:val="center"/>
            <w:hideMark/>
          </w:tcPr>
          <w:p w14:paraId="7F4BB819" w14:textId="77777777" w:rsidR="00850819" w:rsidRPr="0061011A" w:rsidRDefault="00850819" w:rsidP="0061011A">
            <w:pPr>
              <w:spacing w:after="0"/>
              <w:rPr>
                <w:rFonts w:ascii="Calibri" w:hAnsi="Calibri"/>
                <w:color w:val="000000"/>
              </w:rPr>
            </w:pPr>
            <w:r w:rsidRPr="0061011A">
              <w:rPr>
                <w:rFonts w:ascii="Calibri" w:hAnsi="Calibri"/>
                <w:color w:val="000000"/>
              </w:rPr>
              <w:t> </w:t>
            </w:r>
          </w:p>
        </w:tc>
        <w:tc>
          <w:tcPr>
            <w:tcW w:w="1417" w:type="dxa"/>
            <w:vMerge w:val="restart"/>
            <w:tcBorders>
              <w:left w:val="nil"/>
              <w:right w:val="nil"/>
            </w:tcBorders>
            <w:shd w:val="clear" w:color="auto" w:fill="auto"/>
            <w:vAlign w:val="center"/>
            <w:hideMark/>
          </w:tcPr>
          <w:p w14:paraId="16E2944A" w14:textId="77777777" w:rsidR="00850819" w:rsidRPr="0061011A" w:rsidRDefault="00850819" w:rsidP="00FF133A">
            <w:pPr>
              <w:spacing w:after="0"/>
              <w:rPr>
                <w:rFonts w:ascii="Arial" w:hAnsi="Arial" w:cs="Arial"/>
                <w:color w:val="000000"/>
                <w:sz w:val="16"/>
                <w:szCs w:val="16"/>
              </w:rPr>
            </w:pPr>
            <w:r w:rsidRPr="0061011A">
              <w:rPr>
                <w:rFonts w:ascii="Arial" w:hAnsi="Arial" w:cs="Arial"/>
                <w:color w:val="000000"/>
                <w:sz w:val="16"/>
                <w:szCs w:val="16"/>
              </w:rPr>
              <w:t>Very remote</w:t>
            </w:r>
          </w:p>
        </w:tc>
        <w:tc>
          <w:tcPr>
            <w:tcW w:w="1134" w:type="dxa"/>
            <w:tcBorders>
              <w:left w:val="nil"/>
              <w:bottom w:val="single" w:sz="2" w:space="0" w:color="808080" w:themeColor="background1" w:themeShade="80"/>
              <w:right w:val="nil"/>
            </w:tcBorders>
            <w:shd w:val="clear" w:color="auto" w:fill="auto"/>
            <w:noWrap/>
            <w:vAlign w:val="center"/>
            <w:hideMark/>
          </w:tcPr>
          <w:p w14:paraId="0D5FA271" w14:textId="77777777" w:rsidR="00850819" w:rsidRPr="0061011A" w:rsidRDefault="00850819" w:rsidP="0061011A">
            <w:pPr>
              <w:spacing w:after="0"/>
              <w:rPr>
                <w:rFonts w:ascii="Arial" w:hAnsi="Arial" w:cs="Arial"/>
                <w:color w:val="000000"/>
                <w:sz w:val="16"/>
                <w:szCs w:val="16"/>
              </w:rPr>
            </w:pPr>
            <w:r w:rsidRPr="0061011A">
              <w:rPr>
                <w:rFonts w:ascii="Arial" w:hAnsi="Arial" w:cs="Arial"/>
                <w:color w:val="000000"/>
                <w:sz w:val="16"/>
                <w:szCs w:val="16"/>
              </w:rPr>
              <w:t>Public</w:t>
            </w:r>
          </w:p>
        </w:tc>
        <w:tc>
          <w:tcPr>
            <w:tcW w:w="1883" w:type="dxa"/>
            <w:tcBorders>
              <w:left w:val="nil"/>
              <w:bottom w:val="single" w:sz="2" w:space="0" w:color="808080" w:themeColor="background1" w:themeShade="80"/>
              <w:right w:val="nil"/>
            </w:tcBorders>
            <w:shd w:val="clear" w:color="auto" w:fill="auto"/>
            <w:noWrap/>
            <w:vAlign w:val="center"/>
            <w:hideMark/>
          </w:tcPr>
          <w:p w14:paraId="28E78E70"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3</w:t>
            </w:r>
          </w:p>
        </w:tc>
        <w:tc>
          <w:tcPr>
            <w:tcW w:w="1883" w:type="dxa"/>
            <w:tcBorders>
              <w:left w:val="nil"/>
              <w:bottom w:val="single" w:sz="2" w:space="0" w:color="808080" w:themeColor="background1" w:themeShade="80"/>
              <w:right w:val="nil"/>
            </w:tcBorders>
            <w:shd w:val="clear" w:color="auto" w:fill="auto"/>
            <w:noWrap/>
            <w:vAlign w:val="center"/>
            <w:hideMark/>
          </w:tcPr>
          <w:p w14:paraId="565019CE"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49</w:t>
            </w:r>
          </w:p>
        </w:tc>
        <w:tc>
          <w:tcPr>
            <w:tcW w:w="1763" w:type="dxa"/>
            <w:tcBorders>
              <w:left w:val="nil"/>
              <w:bottom w:val="single" w:sz="2" w:space="0" w:color="808080" w:themeColor="background1" w:themeShade="80"/>
              <w:right w:val="single" w:sz="12" w:space="0" w:color="808080" w:themeColor="background1" w:themeShade="80"/>
            </w:tcBorders>
            <w:shd w:val="clear" w:color="auto" w:fill="auto"/>
            <w:noWrap/>
            <w:vAlign w:val="center"/>
            <w:hideMark/>
          </w:tcPr>
          <w:p w14:paraId="59FAD9BD" w14:textId="2D6D7148"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6.1</w:t>
            </w:r>
          </w:p>
        </w:tc>
        <w:tc>
          <w:tcPr>
            <w:tcW w:w="1281" w:type="dxa"/>
            <w:vMerge w:val="restart"/>
            <w:tcBorders>
              <w:left w:val="single" w:sz="12" w:space="0" w:color="808080" w:themeColor="background1" w:themeShade="80"/>
              <w:right w:val="nil"/>
            </w:tcBorders>
            <w:shd w:val="clear" w:color="auto" w:fill="auto"/>
            <w:noWrap/>
            <w:vAlign w:val="center"/>
            <w:hideMark/>
          </w:tcPr>
          <w:p w14:paraId="078002B4"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3</w:t>
            </w:r>
          </w:p>
        </w:tc>
        <w:tc>
          <w:tcPr>
            <w:tcW w:w="1837" w:type="dxa"/>
            <w:gridSpan w:val="2"/>
            <w:vMerge w:val="restart"/>
            <w:tcBorders>
              <w:left w:val="nil"/>
              <w:right w:val="nil"/>
            </w:tcBorders>
            <w:shd w:val="clear" w:color="auto" w:fill="auto"/>
            <w:vAlign w:val="center"/>
            <w:hideMark/>
          </w:tcPr>
          <w:p w14:paraId="54F45B1A" w14:textId="7777777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49</w:t>
            </w:r>
          </w:p>
        </w:tc>
        <w:tc>
          <w:tcPr>
            <w:tcW w:w="1418" w:type="dxa"/>
            <w:vMerge w:val="restart"/>
            <w:tcBorders>
              <w:left w:val="nil"/>
              <w:right w:val="nil"/>
            </w:tcBorders>
            <w:shd w:val="clear" w:color="auto" w:fill="auto"/>
            <w:vAlign w:val="center"/>
            <w:hideMark/>
          </w:tcPr>
          <w:p w14:paraId="3D57D8A0" w14:textId="5A9FA887" w:rsidR="00850819" w:rsidRPr="0061011A" w:rsidRDefault="00850819" w:rsidP="00332142">
            <w:pPr>
              <w:spacing w:after="0"/>
              <w:jc w:val="center"/>
              <w:rPr>
                <w:rFonts w:ascii="Arial" w:hAnsi="Arial" w:cs="Arial"/>
                <w:color w:val="000000"/>
                <w:sz w:val="16"/>
                <w:szCs w:val="16"/>
              </w:rPr>
            </w:pPr>
            <w:r w:rsidRPr="0061011A">
              <w:rPr>
                <w:rFonts w:ascii="Arial" w:hAnsi="Arial" w:cs="Arial"/>
                <w:color w:val="000000"/>
                <w:sz w:val="16"/>
                <w:szCs w:val="16"/>
              </w:rPr>
              <w:t>6.1</w:t>
            </w:r>
          </w:p>
        </w:tc>
      </w:tr>
      <w:tr w:rsidR="00850819" w:rsidRPr="0061011A" w14:paraId="1125BA7C" w14:textId="77777777" w:rsidTr="00956066">
        <w:trPr>
          <w:trHeight w:val="227"/>
        </w:trPr>
        <w:tc>
          <w:tcPr>
            <w:tcW w:w="1418" w:type="dxa"/>
            <w:tcBorders>
              <w:top w:val="nil"/>
              <w:left w:val="nil"/>
              <w:bottom w:val="single" w:sz="12" w:space="0" w:color="FFFFFF" w:themeColor="background1"/>
              <w:right w:val="nil"/>
            </w:tcBorders>
            <w:shd w:val="clear" w:color="000000" w:fill="808080"/>
            <w:vAlign w:val="center"/>
            <w:hideMark/>
          </w:tcPr>
          <w:p w14:paraId="1A7D7E1B" w14:textId="77777777" w:rsidR="00850819" w:rsidRPr="0061011A" w:rsidRDefault="00850819" w:rsidP="0061011A">
            <w:pPr>
              <w:spacing w:after="0"/>
              <w:rPr>
                <w:rFonts w:ascii="Calibri" w:hAnsi="Calibri"/>
                <w:color w:val="000000"/>
              </w:rPr>
            </w:pPr>
            <w:r w:rsidRPr="0061011A">
              <w:rPr>
                <w:rFonts w:ascii="Calibri" w:hAnsi="Calibri"/>
                <w:color w:val="000000"/>
              </w:rPr>
              <w:t> </w:t>
            </w:r>
          </w:p>
        </w:tc>
        <w:tc>
          <w:tcPr>
            <w:tcW w:w="1417" w:type="dxa"/>
            <w:vMerge/>
            <w:tcBorders>
              <w:left w:val="nil"/>
              <w:right w:val="nil"/>
            </w:tcBorders>
            <w:vAlign w:val="center"/>
            <w:hideMark/>
          </w:tcPr>
          <w:p w14:paraId="5B5B8715" w14:textId="77777777" w:rsidR="00850819" w:rsidRPr="0061011A" w:rsidRDefault="00850819" w:rsidP="0061011A">
            <w:pPr>
              <w:spacing w:after="0"/>
              <w:rPr>
                <w:rFonts w:ascii="Arial" w:hAnsi="Arial" w:cs="Arial"/>
                <w:color w:val="000000"/>
                <w:sz w:val="16"/>
                <w:szCs w:val="16"/>
              </w:rPr>
            </w:pPr>
          </w:p>
        </w:tc>
        <w:tc>
          <w:tcPr>
            <w:tcW w:w="1134" w:type="dxa"/>
            <w:tcBorders>
              <w:top w:val="single" w:sz="2" w:space="0" w:color="808080" w:themeColor="background1" w:themeShade="80"/>
              <w:left w:val="nil"/>
              <w:right w:val="nil"/>
            </w:tcBorders>
            <w:shd w:val="clear" w:color="auto" w:fill="auto"/>
            <w:noWrap/>
            <w:vAlign w:val="center"/>
            <w:hideMark/>
          </w:tcPr>
          <w:p w14:paraId="615A1016" w14:textId="77777777" w:rsidR="00850819" w:rsidRPr="0061011A" w:rsidRDefault="00850819" w:rsidP="0061011A">
            <w:pPr>
              <w:spacing w:after="0"/>
              <w:rPr>
                <w:rFonts w:ascii="Arial" w:hAnsi="Arial" w:cs="Arial"/>
                <w:color w:val="000000"/>
                <w:sz w:val="16"/>
                <w:szCs w:val="16"/>
              </w:rPr>
            </w:pPr>
            <w:r w:rsidRPr="0061011A">
              <w:rPr>
                <w:rFonts w:ascii="Arial" w:hAnsi="Arial" w:cs="Arial"/>
                <w:color w:val="000000"/>
                <w:sz w:val="16"/>
                <w:szCs w:val="16"/>
              </w:rPr>
              <w:t>Private</w:t>
            </w:r>
          </w:p>
        </w:tc>
        <w:tc>
          <w:tcPr>
            <w:tcW w:w="1883" w:type="dxa"/>
            <w:tcBorders>
              <w:top w:val="single" w:sz="2" w:space="0" w:color="808080" w:themeColor="background1" w:themeShade="80"/>
              <w:left w:val="nil"/>
              <w:right w:val="nil"/>
            </w:tcBorders>
            <w:shd w:val="clear" w:color="auto" w:fill="auto"/>
            <w:noWrap/>
            <w:vAlign w:val="center"/>
            <w:hideMark/>
          </w:tcPr>
          <w:p w14:paraId="57280591" w14:textId="77777777" w:rsidR="00850819" w:rsidRPr="0061011A" w:rsidRDefault="00850819" w:rsidP="00332142">
            <w:pPr>
              <w:spacing w:after="0"/>
              <w:jc w:val="center"/>
              <w:rPr>
                <w:rFonts w:ascii="Arial" w:hAnsi="Arial" w:cs="Arial"/>
                <w:color w:val="000000"/>
                <w:sz w:val="16"/>
                <w:szCs w:val="16"/>
              </w:rPr>
            </w:pPr>
            <w:proofErr w:type="spellStart"/>
            <w:r w:rsidRPr="0061011A">
              <w:rPr>
                <w:rFonts w:ascii="Arial" w:hAnsi="Arial" w:cs="Arial"/>
                <w:color w:val="000000"/>
                <w:sz w:val="16"/>
                <w:szCs w:val="16"/>
              </w:rPr>
              <w:t>na</w:t>
            </w:r>
            <w:proofErr w:type="spellEnd"/>
          </w:p>
        </w:tc>
        <w:tc>
          <w:tcPr>
            <w:tcW w:w="1883" w:type="dxa"/>
            <w:tcBorders>
              <w:top w:val="single" w:sz="2" w:space="0" w:color="808080" w:themeColor="background1" w:themeShade="80"/>
              <w:left w:val="nil"/>
              <w:right w:val="nil"/>
            </w:tcBorders>
            <w:shd w:val="clear" w:color="auto" w:fill="auto"/>
            <w:noWrap/>
            <w:vAlign w:val="center"/>
            <w:hideMark/>
          </w:tcPr>
          <w:p w14:paraId="356A62E5" w14:textId="77777777" w:rsidR="00850819" w:rsidRPr="0061011A" w:rsidRDefault="00850819" w:rsidP="00332142">
            <w:pPr>
              <w:spacing w:after="0"/>
              <w:jc w:val="center"/>
              <w:rPr>
                <w:rFonts w:ascii="Arial" w:hAnsi="Arial" w:cs="Arial"/>
                <w:color w:val="000000"/>
                <w:sz w:val="16"/>
                <w:szCs w:val="16"/>
              </w:rPr>
            </w:pPr>
            <w:proofErr w:type="spellStart"/>
            <w:r w:rsidRPr="0061011A">
              <w:rPr>
                <w:rFonts w:ascii="Arial" w:hAnsi="Arial" w:cs="Arial"/>
                <w:color w:val="000000"/>
                <w:sz w:val="16"/>
                <w:szCs w:val="16"/>
              </w:rPr>
              <w:t>na</w:t>
            </w:r>
            <w:proofErr w:type="spellEnd"/>
          </w:p>
        </w:tc>
        <w:tc>
          <w:tcPr>
            <w:tcW w:w="1763" w:type="dxa"/>
            <w:tcBorders>
              <w:top w:val="single" w:sz="2" w:space="0" w:color="808080" w:themeColor="background1" w:themeShade="80"/>
              <w:left w:val="nil"/>
              <w:right w:val="single" w:sz="12" w:space="0" w:color="808080" w:themeColor="background1" w:themeShade="80"/>
            </w:tcBorders>
            <w:shd w:val="clear" w:color="auto" w:fill="auto"/>
            <w:noWrap/>
            <w:vAlign w:val="center"/>
            <w:hideMark/>
          </w:tcPr>
          <w:p w14:paraId="4D60AF27" w14:textId="77777777" w:rsidR="00850819" w:rsidRPr="0061011A" w:rsidRDefault="00850819" w:rsidP="00332142">
            <w:pPr>
              <w:spacing w:after="0"/>
              <w:jc w:val="center"/>
              <w:rPr>
                <w:rFonts w:ascii="Arial" w:hAnsi="Arial" w:cs="Arial"/>
                <w:color w:val="000000"/>
                <w:sz w:val="16"/>
                <w:szCs w:val="16"/>
              </w:rPr>
            </w:pPr>
            <w:proofErr w:type="spellStart"/>
            <w:r w:rsidRPr="0061011A">
              <w:rPr>
                <w:rFonts w:ascii="Arial" w:hAnsi="Arial" w:cs="Arial"/>
                <w:color w:val="000000"/>
                <w:sz w:val="16"/>
                <w:szCs w:val="16"/>
              </w:rPr>
              <w:t>na</w:t>
            </w:r>
            <w:proofErr w:type="spellEnd"/>
          </w:p>
        </w:tc>
        <w:tc>
          <w:tcPr>
            <w:tcW w:w="1281" w:type="dxa"/>
            <w:vMerge/>
            <w:tcBorders>
              <w:left w:val="single" w:sz="12" w:space="0" w:color="808080" w:themeColor="background1" w:themeShade="80"/>
              <w:bottom w:val="single" w:sz="12" w:space="0" w:color="808080" w:themeColor="background1" w:themeShade="80"/>
              <w:right w:val="nil"/>
            </w:tcBorders>
            <w:vAlign w:val="center"/>
            <w:hideMark/>
          </w:tcPr>
          <w:p w14:paraId="112C3B58" w14:textId="77777777" w:rsidR="00850819" w:rsidRPr="0061011A" w:rsidRDefault="00850819" w:rsidP="00332142">
            <w:pPr>
              <w:spacing w:after="0"/>
              <w:jc w:val="center"/>
              <w:rPr>
                <w:rFonts w:ascii="Arial" w:hAnsi="Arial" w:cs="Arial"/>
                <w:color w:val="000000"/>
                <w:sz w:val="16"/>
                <w:szCs w:val="16"/>
              </w:rPr>
            </w:pPr>
          </w:p>
        </w:tc>
        <w:tc>
          <w:tcPr>
            <w:tcW w:w="1837" w:type="dxa"/>
            <w:gridSpan w:val="2"/>
            <w:vMerge/>
            <w:tcBorders>
              <w:left w:val="nil"/>
              <w:bottom w:val="single" w:sz="12" w:space="0" w:color="808080" w:themeColor="background1" w:themeShade="80"/>
              <w:right w:val="nil"/>
            </w:tcBorders>
            <w:vAlign w:val="center"/>
            <w:hideMark/>
          </w:tcPr>
          <w:p w14:paraId="68ED6014" w14:textId="77777777" w:rsidR="00850819" w:rsidRPr="0061011A" w:rsidRDefault="00850819" w:rsidP="00332142">
            <w:pPr>
              <w:spacing w:after="0"/>
              <w:jc w:val="center"/>
              <w:rPr>
                <w:rFonts w:ascii="Arial" w:hAnsi="Arial" w:cs="Arial"/>
                <w:color w:val="000000"/>
                <w:sz w:val="16"/>
                <w:szCs w:val="16"/>
              </w:rPr>
            </w:pPr>
          </w:p>
        </w:tc>
        <w:tc>
          <w:tcPr>
            <w:tcW w:w="1418" w:type="dxa"/>
            <w:vMerge/>
            <w:tcBorders>
              <w:left w:val="nil"/>
              <w:bottom w:val="single" w:sz="12" w:space="0" w:color="808080" w:themeColor="background1" w:themeShade="80"/>
              <w:right w:val="nil"/>
            </w:tcBorders>
            <w:vAlign w:val="center"/>
            <w:hideMark/>
          </w:tcPr>
          <w:p w14:paraId="758BD98C" w14:textId="77777777" w:rsidR="00850819" w:rsidRPr="0061011A" w:rsidRDefault="00850819" w:rsidP="00332142">
            <w:pPr>
              <w:spacing w:after="0"/>
              <w:jc w:val="center"/>
              <w:rPr>
                <w:rFonts w:ascii="Arial" w:hAnsi="Arial" w:cs="Arial"/>
                <w:color w:val="000000"/>
                <w:sz w:val="16"/>
                <w:szCs w:val="16"/>
              </w:rPr>
            </w:pPr>
          </w:p>
        </w:tc>
      </w:tr>
      <w:tr w:rsidR="00850819" w:rsidRPr="0061011A" w14:paraId="2432D92B" w14:textId="77777777" w:rsidTr="00956066">
        <w:trPr>
          <w:trHeight w:val="295"/>
        </w:trPr>
        <w:tc>
          <w:tcPr>
            <w:tcW w:w="2835" w:type="dxa"/>
            <w:gridSpan w:val="2"/>
            <w:vMerge w:val="restart"/>
            <w:tcBorders>
              <w:top w:val="nil"/>
              <w:left w:val="nil"/>
              <w:right w:val="nil"/>
            </w:tcBorders>
            <w:shd w:val="clear" w:color="000000" w:fill="808080"/>
            <w:vAlign w:val="center"/>
            <w:hideMark/>
          </w:tcPr>
          <w:p w14:paraId="6F6FECCD" w14:textId="77777777" w:rsidR="00850819" w:rsidRPr="0061011A" w:rsidRDefault="00850819" w:rsidP="0061011A">
            <w:pPr>
              <w:spacing w:after="0"/>
              <w:jc w:val="both"/>
              <w:rPr>
                <w:rFonts w:ascii="Arial" w:hAnsi="Arial" w:cs="Arial"/>
                <w:b/>
                <w:bCs/>
                <w:color w:val="FFFFFF"/>
                <w:sz w:val="18"/>
                <w:szCs w:val="18"/>
              </w:rPr>
            </w:pPr>
            <w:r w:rsidRPr="0061011A">
              <w:rPr>
                <w:rFonts w:ascii="Arial" w:hAnsi="Arial" w:cs="Arial"/>
                <w:b/>
                <w:bCs/>
                <w:color w:val="FFFFFF"/>
                <w:sz w:val="18"/>
                <w:szCs w:val="18"/>
              </w:rPr>
              <w:t> </w:t>
            </w:r>
          </w:p>
          <w:p w14:paraId="33DC78CC" w14:textId="77777777" w:rsidR="00850819" w:rsidRPr="0061011A" w:rsidRDefault="00850819" w:rsidP="0061011A">
            <w:pPr>
              <w:spacing w:after="0"/>
              <w:jc w:val="both"/>
              <w:rPr>
                <w:rFonts w:ascii="Arial" w:hAnsi="Arial" w:cs="Arial"/>
                <w:color w:val="FFFFFF"/>
                <w:sz w:val="18"/>
                <w:szCs w:val="18"/>
              </w:rPr>
            </w:pPr>
            <w:r w:rsidRPr="0061011A">
              <w:rPr>
                <w:rFonts w:ascii="Arial" w:hAnsi="Arial" w:cs="Arial"/>
                <w:color w:val="FFFFFF"/>
                <w:sz w:val="18"/>
                <w:szCs w:val="18"/>
              </w:rPr>
              <w:t>Total</w:t>
            </w:r>
          </w:p>
          <w:p w14:paraId="2C12FB8F" w14:textId="77777777" w:rsidR="00850819" w:rsidRPr="0061011A" w:rsidRDefault="00850819" w:rsidP="0061011A">
            <w:pPr>
              <w:spacing w:after="0"/>
              <w:jc w:val="both"/>
              <w:rPr>
                <w:rFonts w:ascii="Arial" w:hAnsi="Arial" w:cs="Arial"/>
                <w:b/>
                <w:bCs/>
                <w:color w:val="FFFFFF"/>
                <w:sz w:val="18"/>
                <w:szCs w:val="18"/>
              </w:rPr>
            </w:pPr>
            <w:r w:rsidRPr="0061011A">
              <w:rPr>
                <w:rFonts w:ascii="Arial" w:hAnsi="Arial" w:cs="Arial"/>
                <w:b/>
                <w:bCs/>
                <w:color w:val="FFFFFF"/>
                <w:sz w:val="18"/>
                <w:szCs w:val="18"/>
              </w:rPr>
              <w:t> </w:t>
            </w:r>
          </w:p>
        </w:tc>
        <w:tc>
          <w:tcPr>
            <w:tcW w:w="1134" w:type="dxa"/>
            <w:tcBorders>
              <w:top w:val="single" w:sz="12" w:space="0" w:color="808080" w:themeColor="background1" w:themeShade="80"/>
              <w:left w:val="nil"/>
              <w:bottom w:val="single" w:sz="2" w:space="0" w:color="808080" w:themeColor="background1" w:themeShade="80"/>
              <w:right w:val="nil"/>
            </w:tcBorders>
            <w:shd w:val="clear" w:color="000000" w:fill="D9D9D9"/>
            <w:noWrap/>
            <w:vAlign w:val="center"/>
            <w:hideMark/>
          </w:tcPr>
          <w:p w14:paraId="6F49616E" w14:textId="77777777" w:rsidR="00850819" w:rsidRPr="0061011A" w:rsidRDefault="00850819" w:rsidP="0061011A">
            <w:pPr>
              <w:spacing w:after="0"/>
              <w:rPr>
                <w:rFonts w:ascii="Arial" w:hAnsi="Arial" w:cs="Arial"/>
                <w:b/>
                <w:bCs/>
                <w:color w:val="000000"/>
                <w:sz w:val="16"/>
                <w:szCs w:val="16"/>
              </w:rPr>
            </w:pPr>
            <w:r w:rsidRPr="0061011A">
              <w:rPr>
                <w:rFonts w:ascii="Arial" w:hAnsi="Arial" w:cs="Arial"/>
                <w:b/>
                <w:bCs/>
                <w:color w:val="000000"/>
                <w:sz w:val="16"/>
                <w:szCs w:val="16"/>
              </w:rPr>
              <w:t>Public</w:t>
            </w:r>
          </w:p>
        </w:tc>
        <w:tc>
          <w:tcPr>
            <w:tcW w:w="1883" w:type="dxa"/>
            <w:tcBorders>
              <w:top w:val="single" w:sz="12" w:space="0" w:color="808080" w:themeColor="background1" w:themeShade="80"/>
              <w:left w:val="nil"/>
              <w:bottom w:val="single" w:sz="2" w:space="0" w:color="808080" w:themeColor="background1" w:themeShade="80"/>
              <w:right w:val="nil"/>
            </w:tcBorders>
            <w:shd w:val="clear" w:color="000000" w:fill="D9D9D9"/>
            <w:vAlign w:val="center"/>
          </w:tcPr>
          <w:p w14:paraId="6D2BB9E9" w14:textId="77777777" w:rsidR="00850819" w:rsidRPr="0061011A" w:rsidRDefault="00850819" w:rsidP="00332142">
            <w:pPr>
              <w:spacing w:after="0"/>
              <w:jc w:val="center"/>
              <w:rPr>
                <w:rFonts w:ascii="Arial" w:hAnsi="Arial" w:cs="Arial"/>
                <w:b/>
                <w:bCs/>
                <w:color w:val="000000"/>
                <w:sz w:val="16"/>
                <w:szCs w:val="16"/>
              </w:rPr>
            </w:pPr>
            <w:r w:rsidRPr="0061011A">
              <w:rPr>
                <w:rFonts w:ascii="Arial" w:hAnsi="Arial" w:cs="Arial"/>
                <w:b/>
                <w:bCs/>
                <w:color w:val="000000"/>
                <w:sz w:val="16"/>
                <w:szCs w:val="16"/>
              </w:rPr>
              <w:t>228</w:t>
            </w:r>
          </w:p>
        </w:tc>
        <w:tc>
          <w:tcPr>
            <w:tcW w:w="1883" w:type="dxa"/>
            <w:tcBorders>
              <w:top w:val="single" w:sz="12" w:space="0" w:color="808080" w:themeColor="background1" w:themeShade="80"/>
              <w:left w:val="nil"/>
              <w:bottom w:val="single" w:sz="2" w:space="0" w:color="808080" w:themeColor="background1" w:themeShade="80"/>
              <w:right w:val="nil"/>
            </w:tcBorders>
            <w:shd w:val="clear" w:color="000000" w:fill="D9D9D9"/>
            <w:vAlign w:val="center"/>
          </w:tcPr>
          <w:p w14:paraId="418810B6" w14:textId="77777777" w:rsidR="00850819" w:rsidRPr="0061011A" w:rsidRDefault="00850819" w:rsidP="00332142">
            <w:pPr>
              <w:spacing w:after="0"/>
              <w:jc w:val="center"/>
              <w:rPr>
                <w:rFonts w:ascii="Arial" w:hAnsi="Arial" w:cs="Arial"/>
                <w:b/>
                <w:bCs/>
                <w:color w:val="000000"/>
                <w:sz w:val="16"/>
                <w:szCs w:val="16"/>
              </w:rPr>
            </w:pPr>
            <w:r w:rsidRPr="0061011A">
              <w:rPr>
                <w:rFonts w:ascii="Arial" w:hAnsi="Arial" w:cs="Arial"/>
                <w:b/>
                <w:bCs/>
                <w:color w:val="000000"/>
                <w:sz w:val="16"/>
                <w:szCs w:val="16"/>
              </w:rPr>
              <w:t>680</w:t>
            </w:r>
          </w:p>
        </w:tc>
        <w:tc>
          <w:tcPr>
            <w:tcW w:w="1763" w:type="dxa"/>
            <w:tcBorders>
              <w:top w:val="single" w:sz="12" w:space="0" w:color="808080" w:themeColor="background1" w:themeShade="80"/>
              <w:left w:val="nil"/>
              <w:bottom w:val="single" w:sz="2" w:space="0" w:color="808080" w:themeColor="background1" w:themeShade="80"/>
              <w:right w:val="single" w:sz="12" w:space="0" w:color="808080" w:themeColor="background1" w:themeShade="80"/>
            </w:tcBorders>
            <w:shd w:val="clear" w:color="000000" w:fill="D9D9D9"/>
            <w:vAlign w:val="center"/>
          </w:tcPr>
          <w:p w14:paraId="1BF5F3B5" w14:textId="3A1126EC" w:rsidR="00850819" w:rsidRPr="0061011A" w:rsidRDefault="00850819" w:rsidP="00332142">
            <w:pPr>
              <w:spacing w:after="0"/>
              <w:jc w:val="center"/>
              <w:rPr>
                <w:rFonts w:ascii="Arial" w:hAnsi="Arial" w:cs="Arial"/>
                <w:b/>
                <w:bCs/>
                <w:color w:val="000000"/>
                <w:sz w:val="16"/>
                <w:szCs w:val="16"/>
              </w:rPr>
            </w:pPr>
            <w:r w:rsidRPr="0061011A">
              <w:rPr>
                <w:rFonts w:ascii="Arial" w:hAnsi="Arial" w:cs="Arial"/>
                <w:b/>
                <w:bCs/>
                <w:color w:val="000000"/>
                <w:sz w:val="16"/>
                <w:szCs w:val="16"/>
              </w:rPr>
              <w:t>33.5</w:t>
            </w:r>
          </w:p>
        </w:tc>
        <w:tc>
          <w:tcPr>
            <w:tcW w:w="1281" w:type="dxa"/>
            <w:vMerge w:val="restart"/>
            <w:tcBorders>
              <w:top w:val="single" w:sz="12" w:space="0" w:color="808080" w:themeColor="background1" w:themeShade="80"/>
              <w:left w:val="single" w:sz="12" w:space="0" w:color="808080" w:themeColor="background1" w:themeShade="80"/>
              <w:bottom w:val="single" w:sz="12" w:space="0" w:color="808080"/>
              <w:right w:val="nil"/>
            </w:tcBorders>
            <w:shd w:val="clear" w:color="000000" w:fill="D9D9D9"/>
            <w:noWrap/>
            <w:vAlign w:val="center"/>
            <w:hideMark/>
          </w:tcPr>
          <w:p w14:paraId="45931536" w14:textId="77777777" w:rsidR="00850819" w:rsidRPr="0061011A" w:rsidRDefault="00850819" w:rsidP="00332142">
            <w:pPr>
              <w:spacing w:after="0"/>
              <w:jc w:val="center"/>
              <w:rPr>
                <w:rFonts w:ascii="Arial" w:hAnsi="Arial" w:cs="Arial"/>
                <w:b/>
                <w:bCs/>
                <w:color w:val="000000"/>
                <w:sz w:val="16"/>
                <w:szCs w:val="16"/>
              </w:rPr>
            </w:pPr>
            <w:r w:rsidRPr="0061011A">
              <w:rPr>
                <w:rFonts w:ascii="Arial" w:hAnsi="Arial" w:cs="Arial"/>
                <w:b/>
                <w:bCs/>
                <w:color w:val="000000"/>
                <w:sz w:val="16"/>
                <w:szCs w:val="16"/>
              </w:rPr>
              <w:t>314</w:t>
            </w:r>
          </w:p>
        </w:tc>
        <w:tc>
          <w:tcPr>
            <w:tcW w:w="1837" w:type="dxa"/>
            <w:gridSpan w:val="2"/>
            <w:vMerge w:val="restart"/>
            <w:tcBorders>
              <w:top w:val="single" w:sz="12" w:space="0" w:color="808080" w:themeColor="background1" w:themeShade="80"/>
              <w:left w:val="nil"/>
              <w:bottom w:val="single" w:sz="12" w:space="0" w:color="808080"/>
              <w:right w:val="nil"/>
            </w:tcBorders>
            <w:shd w:val="clear" w:color="000000" w:fill="D9D9D9"/>
            <w:vAlign w:val="center"/>
            <w:hideMark/>
          </w:tcPr>
          <w:p w14:paraId="36A183C5" w14:textId="77777777" w:rsidR="00850819" w:rsidRPr="0061011A" w:rsidRDefault="00850819" w:rsidP="00332142">
            <w:pPr>
              <w:spacing w:after="0"/>
              <w:jc w:val="center"/>
              <w:rPr>
                <w:rFonts w:ascii="Arial" w:hAnsi="Arial" w:cs="Arial"/>
                <w:b/>
                <w:bCs/>
                <w:color w:val="000000"/>
                <w:sz w:val="16"/>
                <w:szCs w:val="16"/>
              </w:rPr>
            </w:pPr>
            <w:r w:rsidRPr="0061011A">
              <w:rPr>
                <w:rFonts w:ascii="Arial" w:hAnsi="Arial" w:cs="Arial"/>
                <w:b/>
                <w:bCs/>
                <w:color w:val="000000"/>
                <w:sz w:val="16"/>
                <w:szCs w:val="16"/>
              </w:rPr>
              <w:t>976</w:t>
            </w:r>
          </w:p>
        </w:tc>
        <w:tc>
          <w:tcPr>
            <w:tcW w:w="1418" w:type="dxa"/>
            <w:vMerge w:val="restart"/>
            <w:tcBorders>
              <w:top w:val="single" w:sz="12" w:space="0" w:color="808080" w:themeColor="background1" w:themeShade="80"/>
              <w:left w:val="nil"/>
              <w:bottom w:val="single" w:sz="12" w:space="0" w:color="808080"/>
              <w:right w:val="nil"/>
            </w:tcBorders>
            <w:shd w:val="clear" w:color="000000" w:fill="D9D9D9"/>
            <w:vAlign w:val="center"/>
            <w:hideMark/>
          </w:tcPr>
          <w:p w14:paraId="6D48FD85" w14:textId="3F0F0A72" w:rsidR="00850819" w:rsidRPr="0061011A" w:rsidRDefault="00850819" w:rsidP="00332142">
            <w:pPr>
              <w:spacing w:after="0"/>
              <w:jc w:val="center"/>
              <w:rPr>
                <w:rFonts w:ascii="Arial" w:hAnsi="Arial" w:cs="Arial"/>
                <w:b/>
                <w:bCs/>
                <w:color w:val="000000"/>
                <w:sz w:val="16"/>
                <w:szCs w:val="16"/>
              </w:rPr>
            </w:pPr>
            <w:r w:rsidRPr="0061011A">
              <w:rPr>
                <w:rFonts w:ascii="Arial" w:hAnsi="Arial" w:cs="Arial"/>
                <w:b/>
                <w:bCs/>
                <w:color w:val="000000"/>
                <w:sz w:val="16"/>
                <w:szCs w:val="16"/>
              </w:rPr>
              <w:t>32.2</w:t>
            </w:r>
          </w:p>
        </w:tc>
      </w:tr>
      <w:tr w:rsidR="00850819" w:rsidRPr="0061011A" w14:paraId="3BA000E0" w14:textId="77777777" w:rsidTr="00956066">
        <w:trPr>
          <w:trHeight w:val="296"/>
        </w:trPr>
        <w:tc>
          <w:tcPr>
            <w:tcW w:w="2835" w:type="dxa"/>
            <w:gridSpan w:val="2"/>
            <w:vMerge/>
            <w:tcBorders>
              <w:left w:val="nil"/>
              <w:bottom w:val="single" w:sz="12" w:space="0" w:color="808080"/>
              <w:right w:val="nil"/>
            </w:tcBorders>
            <w:shd w:val="clear" w:color="000000" w:fill="808080"/>
            <w:vAlign w:val="center"/>
            <w:hideMark/>
          </w:tcPr>
          <w:p w14:paraId="4DC21838" w14:textId="77777777" w:rsidR="00850819" w:rsidRPr="0061011A" w:rsidRDefault="00850819" w:rsidP="0061011A">
            <w:pPr>
              <w:spacing w:after="0"/>
              <w:jc w:val="both"/>
              <w:rPr>
                <w:rFonts w:ascii="Arial" w:hAnsi="Arial" w:cs="Arial"/>
                <w:b/>
                <w:bCs/>
                <w:color w:val="FFFFFF"/>
                <w:sz w:val="18"/>
                <w:szCs w:val="18"/>
              </w:rPr>
            </w:pPr>
          </w:p>
        </w:tc>
        <w:tc>
          <w:tcPr>
            <w:tcW w:w="1134" w:type="dxa"/>
            <w:tcBorders>
              <w:top w:val="single" w:sz="2" w:space="0" w:color="808080" w:themeColor="background1" w:themeShade="80"/>
              <w:left w:val="nil"/>
              <w:bottom w:val="single" w:sz="12" w:space="0" w:color="808080"/>
              <w:right w:val="nil"/>
            </w:tcBorders>
            <w:shd w:val="clear" w:color="000000" w:fill="D9D9D9"/>
            <w:noWrap/>
            <w:vAlign w:val="center"/>
            <w:hideMark/>
          </w:tcPr>
          <w:p w14:paraId="2A27EEC4" w14:textId="77777777" w:rsidR="00850819" w:rsidRPr="0061011A" w:rsidRDefault="00850819" w:rsidP="0061011A">
            <w:pPr>
              <w:spacing w:after="0"/>
              <w:rPr>
                <w:rFonts w:ascii="Arial" w:hAnsi="Arial" w:cs="Arial"/>
                <w:b/>
                <w:bCs/>
                <w:color w:val="000000"/>
                <w:sz w:val="16"/>
                <w:szCs w:val="16"/>
              </w:rPr>
            </w:pPr>
            <w:r w:rsidRPr="0061011A">
              <w:rPr>
                <w:rFonts w:ascii="Arial" w:hAnsi="Arial" w:cs="Arial"/>
                <w:b/>
                <w:bCs/>
                <w:color w:val="000000"/>
                <w:sz w:val="16"/>
                <w:szCs w:val="16"/>
              </w:rPr>
              <w:t>Private</w:t>
            </w:r>
          </w:p>
        </w:tc>
        <w:tc>
          <w:tcPr>
            <w:tcW w:w="1883" w:type="dxa"/>
            <w:tcBorders>
              <w:top w:val="single" w:sz="2" w:space="0" w:color="808080" w:themeColor="background1" w:themeShade="80"/>
              <w:left w:val="nil"/>
              <w:bottom w:val="single" w:sz="12" w:space="0" w:color="808080"/>
              <w:right w:val="nil"/>
            </w:tcBorders>
            <w:shd w:val="clear" w:color="000000" w:fill="D9D9D9"/>
            <w:noWrap/>
            <w:vAlign w:val="center"/>
            <w:hideMark/>
          </w:tcPr>
          <w:p w14:paraId="58FFA78C" w14:textId="77777777" w:rsidR="00850819" w:rsidRPr="0061011A" w:rsidRDefault="00850819" w:rsidP="00332142">
            <w:pPr>
              <w:spacing w:after="0"/>
              <w:jc w:val="center"/>
              <w:rPr>
                <w:rFonts w:ascii="Arial" w:hAnsi="Arial" w:cs="Arial"/>
                <w:b/>
                <w:bCs/>
                <w:color w:val="000000"/>
                <w:sz w:val="16"/>
                <w:szCs w:val="16"/>
              </w:rPr>
            </w:pPr>
            <w:r w:rsidRPr="0061011A">
              <w:rPr>
                <w:rFonts w:ascii="Arial" w:hAnsi="Arial" w:cs="Arial"/>
                <w:b/>
                <w:bCs/>
                <w:color w:val="000000"/>
                <w:sz w:val="16"/>
                <w:szCs w:val="16"/>
              </w:rPr>
              <w:t>86</w:t>
            </w:r>
          </w:p>
        </w:tc>
        <w:tc>
          <w:tcPr>
            <w:tcW w:w="1883" w:type="dxa"/>
            <w:tcBorders>
              <w:top w:val="single" w:sz="2" w:space="0" w:color="808080" w:themeColor="background1" w:themeShade="80"/>
              <w:left w:val="nil"/>
              <w:bottom w:val="single" w:sz="12" w:space="0" w:color="808080"/>
              <w:right w:val="nil"/>
            </w:tcBorders>
            <w:shd w:val="clear" w:color="000000" w:fill="D9D9D9"/>
            <w:noWrap/>
            <w:vAlign w:val="center"/>
            <w:hideMark/>
          </w:tcPr>
          <w:p w14:paraId="62CB9799" w14:textId="77777777" w:rsidR="00850819" w:rsidRPr="0061011A" w:rsidRDefault="00850819" w:rsidP="00332142">
            <w:pPr>
              <w:spacing w:after="0"/>
              <w:jc w:val="center"/>
              <w:rPr>
                <w:rFonts w:ascii="Arial" w:hAnsi="Arial" w:cs="Arial"/>
                <w:b/>
                <w:bCs/>
                <w:color w:val="000000"/>
                <w:sz w:val="16"/>
                <w:szCs w:val="16"/>
              </w:rPr>
            </w:pPr>
            <w:r w:rsidRPr="0061011A">
              <w:rPr>
                <w:rFonts w:ascii="Arial" w:hAnsi="Arial" w:cs="Arial"/>
                <w:b/>
                <w:bCs/>
                <w:color w:val="000000"/>
                <w:sz w:val="16"/>
                <w:szCs w:val="16"/>
              </w:rPr>
              <w:t>296</w:t>
            </w:r>
          </w:p>
        </w:tc>
        <w:tc>
          <w:tcPr>
            <w:tcW w:w="1763" w:type="dxa"/>
            <w:tcBorders>
              <w:top w:val="single" w:sz="2" w:space="0" w:color="808080" w:themeColor="background1" w:themeShade="80"/>
              <w:left w:val="nil"/>
              <w:bottom w:val="single" w:sz="12" w:space="0" w:color="808080"/>
              <w:right w:val="single" w:sz="12" w:space="0" w:color="808080" w:themeColor="background1" w:themeShade="80"/>
            </w:tcBorders>
            <w:shd w:val="clear" w:color="000000" w:fill="D9D9D9"/>
            <w:noWrap/>
            <w:vAlign w:val="center"/>
            <w:hideMark/>
          </w:tcPr>
          <w:p w14:paraId="3783BE72" w14:textId="3F1081AB" w:rsidR="00850819" w:rsidRPr="0061011A" w:rsidRDefault="00850819" w:rsidP="00332142">
            <w:pPr>
              <w:spacing w:after="0"/>
              <w:jc w:val="center"/>
              <w:rPr>
                <w:rFonts w:ascii="Arial" w:hAnsi="Arial" w:cs="Arial"/>
                <w:b/>
                <w:bCs/>
                <w:color w:val="000000"/>
                <w:sz w:val="16"/>
                <w:szCs w:val="16"/>
              </w:rPr>
            </w:pPr>
            <w:r w:rsidRPr="0061011A">
              <w:rPr>
                <w:rFonts w:ascii="Arial" w:hAnsi="Arial" w:cs="Arial"/>
                <w:b/>
                <w:bCs/>
                <w:color w:val="000000"/>
                <w:sz w:val="16"/>
                <w:szCs w:val="16"/>
              </w:rPr>
              <w:t>29.1</w:t>
            </w:r>
          </w:p>
        </w:tc>
        <w:tc>
          <w:tcPr>
            <w:tcW w:w="1281" w:type="dxa"/>
            <w:vMerge/>
            <w:tcBorders>
              <w:top w:val="nil"/>
              <w:left w:val="single" w:sz="12" w:space="0" w:color="808080" w:themeColor="background1" w:themeShade="80"/>
              <w:bottom w:val="single" w:sz="12" w:space="0" w:color="808080"/>
              <w:right w:val="nil"/>
            </w:tcBorders>
            <w:vAlign w:val="center"/>
            <w:hideMark/>
          </w:tcPr>
          <w:p w14:paraId="542DEA8A" w14:textId="77777777" w:rsidR="00850819" w:rsidRPr="0061011A" w:rsidRDefault="00850819" w:rsidP="0061011A">
            <w:pPr>
              <w:spacing w:after="0"/>
              <w:rPr>
                <w:rFonts w:ascii="Arial" w:hAnsi="Arial" w:cs="Arial"/>
                <w:b/>
                <w:bCs/>
                <w:color w:val="000000"/>
                <w:sz w:val="16"/>
                <w:szCs w:val="16"/>
              </w:rPr>
            </w:pPr>
          </w:p>
        </w:tc>
        <w:tc>
          <w:tcPr>
            <w:tcW w:w="1837" w:type="dxa"/>
            <w:gridSpan w:val="2"/>
            <w:vMerge/>
            <w:tcBorders>
              <w:top w:val="nil"/>
              <w:left w:val="nil"/>
              <w:bottom w:val="single" w:sz="12" w:space="0" w:color="808080"/>
              <w:right w:val="nil"/>
            </w:tcBorders>
            <w:vAlign w:val="center"/>
            <w:hideMark/>
          </w:tcPr>
          <w:p w14:paraId="008B82C8" w14:textId="77777777" w:rsidR="00850819" w:rsidRPr="0061011A" w:rsidRDefault="00850819" w:rsidP="0061011A">
            <w:pPr>
              <w:spacing w:after="0"/>
              <w:rPr>
                <w:rFonts w:ascii="Arial" w:hAnsi="Arial" w:cs="Arial"/>
                <w:b/>
                <w:bCs/>
                <w:color w:val="000000"/>
                <w:sz w:val="16"/>
                <w:szCs w:val="16"/>
              </w:rPr>
            </w:pPr>
          </w:p>
        </w:tc>
        <w:tc>
          <w:tcPr>
            <w:tcW w:w="1418" w:type="dxa"/>
            <w:vMerge/>
            <w:tcBorders>
              <w:top w:val="single" w:sz="12" w:space="0" w:color="808080"/>
              <w:left w:val="nil"/>
              <w:bottom w:val="single" w:sz="12" w:space="0" w:color="808080"/>
              <w:right w:val="nil"/>
            </w:tcBorders>
            <w:vAlign w:val="center"/>
            <w:hideMark/>
          </w:tcPr>
          <w:p w14:paraId="0324F38C" w14:textId="77777777" w:rsidR="00850819" w:rsidRPr="0061011A" w:rsidRDefault="00850819" w:rsidP="0061011A">
            <w:pPr>
              <w:spacing w:after="0"/>
              <w:rPr>
                <w:rFonts w:ascii="Arial" w:hAnsi="Arial" w:cs="Arial"/>
                <w:b/>
                <w:bCs/>
                <w:color w:val="000000"/>
                <w:sz w:val="16"/>
                <w:szCs w:val="16"/>
              </w:rPr>
            </w:pPr>
          </w:p>
        </w:tc>
      </w:tr>
    </w:tbl>
    <w:p w14:paraId="044E6D80" w14:textId="77777777" w:rsidR="00255E01" w:rsidRPr="00DD5426" w:rsidRDefault="00255E01" w:rsidP="00561D6E">
      <w:pPr>
        <w:pStyle w:val="Captions"/>
        <w:spacing w:before="0" w:after="0"/>
      </w:pPr>
      <w:proofErr w:type="spellStart"/>
      <w:r w:rsidRPr="00DD5426">
        <w:t>na</w:t>
      </w:r>
      <w:proofErr w:type="spellEnd"/>
      <w:r w:rsidRPr="00DD5426">
        <w:t xml:space="preserve"> </w:t>
      </w:r>
      <w:r>
        <w:t>-</w:t>
      </w:r>
      <w:r w:rsidRPr="00DD5426">
        <w:t xml:space="preserve"> not applicable</w:t>
      </w:r>
    </w:p>
    <w:p w14:paraId="4FCB83BE" w14:textId="77777777" w:rsidR="00255E01" w:rsidRPr="00DD5426" w:rsidRDefault="00854AAC" w:rsidP="00255E01">
      <w:pPr>
        <w:pStyle w:val="Captions"/>
        <w:spacing w:before="0" w:after="0"/>
        <w:sectPr w:rsidR="00255E01" w:rsidRPr="00DD5426" w:rsidSect="00DD5426">
          <w:pgSz w:w="16838" w:h="11906" w:orient="landscape" w:code="9"/>
          <w:pgMar w:top="1440" w:right="1440" w:bottom="1276" w:left="1440" w:header="709" w:footer="709" w:gutter="0"/>
          <w:cols w:space="708"/>
          <w:docGrid w:linePitch="360"/>
        </w:sectPr>
      </w:pPr>
      <w:r>
        <w:rPr>
          <w:vertAlign w:val="superscript"/>
        </w:rPr>
        <w:t>*</w:t>
      </w:r>
      <w:r w:rsidR="00255E01" w:rsidRPr="00DD5426">
        <w:t xml:space="preserve">Numbers represent all eligible hospitals in the AIHW </w:t>
      </w:r>
      <w:r>
        <w:t xml:space="preserve">peer </w:t>
      </w:r>
      <w:r w:rsidR="00255E01" w:rsidRPr="00DD5426">
        <w:t xml:space="preserve">groups for public and private, states and </w:t>
      </w:r>
      <w:r w:rsidR="00255E01" w:rsidRPr="005C45EA">
        <w:t>territories,</w:t>
      </w:r>
      <w:r w:rsidR="000675E0" w:rsidRPr="005C45EA">
        <w:rPr>
          <w:vertAlign w:val="superscript"/>
        </w:rPr>
        <w:t>8</w:t>
      </w:r>
      <w:r w:rsidR="00255E01" w:rsidRPr="005C45EA">
        <w:t xml:space="preserve"> and </w:t>
      </w:r>
      <w:r w:rsidRPr="005C45EA">
        <w:t xml:space="preserve">the ABS </w:t>
      </w:r>
      <w:r w:rsidR="00255E01" w:rsidRPr="005C45EA">
        <w:t>remoteness classifications.</w:t>
      </w:r>
      <w:r w:rsidR="000675E0" w:rsidRPr="005C45EA">
        <w:rPr>
          <w:vertAlign w:val="superscript"/>
        </w:rPr>
        <w:t>7</w:t>
      </w:r>
      <w:r w:rsidR="00255E01" w:rsidRPr="00DD5426">
        <w:t xml:space="preserve"> </w:t>
      </w:r>
    </w:p>
    <w:tbl>
      <w:tblPr>
        <w:tblpPr w:leftFromText="180" w:rightFromText="180" w:vertAnchor="text" w:horzAnchor="margin" w:tblpX="108" w:tblpY="840"/>
        <w:tblW w:w="9532" w:type="dxa"/>
        <w:tblLayout w:type="fixed"/>
        <w:tblLook w:val="04A0" w:firstRow="1" w:lastRow="0" w:firstColumn="1" w:lastColumn="0" w:noHBand="0" w:noVBand="1"/>
      </w:tblPr>
      <w:tblGrid>
        <w:gridCol w:w="1312"/>
        <w:gridCol w:w="3191"/>
        <w:gridCol w:w="1676"/>
        <w:gridCol w:w="1676"/>
        <w:gridCol w:w="1677"/>
      </w:tblGrid>
      <w:tr w:rsidR="00EF4376" w:rsidRPr="009C2539" w14:paraId="51B4FA81" w14:textId="77777777" w:rsidTr="00956066">
        <w:trPr>
          <w:trHeight w:val="315"/>
        </w:trPr>
        <w:tc>
          <w:tcPr>
            <w:tcW w:w="4503" w:type="dxa"/>
            <w:gridSpan w:val="2"/>
            <w:tcBorders>
              <w:top w:val="nil"/>
              <w:left w:val="nil"/>
              <w:bottom w:val="nil"/>
              <w:right w:val="nil"/>
            </w:tcBorders>
            <w:shd w:val="clear" w:color="000000" w:fill="808080"/>
            <w:vAlign w:val="center"/>
            <w:hideMark/>
          </w:tcPr>
          <w:p w14:paraId="4D89EB5C" w14:textId="77777777" w:rsidR="00EF4376" w:rsidRPr="009C2539" w:rsidRDefault="00EF4376" w:rsidP="00956066">
            <w:pPr>
              <w:spacing w:after="0"/>
              <w:jc w:val="both"/>
              <w:rPr>
                <w:rFonts w:ascii="Arial" w:hAnsi="Arial" w:cs="Arial"/>
                <w:b/>
                <w:bCs/>
                <w:color w:val="FFFFFF"/>
                <w:sz w:val="20"/>
                <w:szCs w:val="20"/>
              </w:rPr>
            </w:pPr>
            <w:r w:rsidRPr="009C2539">
              <w:rPr>
                <w:rFonts w:ascii="Arial" w:hAnsi="Arial" w:cs="Arial"/>
                <w:b/>
                <w:bCs/>
                <w:color w:val="FFFFFF"/>
                <w:sz w:val="20"/>
                <w:szCs w:val="20"/>
              </w:rPr>
              <w:lastRenderedPageBreak/>
              <w:t>Participating hospitals</w:t>
            </w:r>
          </w:p>
        </w:tc>
        <w:tc>
          <w:tcPr>
            <w:tcW w:w="1676" w:type="dxa"/>
            <w:tcBorders>
              <w:top w:val="nil"/>
              <w:left w:val="nil"/>
              <w:bottom w:val="single" w:sz="4" w:space="0" w:color="auto"/>
              <w:right w:val="nil"/>
            </w:tcBorders>
            <w:shd w:val="clear" w:color="000000" w:fill="808080"/>
            <w:noWrap/>
            <w:vAlign w:val="center"/>
            <w:hideMark/>
          </w:tcPr>
          <w:p w14:paraId="3F17125F" w14:textId="06635BED" w:rsidR="00EF4376" w:rsidRDefault="00EF4376" w:rsidP="00956066">
            <w:pPr>
              <w:spacing w:after="0"/>
              <w:jc w:val="center"/>
              <w:rPr>
                <w:rFonts w:ascii="Arial" w:hAnsi="Arial" w:cs="Arial"/>
                <w:color w:val="FFFFFF"/>
                <w:sz w:val="18"/>
                <w:szCs w:val="18"/>
              </w:rPr>
            </w:pPr>
            <w:r>
              <w:rPr>
                <w:rFonts w:ascii="Arial" w:hAnsi="Arial" w:cs="Arial"/>
                <w:color w:val="FFFFFF"/>
                <w:sz w:val="18"/>
                <w:szCs w:val="18"/>
              </w:rPr>
              <w:t xml:space="preserve">Number of </w:t>
            </w:r>
            <w:r w:rsidRPr="009C2539">
              <w:rPr>
                <w:rFonts w:ascii="Arial" w:hAnsi="Arial" w:cs="Arial"/>
                <w:color w:val="FFFFFF"/>
                <w:sz w:val="18"/>
                <w:szCs w:val="18"/>
              </w:rPr>
              <w:t>participating</w:t>
            </w:r>
            <w:r>
              <w:rPr>
                <w:rFonts w:ascii="Arial" w:hAnsi="Arial" w:cs="Arial"/>
                <w:color w:val="FFFFFF"/>
                <w:sz w:val="18"/>
                <w:szCs w:val="18"/>
              </w:rPr>
              <w:t xml:space="preserve"> hospitals</w:t>
            </w:r>
            <w:r w:rsidRPr="009C2539">
              <w:rPr>
                <w:rFonts w:ascii="Arial" w:hAnsi="Arial" w:cs="Arial"/>
                <w:color w:val="FFFFFF"/>
                <w:sz w:val="18"/>
                <w:szCs w:val="18"/>
              </w:rPr>
              <w:t xml:space="preserve"> </w:t>
            </w:r>
            <w:r w:rsidR="00062E45">
              <w:rPr>
                <w:rFonts w:ascii="Arial" w:hAnsi="Arial" w:cs="Arial"/>
                <w:color w:val="FFFFFF"/>
                <w:sz w:val="18"/>
                <w:szCs w:val="18"/>
              </w:rPr>
              <w:t>(n)</w:t>
            </w:r>
          </w:p>
        </w:tc>
        <w:tc>
          <w:tcPr>
            <w:tcW w:w="1676" w:type="dxa"/>
            <w:tcBorders>
              <w:top w:val="nil"/>
              <w:left w:val="nil"/>
              <w:bottom w:val="single" w:sz="4" w:space="0" w:color="auto"/>
              <w:right w:val="nil"/>
            </w:tcBorders>
            <w:shd w:val="clear" w:color="000000" w:fill="808080"/>
            <w:vAlign w:val="center"/>
          </w:tcPr>
          <w:p w14:paraId="73289A34" w14:textId="1A4A4834" w:rsidR="00EF4376" w:rsidRPr="009C2539" w:rsidRDefault="00EF4376" w:rsidP="00956066">
            <w:pPr>
              <w:spacing w:after="0"/>
              <w:jc w:val="center"/>
              <w:rPr>
                <w:rFonts w:ascii="Arial" w:hAnsi="Arial" w:cs="Arial"/>
                <w:color w:val="FFFFFF"/>
                <w:sz w:val="18"/>
                <w:szCs w:val="18"/>
              </w:rPr>
            </w:pPr>
            <w:r>
              <w:rPr>
                <w:rFonts w:ascii="Arial" w:hAnsi="Arial" w:cs="Arial"/>
                <w:color w:val="FFFFFF"/>
                <w:sz w:val="18"/>
                <w:szCs w:val="18"/>
              </w:rPr>
              <w:t>Number of hospitals in reporting</w:t>
            </w:r>
            <w:r w:rsidRPr="009C2539">
              <w:rPr>
                <w:rFonts w:ascii="Arial" w:hAnsi="Arial" w:cs="Arial"/>
                <w:color w:val="FFFFFF"/>
                <w:sz w:val="18"/>
                <w:szCs w:val="18"/>
              </w:rPr>
              <w:t xml:space="preserve"> group</w:t>
            </w:r>
            <w:r w:rsidR="00062E45">
              <w:rPr>
                <w:rFonts w:ascii="Arial" w:hAnsi="Arial" w:cs="Arial"/>
                <w:color w:val="FFFFFF"/>
                <w:sz w:val="18"/>
                <w:szCs w:val="18"/>
              </w:rPr>
              <w:t xml:space="preserve"> (n)</w:t>
            </w:r>
          </w:p>
        </w:tc>
        <w:tc>
          <w:tcPr>
            <w:tcW w:w="1677" w:type="dxa"/>
            <w:tcBorders>
              <w:top w:val="nil"/>
              <w:left w:val="nil"/>
              <w:bottom w:val="nil"/>
              <w:right w:val="nil"/>
            </w:tcBorders>
            <w:shd w:val="clear" w:color="000000" w:fill="808080"/>
            <w:noWrap/>
            <w:vAlign w:val="center"/>
            <w:hideMark/>
          </w:tcPr>
          <w:p w14:paraId="77B0B8F8" w14:textId="5245295F" w:rsidR="00EF4376" w:rsidRPr="009C2539" w:rsidRDefault="00EF4376" w:rsidP="00956066">
            <w:pPr>
              <w:spacing w:after="0"/>
              <w:jc w:val="center"/>
              <w:rPr>
                <w:rFonts w:ascii="Arial" w:hAnsi="Arial" w:cs="Arial"/>
                <w:color w:val="FFFFFF"/>
                <w:sz w:val="18"/>
                <w:szCs w:val="18"/>
              </w:rPr>
            </w:pPr>
            <w:r w:rsidRPr="009C2539">
              <w:rPr>
                <w:rFonts w:ascii="Arial" w:hAnsi="Arial" w:cs="Arial"/>
                <w:color w:val="FFFFFF"/>
                <w:sz w:val="18"/>
                <w:szCs w:val="18"/>
              </w:rPr>
              <w:t>Percent participation</w:t>
            </w:r>
            <w:r w:rsidR="00062E45">
              <w:rPr>
                <w:rFonts w:ascii="Arial" w:hAnsi="Arial" w:cs="Arial"/>
                <w:color w:val="FFFFFF"/>
                <w:sz w:val="18"/>
                <w:szCs w:val="18"/>
              </w:rPr>
              <w:t xml:space="preserve"> (%)</w:t>
            </w:r>
          </w:p>
        </w:tc>
      </w:tr>
      <w:tr w:rsidR="00F00A54" w:rsidRPr="009C2539" w14:paraId="41D23483" w14:textId="77777777" w:rsidTr="00956066">
        <w:trPr>
          <w:trHeight w:val="315"/>
        </w:trPr>
        <w:tc>
          <w:tcPr>
            <w:tcW w:w="1312" w:type="dxa"/>
            <w:vMerge w:val="restart"/>
            <w:tcBorders>
              <w:top w:val="single" w:sz="12" w:space="0" w:color="FFFFFF"/>
              <w:left w:val="nil"/>
              <w:bottom w:val="single" w:sz="12" w:space="0" w:color="FFFFFF"/>
              <w:right w:val="single" w:sz="4" w:space="0" w:color="auto"/>
            </w:tcBorders>
            <w:shd w:val="clear" w:color="000000" w:fill="808080"/>
            <w:vAlign w:val="center"/>
            <w:hideMark/>
          </w:tcPr>
          <w:p w14:paraId="26FAFCCF" w14:textId="77777777" w:rsidR="00F00A54" w:rsidRPr="009C2539" w:rsidRDefault="00F00A54" w:rsidP="00956066">
            <w:pPr>
              <w:spacing w:after="0"/>
              <w:rPr>
                <w:rFonts w:ascii="Arial" w:hAnsi="Arial" w:cs="Arial"/>
                <w:color w:val="FFFFFF"/>
                <w:sz w:val="18"/>
                <w:szCs w:val="18"/>
              </w:rPr>
            </w:pPr>
            <w:r w:rsidRPr="009C2539">
              <w:rPr>
                <w:rFonts w:ascii="Arial" w:hAnsi="Arial" w:cs="Arial"/>
                <w:color w:val="FFFFFF"/>
                <w:sz w:val="18"/>
                <w:szCs w:val="18"/>
              </w:rPr>
              <w:t>Public hospital peer group</w:t>
            </w:r>
            <w:r w:rsidR="00622241">
              <w:rPr>
                <w:rFonts w:ascii="Arial" w:hAnsi="Arial" w:cs="Arial"/>
                <w:color w:val="FFFFFF"/>
                <w:sz w:val="18"/>
                <w:szCs w:val="18"/>
                <w:vertAlign w:val="superscript"/>
              </w:rPr>
              <w:t>*</w:t>
            </w:r>
          </w:p>
        </w:tc>
        <w:tc>
          <w:tcPr>
            <w:tcW w:w="3191" w:type="dxa"/>
            <w:tcBorders>
              <w:top w:val="single" w:sz="4" w:space="0" w:color="auto"/>
              <w:left w:val="nil"/>
              <w:bottom w:val="single" w:sz="4" w:space="0" w:color="auto"/>
              <w:right w:val="single" w:sz="4" w:space="0" w:color="auto"/>
            </w:tcBorders>
            <w:shd w:val="clear" w:color="auto" w:fill="auto"/>
            <w:noWrap/>
            <w:vAlign w:val="center"/>
            <w:hideMark/>
          </w:tcPr>
          <w:p w14:paraId="05C151CB"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Principal referral</w:t>
            </w:r>
          </w:p>
        </w:tc>
        <w:tc>
          <w:tcPr>
            <w:tcW w:w="1676" w:type="dxa"/>
            <w:tcBorders>
              <w:top w:val="nil"/>
              <w:left w:val="nil"/>
              <w:bottom w:val="single" w:sz="4" w:space="0" w:color="auto"/>
              <w:right w:val="single" w:sz="4" w:space="0" w:color="auto"/>
            </w:tcBorders>
            <w:shd w:val="clear" w:color="auto" w:fill="auto"/>
            <w:noWrap/>
            <w:vAlign w:val="bottom"/>
            <w:hideMark/>
          </w:tcPr>
          <w:p w14:paraId="646B7BE3"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28</w:t>
            </w:r>
          </w:p>
        </w:tc>
        <w:tc>
          <w:tcPr>
            <w:tcW w:w="1676" w:type="dxa"/>
            <w:tcBorders>
              <w:top w:val="nil"/>
              <w:left w:val="nil"/>
              <w:bottom w:val="single" w:sz="4" w:space="0" w:color="auto"/>
              <w:right w:val="single" w:sz="4" w:space="0" w:color="auto"/>
            </w:tcBorders>
            <w:shd w:val="clear" w:color="auto" w:fill="auto"/>
            <w:noWrap/>
            <w:vAlign w:val="bottom"/>
            <w:hideMark/>
          </w:tcPr>
          <w:p w14:paraId="0A7C9493"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30</w:t>
            </w:r>
          </w:p>
        </w:tc>
        <w:tc>
          <w:tcPr>
            <w:tcW w:w="1677" w:type="dxa"/>
            <w:tcBorders>
              <w:top w:val="single" w:sz="4" w:space="0" w:color="auto"/>
              <w:left w:val="nil"/>
              <w:bottom w:val="single" w:sz="4" w:space="0" w:color="auto"/>
              <w:right w:val="single" w:sz="4" w:space="0" w:color="auto"/>
            </w:tcBorders>
            <w:shd w:val="clear" w:color="auto" w:fill="auto"/>
            <w:noWrap/>
            <w:vAlign w:val="bottom"/>
            <w:hideMark/>
          </w:tcPr>
          <w:p w14:paraId="685C8E76" w14:textId="10559691"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93.3</w:t>
            </w:r>
          </w:p>
        </w:tc>
      </w:tr>
      <w:tr w:rsidR="00F00A54" w:rsidRPr="009C2539" w14:paraId="5930EEC2" w14:textId="77777777" w:rsidTr="00956066">
        <w:trPr>
          <w:trHeight w:val="300"/>
        </w:trPr>
        <w:tc>
          <w:tcPr>
            <w:tcW w:w="1312" w:type="dxa"/>
            <w:vMerge/>
            <w:tcBorders>
              <w:top w:val="single" w:sz="12" w:space="0" w:color="FFFFFF"/>
              <w:left w:val="nil"/>
              <w:bottom w:val="single" w:sz="12" w:space="0" w:color="FFFFFF"/>
              <w:right w:val="single" w:sz="4" w:space="0" w:color="auto"/>
            </w:tcBorders>
            <w:vAlign w:val="center"/>
            <w:hideMark/>
          </w:tcPr>
          <w:p w14:paraId="383551CB"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auto" w:fill="auto"/>
            <w:noWrap/>
            <w:vAlign w:val="center"/>
            <w:hideMark/>
          </w:tcPr>
          <w:p w14:paraId="708FA82B"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Public acute group A hospitals</w:t>
            </w:r>
          </w:p>
        </w:tc>
        <w:tc>
          <w:tcPr>
            <w:tcW w:w="1676" w:type="dxa"/>
            <w:tcBorders>
              <w:top w:val="nil"/>
              <w:left w:val="nil"/>
              <w:bottom w:val="single" w:sz="4" w:space="0" w:color="auto"/>
              <w:right w:val="single" w:sz="4" w:space="0" w:color="auto"/>
            </w:tcBorders>
            <w:shd w:val="clear" w:color="auto" w:fill="auto"/>
            <w:noWrap/>
            <w:vAlign w:val="bottom"/>
            <w:hideMark/>
          </w:tcPr>
          <w:p w14:paraId="52336824"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48</w:t>
            </w:r>
          </w:p>
        </w:tc>
        <w:tc>
          <w:tcPr>
            <w:tcW w:w="1676" w:type="dxa"/>
            <w:tcBorders>
              <w:top w:val="nil"/>
              <w:left w:val="nil"/>
              <w:bottom w:val="single" w:sz="4" w:space="0" w:color="auto"/>
              <w:right w:val="single" w:sz="4" w:space="0" w:color="auto"/>
            </w:tcBorders>
            <w:shd w:val="clear" w:color="auto" w:fill="auto"/>
            <w:noWrap/>
            <w:vAlign w:val="bottom"/>
            <w:hideMark/>
          </w:tcPr>
          <w:p w14:paraId="192F03EC"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62</w:t>
            </w:r>
          </w:p>
        </w:tc>
        <w:tc>
          <w:tcPr>
            <w:tcW w:w="1677" w:type="dxa"/>
            <w:tcBorders>
              <w:top w:val="nil"/>
              <w:left w:val="nil"/>
              <w:bottom w:val="single" w:sz="4" w:space="0" w:color="auto"/>
              <w:right w:val="single" w:sz="4" w:space="0" w:color="auto"/>
            </w:tcBorders>
            <w:shd w:val="clear" w:color="auto" w:fill="auto"/>
            <w:noWrap/>
            <w:vAlign w:val="bottom"/>
            <w:hideMark/>
          </w:tcPr>
          <w:p w14:paraId="3BB63C37" w14:textId="047B7C20"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77.4</w:t>
            </w:r>
          </w:p>
        </w:tc>
      </w:tr>
      <w:tr w:rsidR="00F00A54" w:rsidRPr="009C2539" w14:paraId="5D30523C" w14:textId="77777777" w:rsidTr="00956066">
        <w:trPr>
          <w:trHeight w:val="300"/>
        </w:trPr>
        <w:tc>
          <w:tcPr>
            <w:tcW w:w="1312" w:type="dxa"/>
            <w:vMerge/>
            <w:tcBorders>
              <w:top w:val="single" w:sz="12" w:space="0" w:color="FFFFFF"/>
              <w:left w:val="nil"/>
              <w:bottom w:val="single" w:sz="12" w:space="0" w:color="FFFFFF"/>
              <w:right w:val="single" w:sz="4" w:space="0" w:color="auto"/>
            </w:tcBorders>
            <w:vAlign w:val="center"/>
            <w:hideMark/>
          </w:tcPr>
          <w:p w14:paraId="45446E14"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auto" w:fill="auto"/>
            <w:noWrap/>
            <w:vAlign w:val="center"/>
            <w:hideMark/>
          </w:tcPr>
          <w:p w14:paraId="6D3FDACB"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Public acute group B hospitals</w:t>
            </w:r>
          </w:p>
        </w:tc>
        <w:tc>
          <w:tcPr>
            <w:tcW w:w="1676" w:type="dxa"/>
            <w:tcBorders>
              <w:top w:val="nil"/>
              <w:left w:val="nil"/>
              <w:bottom w:val="single" w:sz="4" w:space="0" w:color="auto"/>
              <w:right w:val="single" w:sz="4" w:space="0" w:color="auto"/>
            </w:tcBorders>
            <w:shd w:val="clear" w:color="auto" w:fill="auto"/>
            <w:noWrap/>
            <w:vAlign w:val="bottom"/>
            <w:hideMark/>
          </w:tcPr>
          <w:p w14:paraId="45B97C4E"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29</w:t>
            </w:r>
          </w:p>
        </w:tc>
        <w:tc>
          <w:tcPr>
            <w:tcW w:w="1676" w:type="dxa"/>
            <w:tcBorders>
              <w:top w:val="nil"/>
              <w:left w:val="nil"/>
              <w:bottom w:val="single" w:sz="4" w:space="0" w:color="auto"/>
              <w:right w:val="single" w:sz="4" w:space="0" w:color="auto"/>
            </w:tcBorders>
            <w:shd w:val="clear" w:color="auto" w:fill="auto"/>
            <w:noWrap/>
            <w:vAlign w:val="bottom"/>
            <w:hideMark/>
          </w:tcPr>
          <w:p w14:paraId="77E29F2A"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45</w:t>
            </w:r>
          </w:p>
        </w:tc>
        <w:tc>
          <w:tcPr>
            <w:tcW w:w="1677" w:type="dxa"/>
            <w:tcBorders>
              <w:top w:val="nil"/>
              <w:left w:val="nil"/>
              <w:bottom w:val="single" w:sz="4" w:space="0" w:color="auto"/>
              <w:right w:val="single" w:sz="4" w:space="0" w:color="auto"/>
            </w:tcBorders>
            <w:shd w:val="clear" w:color="auto" w:fill="auto"/>
            <w:noWrap/>
            <w:vAlign w:val="bottom"/>
            <w:hideMark/>
          </w:tcPr>
          <w:p w14:paraId="4C00FE80" w14:textId="5F2E0B7C"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64.4</w:t>
            </w:r>
          </w:p>
        </w:tc>
      </w:tr>
      <w:tr w:rsidR="00F00A54" w:rsidRPr="009C2539" w14:paraId="0C9B66C7" w14:textId="77777777" w:rsidTr="00956066">
        <w:trPr>
          <w:trHeight w:val="300"/>
        </w:trPr>
        <w:tc>
          <w:tcPr>
            <w:tcW w:w="1312" w:type="dxa"/>
            <w:vMerge/>
            <w:tcBorders>
              <w:top w:val="single" w:sz="12" w:space="0" w:color="FFFFFF"/>
              <w:left w:val="nil"/>
              <w:bottom w:val="single" w:sz="12" w:space="0" w:color="FFFFFF"/>
              <w:right w:val="single" w:sz="4" w:space="0" w:color="auto"/>
            </w:tcBorders>
            <w:vAlign w:val="center"/>
            <w:hideMark/>
          </w:tcPr>
          <w:p w14:paraId="21CFAA8E"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auto" w:fill="auto"/>
            <w:noWrap/>
            <w:vAlign w:val="center"/>
            <w:hideMark/>
          </w:tcPr>
          <w:p w14:paraId="36CECC7F"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Public acute group C hospitals</w:t>
            </w:r>
          </w:p>
        </w:tc>
        <w:tc>
          <w:tcPr>
            <w:tcW w:w="1676" w:type="dxa"/>
            <w:tcBorders>
              <w:top w:val="nil"/>
              <w:left w:val="nil"/>
              <w:bottom w:val="single" w:sz="4" w:space="0" w:color="auto"/>
              <w:right w:val="single" w:sz="4" w:space="0" w:color="auto"/>
            </w:tcBorders>
            <w:shd w:val="clear" w:color="auto" w:fill="auto"/>
            <w:noWrap/>
            <w:vAlign w:val="bottom"/>
            <w:hideMark/>
          </w:tcPr>
          <w:p w14:paraId="368805D8"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58</w:t>
            </w:r>
          </w:p>
        </w:tc>
        <w:tc>
          <w:tcPr>
            <w:tcW w:w="1676" w:type="dxa"/>
            <w:tcBorders>
              <w:top w:val="nil"/>
              <w:left w:val="nil"/>
              <w:bottom w:val="single" w:sz="4" w:space="0" w:color="auto"/>
              <w:right w:val="single" w:sz="4" w:space="0" w:color="auto"/>
            </w:tcBorders>
            <w:shd w:val="clear" w:color="auto" w:fill="auto"/>
            <w:noWrap/>
            <w:vAlign w:val="bottom"/>
            <w:hideMark/>
          </w:tcPr>
          <w:p w14:paraId="1B5503EA"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143</w:t>
            </w:r>
          </w:p>
        </w:tc>
        <w:tc>
          <w:tcPr>
            <w:tcW w:w="1677" w:type="dxa"/>
            <w:tcBorders>
              <w:top w:val="nil"/>
              <w:left w:val="nil"/>
              <w:bottom w:val="single" w:sz="4" w:space="0" w:color="auto"/>
              <w:right w:val="single" w:sz="4" w:space="0" w:color="auto"/>
            </w:tcBorders>
            <w:shd w:val="clear" w:color="auto" w:fill="auto"/>
            <w:noWrap/>
            <w:vAlign w:val="bottom"/>
            <w:hideMark/>
          </w:tcPr>
          <w:p w14:paraId="2783F6AF" w14:textId="6B776A18"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40.6</w:t>
            </w:r>
          </w:p>
        </w:tc>
      </w:tr>
      <w:tr w:rsidR="00F00A54" w:rsidRPr="009C2539" w14:paraId="51B6A5AA" w14:textId="77777777" w:rsidTr="00956066">
        <w:trPr>
          <w:trHeight w:val="300"/>
        </w:trPr>
        <w:tc>
          <w:tcPr>
            <w:tcW w:w="1312" w:type="dxa"/>
            <w:vMerge/>
            <w:tcBorders>
              <w:top w:val="single" w:sz="12" w:space="0" w:color="FFFFFF"/>
              <w:left w:val="nil"/>
              <w:bottom w:val="single" w:sz="12" w:space="0" w:color="FFFFFF"/>
              <w:right w:val="single" w:sz="4" w:space="0" w:color="auto"/>
            </w:tcBorders>
            <w:vAlign w:val="center"/>
            <w:hideMark/>
          </w:tcPr>
          <w:p w14:paraId="40C2938B"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auto" w:fill="auto"/>
            <w:noWrap/>
            <w:vAlign w:val="center"/>
            <w:hideMark/>
          </w:tcPr>
          <w:p w14:paraId="03A31EA1"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Public acute group D hospitals</w:t>
            </w:r>
          </w:p>
        </w:tc>
        <w:tc>
          <w:tcPr>
            <w:tcW w:w="1676" w:type="dxa"/>
            <w:tcBorders>
              <w:top w:val="nil"/>
              <w:left w:val="nil"/>
              <w:bottom w:val="single" w:sz="4" w:space="0" w:color="auto"/>
              <w:right w:val="single" w:sz="4" w:space="0" w:color="auto"/>
            </w:tcBorders>
            <w:shd w:val="clear" w:color="auto" w:fill="auto"/>
            <w:noWrap/>
            <w:vAlign w:val="bottom"/>
            <w:hideMark/>
          </w:tcPr>
          <w:p w14:paraId="23DAC5E1"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36</w:t>
            </w:r>
          </w:p>
        </w:tc>
        <w:tc>
          <w:tcPr>
            <w:tcW w:w="1676" w:type="dxa"/>
            <w:tcBorders>
              <w:top w:val="nil"/>
              <w:left w:val="nil"/>
              <w:bottom w:val="single" w:sz="4" w:space="0" w:color="auto"/>
              <w:right w:val="single" w:sz="4" w:space="0" w:color="auto"/>
            </w:tcBorders>
            <w:shd w:val="clear" w:color="auto" w:fill="auto"/>
            <w:noWrap/>
            <w:vAlign w:val="bottom"/>
            <w:hideMark/>
          </w:tcPr>
          <w:p w14:paraId="1AE615D8"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190</w:t>
            </w:r>
          </w:p>
        </w:tc>
        <w:tc>
          <w:tcPr>
            <w:tcW w:w="1677" w:type="dxa"/>
            <w:tcBorders>
              <w:top w:val="nil"/>
              <w:left w:val="nil"/>
              <w:bottom w:val="single" w:sz="4" w:space="0" w:color="auto"/>
              <w:right w:val="single" w:sz="4" w:space="0" w:color="auto"/>
            </w:tcBorders>
            <w:shd w:val="clear" w:color="auto" w:fill="auto"/>
            <w:noWrap/>
            <w:vAlign w:val="bottom"/>
            <w:hideMark/>
          </w:tcPr>
          <w:p w14:paraId="07E0AF6D" w14:textId="51A2BE9D"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18.9</w:t>
            </w:r>
          </w:p>
        </w:tc>
      </w:tr>
      <w:tr w:rsidR="00F00A54" w:rsidRPr="009C2539" w14:paraId="49B6CA05" w14:textId="77777777" w:rsidTr="00956066">
        <w:trPr>
          <w:trHeight w:val="300"/>
        </w:trPr>
        <w:tc>
          <w:tcPr>
            <w:tcW w:w="1312" w:type="dxa"/>
            <w:vMerge/>
            <w:tcBorders>
              <w:top w:val="single" w:sz="12" w:space="0" w:color="FFFFFF"/>
              <w:left w:val="nil"/>
              <w:bottom w:val="single" w:sz="12" w:space="0" w:color="FFFFFF"/>
              <w:right w:val="single" w:sz="4" w:space="0" w:color="auto"/>
            </w:tcBorders>
            <w:vAlign w:val="center"/>
            <w:hideMark/>
          </w:tcPr>
          <w:p w14:paraId="66FE4605"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auto" w:fill="auto"/>
            <w:noWrap/>
            <w:vAlign w:val="center"/>
            <w:hideMark/>
          </w:tcPr>
          <w:p w14:paraId="43D110CC"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Other acute specialised hospitals</w:t>
            </w:r>
          </w:p>
        </w:tc>
        <w:tc>
          <w:tcPr>
            <w:tcW w:w="1676" w:type="dxa"/>
            <w:tcBorders>
              <w:top w:val="nil"/>
              <w:left w:val="nil"/>
              <w:bottom w:val="single" w:sz="4" w:space="0" w:color="auto"/>
              <w:right w:val="single" w:sz="4" w:space="0" w:color="auto"/>
            </w:tcBorders>
            <w:shd w:val="clear" w:color="auto" w:fill="auto"/>
            <w:noWrap/>
            <w:vAlign w:val="bottom"/>
            <w:hideMark/>
          </w:tcPr>
          <w:p w14:paraId="467E39ED"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1</w:t>
            </w:r>
          </w:p>
        </w:tc>
        <w:tc>
          <w:tcPr>
            <w:tcW w:w="1676" w:type="dxa"/>
            <w:tcBorders>
              <w:top w:val="nil"/>
              <w:left w:val="nil"/>
              <w:bottom w:val="single" w:sz="4" w:space="0" w:color="auto"/>
              <w:right w:val="single" w:sz="4" w:space="0" w:color="auto"/>
            </w:tcBorders>
            <w:shd w:val="clear" w:color="auto" w:fill="auto"/>
            <w:noWrap/>
            <w:vAlign w:val="bottom"/>
            <w:hideMark/>
          </w:tcPr>
          <w:p w14:paraId="73810E70"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3</w:t>
            </w:r>
          </w:p>
        </w:tc>
        <w:tc>
          <w:tcPr>
            <w:tcW w:w="1677" w:type="dxa"/>
            <w:tcBorders>
              <w:top w:val="nil"/>
              <w:left w:val="nil"/>
              <w:bottom w:val="single" w:sz="4" w:space="0" w:color="auto"/>
              <w:right w:val="single" w:sz="4" w:space="0" w:color="auto"/>
            </w:tcBorders>
            <w:shd w:val="clear" w:color="auto" w:fill="auto"/>
            <w:noWrap/>
            <w:vAlign w:val="bottom"/>
            <w:hideMark/>
          </w:tcPr>
          <w:p w14:paraId="3913DA9F" w14:textId="48DFED63"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33.3</w:t>
            </w:r>
          </w:p>
        </w:tc>
      </w:tr>
      <w:tr w:rsidR="00F00A54" w:rsidRPr="009C2539" w14:paraId="623098D7" w14:textId="77777777" w:rsidTr="00956066">
        <w:trPr>
          <w:trHeight w:val="300"/>
        </w:trPr>
        <w:tc>
          <w:tcPr>
            <w:tcW w:w="1312" w:type="dxa"/>
            <w:vMerge/>
            <w:tcBorders>
              <w:top w:val="single" w:sz="12" w:space="0" w:color="FFFFFF"/>
              <w:left w:val="nil"/>
              <w:bottom w:val="single" w:sz="12" w:space="0" w:color="FFFFFF"/>
              <w:right w:val="single" w:sz="4" w:space="0" w:color="auto"/>
            </w:tcBorders>
            <w:vAlign w:val="center"/>
            <w:hideMark/>
          </w:tcPr>
          <w:p w14:paraId="04710DDE"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auto" w:fill="auto"/>
            <w:noWrap/>
            <w:vAlign w:val="center"/>
            <w:hideMark/>
          </w:tcPr>
          <w:p w14:paraId="002DAE48"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Children’s hospitals</w:t>
            </w:r>
          </w:p>
        </w:tc>
        <w:tc>
          <w:tcPr>
            <w:tcW w:w="1676" w:type="dxa"/>
            <w:tcBorders>
              <w:top w:val="nil"/>
              <w:left w:val="nil"/>
              <w:bottom w:val="single" w:sz="4" w:space="0" w:color="auto"/>
              <w:right w:val="single" w:sz="4" w:space="0" w:color="auto"/>
            </w:tcBorders>
            <w:shd w:val="clear" w:color="auto" w:fill="auto"/>
            <w:noWrap/>
            <w:vAlign w:val="bottom"/>
            <w:hideMark/>
          </w:tcPr>
          <w:p w14:paraId="7383AF35"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4</w:t>
            </w:r>
          </w:p>
        </w:tc>
        <w:tc>
          <w:tcPr>
            <w:tcW w:w="1676" w:type="dxa"/>
            <w:tcBorders>
              <w:top w:val="nil"/>
              <w:left w:val="nil"/>
              <w:bottom w:val="single" w:sz="4" w:space="0" w:color="auto"/>
              <w:right w:val="single" w:sz="4" w:space="0" w:color="auto"/>
            </w:tcBorders>
            <w:shd w:val="clear" w:color="auto" w:fill="auto"/>
            <w:noWrap/>
            <w:vAlign w:val="bottom"/>
            <w:hideMark/>
          </w:tcPr>
          <w:p w14:paraId="1DE58728"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7</w:t>
            </w:r>
          </w:p>
        </w:tc>
        <w:tc>
          <w:tcPr>
            <w:tcW w:w="1677" w:type="dxa"/>
            <w:tcBorders>
              <w:top w:val="nil"/>
              <w:left w:val="nil"/>
              <w:bottom w:val="single" w:sz="4" w:space="0" w:color="auto"/>
              <w:right w:val="single" w:sz="4" w:space="0" w:color="auto"/>
            </w:tcBorders>
            <w:shd w:val="clear" w:color="auto" w:fill="auto"/>
            <w:noWrap/>
            <w:vAlign w:val="bottom"/>
            <w:hideMark/>
          </w:tcPr>
          <w:p w14:paraId="097ED7FC" w14:textId="6F8127C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57.1</w:t>
            </w:r>
          </w:p>
        </w:tc>
      </w:tr>
      <w:tr w:rsidR="00F00A54" w:rsidRPr="009C2539" w14:paraId="1EB48FE2" w14:textId="77777777" w:rsidTr="00956066">
        <w:trPr>
          <w:trHeight w:val="300"/>
        </w:trPr>
        <w:tc>
          <w:tcPr>
            <w:tcW w:w="1312" w:type="dxa"/>
            <w:vMerge/>
            <w:tcBorders>
              <w:top w:val="single" w:sz="12" w:space="0" w:color="FFFFFF"/>
              <w:left w:val="nil"/>
              <w:bottom w:val="single" w:sz="12" w:space="0" w:color="FFFFFF"/>
              <w:right w:val="single" w:sz="4" w:space="0" w:color="auto"/>
            </w:tcBorders>
            <w:vAlign w:val="center"/>
            <w:hideMark/>
          </w:tcPr>
          <w:p w14:paraId="7D645614"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auto" w:fill="auto"/>
            <w:noWrap/>
            <w:vAlign w:val="center"/>
            <w:hideMark/>
          </w:tcPr>
          <w:p w14:paraId="0D4745A3"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Women’s hospitals</w:t>
            </w:r>
          </w:p>
        </w:tc>
        <w:tc>
          <w:tcPr>
            <w:tcW w:w="1676" w:type="dxa"/>
            <w:tcBorders>
              <w:top w:val="nil"/>
              <w:left w:val="nil"/>
              <w:bottom w:val="single" w:sz="4" w:space="0" w:color="auto"/>
              <w:right w:val="single" w:sz="4" w:space="0" w:color="auto"/>
            </w:tcBorders>
            <w:shd w:val="clear" w:color="auto" w:fill="auto"/>
            <w:noWrap/>
            <w:vAlign w:val="bottom"/>
            <w:hideMark/>
          </w:tcPr>
          <w:p w14:paraId="0247482C"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4</w:t>
            </w:r>
          </w:p>
        </w:tc>
        <w:tc>
          <w:tcPr>
            <w:tcW w:w="1676" w:type="dxa"/>
            <w:tcBorders>
              <w:top w:val="nil"/>
              <w:left w:val="nil"/>
              <w:bottom w:val="single" w:sz="4" w:space="0" w:color="auto"/>
              <w:right w:val="single" w:sz="4" w:space="0" w:color="auto"/>
            </w:tcBorders>
            <w:shd w:val="clear" w:color="auto" w:fill="auto"/>
            <w:noWrap/>
            <w:vAlign w:val="bottom"/>
            <w:hideMark/>
          </w:tcPr>
          <w:p w14:paraId="03A87E2E"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6</w:t>
            </w:r>
          </w:p>
        </w:tc>
        <w:tc>
          <w:tcPr>
            <w:tcW w:w="1677" w:type="dxa"/>
            <w:tcBorders>
              <w:top w:val="nil"/>
              <w:left w:val="nil"/>
              <w:bottom w:val="single" w:sz="4" w:space="0" w:color="auto"/>
              <w:right w:val="single" w:sz="4" w:space="0" w:color="auto"/>
            </w:tcBorders>
            <w:shd w:val="clear" w:color="auto" w:fill="auto"/>
            <w:noWrap/>
            <w:vAlign w:val="bottom"/>
            <w:hideMark/>
          </w:tcPr>
          <w:p w14:paraId="71FD550C" w14:textId="4F0AE1B1"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66.7</w:t>
            </w:r>
          </w:p>
        </w:tc>
      </w:tr>
      <w:tr w:rsidR="00F00A54" w:rsidRPr="009C2539" w14:paraId="7FC8DC26" w14:textId="77777777" w:rsidTr="00956066">
        <w:trPr>
          <w:trHeight w:val="300"/>
        </w:trPr>
        <w:tc>
          <w:tcPr>
            <w:tcW w:w="1312" w:type="dxa"/>
            <w:vMerge/>
            <w:tcBorders>
              <w:top w:val="single" w:sz="12" w:space="0" w:color="FFFFFF"/>
              <w:left w:val="nil"/>
              <w:bottom w:val="single" w:sz="12" w:space="0" w:color="FFFFFF"/>
              <w:right w:val="single" w:sz="4" w:space="0" w:color="auto"/>
            </w:tcBorders>
            <w:vAlign w:val="center"/>
            <w:hideMark/>
          </w:tcPr>
          <w:p w14:paraId="10009643"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auto" w:fill="auto"/>
            <w:noWrap/>
            <w:vAlign w:val="center"/>
            <w:hideMark/>
          </w:tcPr>
          <w:p w14:paraId="019154EC"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Women’s and children’s hospitals</w:t>
            </w:r>
          </w:p>
        </w:tc>
        <w:tc>
          <w:tcPr>
            <w:tcW w:w="1676" w:type="dxa"/>
            <w:tcBorders>
              <w:top w:val="nil"/>
              <w:left w:val="nil"/>
              <w:bottom w:val="single" w:sz="4" w:space="0" w:color="auto"/>
              <w:right w:val="single" w:sz="4" w:space="0" w:color="auto"/>
            </w:tcBorders>
            <w:shd w:val="clear" w:color="auto" w:fill="auto"/>
            <w:noWrap/>
            <w:vAlign w:val="bottom"/>
            <w:hideMark/>
          </w:tcPr>
          <w:p w14:paraId="3F738746"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1</w:t>
            </w:r>
          </w:p>
        </w:tc>
        <w:tc>
          <w:tcPr>
            <w:tcW w:w="1676" w:type="dxa"/>
            <w:tcBorders>
              <w:top w:val="nil"/>
              <w:left w:val="nil"/>
              <w:bottom w:val="single" w:sz="4" w:space="0" w:color="auto"/>
              <w:right w:val="single" w:sz="4" w:space="0" w:color="auto"/>
            </w:tcBorders>
            <w:shd w:val="clear" w:color="auto" w:fill="auto"/>
            <w:noWrap/>
            <w:vAlign w:val="bottom"/>
            <w:hideMark/>
          </w:tcPr>
          <w:p w14:paraId="4E196258"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1</w:t>
            </w:r>
          </w:p>
        </w:tc>
        <w:tc>
          <w:tcPr>
            <w:tcW w:w="1677" w:type="dxa"/>
            <w:tcBorders>
              <w:top w:val="nil"/>
              <w:left w:val="nil"/>
              <w:bottom w:val="single" w:sz="4" w:space="0" w:color="auto"/>
              <w:right w:val="single" w:sz="4" w:space="0" w:color="auto"/>
            </w:tcBorders>
            <w:shd w:val="clear" w:color="auto" w:fill="auto"/>
            <w:noWrap/>
            <w:vAlign w:val="bottom"/>
            <w:hideMark/>
          </w:tcPr>
          <w:p w14:paraId="3EDEAE13" w14:textId="7A73FF02"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100.0</w:t>
            </w:r>
          </w:p>
        </w:tc>
      </w:tr>
      <w:tr w:rsidR="00F00A54" w:rsidRPr="009C2539" w14:paraId="5A728B5F" w14:textId="77777777" w:rsidTr="00956066">
        <w:trPr>
          <w:trHeight w:val="300"/>
        </w:trPr>
        <w:tc>
          <w:tcPr>
            <w:tcW w:w="1312" w:type="dxa"/>
            <w:vMerge/>
            <w:tcBorders>
              <w:top w:val="single" w:sz="12" w:space="0" w:color="FFFFFF"/>
              <w:left w:val="nil"/>
              <w:bottom w:val="single" w:sz="12" w:space="0" w:color="FFFFFF"/>
              <w:right w:val="single" w:sz="4" w:space="0" w:color="auto"/>
            </w:tcBorders>
            <w:vAlign w:val="center"/>
            <w:hideMark/>
          </w:tcPr>
          <w:p w14:paraId="57B2A86C"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auto" w:fill="auto"/>
            <w:noWrap/>
            <w:vAlign w:val="center"/>
            <w:hideMark/>
          </w:tcPr>
          <w:p w14:paraId="7BF41292"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Mixed subacute and non-acute hospitals</w:t>
            </w:r>
          </w:p>
        </w:tc>
        <w:tc>
          <w:tcPr>
            <w:tcW w:w="1676" w:type="dxa"/>
            <w:tcBorders>
              <w:top w:val="nil"/>
              <w:left w:val="nil"/>
              <w:bottom w:val="single" w:sz="4" w:space="0" w:color="auto"/>
              <w:right w:val="single" w:sz="4" w:space="0" w:color="auto"/>
            </w:tcBorders>
            <w:shd w:val="clear" w:color="auto" w:fill="auto"/>
            <w:noWrap/>
            <w:vAlign w:val="bottom"/>
            <w:hideMark/>
          </w:tcPr>
          <w:p w14:paraId="5D7954FC"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8</w:t>
            </w:r>
          </w:p>
        </w:tc>
        <w:tc>
          <w:tcPr>
            <w:tcW w:w="1676" w:type="dxa"/>
            <w:tcBorders>
              <w:top w:val="nil"/>
              <w:left w:val="nil"/>
              <w:bottom w:val="single" w:sz="4" w:space="0" w:color="auto"/>
              <w:right w:val="single" w:sz="4" w:space="0" w:color="auto"/>
            </w:tcBorders>
            <w:shd w:val="clear" w:color="auto" w:fill="auto"/>
            <w:noWrap/>
            <w:vAlign w:val="bottom"/>
            <w:hideMark/>
          </w:tcPr>
          <w:p w14:paraId="12BE41C2"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25</w:t>
            </w:r>
          </w:p>
        </w:tc>
        <w:tc>
          <w:tcPr>
            <w:tcW w:w="1677" w:type="dxa"/>
            <w:tcBorders>
              <w:top w:val="nil"/>
              <w:left w:val="nil"/>
              <w:bottom w:val="single" w:sz="4" w:space="0" w:color="auto"/>
              <w:right w:val="single" w:sz="4" w:space="0" w:color="auto"/>
            </w:tcBorders>
            <w:shd w:val="clear" w:color="auto" w:fill="auto"/>
            <w:noWrap/>
            <w:vAlign w:val="bottom"/>
            <w:hideMark/>
          </w:tcPr>
          <w:p w14:paraId="27ED6CC5" w14:textId="2834537F"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32.0</w:t>
            </w:r>
          </w:p>
        </w:tc>
      </w:tr>
      <w:tr w:rsidR="00F00A54" w:rsidRPr="009C2539" w14:paraId="5C4464A0" w14:textId="77777777" w:rsidTr="00956066">
        <w:trPr>
          <w:trHeight w:val="300"/>
        </w:trPr>
        <w:tc>
          <w:tcPr>
            <w:tcW w:w="1312" w:type="dxa"/>
            <w:vMerge/>
            <w:tcBorders>
              <w:top w:val="single" w:sz="12" w:space="0" w:color="FFFFFF"/>
              <w:left w:val="nil"/>
              <w:bottom w:val="single" w:sz="12" w:space="0" w:color="FFFFFF"/>
              <w:right w:val="single" w:sz="4" w:space="0" w:color="auto"/>
            </w:tcBorders>
            <w:vAlign w:val="center"/>
            <w:hideMark/>
          </w:tcPr>
          <w:p w14:paraId="77599220"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auto" w:fill="auto"/>
            <w:noWrap/>
            <w:vAlign w:val="center"/>
            <w:hideMark/>
          </w:tcPr>
          <w:p w14:paraId="4247D4EE"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Rehabilitation and GEM</w:t>
            </w:r>
            <w:r w:rsidR="0080398E" w:rsidRPr="00695D8A">
              <w:rPr>
                <w:rFonts w:ascii="Arial" w:hAnsi="Arial" w:cs="Arial"/>
                <w:color w:val="000000"/>
                <w:sz w:val="16"/>
                <w:szCs w:val="16"/>
                <w:vertAlign w:val="superscript"/>
              </w:rPr>
              <w:t>†</w:t>
            </w:r>
            <w:r w:rsidRPr="009C2539">
              <w:rPr>
                <w:rFonts w:ascii="Arial" w:hAnsi="Arial" w:cs="Arial"/>
                <w:color w:val="000000"/>
                <w:sz w:val="16"/>
                <w:szCs w:val="16"/>
              </w:rPr>
              <w:t xml:space="preserve"> hospitals</w:t>
            </w:r>
          </w:p>
        </w:tc>
        <w:tc>
          <w:tcPr>
            <w:tcW w:w="1676" w:type="dxa"/>
            <w:tcBorders>
              <w:top w:val="nil"/>
              <w:left w:val="nil"/>
              <w:bottom w:val="single" w:sz="4" w:space="0" w:color="auto"/>
              <w:right w:val="single" w:sz="4" w:space="0" w:color="auto"/>
            </w:tcBorders>
            <w:shd w:val="clear" w:color="auto" w:fill="auto"/>
            <w:noWrap/>
            <w:vAlign w:val="bottom"/>
            <w:hideMark/>
          </w:tcPr>
          <w:p w14:paraId="58C07950"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4</w:t>
            </w:r>
          </w:p>
        </w:tc>
        <w:tc>
          <w:tcPr>
            <w:tcW w:w="1676" w:type="dxa"/>
            <w:tcBorders>
              <w:top w:val="nil"/>
              <w:left w:val="nil"/>
              <w:bottom w:val="single" w:sz="4" w:space="0" w:color="auto"/>
              <w:right w:val="single" w:sz="4" w:space="0" w:color="auto"/>
            </w:tcBorders>
            <w:shd w:val="clear" w:color="auto" w:fill="auto"/>
            <w:noWrap/>
            <w:vAlign w:val="bottom"/>
            <w:hideMark/>
          </w:tcPr>
          <w:p w14:paraId="6AFADD82"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14</w:t>
            </w:r>
          </w:p>
        </w:tc>
        <w:tc>
          <w:tcPr>
            <w:tcW w:w="1677" w:type="dxa"/>
            <w:tcBorders>
              <w:top w:val="nil"/>
              <w:left w:val="nil"/>
              <w:bottom w:val="single" w:sz="4" w:space="0" w:color="auto"/>
              <w:right w:val="single" w:sz="4" w:space="0" w:color="auto"/>
            </w:tcBorders>
            <w:shd w:val="clear" w:color="auto" w:fill="auto"/>
            <w:noWrap/>
            <w:vAlign w:val="bottom"/>
            <w:hideMark/>
          </w:tcPr>
          <w:p w14:paraId="3510B033" w14:textId="4386DF61"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28.6</w:t>
            </w:r>
          </w:p>
        </w:tc>
      </w:tr>
      <w:tr w:rsidR="00F00A54" w:rsidRPr="009C2539" w14:paraId="63076F20" w14:textId="77777777" w:rsidTr="00956066">
        <w:trPr>
          <w:trHeight w:val="300"/>
        </w:trPr>
        <w:tc>
          <w:tcPr>
            <w:tcW w:w="1312" w:type="dxa"/>
            <w:vMerge/>
            <w:tcBorders>
              <w:top w:val="single" w:sz="12" w:space="0" w:color="FFFFFF"/>
              <w:left w:val="nil"/>
              <w:bottom w:val="single" w:sz="12" w:space="0" w:color="FFFFFF"/>
              <w:right w:val="single" w:sz="4" w:space="0" w:color="auto"/>
            </w:tcBorders>
            <w:vAlign w:val="center"/>
            <w:hideMark/>
          </w:tcPr>
          <w:p w14:paraId="46D52EA2"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auto" w:fill="auto"/>
            <w:noWrap/>
            <w:vAlign w:val="center"/>
            <w:hideMark/>
          </w:tcPr>
          <w:p w14:paraId="7B6AD4E4"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Very small hospitals</w:t>
            </w:r>
          </w:p>
        </w:tc>
        <w:tc>
          <w:tcPr>
            <w:tcW w:w="1676" w:type="dxa"/>
            <w:tcBorders>
              <w:top w:val="nil"/>
              <w:left w:val="nil"/>
              <w:bottom w:val="single" w:sz="4" w:space="0" w:color="auto"/>
              <w:right w:val="single" w:sz="4" w:space="0" w:color="auto"/>
            </w:tcBorders>
            <w:shd w:val="clear" w:color="auto" w:fill="auto"/>
            <w:noWrap/>
            <w:vAlign w:val="bottom"/>
            <w:hideMark/>
          </w:tcPr>
          <w:p w14:paraId="4C761913"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4</w:t>
            </w:r>
          </w:p>
        </w:tc>
        <w:tc>
          <w:tcPr>
            <w:tcW w:w="1676" w:type="dxa"/>
            <w:tcBorders>
              <w:top w:val="nil"/>
              <w:left w:val="nil"/>
              <w:bottom w:val="single" w:sz="4" w:space="0" w:color="auto"/>
              <w:right w:val="single" w:sz="4" w:space="0" w:color="auto"/>
            </w:tcBorders>
            <w:shd w:val="clear" w:color="auto" w:fill="auto"/>
            <w:noWrap/>
            <w:vAlign w:val="bottom"/>
            <w:hideMark/>
          </w:tcPr>
          <w:p w14:paraId="69ACDD9E"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122</w:t>
            </w:r>
          </w:p>
        </w:tc>
        <w:tc>
          <w:tcPr>
            <w:tcW w:w="1677" w:type="dxa"/>
            <w:tcBorders>
              <w:top w:val="nil"/>
              <w:left w:val="nil"/>
              <w:bottom w:val="single" w:sz="4" w:space="0" w:color="auto"/>
              <w:right w:val="single" w:sz="4" w:space="0" w:color="auto"/>
            </w:tcBorders>
            <w:shd w:val="clear" w:color="auto" w:fill="auto"/>
            <w:noWrap/>
            <w:vAlign w:val="bottom"/>
            <w:hideMark/>
          </w:tcPr>
          <w:p w14:paraId="27BEEFEF" w14:textId="74E9AC60"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3.3</w:t>
            </w:r>
          </w:p>
        </w:tc>
      </w:tr>
      <w:tr w:rsidR="00F00A54" w:rsidRPr="009C2539" w14:paraId="6940CFE1" w14:textId="77777777" w:rsidTr="00956066">
        <w:trPr>
          <w:trHeight w:val="300"/>
        </w:trPr>
        <w:tc>
          <w:tcPr>
            <w:tcW w:w="1312" w:type="dxa"/>
            <w:vMerge/>
            <w:tcBorders>
              <w:top w:val="single" w:sz="12" w:space="0" w:color="FFFFFF"/>
              <w:left w:val="nil"/>
              <w:bottom w:val="single" w:sz="12" w:space="0" w:color="FFFFFF"/>
              <w:right w:val="single" w:sz="4" w:space="0" w:color="auto"/>
            </w:tcBorders>
            <w:vAlign w:val="center"/>
            <w:hideMark/>
          </w:tcPr>
          <w:p w14:paraId="2F3F0D85"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auto" w:fill="auto"/>
            <w:noWrap/>
            <w:vAlign w:val="center"/>
            <w:hideMark/>
          </w:tcPr>
          <w:p w14:paraId="20F67A90"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Psychiatric hospitals</w:t>
            </w:r>
          </w:p>
        </w:tc>
        <w:tc>
          <w:tcPr>
            <w:tcW w:w="1676" w:type="dxa"/>
            <w:tcBorders>
              <w:top w:val="nil"/>
              <w:left w:val="nil"/>
              <w:bottom w:val="single" w:sz="4" w:space="0" w:color="auto"/>
              <w:right w:val="single" w:sz="4" w:space="0" w:color="auto"/>
            </w:tcBorders>
            <w:shd w:val="clear" w:color="auto" w:fill="auto"/>
            <w:noWrap/>
            <w:vAlign w:val="bottom"/>
            <w:hideMark/>
          </w:tcPr>
          <w:p w14:paraId="2AC8B896"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2</w:t>
            </w:r>
          </w:p>
        </w:tc>
        <w:tc>
          <w:tcPr>
            <w:tcW w:w="1676" w:type="dxa"/>
            <w:tcBorders>
              <w:top w:val="nil"/>
              <w:left w:val="nil"/>
              <w:bottom w:val="single" w:sz="4" w:space="0" w:color="auto"/>
              <w:right w:val="single" w:sz="4" w:space="0" w:color="auto"/>
            </w:tcBorders>
            <w:shd w:val="clear" w:color="auto" w:fill="auto"/>
            <w:noWrap/>
            <w:vAlign w:val="bottom"/>
            <w:hideMark/>
          </w:tcPr>
          <w:p w14:paraId="715E16E6"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22</w:t>
            </w:r>
          </w:p>
        </w:tc>
        <w:tc>
          <w:tcPr>
            <w:tcW w:w="1677" w:type="dxa"/>
            <w:tcBorders>
              <w:top w:val="nil"/>
              <w:left w:val="nil"/>
              <w:bottom w:val="single" w:sz="4" w:space="0" w:color="auto"/>
              <w:right w:val="single" w:sz="4" w:space="0" w:color="auto"/>
            </w:tcBorders>
            <w:shd w:val="clear" w:color="auto" w:fill="auto"/>
            <w:noWrap/>
            <w:vAlign w:val="bottom"/>
            <w:hideMark/>
          </w:tcPr>
          <w:p w14:paraId="41A16F8A" w14:textId="70E3F98E"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9.1</w:t>
            </w:r>
          </w:p>
        </w:tc>
      </w:tr>
      <w:tr w:rsidR="00F00A54" w:rsidRPr="009C2539" w14:paraId="2FBCF3E8" w14:textId="77777777" w:rsidTr="00956066">
        <w:trPr>
          <w:trHeight w:val="315"/>
        </w:trPr>
        <w:tc>
          <w:tcPr>
            <w:tcW w:w="1312" w:type="dxa"/>
            <w:vMerge/>
            <w:tcBorders>
              <w:top w:val="single" w:sz="12" w:space="0" w:color="FFFFFF"/>
              <w:left w:val="nil"/>
              <w:bottom w:val="single" w:sz="12" w:space="0" w:color="FFFFFF"/>
              <w:right w:val="single" w:sz="4" w:space="0" w:color="auto"/>
            </w:tcBorders>
            <w:vAlign w:val="center"/>
            <w:hideMark/>
          </w:tcPr>
          <w:p w14:paraId="7673E744"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auto" w:fill="auto"/>
            <w:noWrap/>
            <w:vAlign w:val="center"/>
            <w:hideMark/>
          </w:tcPr>
          <w:p w14:paraId="577C178F" w14:textId="77777777" w:rsidR="00F00A54" w:rsidRPr="009C2539" w:rsidRDefault="00F00A54" w:rsidP="00956066">
            <w:pPr>
              <w:spacing w:after="0"/>
              <w:jc w:val="both"/>
              <w:rPr>
                <w:rFonts w:ascii="Arial" w:hAnsi="Arial" w:cs="Arial"/>
                <w:color w:val="000000"/>
                <w:sz w:val="16"/>
                <w:szCs w:val="16"/>
              </w:rPr>
            </w:pPr>
            <w:proofErr w:type="spellStart"/>
            <w:r w:rsidRPr="009C2539">
              <w:rPr>
                <w:rFonts w:ascii="Arial" w:hAnsi="Arial" w:cs="Arial"/>
                <w:color w:val="000000"/>
                <w:sz w:val="16"/>
                <w:szCs w:val="16"/>
              </w:rPr>
              <w:t>Unpeered</w:t>
            </w:r>
            <w:proofErr w:type="spellEnd"/>
            <w:r w:rsidRPr="009C2539">
              <w:rPr>
                <w:rFonts w:ascii="Arial" w:hAnsi="Arial" w:cs="Arial"/>
                <w:color w:val="000000"/>
                <w:sz w:val="16"/>
                <w:szCs w:val="16"/>
              </w:rPr>
              <w:t xml:space="preserve"> hospitals</w:t>
            </w:r>
          </w:p>
        </w:tc>
        <w:tc>
          <w:tcPr>
            <w:tcW w:w="1676" w:type="dxa"/>
            <w:tcBorders>
              <w:top w:val="nil"/>
              <w:left w:val="nil"/>
              <w:bottom w:val="single" w:sz="4" w:space="0" w:color="auto"/>
              <w:right w:val="single" w:sz="4" w:space="0" w:color="auto"/>
            </w:tcBorders>
            <w:shd w:val="clear" w:color="auto" w:fill="auto"/>
            <w:noWrap/>
            <w:vAlign w:val="bottom"/>
            <w:hideMark/>
          </w:tcPr>
          <w:p w14:paraId="4EA0AC87"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1</w:t>
            </w:r>
          </w:p>
        </w:tc>
        <w:tc>
          <w:tcPr>
            <w:tcW w:w="1676" w:type="dxa"/>
            <w:tcBorders>
              <w:top w:val="nil"/>
              <w:left w:val="nil"/>
              <w:bottom w:val="single" w:sz="4" w:space="0" w:color="auto"/>
              <w:right w:val="single" w:sz="4" w:space="0" w:color="auto"/>
            </w:tcBorders>
            <w:shd w:val="clear" w:color="auto" w:fill="auto"/>
            <w:noWrap/>
            <w:vAlign w:val="bottom"/>
            <w:hideMark/>
          </w:tcPr>
          <w:p w14:paraId="0507A03F"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10</w:t>
            </w:r>
          </w:p>
        </w:tc>
        <w:tc>
          <w:tcPr>
            <w:tcW w:w="1677" w:type="dxa"/>
            <w:tcBorders>
              <w:top w:val="nil"/>
              <w:left w:val="nil"/>
              <w:bottom w:val="single" w:sz="4" w:space="0" w:color="auto"/>
              <w:right w:val="single" w:sz="4" w:space="0" w:color="auto"/>
            </w:tcBorders>
            <w:shd w:val="clear" w:color="auto" w:fill="auto"/>
            <w:noWrap/>
            <w:vAlign w:val="bottom"/>
            <w:hideMark/>
          </w:tcPr>
          <w:p w14:paraId="109B4544" w14:textId="49F5AC68"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10.0</w:t>
            </w:r>
          </w:p>
        </w:tc>
      </w:tr>
      <w:tr w:rsidR="00F00A54" w:rsidRPr="009C2539" w14:paraId="3901971D" w14:textId="77777777" w:rsidTr="00956066">
        <w:trPr>
          <w:trHeight w:val="315"/>
        </w:trPr>
        <w:tc>
          <w:tcPr>
            <w:tcW w:w="1312" w:type="dxa"/>
            <w:vMerge w:val="restart"/>
            <w:tcBorders>
              <w:top w:val="nil"/>
              <w:left w:val="nil"/>
              <w:bottom w:val="single" w:sz="12" w:space="0" w:color="808080"/>
              <w:right w:val="single" w:sz="4" w:space="0" w:color="auto"/>
            </w:tcBorders>
            <w:shd w:val="clear" w:color="000000" w:fill="808080"/>
            <w:vAlign w:val="center"/>
            <w:hideMark/>
          </w:tcPr>
          <w:p w14:paraId="7EE5D994" w14:textId="77777777" w:rsidR="00F00A54" w:rsidRPr="009C2539" w:rsidRDefault="00F00A54" w:rsidP="00956066">
            <w:pPr>
              <w:spacing w:after="0"/>
              <w:rPr>
                <w:rFonts w:ascii="Arial" w:hAnsi="Arial" w:cs="Arial"/>
                <w:color w:val="FFFFFF"/>
                <w:sz w:val="18"/>
                <w:szCs w:val="18"/>
              </w:rPr>
            </w:pPr>
            <w:r w:rsidRPr="009C2539">
              <w:rPr>
                <w:rFonts w:ascii="Arial" w:hAnsi="Arial" w:cs="Arial"/>
                <w:color w:val="FFFFFF"/>
                <w:sz w:val="18"/>
                <w:szCs w:val="18"/>
              </w:rPr>
              <w:t>Private hospital peer group</w:t>
            </w:r>
            <w:r w:rsidR="0080398E" w:rsidRPr="0080398E">
              <w:rPr>
                <w:rFonts w:ascii="Arial" w:hAnsi="Arial" w:cs="Arial"/>
                <w:color w:val="FFFFFF"/>
                <w:sz w:val="18"/>
                <w:szCs w:val="18"/>
                <w:vertAlign w:val="superscript"/>
              </w:rPr>
              <w:t>§</w:t>
            </w:r>
          </w:p>
        </w:tc>
        <w:tc>
          <w:tcPr>
            <w:tcW w:w="3191" w:type="dxa"/>
            <w:tcBorders>
              <w:top w:val="nil"/>
              <w:left w:val="nil"/>
              <w:bottom w:val="single" w:sz="4" w:space="0" w:color="auto"/>
              <w:right w:val="single" w:sz="4" w:space="0" w:color="auto"/>
            </w:tcBorders>
            <w:shd w:val="clear" w:color="000000" w:fill="D9D9D9"/>
            <w:noWrap/>
            <w:vAlign w:val="center"/>
            <w:hideMark/>
          </w:tcPr>
          <w:p w14:paraId="52D8FBD9"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Private acute group A hospitals</w:t>
            </w:r>
          </w:p>
        </w:tc>
        <w:tc>
          <w:tcPr>
            <w:tcW w:w="1676" w:type="dxa"/>
            <w:tcBorders>
              <w:top w:val="nil"/>
              <w:left w:val="nil"/>
              <w:bottom w:val="single" w:sz="4" w:space="0" w:color="auto"/>
              <w:right w:val="single" w:sz="4" w:space="0" w:color="auto"/>
            </w:tcBorders>
            <w:shd w:val="clear" w:color="auto" w:fill="D9D9D9" w:themeFill="background1" w:themeFillShade="D9"/>
            <w:noWrap/>
            <w:vAlign w:val="bottom"/>
            <w:hideMark/>
          </w:tcPr>
          <w:p w14:paraId="6942A20D"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13</w:t>
            </w:r>
          </w:p>
        </w:tc>
        <w:tc>
          <w:tcPr>
            <w:tcW w:w="1676" w:type="dxa"/>
            <w:tcBorders>
              <w:top w:val="nil"/>
              <w:left w:val="nil"/>
              <w:bottom w:val="single" w:sz="4" w:space="0" w:color="auto"/>
              <w:right w:val="single" w:sz="4" w:space="0" w:color="auto"/>
            </w:tcBorders>
            <w:shd w:val="clear" w:color="000000" w:fill="D9D9D9"/>
            <w:noWrap/>
            <w:vAlign w:val="bottom"/>
            <w:hideMark/>
          </w:tcPr>
          <w:p w14:paraId="3C4FADFB"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22</w:t>
            </w:r>
          </w:p>
        </w:tc>
        <w:tc>
          <w:tcPr>
            <w:tcW w:w="1677" w:type="dxa"/>
            <w:tcBorders>
              <w:top w:val="nil"/>
              <w:left w:val="nil"/>
              <w:bottom w:val="single" w:sz="4" w:space="0" w:color="auto"/>
              <w:right w:val="single" w:sz="4" w:space="0" w:color="auto"/>
            </w:tcBorders>
            <w:shd w:val="clear" w:color="000000" w:fill="D9D9D9"/>
            <w:noWrap/>
            <w:vAlign w:val="bottom"/>
            <w:hideMark/>
          </w:tcPr>
          <w:p w14:paraId="57D2472E" w14:textId="7C5E552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59.1</w:t>
            </w:r>
          </w:p>
        </w:tc>
      </w:tr>
      <w:tr w:rsidR="00F00A54" w:rsidRPr="009C2539" w14:paraId="54A8E2F9" w14:textId="77777777" w:rsidTr="00956066">
        <w:trPr>
          <w:trHeight w:val="300"/>
        </w:trPr>
        <w:tc>
          <w:tcPr>
            <w:tcW w:w="1312" w:type="dxa"/>
            <w:vMerge/>
            <w:tcBorders>
              <w:top w:val="nil"/>
              <w:left w:val="nil"/>
              <w:bottom w:val="single" w:sz="12" w:space="0" w:color="808080"/>
              <w:right w:val="single" w:sz="4" w:space="0" w:color="auto"/>
            </w:tcBorders>
            <w:vAlign w:val="center"/>
            <w:hideMark/>
          </w:tcPr>
          <w:p w14:paraId="0D0F007D"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000000" w:fill="D9D9D9"/>
            <w:noWrap/>
            <w:vAlign w:val="center"/>
            <w:hideMark/>
          </w:tcPr>
          <w:p w14:paraId="139283CB"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Private acute group B hospitals</w:t>
            </w:r>
          </w:p>
        </w:tc>
        <w:tc>
          <w:tcPr>
            <w:tcW w:w="1676" w:type="dxa"/>
            <w:tcBorders>
              <w:top w:val="nil"/>
              <w:left w:val="nil"/>
              <w:bottom w:val="single" w:sz="4" w:space="0" w:color="auto"/>
              <w:right w:val="single" w:sz="4" w:space="0" w:color="auto"/>
            </w:tcBorders>
            <w:shd w:val="clear" w:color="auto" w:fill="D9D9D9" w:themeFill="background1" w:themeFillShade="D9"/>
            <w:noWrap/>
            <w:vAlign w:val="bottom"/>
            <w:hideMark/>
          </w:tcPr>
          <w:p w14:paraId="76D6C80D"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23</w:t>
            </w:r>
          </w:p>
        </w:tc>
        <w:tc>
          <w:tcPr>
            <w:tcW w:w="1676" w:type="dxa"/>
            <w:tcBorders>
              <w:top w:val="nil"/>
              <w:left w:val="nil"/>
              <w:bottom w:val="single" w:sz="4" w:space="0" w:color="auto"/>
              <w:right w:val="single" w:sz="4" w:space="0" w:color="auto"/>
            </w:tcBorders>
            <w:shd w:val="clear" w:color="000000" w:fill="D9D9D9"/>
            <w:noWrap/>
            <w:vAlign w:val="bottom"/>
            <w:hideMark/>
          </w:tcPr>
          <w:p w14:paraId="28C59B9A"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36</w:t>
            </w:r>
          </w:p>
        </w:tc>
        <w:tc>
          <w:tcPr>
            <w:tcW w:w="1677" w:type="dxa"/>
            <w:tcBorders>
              <w:top w:val="nil"/>
              <w:left w:val="nil"/>
              <w:bottom w:val="single" w:sz="4" w:space="0" w:color="auto"/>
              <w:right w:val="single" w:sz="4" w:space="0" w:color="auto"/>
            </w:tcBorders>
            <w:shd w:val="clear" w:color="000000" w:fill="D9D9D9"/>
            <w:noWrap/>
            <w:vAlign w:val="bottom"/>
            <w:hideMark/>
          </w:tcPr>
          <w:p w14:paraId="3FEF269B" w14:textId="5524B5C6"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63.9</w:t>
            </w:r>
          </w:p>
        </w:tc>
      </w:tr>
      <w:tr w:rsidR="00F00A54" w:rsidRPr="009C2539" w14:paraId="37B23FA8" w14:textId="77777777" w:rsidTr="00956066">
        <w:trPr>
          <w:trHeight w:val="300"/>
        </w:trPr>
        <w:tc>
          <w:tcPr>
            <w:tcW w:w="1312" w:type="dxa"/>
            <w:vMerge/>
            <w:tcBorders>
              <w:top w:val="nil"/>
              <w:left w:val="nil"/>
              <w:bottom w:val="single" w:sz="12" w:space="0" w:color="808080"/>
              <w:right w:val="single" w:sz="4" w:space="0" w:color="auto"/>
            </w:tcBorders>
            <w:vAlign w:val="center"/>
            <w:hideMark/>
          </w:tcPr>
          <w:p w14:paraId="6E183C0D"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000000" w:fill="D9D9D9"/>
            <w:noWrap/>
            <w:vAlign w:val="center"/>
            <w:hideMark/>
          </w:tcPr>
          <w:p w14:paraId="32C4B782"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Private acute group C hospitals</w:t>
            </w:r>
          </w:p>
        </w:tc>
        <w:tc>
          <w:tcPr>
            <w:tcW w:w="1676" w:type="dxa"/>
            <w:tcBorders>
              <w:top w:val="nil"/>
              <w:left w:val="nil"/>
              <w:bottom w:val="single" w:sz="4" w:space="0" w:color="auto"/>
              <w:right w:val="single" w:sz="4" w:space="0" w:color="auto"/>
            </w:tcBorders>
            <w:shd w:val="clear" w:color="auto" w:fill="D9D9D9" w:themeFill="background1" w:themeFillShade="D9"/>
            <w:noWrap/>
            <w:vAlign w:val="bottom"/>
            <w:hideMark/>
          </w:tcPr>
          <w:p w14:paraId="3FC0C893"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24</w:t>
            </w:r>
          </w:p>
        </w:tc>
        <w:tc>
          <w:tcPr>
            <w:tcW w:w="1676" w:type="dxa"/>
            <w:tcBorders>
              <w:top w:val="nil"/>
              <w:left w:val="nil"/>
              <w:bottom w:val="single" w:sz="4" w:space="0" w:color="auto"/>
              <w:right w:val="single" w:sz="4" w:space="0" w:color="auto"/>
            </w:tcBorders>
            <w:shd w:val="clear" w:color="000000" w:fill="D9D9D9"/>
            <w:noWrap/>
            <w:vAlign w:val="bottom"/>
            <w:hideMark/>
          </w:tcPr>
          <w:p w14:paraId="61DB7AC7"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49</w:t>
            </w:r>
          </w:p>
        </w:tc>
        <w:tc>
          <w:tcPr>
            <w:tcW w:w="1677" w:type="dxa"/>
            <w:tcBorders>
              <w:top w:val="nil"/>
              <w:left w:val="nil"/>
              <w:bottom w:val="single" w:sz="4" w:space="0" w:color="auto"/>
              <w:right w:val="single" w:sz="4" w:space="0" w:color="auto"/>
            </w:tcBorders>
            <w:shd w:val="clear" w:color="000000" w:fill="D9D9D9"/>
            <w:noWrap/>
            <w:vAlign w:val="bottom"/>
            <w:hideMark/>
          </w:tcPr>
          <w:p w14:paraId="3C021A28" w14:textId="541217B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49.0</w:t>
            </w:r>
          </w:p>
        </w:tc>
      </w:tr>
      <w:tr w:rsidR="00F00A54" w:rsidRPr="009C2539" w14:paraId="7DB38F53" w14:textId="77777777" w:rsidTr="00956066">
        <w:trPr>
          <w:trHeight w:val="300"/>
        </w:trPr>
        <w:tc>
          <w:tcPr>
            <w:tcW w:w="1312" w:type="dxa"/>
            <w:vMerge/>
            <w:tcBorders>
              <w:top w:val="nil"/>
              <w:left w:val="nil"/>
              <w:bottom w:val="single" w:sz="12" w:space="0" w:color="808080"/>
              <w:right w:val="single" w:sz="4" w:space="0" w:color="auto"/>
            </w:tcBorders>
            <w:vAlign w:val="center"/>
            <w:hideMark/>
          </w:tcPr>
          <w:p w14:paraId="4C40E2AD"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000000" w:fill="D9D9D9"/>
            <w:noWrap/>
            <w:vAlign w:val="center"/>
            <w:hideMark/>
          </w:tcPr>
          <w:p w14:paraId="7044EE19"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Private acute group D hospitals</w:t>
            </w:r>
          </w:p>
        </w:tc>
        <w:tc>
          <w:tcPr>
            <w:tcW w:w="1676" w:type="dxa"/>
            <w:tcBorders>
              <w:top w:val="nil"/>
              <w:left w:val="nil"/>
              <w:bottom w:val="single" w:sz="4" w:space="0" w:color="auto"/>
              <w:right w:val="single" w:sz="4" w:space="0" w:color="auto"/>
            </w:tcBorders>
            <w:shd w:val="clear" w:color="auto" w:fill="D9D9D9" w:themeFill="background1" w:themeFillShade="D9"/>
            <w:noWrap/>
            <w:vAlign w:val="bottom"/>
            <w:hideMark/>
          </w:tcPr>
          <w:p w14:paraId="1F6F1A76"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17</w:t>
            </w:r>
          </w:p>
        </w:tc>
        <w:tc>
          <w:tcPr>
            <w:tcW w:w="1676" w:type="dxa"/>
            <w:tcBorders>
              <w:top w:val="nil"/>
              <w:left w:val="nil"/>
              <w:bottom w:val="single" w:sz="4" w:space="0" w:color="auto"/>
              <w:right w:val="single" w:sz="4" w:space="0" w:color="auto"/>
            </w:tcBorders>
            <w:shd w:val="clear" w:color="000000" w:fill="D9D9D9"/>
            <w:noWrap/>
            <w:vAlign w:val="bottom"/>
            <w:hideMark/>
          </w:tcPr>
          <w:p w14:paraId="0456F192"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69</w:t>
            </w:r>
          </w:p>
        </w:tc>
        <w:tc>
          <w:tcPr>
            <w:tcW w:w="1677" w:type="dxa"/>
            <w:tcBorders>
              <w:top w:val="nil"/>
              <w:left w:val="nil"/>
              <w:bottom w:val="single" w:sz="4" w:space="0" w:color="auto"/>
              <w:right w:val="single" w:sz="4" w:space="0" w:color="auto"/>
            </w:tcBorders>
            <w:shd w:val="clear" w:color="000000" w:fill="D9D9D9"/>
            <w:noWrap/>
            <w:vAlign w:val="bottom"/>
            <w:hideMark/>
          </w:tcPr>
          <w:p w14:paraId="167E1335" w14:textId="12E41BFB"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24.6</w:t>
            </w:r>
          </w:p>
        </w:tc>
      </w:tr>
      <w:tr w:rsidR="00F00A54" w:rsidRPr="009C2539" w14:paraId="147CA3F1" w14:textId="77777777" w:rsidTr="00956066">
        <w:trPr>
          <w:trHeight w:val="300"/>
        </w:trPr>
        <w:tc>
          <w:tcPr>
            <w:tcW w:w="1312" w:type="dxa"/>
            <w:vMerge/>
            <w:tcBorders>
              <w:top w:val="nil"/>
              <w:left w:val="nil"/>
              <w:bottom w:val="single" w:sz="12" w:space="0" w:color="808080"/>
              <w:right w:val="single" w:sz="4" w:space="0" w:color="auto"/>
            </w:tcBorders>
            <w:vAlign w:val="center"/>
            <w:hideMark/>
          </w:tcPr>
          <w:p w14:paraId="6C8E5065"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000000" w:fill="D9D9D9"/>
            <w:noWrap/>
            <w:vAlign w:val="center"/>
            <w:hideMark/>
          </w:tcPr>
          <w:p w14:paraId="2AAF2C9A"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Other acute specialised hospitals</w:t>
            </w:r>
          </w:p>
        </w:tc>
        <w:tc>
          <w:tcPr>
            <w:tcW w:w="1676" w:type="dxa"/>
            <w:tcBorders>
              <w:top w:val="nil"/>
              <w:left w:val="nil"/>
              <w:bottom w:val="single" w:sz="4" w:space="0" w:color="auto"/>
              <w:right w:val="single" w:sz="4" w:space="0" w:color="auto"/>
            </w:tcBorders>
            <w:shd w:val="clear" w:color="000000" w:fill="D9D9D9"/>
            <w:noWrap/>
            <w:vAlign w:val="bottom"/>
            <w:hideMark/>
          </w:tcPr>
          <w:p w14:paraId="1D4ED7CE"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2</w:t>
            </w:r>
          </w:p>
        </w:tc>
        <w:tc>
          <w:tcPr>
            <w:tcW w:w="1676" w:type="dxa"/>
            <w:tcBorders>
              <w:top w:val="nil"/>
              <w:left w:val="nil"/>
              <w:bottom w:val="single" w:sz="4" w:space="0" w:color="auto"/>
              <w:right w:val="single" w:sz="4" w:space="0" w:color="auto"/>
            </w:tcBorders>
            <w:shd w:val="clear" w:color="000000" w:fill="D9D9D9"/>
            <w:noWrap/>
            <w:vAlign w:val="bottom"/>
            <w:hideMark/>
          </w:tcPr>
          <w:p w14:paraId="74B9B4BA"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15</w:t>
            </w:r>
          </w:p>
        </w:tc>
        <w:tc>
          <w:tcPr>
            <w:tcW w:w="1677" w:type="dxa"/>
            <w:tcBorders>
              <w:top w:val="nil"/>
              <w:left w:val="nil"/>
              <w:bottom w:val="single" w:sz="4" w:space="0" w:color="auto"/>
              <w:right w:val="single" w:sz="4" w:space="0" w:color="auto"/>
            </w:tcBorders>
            <w:shd w:val="clear" w:color="000000" w:fill="D9D9D9"/>
            <w:noWrap/>
            <w:vAlign w:val="bottom"/>
            <w:hideMark/>
          </w:tcPr>
          <w:p w14:paraId="13573AEF" w14:textId="685B554B"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13.3</w:t>
            </w:r>
          </w:p>
        </w:tc>
      </w:tr>
      <w:tr w:rsidR="00F00A54" w:rsidRPr="009C2539" w14:paraId="356AB5A9" w14:textId="77777777" w:rsidTr="00956066">
        <w:trPr>
          <w:trHeight w:val="300"/>
        </w:trPr>
        <w:tc>
          <w:tcPr>
            <w:tcW w:w="1312" w:type="dxa"/>
            <w:vMerge/>
            <w:tcBorders>
              <w:top w:val="nil"/>
              <w:left w:val="nil"/>
              <w:bottom w:val="single" w:sz="12" w:space="0" w:color="808080"/>
              <w:right w:val="single" w:sz="4" w:space="0" w:color="auto"/>
            </w:tcBorders>
            <w:vAlign w:val="center"/>
            <w:hideMark/>
          </w:tcPr>
          <w:p w14:paraId="0CAA021C"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000000" w:fill="D9D9D9"/>
            <w:noWrap/>
            <w:vAlign w:val="center"/>
            <w:hideMark/>
          </w:tcPr>
          <w:p w14:paraId="711FB06E"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Private rehabilitation hospitals</w:t>
            </w:r>
          </w:p>
        </w:tc>
        <w:tc>
          <w:tcPr>
            <w:tcW w:w="1676" w:type="dxa"/>
            <w:tcBorders>
              <w:top w:val="nil"/>
              <w:left w:val="nil"/>
              <w:bottom w:val="single" w:sz="4" w:space="0" w:color="auto"/>
              <w:right w:val="single" w:sz="4" w:space="0" w:color="auto"/>
            </w:tcBorders>
            <w:shd w:val="clear" w:color="000000" w:fill="D9D9D9"/>
            <w:noWrap/>
            <w:vAlign w:val="bottom"/>
            <w:hideMark/>
          </w:tcPr>
          <w:p w14:paraId="67C05801"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6</w:t>
            </w:r>
          </w:p>
        </w:tc>
        <w:tc>
          <w:tcPr>
            <w:tcW w:w="1676" w:type="dxa"/>
            <w:tcBorders>
              <w:top w:val="nil"/>
              <w:left w:val="nil"/>
              <w:bottom w:val="single" w:sz="4" w:space="0" w:color="auto"/>
              <w:right w:val="single" w:sz="4" w:space="0" w:color="auto"/>
            </w:tcBorders>
            <w:shd w:val="clear" w:color="000000" w:fill="D9D9D9"/>
            <w:noWrap/>
            <w:vAlign w:val="bottom"/>
            <w:hideMark/>
          </w:tcPr>
          <w:p w14:paraId="58FD1BDE"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23</w:t>
            </w:r>
          </w:p>
        </w:tc>
        <w:tc>
          <w:tcPr>
            <w:tcW w:w="1677" w:type="dxa"/>
            <w:tcBorders>
              <w:top w:val="nil"/>
              <w:left w:val="nil"/>
              <w:bottom w:val="single" w:sz="4" w:space="0" w:color="auto"/>
              <w:right w:val="single" w:sz="4" w:space="0" w:color="auto"/>
            </w:tcBorders>
            <w:shd w:val="clear" w:color="000000" w:fill="D9D9D9"/>
            <w:noWrap/>
            <w:vAlign w:val="bottom"/>
            <w:hideMark/>
          </w:tcPr>
          <w:p w14:paraId="0122F702" w14:textId="1DF8AEEC"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26.1</w:t>
            </w:r>
          </w:p>
        </w:tc>
      </w:tr>
      <w:tr w:rsidR="00F00A54" w:rsidRPr="009C2539" w14:paraId="2F7EBC5A" w14:textId="77777777" w:rsidTr="00956066">
        <w:trPr>
          <w:trHeight w:val="315"/>
        </w:trPr>
        <w:tc>
          <w:tcPr>
            <w:tcW w:w="1312" w:type="dxa"/>
            <w:vMerge/>
            <w:tcBorders>
              <w:top w:val="nil"/>
              <w:left w:val="nil"/>
              <w:bottom w:val="single" w:sz="12" w:space="0" w:color="808080"/>
              <w:right w:val="single" w:sz="4" w:space="0" w:color="auto"/>
            </w:tcBorders>
            <w:vAlign w:val="center"/>
            <w:hideMark/>
          </w:tcPr>
          <w:p w14:paraId="59C7D522" w14:textId="77777777" w:rsidR="00F00A54" w:rsidRPr="009C2539" w:rsidRDefault="00F00A54" w:rsidP="00956066">
            <w:pPr>
              <w:spacing w:after="0"/>
              <w:rPr>
                <w:rFonts w:ascii="Arial" w:hAnsi="Arial" w:cs="Arial"/>
                <w:color w:val="FFFFFF"/>
                <w:sz w:val="18"/>
                <w:szCs w:val="18"/>
              </w:rPr>
            </w:pPr>
          </w:p>
        </w:tc>
        <w:tc>
          <w:tcPr>
            <w:tcW w:w="3191" w:type="dxa"/>
            <w:tcBorders>
              <w:top w:val="nil"/>
              <w:left w:val="nil"/>
              <w:bottom w:val="single" w:sz="4" w:space="0" w:color="auto"/>
              <w:right w:val="single" w:sz="4" w:space="0" w:color="auto"/>
            </w:tcBorders>
            <w:shd w:val="clear" w:color="000000" w:fill="D9D9D9"/>
            <w:noWrap/>
            <w:vAlign w:val="center"/>
            <w:hideMark/>
          </w:tcPr>
          <w:p w14:paraId="62485C41" w14:textId="77777777" w:rsidR="00F00A54" w:rsidRPr="009C2539" w:rsidRDefault="00F00A54" w:rsidP="00956066">
            <w:pPr>
              <w:spacing w:after="0"/>
              <w:jc w:val="both"/>
              <w:rPr>
                <w:rFonts w:ascii="Arial" w:hAnsi="Arial" w:cs="Arial"/>
                <w:color w:val="000000"/>
                <w:sz w:val="16"/>
                <w:szCs w:val="16"/>
              </w:rPr>
            </w:pPr>
            <w:r w:rsidRPr="009C2539">
              <w:rPr>
                <w:rFonts w:ascii="Arial" w:hAnsi="Arial" w:cs="Arial"/>
                <w:color w:val="000000"/>
                <w:sz w:val="16"/>
                <w:szCs w:val="16"/>
              </w:rPr>
              <w:t>Private acute psychiatric hospitals</w:t>
            </w:r>
          </w:p>
        </w:tc>
        <w:tc>
          <w:tcPr>
            <w:tcW w:w="1676" w:type="dxa"/>
            <w:tcBorders>
              <w:top w:val="nil"/>
              <w:left w:val="nil"/>
              <w:bottom w:val="single" w:sz="4" w:space="0" w:color="auto"/>
              <w:right w:val="single" w:sz="4" w:space="0" w:color="auto"/>
            </w:tcBorders>
            <w:shd w:val="clear" w:color="000000" w:fill="D9D9D9"/>
            <w:noWrap/>
            <w:vAlign w:val="bottom"/>
            <w:hideMark/>
          </w:tcPr>
          <w:p w14:paraId="0D0820D4"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1</w:t>
            </w:r>
          </w:p>
        </w:tc>
        <w:tc>
          <w:tcPr>
            <w:tcW w:w="1676" w:type="dxa"/>
            <w:tcBorders>
              <w:top w:val="nil"/>
              <w:left w:val="nil"/>
              <w:bottom w:val="single" w:sz="4" w:space="0" w:color="auto"/>
              <w:right w:val="single" w:sz="4" w:space="0" w:color="auto"/>
            </w:tcBorders>
            <w:shd w:val="clear" w:color="000000" w:fill="D9D9D9"/>
            <w:noWrap/>
            <w:vAlign w:val="bottom"/>
            <w:hideMark/>
          </w:tcPr>
          <w:p w14:paraId="0BE0181F" w14:textId="77777777"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29</w:t>
            </w:r>
          </w:p>
        </w:tc>
        <w:tc>
          <w:tcPr>
            <w:tcW w:w="1677" w:type="dxa"/>
            <w:tcBorders>
              <w:top w:val="nil"/>
              <w:left w:val="nil"/>
              <w:bottom w:val="single" w:sz="4" w:space="0" w:color="auto"/>
              <w:right w:val="single" w:sz="4" w:space="0" w:color="auto"/>
            </w:tcBorders>
            <w:shd w:val="clear" w:color="000000" w:fill="D9D9D9"/>
            <w:noWrap/>
            <w:vAlign w:val="bottom"/>
            <w:hideMark/>
          </w:tcPr>
          <w:p w14:paraId="2F0A0C18" w14:textId="70E1B564" w:rsidR="00F00A54" w:rsidRPr="009C2539" w:rsidRDefault="00F00A54" w:rsidP="00956066">
            <w:pPr>
              <w:spacing w:after="0"/>
              <w:jc w:val="center"/>
              <w:rPr>
                <w:rFonts w:ascii="Arial" w:hAnsi="Arial" w:cs="Arial"/>
                <w:color w:val="000000"/>
                <w:sz w:val="16"/>
                <w:szCs w:val="16"/>
              </w:rPr>
            </w:pPr>
            <w:r w:rsidRPr="009C2539">
              <w:rPr>
                <w:rFonts w:ascii="Arial" w:hAnsi="Arial" w:cs="Arial"/>
                <w:color w:val="000000"/>
                <w:sz w:val="16"/>
                <w:szCs w:val="16"/>
              </w:rPr>
              <w:t>3.4</w:t>
            </w:r>
          </w:p>
        </w:tc>
      </w:tr>
    </w:tbl>
    <w:p w14:paraId="2C0C950C" w14:textId="32EE929F" w:rsidR="00F00A54" w:rsidRDefault="00F00A54" w:rsidP="00F00A54">
      <w:pPr>
        <w:pStyle w:val="FigureTitle"/>
      </w:pPr>
      <w:r w:rsidRPr="00340CA0">
        <w:t xml:space="preserve">Table </w:t>
      </w:r>
      <w:r w:rsidRPr="00340CA0">
        <w:rPr>
          <w:noProof/>
        </w:rPr>
        <w:t>2</w:t>
      </w:r>
      <w:r w:rsidR="00557374">
        <w:rPr>
          <w:noProof/>
        </w:rPr>
        <w:t xml:space="preserve">: </w:t>
      </w:r>
      <w:r w:rsidR="006A3DB9">
        <w:t>P</w:t>
      </w:r>
      <w:r>
        <w:t xml:space="preserve">ublic and private </w:t>
      </w:r>
      <w:r w:rsidRPr="00340CA0">
        <w:t xml:space="preserve">hospitals </w:t>
      </w:r>
      <w:r w:rsidR="006A3DB9" w:rsidRPr="006A3DB9">
        <w:t xml:space="preserve">that contributed to Hospital NAPS </w:t>
      </w:r>
      <w:r w:rsidRPr="00340CA0">
        <w:t>by peer group</w:t>
      </w:r>
      <w:r w:rsidR="00D43369">
        <w:t xml:space="preserve">, </w:t>
      </w:r>
      <w:r>
        <w:t>2017</w:t>
      </w:r>
      <w:r w:rsidRPr="00340CA0">
        <w:t xml:space="preserve"> </w:t>
      </w:r>
    </w:p>
    <w:p w14:paraId="79BECAB8" w14:textId="77777777" w:rsidR="00255E01" w:rsidRDefault="006A3DB9" w:rsidP="00255E01">
      <w:pPr>
        <w:pStyle w:val="Captions"/>
        <w:spacing w:before="0" w:after="0"/>
      </w:pPr>
      <w:r>
        <w:rPr>
          <w:vertAlign w:val="superscript"/>
        </w:rPr>
        <w:t>*</w:t>
      </w:r>
      <w:r w:rsidR="00255E01" w:rsidRPr="00F00A54">
        <w:t xml:space="preserve"> Excludes early parenting centres, drug and alcoho</w:t>
      </w:r>
      <w:r w:rsidR="00255E01">
        <w:t>l hospitals, same day hospitals and</w:t>
      </w:r>
      <w:r w:rsidR="00255E01" w:rsidRPr="00F00A54">
        <w:t xml:space="preserve"> outpatient hospitals</w:t>
      </w:r>
    </w:p>
    <w:p w14:paraId="2773DB1F" w14:textId="77777777" w:rsidR="0080398E" w:rsidRDefault="0080398E" w:rsidP="00255E01">
      <w:pPr>
        <w:pStyle w:val="Captions"/>
        <w:spacing w:before="0" w:after="0"/>
      </w:pPr>
      <w:r w:rsidRPr="0080398E">
        <w:t>†</w:t>
      </w:r>
      <w:r w:rsidR="00094828">
        <w:t xml:space="preserve"> </w:t>
      </w:r>
      <w:r w:rsidRPr="0080398E">
        <w:t>GEM - geriatric evaluation and management</w:t>
      </w:r>
    </w:p>
    <w:p w14:paraId="22AA0BDB" w14:textId="77777777" w:rsidR="00255E01" w:rsidRDefault="0080398E" w:rsidP="00255E01">
      <w:pPr>
        <w:pStyle w:val="Captions"/>
        <w:spacing w:before="0" w:after="0"/>
      </w:pPr>
      <w:r w:rsidRPr="0080398E">
        <w:rPr>
          <w:vertAlign w:val="superscript"/>
        </w:rPr>
        <w:t>§</w:t>
      </w:r>
      <w:r w:rsidR="00094828">
        <w:t xml:space="preserve"> </w:t>
      </w:r>
      <w:r w:rsidR="00255E01">
        <w:t>Excludes</w:t>
      </w:r>
      <w:r w:rsidR="00255E01" w:rsidRPr="00F00A54">
        <w:t xml:space="preserve"> ineligible private hospitals</w:t>
      </w:r>
    </w:p>
    <w:p w14:paraId="709590FF" w14:textId="77777777" w:rsidR="00255E01" w:rsidRDefault="00255E01" w:rsidP="00255E01">
      <w:pPr>
        <w:pStyle w:val="Captions"/>
        <w:spacing w:before="0" w:after="0"/>
        <w:sectPr w:rsidR="00255E01" w:rsidSect="00956066">
          <w:pgSz w:w="11906" w:h="16838" w:code="9"/>
          <w:pgMar w:top="1134" w:right="1134" w:bottom="1134" w:left="1134" w:header="709" w:footer="709" w:gutter="0"/>
          <w:cols w:space="708"/>
          <w:docGrid w:linePitch="360"/>
        </w:sectPr>
      </w:pPr>
    </w:p>
    <w:p w14:paraId="34E86892" w14:textId="17E58D13" w:rsidR="00900A0A" w:rsidRDefault="00900A0A" w:rsidP="007A459F">
      <w:pPr>
        <w:pStyle w:val="FigureTitle"/>
      </w:pPr>
      <w:r w:rsidRPr="00340CA0">
        <w:lastRenderedPageBreak/>
        <w:t xml:space="preserve">Figure </w:t>
      </w:r>
      <w:r w:rsidR="004332D1">
        <w:rPr>
          <w:noProof/>
        </w:rPr>
        <w:t>2</w:t>
      </w:r>
      <w:r w:rsidRPr="00340CA0">
        <w:rPr>
          <w:noProof/>
        </w:rPr>
        <w:t xml:space="preserve"> </w:t>
      </w:r>
      <w:r w:rsidRPr="00340CA0">
        <w:tab/>
        <w:t>P</w:t>
      </w:r>
      <w:r>
        <w:t>ublic hospital p</w:t>
      </w:r>
      <w:r w:rsidRPr="00340CA0">
        <w:t xml:space="preserve">articipation </w:t>
      </w:r>
      <w:r w:rsidR="0080398E">
        <w:t xml:space="preserve">in Hospital NAPS </w:t>
      </w:r>
      <w:r w:rsidRPr="00340CA0">
        <w:t>by remoteness</w:t>
      </w:r>
      <w:r>
        <w:t xml:space="preserve"> </w:t>
      </w:r>
      <w:r w:rsidR="0080398E">
        <w:t>area</w:t>
      </w:r>
      <w:r w:rsidRPr="00340CA0">
        <w:t>, 2013</w:t>
      </w:r>
      <w:r w:rsidR="0080398E" w:rsidRPr="0080398E">
        <w:t>–</w:t>
      </w:r>
      <w:r w:rsidRPr="00340CA0">
        <w:t>201</w:t>
      </w:r>
      <w:bookmarkEnd w:id="18"/>
      <w:bookmarkEnd w:id="19"/>
      <w:bookmarkEnd w:id="20"/>
      <w:r>
        <w:t>7</w:t>
      </w:r>
    </w:p>
    <w:p w14:paraId="53006C19" w14:textId="4A66AB6B" w:rsidR="00326612" w:rsidRDefault="00326612" w:rsidP="007A459F">
      <w:pPr>
        <w:pStyle w:val="FigureTitle"/>
      </w:pPr>
    </w:p>
    <w:p w14:paraId="523FEAB9" w14:textId="5FCB138B" w:rsidR="00326612" w:rsidRDefault="00C36529" w:rsidP="007A459F">
      <w:pPr>
        <w:pStyle w:val="FigureTitle"/>
      </w:pPr>
      <w:r>
        <w:rPr>
          <w:noProof/>
        </w:rPr>
        <w:drawing>
          <wp:anchor distT="0" distB="0" distL="114300" distR="114300" simplePos="0" relativeHeight="251662336" behindDoc="0" locked="0" layoutInCell="1" allowOverlap="1" wp14:anchorId="450FE380" wp14:editId="3048D45A">
            <wp:simplePos x="0" y="0"/>
            <wp:positionH relativeFrom="column">
              <wp:posOffset>9525</wp:posOffset>
            </wp:positionH>
            <wp:positionV relativeFrom="page">
              <wp:posOffset>1114425</wp:posOffset>
            </wp:positionV>
            <wp:extent cx="5939790" cy="3239770"/>
            <wp:effectExtent l="0" t="0" r="3810" b="0"/>
            <wp:wrapSquare wrapText="bothSides"/>
            <wp:docPr id="11" name="Chart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14897C1-7D9A-4515-9E7C-91C163E00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791CADC5" w14:textId="1944D05F" w:rsidR="00D92032" w:rsidRDefault="00D92032" w:rsidP="00D92032">
      <w:pPr>
        <w:pStyle w:val="Heading2"/>
      </w:pPr>
      <w:r>
        <w:t xml:space="preserve">Number of prescriptions </w:t>
      </w:r>
    </w:p>
    <w:p w14:paraId="5C43545A" w14:textId="3596E7C8" w:rsidR="006943ED" w:rsidRDefault="00487A57" w:rsidP="00900A0A">
      <w:r>
        <w:t>D</w:t>
      </w:r>
      <w:r w:rsidR="00516535">
        <w:t xml:space="preserve">ata from </w:t>
      </w:r>
      <w:r w:rsidR="00683211">
        <w:t>17,366</w:t>
      </w:r>
      <w:r w:rsidR="00516535">
        <w:t xml:space="preserve"> patients</w:t>
      </w:r>
      <w:r w:rsidR="00311235">
        <w:t xml:space="preserve"> were submitted as part of the 2017 Hospital NAPS,</w:t>
      </w:r>
      <w:r w:rsidR="00516535">
        <w:t xml:space="preserve"> </w:t>
      </w:r>
      <w:r w:rsidR="00311235">
        <w:t>generating a total of 26,277 prescriptions for analysis.</w:t>
      </w:r>
      <w:r w:rsidR="00E35268">
        <w:t xml:space="preserve"> </w:t>
      </w:r>
      <w:r w:rsidR="006943ED">
        <w:t xml:space="preserve">In comparison, 25,661 prescriptions were entered into the database in 2016, which represented the antimicrobial prescribing for 17,040 patients. </w:t>
      </w:r>
    </w:p>
    <w:p w14:paraId="1E07EF38" w14:textId="127C6677" w:rsidR="00900A0A" w:rsidRPr="00340CA0" w:rsidRDefault="00E35268" w:rsidP="00900A0A">
      <w:pPr>
        <w:rPr>
          <w:b/>
          <w:bCs/>
          <w:szCs w:val="21"/>
        </w:rPr>
      </w:pPr>
      <w:r>
        <w:t>Most of the</w:t>
      </w:r>
      <w:r w:rsidR="00B55D2A">
        <w:t xml:space="preserve"> 2017</w:t>
      </w:r>
      <w:r>
        <w:t xml:space="preserve"> </w:t>
      </w:r>
      <w:r w:rsidR="00B55D2A">
        <w:t xml:space="preserve">Hospital NAPS </w:t>
      </w:r>
      <w:r w:rsidR="00C35FDE">
        <w:t>data</w:t>
      </w:r>
      <w:r>
        <w:t xml:space="preserve"> </w:t>
      </w:r>
      <w:r w:rsidR="000F28CD">
        <w:t>were</w:t>
      </w:r>
      <w:r>
        <w:t xml:space="preserve"> submitted from hospitals located in major cities or inner regional areas</w:t>
      </w:r>
      <w:r w:rsidR="004332D1">
        <w:t xml:space="preserve"> (80.9%)</w:t>
      </w:r>
      <w:r>
        <w:t>. Principal referral and public acute group A hospitals account</w:t>
      </w:r>
      <w:r w:rsidR="00B55D2A">
        <w:t>ed</w:t>
      </w:r>
      <w:r>
        <w:t xml:space="preserve"> for </w:t>
      </w:r>
      <w:r w:rsidR="0007248C">
        <w:t>approximately</w:t>
      </w:r>
      <w:r>
        <w:t xml:space="preserve"> one-quarter of the facilities that chose to participate, but </w:t>
      </w:r>
      <w:r w:rsidR="0007248C">
        <w:t xml:space="preserve">together they </w:t>
      </w:r>
      <w:r>
        <w:t>contribute</w:t>
      </w:r>
      <w:r w:rsidR="0007248C">
        <w:t xml:space="preserve">d just over half (53.1%) of the prescriptions submitted. </w:t>
      </w:r>
      <w:r w:rsidR="007205C3">
        <w:t>N</w:t>
      </w:r>
      <w:r w:rsidR="00530694">
        <w:t xml:space="preserve">early 1 in 5 prescriptions entered into the NAPS database </w:t>
      </w:r>
      <w:r w:rsidR="00B55D2A">
        <w:t>w</w:t>
      </w:r>
      <w:r w:rsidR="000F28CD">
        <w:t>ere</w:t>
      </w:r>
      <w:r w:rsidR="00530694">
        <w:t xml:space="preserve"> contributed by a private hospital. </w:t>
      </w:r>
      <w:r w:rsidR="00900A0A" w:rsidRPr="00340CA0">
        <w:t>The full breakdown of the percentage of participating hospitals and numbers of prescriptions according to hospital groupings and key performance indicators are outlin</w:t>
      </w:r>
      <w:r w:rsidR="00900A0A">
        <w:t>ed</w:t>
      </w:r>
      <w:r w:rsidR="00900A0A" w:rsidRPr="00340CA0">
        <w:t xml:space="preserve"> in Tables </w:t>
      </w:r>
      <w:r w:rsidR="006554D0">
        <w:t>3 and 4</w:t>
      </w:r>
      <w:r w:rsidR="00900A0A" w:rsidRPr="00340CA0">
        <w:t>.</w:t>
      </w:r>
    </w:p>
    <w:p w14:paraId="3170E7C0" w14:textId="77777777" w:rsidR="00BF02CB" w:rsidRDefault="00BF02CB" w:rsidP="007A459F">
      <w:pPr>
        <w:pStyle w:val="FigureTitle"/>
        <w:sectPr w:rsidR="00BF02CB" w:rsidSect="00956066">
          <w:pgSz w:w="11906" w:h="16838" w:code="9"/>
          <w:pgMar w:top="1134" w:right="1134" w:bottom="1134" w:left="1134" w:header="709" w:footer="709" w:gutter="0"/>
          <w:cols w:space="708"/>
          <w:docGrid w:linePitch="360"/>
        </w:sectPr>
      </w:pPr>
      <w:bookmarkStart w:id="22" w:name="_Toc460597378"/>
    </w:p>
    <w:p w14:paraId="53777143" w14:textId="38A2815E" w:rsidR="00900A0A" w:rsidRDefault="006554D0" w:rsidP="00DA6E86">
      <w:pPr>
        <w:pStyle w:val="FigureTitle"/>
        <w:spacing w:after="0"/>
      </w:pPr>
      <w:r>
        <w:lastRenderedPageBreak/>
        <w:t>Table 3</w:t>
      </w:r>
      <w:r w:rsidR="00557374">
        <w:t xml:space="preserve">: </w:t>
      </w:r>
      <w:r w:rsidR="00900A0A" w:rsidRPr="00340CA0">
        <w:t>Results for key indicators</w:t>
      </w:r>
      <w:r w:rsidR="0080398E">
        <w:t xml:space="preserve"> for Hospital NAPS contributors</w:t>
      </w:r>
      <w:r w:rsidR="00900A0A" w:rsidRPr="00340CA0">
        <w:t xml:space="preserve">, by state </w:t>
      </w:r>
      <w:r w:rsidR="0080398E">
        <w:t xml:space="preserve">and </w:t>
      </w:r>
      <w:r w:rsidR="00900A0A" w:rsidRPr="00340CA0">
        <w:t>territory, remoteness</w:t>
      </w:r>
      <w:r w:rsidR="0080398E">
        <w:t xml:space="preserve"> area and AIHW </w:t>
      </w:r>
      <w:r w:rsidR="00900A0A" w:rsidRPr="00340CA0">
        <w:t>peer group</w:t>
      </w:r>
      <w:bookmarkEnd w:id="22"/>
      <w:r w:rsidR="00900A0A">
        <w:t>, 2017</w:t>
      </w:r>
      <w:r w:rsidR="00900A0A" w:rsidRPr="00340CA0">
        <w:t xml:space="preserve"> </w:t>
      </w:r>
    </w:p>
    <w:p w14:paraId="69537FF2" w14:textId="77777777" w:rsidR="00C36529" w:rsidRDefault="00C36529" w:rsidP="00DA6E86">
      <w:pPr>
        <w:pStyle w:val="FigureTitle"/>
        <w:spacing w:after="0"/>
      </w:pPr>
    </w:p>
    <w:tbl>
      <w:tblPr>
        <w:tblW w:w="14850" w:type="dxa"/>
        <w:tblLook w:val="04A0" w:firstRow="1" w:lastRow="0" w:firstColumn="1" w:lastColumn="0" w:noHBand="0" w:noVBand="1"/>
      </w:tblPr>
      <w:tblGrid>
        <w:gridCol w:w="1384"/>
        <w:gridCol w:w="3091"/>
        <w:gridCol w:w="1367"/>
        <w:gridCol w:w="40"/>
        <w:gridCol w:w="1407"/>
        <w:gridCol w:w="1237"/>
        <w:gridCol w:w="1237"/>
        <w:gridCol w:w="1827"/>
        <w:gridCol w:w="1618"/>
        <w:gridCol w:w="1642"/>
      </w:tblGrid>
      <w:tr w:rsidR="00062E45" w:rsidRPr="00BF02CB" w14:paraId="7650D4C8" w14:textId="77777777" w:rsidTr="00603A69">
        <w:trPr>
          <w:trHeight w:val="283"/>
        </w:trPr>
        <w:tc>
          <w:tcPr>
            <w:tcW w:w="4475" w:type="dxa"/>
            <w:gridSpan w:val="2"/>
            <w:vMerge w:val="restart"/>
            <w:tcBorders>
              <w:top w:val="nil"/>
              <w:left w:val="nil"/>
              <w:bottom w:val="nil"/>
              <w:right w:val="nil"/>
            </w:tcBorders>
            <w:shd w:val="clear" w:color="000000" w:fill="808080"/>
            <w:vAlign w:val="center"/>
            <w:hideMark/>
          </w:tcPr>
          <w:p w14:paraId="2841003E" w14:textId="77777777" w:rsidR="00062E45" w:rsidRPr="00BF02CB" w:rsidRDefault="00062E45" w:rsidP="00561D6E">
            <w:pPr>
              <w:spacing w:after="0"/>
              <w:jc w:val="both"/>
              <w:rPr>
                <w:rFonts w:ascii="Arial" w:hAnsi="Arial" w:cs="Arial"/>
                <w:b/>
                <w:bCs/>
                <w:color w:val="FFFFFF"/>
                <w:sz w:val="20"/>
                <w:szCs w:val="20"/>
              </w:rPr>
            </w:pPr>
            <w:r w:rsidRPr="00BF02CB">
              <w:rPr>
                <w:rFonts w:ascii="Arial" w:hAnsi="Arial" w:cs="Arial"/>
                <w:b/>
                <w:bCs/>
                <w:color w:val="FFFFFF"/>
                <w:sz w:val="20"/>
                <w:szCs w:val="20"/>
              </w:rPr>
              <w:t>Key Indicators</w:t>
            </w:r>
          </w:p>
        </w:tc>
        <w:tc>
          <w:tcPr>
            <w:tcW w:w="1407" w:type="dxa"/>
            <w:gridSpan w:val="2"/>
            <w:vMerge w:val="restart"/>
            <w:tcBorders>
              <w:top w:val="nil"/>
              <w:left w:val="nil"/>
              <w:right w:val="nil"/>
            </w:tcBorders>
            <w:shd w:val="clear" w:color="000000" w:fill="808080"/>
            <w:vAlign w:val="center"/>
            <w:hideMark/>
          </w:tcPr>
          <w:p w14:paraId="1E0CEBD6" w14:textId="13D078F3" w:rsidR="00062E45" w:rsidRPr="001E4DD9" w:rsidRDefault="00062E45" w:rsidP="00062E45">
            <w:pPr>
              <w:spacing w:after="0"/>
              <w:jc w:val="center"/>
              <w:rPr>
                <w:rFonts w:ascii="Arial" w:hAnsi="Arial" w:cs="Arial"/>
                <w:color w:val="FFFFFF"/>
                <w:sz w:val="18"/>
                <w:szCs w:val="18"/>
              </w:rPr>
            </w:pPr>
            <w:r w:rsidRPr="001E4DD9">
              <w:rPr>
                <w:rFonts w:ascii="Arial" w:hAnsi="Arial" w:cs="Arial"/>
                <w:color w:val="FFFFFF"/>
                <w:sz w:val="18"/>
                <w:szCs w:val="18"/>
              </w:rPr>
              <w:t>Number of hospitals (</w:t>
            </w:r>
            <w:r>
              <w:rPr>
                <w:rFonts w:ascii="Arial" w:hAnsi="Arial" w:cs="Arial"/>
                <w:color w:val="FFFFFF"/>
                <w:sz w:val="18"/>
                <w:szCs w:val="18"/>
              </w:rPr>
              <w:t>n</w:t>
            </w:r>
            <w:r w:rsidRPr="001E4DD9">
              <w:rPr>
                <w:rFonts w:ascii="Arial" w:hAnsi="Arial" w:cs="Arial"/>
                <w:color w:val="FFFFFF"/>
                <w:sz w:val="18"/>
                <w:szCs w:val="18"/>
              </w:rPr>
              <w:t>)</w:t>
            </w:r>
          </w:p>
        </w:tc>
        <w:tc>
          <w:tcPr>
            <w:tcW w:w="1407" w:type="dxa"/>
            <w:vMerge w:val="restart"/>
            <w:tcBorders>
              <w:top w:val="nil"/>
              <w:left w:val="nil"/>
              <w:right w:val="nil"/>
            </w:tcBorders>
            <w:shd w:val="clear" w:color="000000" w:fill="808080"/>
            <w:vAlign w:val="center"/>
          </w:tcPr>
          <w:p w14:paraId="60B30963" w14:textId="63020E56" w:rsidR="00062E45" w:rsidRPr="001E4DD9" w:rsidRDefault="00844E9A" w:rsidP="00844E9A">
            <w:pPr>
              <w:spacing w:after="0"/>
              <w:jc w:val="center"/>
              <w:rPr>
                <w:rFonts w:ascii="Arial" w:hAnsi="Arial" w:cs="Arial"/>
                <w:color w:val="FFFFFF"/>
                <w:sz w:val="18"/>
                <w:szCs w:val="18"/>
              </w:rPr>
            </w:pPr>
            <w:r>
              <w:rPr>
                <w:rFonts w:ascii="Arial" w:hAnsi="Arial" w:cs="Arial"/>
                <w:color w:val="FFFFFF"/>
                <w:sz w:val="18"/>
                <w:szCs w:val="18"/>
              </w:rPr>
              <w:t xml:space="preserve">% </w:t>
            </w:r>
            <w:r w:rsidR="006F48AC">
              <w:rPr>
                <w:rFonts w:ascii="Arial" w:hAnsi="Arial" w:cs="Arial"/>
                <w:color w:val="FFFFFF"/>
                <w:sz w:val="18"/>
                <w:szCs w:val="18"/>
              </w:rPr>
              <w:t>of sample</w:t>
            </w:r>
          </w:p>
        </w:tc>
        <w:tc>
          <w:tcPr>
            <w:tcW w:w="1237" w:type="dxa"/>
            <w:vMerge w:val="restart"/>
            <w:tcBorders>
              <w:top w:val="nil"/>
              <w:left w:val="nil"/>
              <w:bottom w:val="nil"/>
              <w:right w:val="nil"/>
            </w:tcBorders>
            <w:shd w:val="clear" w:color="000000" w:fill="808080"/>
            <w:vAlign w:val="center"/>
            <w:hideMark/>
          </w:tcPr>
          <w:p w14:paraId="26AEB292" w14:textId="440E4C53" w:rsidR="00062E45" w:rsidRPr="00BF02CB" w:rsidRDefault="00062E45" w:rsidP="00062E45">
            <w:pPr>
              <w:spacing w:after="0"/>
              <w:jc w:val="center"/>
              <w:rPr>
                <w:rFonts w:ascii="Arial" w:hAnsi="Arial" w:cs="Arial"/>
                <w:color w:val="FFFFFF"/>
                <w:sz w:val="18"/>
                <w:szCs w:val="18"/>
              </w:rPr>
            </w:pPr>
            <w:r w:rsidRPr="00BF02CB">
              <w:rPr>
                <w:rFonts w:ascii="Arial" w:hAnsi="Arial" w:cs="Arial"/>
                <w:color w:val="FFFFFF"/>
                <w:sz w:val="18"/>
                <w:szCs w:val="18"/>
              </w:rPr>
              <w:t>Number of prescriptions (</w:t>
            </w:r>
            <w:r>
              <w:rPr>
                <w:rFonts w:ascii="Arial" w:hAnsi="Arial" w:cs="Arial"/>
                <w:color w:val="FFFFFF"/>
                <w:sz w:val="18"/>
                <w:szCs w:val="18"/>
              </w:rPr>
              <w:t>n</w:t>
            </w:r>
            <w:r w:rsidRPr="00BF02CB">
              <w:rPr>
                <w:rFonts w:ascii="Arial" w:hAnsi="Arial" w:cs="Arial"/>
                <w:color w:val="FFFFFF"/>
                <w:sz w:val="18"/>
                <w:szCs w:val="18"/>
              </w:rPr>
              <w:t>)</w:t>
            </w:r>
          </w:p>
        </w:tc>
        <w:tc>
          <w:tcPr>
            <w:tcW w:w="1237" w:type="dxa"/>
            <w:vMerge w:val="restart"/>
            <w:tcBorders>
              <w:top w:val="nil"/>
              <w:left w:val="nil"/>
              <w:bottom w:val="nil"/>
              <w:right w:val="nil"/>
            </w:tcBorders>
            <w:shd w:val="clear" w:color="000000" w:fill="808080"/>
            <w:vAlign w:val="center"/>
          </w:tcPr>
          <w:p w14:paraId="4F7C0404" w14:textId="42296F0F" w:rsidR="00062E45" w:rsidRPr="00BF02CB" w:rsidRDefault="00844E9A" w:rsidP="00844E9A">
            <w:pPr>
              <w:spacing w:after="0"/>
              <w:jc w:val="center"/>
              <w:rPr>
                <w:rFonts w:ascii="Arial" w:hAnsi="Arial" w:cs="Arial"/>
                <w:color w:val="FFFFFF"/>
                <w:sz w:val="18"/>
                <w:szCs w:val="18"/>
              </w:rPr>
            </w:pPr>
            <w:r>
              <w:rPr>
                <w:rFonts w:ascii="Arial" w:hAnsi="Arial" w:cs="Arial"/>
                <w:color w:val="FFFFFF"/>
                <w:sz w:val="18"/>
                <w:szCs w:val="18"/>
              </w:rPr>
              <w:t xml:space="preserve">% </w:t>
            </w:r>
            <w:r w:rsidR="00062E45" w:rsidRPr="00BF02CB">
              <w:rPr>
                <w:rFonts w:ascii="Arial" w:hAnsi="Arial" w:cs="Arial"/>
                <w:color w:val="FFFFFF"/>
                <w:sz w:val="18"/>
                <w:szCs w:val="18"/>
              </w:rPr>
              <w:t xml:space="preserve">of prescriptions </w:t>
            </w:r>
          </w:p>
        </w:tc>
        <w:tc>
          <w:tcPr>
            <w:tcW w:w="1827" w:type="dxa"/>
            <w:vMerge w:val="restart"/>
            <w:tcBorders>
              <w:top w:val="nil"/>
              <w:left w:val="nil"/>
              <w:bottom w:val="nil"/>
              <w:right w:val="nil"/>
            </w:tcBorders>
            <w:shd w:val="clear" w:color="000000" w:fill="808080"/>
            <w:vAlign w:val="center"/>
            <w:hideMark/>
          </w:tcPr>
          <w:p w14:paraId="63B2DA41" w14:textId="231075C4" w:rsidR="00062E45" w:rsidRPr="00BF02CB" w:rsidRDefault="00062E45" w:rsidP="00561D6E">
            <w:pPr>
              <w:spacing w:after="0"/>
              <w:jc w:val="center"/>
              <w:rPr>
                <w:rFonts w:ascii="Arial" w:hAnsi="Arial" w:cs="Arial"/>
                <w:color w:val="FFFFFF"/>
                <w:sz w:val="18"/>
                <w:szCs w:val="18"/>
              </w:rPr>
            </w:pPr>
            <w:r w:rsidRPr="00BF02CB">
              <w:rPr>
                <w:rFonts w:ascii="Arial" w:hAnsi="Arial" w:cs="Arial"/>
                <w:color w:val="FFFFFF"/>
                <w:sz w:val="18"/>
                <w:szCs w:val="18"/>
              </w:rPr>
              <w:t>Indication documented</w:t>
            </w:r>
            <w:r>
              <w:rPr>
                <w:rFonts w:ascii="Arial" w:hAnsi="Arial" w:cs="Arial"/>
                <w:color w:val="FFFFFF"/>
                <w:sz w:val="18"/>
                <w:szCs w:val="18"/>
              </w:rPr>
              <w:t xml:space="preserve"> </w:t>
            </w:r>
            <w:r w:rsidRPr="00BF02CB">
              <w:rPr>
                <w:rFonts w:ascii="Arial" w:hAnsi="Arial" w:cs="Arial"/>
                <w:color w:val="FFFFFF"/>
                <w:sz w:val="18"/>
                <w:szCs w:val="18"/>
              </w:rPr>
              <w:t>(</w:t>
            </w:r>
            <w:r>
              <w:rPr>
                <w:rFonts w:ascii="Arial" w:hAnsi="Arial" w:cs="Arial"/>
                <w:color w:val="FFFFFF"/>
                <w:sz w:val="18"/>
                <w:szCs w:val="18"/>
              </w:rPr>
              <w:t>%</w:t>
            </w:r>
            <w:r w:rsidRPr="00BF02CB">
              <w:rPr>
                <w:rFonts w:ascii="Arial" w:hAnsi="Arial" w:cs="Arial"/>
                <w:color w:val="FFFFFF"/>
                <w:sz w:val="18"/>
                <w:szCs w:val="18"/>
              </w:rPr>
              <w:t xml:space="preserve">) </w:t>
            </w:r>
          </w:p>
        </w:tc>
        <w:tc>
          <w:tcPr>
            <w:tcW w:w="1618" w:type="dxa"/>
            <w:vMerge w:val="restart"/>
            <w:tcBorders>
              <w:top w:val="nil"/>
              <w:left w:val="nil"/>
              <w:bottom w:val="nil"/>
              <w:right w:val="nil"/>
            </w:tcBorders>
            <w:shd w:val="clear" w:color="000000" w:fill="808080"/>
            <w:vAlign w:val="center"/>
            <w:hideMark/>
          </w:tcPr>
          <w:p w14:paraId="5F6BD06B" w14:textId="34FA62C2" w:rsidR="00062E45" w:rsidRPr="00BF02CB" w:rsidRDefault="00062E45" w:rsidP="00561D6E">
            <w:pPr>
              <w:spacing w:after="0"/>
              <w:jc w:val="center"/>
              <w:rPr>
                <w:rFonts w:ascii="Arial" w:hAnsi="Arial" w:cs="Arial"/>
                <w:color w:val="FFFFFF"/>
                <w:sz w:val="18"/>
                <w:szCs w:val="18"/>
              </w:rPr>
            </w:pPr>
            <w:r w:rsidRPr="00BF02CB">
              <w:rPr>
                <w:rFonts w:ascii="Arial" w:hAnsi="Arial" w:cs="Arial"/>
                <w:color w:val="FFFFFF"/>
                <w:sz w:val="18"/>
                <w:szCs w:val="18"/>
              </w:rPr>
              <w:t xml:space="preserve">Review or stop date </w:t>
            </w:r>
            <w:r w:rsidRPr="00530694">
              <w:rPr>
                <w:rFonts w:ascii="Arial" w:hAnsi="Arial" w:cs="Arial"/>
                <w:color w:val="FFFFFF" w:themeColor="background1"/>
                <w:sz w:val="18"/>
                <w:szCs w:val="18"/>
              </w:rPr>
              <w:t>documented</w:t>
            </w:r>
            <w:r>
              <w:rPr>
                <w:rFonts w:ascii="Arial" w:hAnsi="Arial" w:cs="Arial"/>
                <w:color w:val="FFFFFF" w:themeColor="background1"/>
                <w:sz w:val="18"/>
                <w:szCs w:val="18"/>
              </w:rPr>
              <w:t xml:space="preserve"> </w:t>
            </w:r>
            <w:r w:rsidRPr="00BF02CB">
              <w:rPr>
                <w:rFonts w:ascii="Arial" w:hAnsi="Arial" w:cs="Arial"/>
                <w:color w:val="FFFFFF"/>
                <w:sz w:val="18"/>
                <w:szCs w:val="18"/>
              </w:rPr>
              <w:t>(</w:t>
            </w:r>
            <w:r>
              <w:rPr>
                <w:rFonts w:ascii="Arial" w:hAnsi="Arial" w:cs="Arial"/>
                <w:color w:val="FFFFFF"/>
                <w:sz w:val="18"/>
                <w:szCs w:val="18"/>
              </w:rPr>
              <w:t>%</w:t>
            </w:r>
            <w:r w:rsidRPr="00BF02CB">
              <w:rPr>
                <w:rFonts w:ascii="Arial" w:hAnsi="Arial" w:cs="Arial"/>
                <w:color w:val="FFFFFF"/>
                <w:sz w:val="18"/>
                <w:szCs w:val="18"/>
              </w:rPr>
              <w:t>)</w:t>
            </w:r>
            <w:r w:rsidRPr="00530694">
              <w:rPr>
                <w:rFonts w:ascii="Arial" w:hAnsi="Arial" w:cs="Arial"/>
                <w:color w:val="FFFFFF" w:themeColor="background1"/>
                <w:sz w:val="18"/>
                <w:szCs w:val="18"/>
              </w:rPr>
              <w:t xml:space="preserve"> </w:t>
            </w:r>
          </w:p>
        </w:tc>
        <w:tc>
          <w:tcPr>
            <w:tcW w:w="1642" w:type="dxa"/>
            <w:tcBorders>
              <w:top w:val="nil"/>
              <w:left w:val="nil"/>
              <w:bottom w:val="nil"/>
              <w:right w:val="nil"/>
            </w:tcBorders>
            <w:shd w:val="clear" w:color="000000" w:fill="808080"/>
            <w:vAlign w:val="center"/>
            <w:hideMark/>
          </w:tcPr>
          <w:p w14:paraId="46278CC9" w14:textId="77777777" w:rsidR="00062E45" w:rsidRPr="00BF02CB" w:rsidRDefault="00062E45" w:rsidP="00561D6E">
            <w:pPr>
              <w:spacing w:after="0"/>
              <w:jc w:val="center"/>
              <w:rPr>
                <w:rFonts w:ascii="Arial" w:hAnsi="Arial" w:cs="Arial"/>
                <w:color w:val="FFFFFF"/>
                <w:sz w:val="18"/>
                <w:szCs w:val="18"/>
              </w:rPr>
            </w:pPr>
            <w:r w:rsidRPr="00BF02CB">
              <w:rPr>
                <w:rFonts w:ascii="Arial" w:hAnsi="Arial" w:cs="Arial"/>
                <w:color w:val="FFFFFF"/>
                <w:sz w:val="18"/>
                <w:szCs w:val="18"/>
              </w:rPr>
              <w:t>Surgical prophylaxis</w:t>
            </w:r>
          </w:p>
        </w:tc>
      </w:tr>
      <w:tr w:rsidR="00062E45" w:rsidRPr="00BF02CB" w14:paraId="27981D70" w14:textId="77777777" w:rsidTr="00603A69">
        <w:trPr>
          <w:trHeight w:val="185"/>
        </w:trPr>
        <w:tc>
          <w:tcPr>
            <w:tcW w:w="4475" w:type="dxa"/>
            <w:gridSpan w:val="2"/>
            <w:vMerge/>
            <w:tcBorders>
              <w:top w:val="nil"/>
              <w:left w:val="nil"/>
              <w:bottom w:val="nil"/>
              <w:right w:val="nil"/>
            </w:tcBorders>
            <w:vAlign w:val="center"/>
            <w:hideMark/>
          </w:tcPr>
          <w:p w14:paraId="15FFEDBA" w14:textId="77777777" w:rsidR="00062E45" w:rsidRPr="00BF02CB" w:rsidRDefault="00062E45" w:rsidP="00561D6E">
            <w:pPr>
              <w:spacing w:after="0"/>
              <w:rPr>
                <w:rFonts w:ascii="Arial" w:hAnsi="Arial" w:cs="Arial"/>
                <w:b/>
                <w:bCs/>
                <w:color w:val="FFFFFF"/>
                <w:sz w:val="20"/>
                <w:szCs w:val="20"/>
              </w:rPr>
            </w:pPr>
          </w:p>
        </w:tc>
        <w:tc>
          <w:tcPr>
            <w:tcW w:w="1407" w:type="dxa"/>
            <w:gridSpan w:val="2"/>
            <w:vMerge/>
            <w:tcBorders>
              <w:left w:val="nil"/>
              <w:bottom w:val="nil"/>
              <w:right w:val="nil"/>
            </w:tcBorders>
            <w:vAlign w:val="center"/>
            <w:hideMark/>
          </w:tcPr>
          <w:p w14:paraId="3A48D594" w14:textId="77777777" w:rsidR="00062E45" w:rsidRPr="00BF02CB" w:rsidRDefault="00062E45" w:rsidP="00561D6E">
            <w:pPr>
              <w:spacing w:after="0"/>
              <w:rPr>
                <w:rFonts w:ascii="Arial" w:hAnsi="Arial" w:cs="Arial"/>
                <w:color w:val="FFFFFF"/>
                <w:sz w:val="18"/>
                <w:szCs w:val="18"/>
              </w:rPr>
            </w:pPr>
          </w:p>
        </w:tc>
        <w:tc>
          <w:tcPr>
            <w:tcW w:w="1407" w:type="dxa"/>
            <w:vMerge/>
            <w:tcBorders>
              <w:left w:val="nil"/>
              <w:bottom w:val="nil"/>
              <w:right w:val="nil"/>
            </w:tcBorders>
            <w:vAlign w:val="center"/>
          </w:tcPr>
          <w:p w14:paraId="164FAFCC" w14:textId="5504F571" w:rsidR="00062E45" w:rsidRPr="00BF02CB" w:rsidRDefault="00062E45" w:rsidP="00561D6E">
            <w:pPr>
              <w:spacing w:after="0"/>
              <w:rPr>
                <w:rFonts w:ascii="Arial" w:hAnsi="Arial" w:cs="Arial"/>
                <w:color w:val="FFFFFF"/>
                <w:sz w:val="18"/>
                <w:szCs w:val="18"/>
              </w:rPr>
            </w:pPr>
          </w:p>
        </w:tc>
        <w:tc>
          <w:tcPr>
            <w:tcW w:w="1237" w:type="dxa"/>
            <w:vMerge/>
            <w:tcBorders>
              <w:top w:val="nil"/>
              <w:left w:val="nil"/>
              <w:bottom w:val="nil"/>
              <w:right w:val="nil"/>
            </w:tcBorders>
            <w:vAlign w:val="center"/>
            <w:hideMark/>
          </w:tcPr>
          <w:p w14:paraId="7754DFF8" w14:textId="77777777" w:rsidR="00062E45" w:rsidRPr="00BF02CB" w:rsidRDefault="00062E45" w:rsidP="00561D6E">
            <w:pPr>
              <w:spacing w:after="0"/>
              <w:rPr>
                <w:rFonts w:ascii="Arial" w:hAnsi="Arial" w:cs="Arial"/>
                <w:color w:val="FFFFFF"/>
                <w:sz w:val="18"/>
                <w:szCs w:val="18"/>
              </w:rPr>
            </w:pPr>
          </w:p>
        </w:tc>
        <w:tc>
          <w:tcPr>
            <w:tcW w:w="1237" w:type="dxa"/>
            <w:vMerge/>
            <w:tcBorders>
              <w:top w:val="nil"/>
              <w:left w:val="nil"/>
              <w:bottom w:val="nil"/>
              <w:right w:val="nil"/>
            </w:tcBorders>
            <w:vAlign w:val="center"/>
          </w:tcPr>
          <w:p w14:paraId="0A17D392" w14:textId="6B1748E8" w:rsidR="00062E45" w:rsidRPr="00BF02CB" w:rsidRDefault="00062E45" w:rsidP="00561D6E">
            <w:pPr>
              <w:spacing w:after="0"/>
              <w:rPr>
                <w:rFonts w:ascii="Arial" w:hAnsi="Arial" w:cs="Arial"/>
                <w:color w:val="FFFFFF"/>
                <w:sz w:val="18"/>
                <w:szCs w:val="18"/>
              </w:rPr>
            </w:pPr>
          </w:p>
        </w:tc>
        <w:tc>
          <w:tcPr>
            <w:tcW w:w="1827" w:type="dxa"/>
            <w:vMerge/>
            <w:tcBorders>
              <w:top w:val="nil"/>
              <w:left w:val="nil"/>
              <w:bottom w:val="nil"/>
              <w:right w:val="nil"/>
            </w:tcBorders>
            <w:vAlign w:val="center"/>
            <w:hideMark/>
          </w:tcPr>
          <w:p w14:paraId="4F1C2CD4" w14:textId="77777777" w:rsidR="00062E45" w:rsidRPr="00BF02CB" w:rsidRDefault="00062E45" w:rsidP="00561D6E">
            <w:pPr>
              <w:spacing w:after="0"/>
              <w:rPr>
                <w:rFonts w:ascii="Arial" w:hAnsi="Arial" w:cs="Arial"/>
                <w:color w:val="FFFFFF"/>
                <w:sz w:val="18"/>
                <w:szCs w:val="18"/>
              </w:rPr>
            </w:pPr>
          </w:p>
        </w:tc>
        <w:tc>
          <w:tcPr>
            <w:tcW w:w="1618" w:type="dxa"/>
            <w:vMerge/>
            <w:tcBorders>
              <w:top w:val="nil"/>
              <w:left w:val="nil"/>
              <w:bottom w:val="nil"/>
              <w:right w:val="nil"/>
            </w:tcBorders>
            <w:vAlign w:val="center"/>
            <w:hideMark/>
          </w:tcPr>
          <w:p w14:paraId="06F0A1FA" w14:textId="77777777" w:rsidR="00062E45" w:rsidRPr="00BF02CB" w:rsidRDefault="00062E45" w:rsidP="00561D6E">
            <w:pPr>
              <w:spacing w:after="0"/>
              <w:rPr>
                <w:rFonts w:ascii="Arial" w:hAnsi="Arial" w:cs="Arial"/>
                <w:color w:val="FFFFFF"/>
                <w:sz w:val="18"/>
                <w:szCs w:val="18"/>
              </w:rPr>
            </w:pPr>
          </w:p>
        </w:tc>
        <w:tc>
          <w:tcPr>
            <w:tcW w:w="1642" w:type="dxa"/>
            <w:tcBorders>
              <w:top w:val="nil"/>
              <w:left w:val="nil"/>
              <w:bottom w:val="nil"/>
              <w:right w:val="nil"/>
            </w:tcBorders>
            <w:shd w:val="clear" w:color="000000" w:fill="808080"/>
            <w:vAlign w:val="center"/>
            <w:hideMark/>
          </w:tcPr>
          <w:p w14:paraId="5882A8F1" w14:textId="424FAE7A" w:rsidR="00062E45" w:rsidRPr="00BF02CB" w:rsidRDefault="00062E45" w:rsidP="0080398E">
            <w:pPr>
              <w:spacing w:after="0"/>
              <w:jc w:val="center"/>
              <w:rPr>
                <w:rFonts w:ascii="Arial" w:hAnsi="Arial" w:cs="Arial"/>
                <w:color w:val="FFFFFF"/>
                <w:sz w:val="18"/>
                <w:szCs w:val="18"/>
              </w:rPr>
            </w:pPr>
            <w:r w:rsidRPr="00BF02CB">
              <w:rPr>
                <w:rFonts w:ascii="Arial" w:hAnsi="Arial" w:cs="Arial"/>
                <w:color w:val="FFFFFF"/>
                <w:sz w:val="18"/>
                <w:szCs w:val="18"/>
              </w:rPr>
              <w:t>&gt;24hrs</w:t>
            </w:r>
            <w:r>
              <w:rPr>
                <w:rFonts w:ascii="Arial" w:hAnsi="Arial" w:cs="Arial"/>
                <w:color w:val="FFFFFF"/>
                <w:sz w:val="18"/>
                <w:szCs w:val="18"/>
                <w:vertAlign w:val="superscript"/>
              </w:rPr>
              <w:t xml:space="preserve">* </w:t>
            </w:r>
            <w:r w:rsidRPr="00BF02CB">
              <w:rPr>
                <w:rFonts w:ascii="Arial" w:hAnsi="Arial" w:cs="Arial"/>
                <w:color w:val="FFFFFF"/>
                <w:sz w:val="18"/>
                <w:szCs w:val="18"/>
              </w:rPr>
              <w:t>(</w:t>
            </w:r>
            <w:r>
              <w:rPr>
                <w:rFonts w:ascii="Arial" w:hAnsi="Arial" w:cs="Arial"/>
                <w:color w:val="FFFFFF"/>
                <w:sz w:val="18"/>
                <w:szCs w:val="18"/>
              </w:rPr>
              <w:t>%</w:t>
            </w:r>
            <w:r w:rsidRPr="00BF02CB">
              <w:rPr>
                <w:rFonts w:ascii="Arial" w:hAnsi="Arial" w:cs="Arial"/>
                <w:color w:val="FFFFFF"/>
                <w:sz w:val="18"/>
                <w:szCs w:val="18"/>
              </w:rPr>
              <w:t>)</w:t>
            </w:r>
          </w:p>
        </w:tc>
      </w:tr>
      <w:tr w:rsidR="00561D6E" w:rsidRPr="00BF02CB" w14:paraId="6ED639AE" w14:textId="77777777" w:rsidTr="00C36529">
        <w:trPr>
          <w:trHeight w:val="77"/>
        </w:trPr>
        <w:tc>
          <w:tcPr>
            <w:tcW w:w="1384" w:type="dxa"/>
            <w:vMerge w:val="restart"/>
            <w:tcBorders>
              <w:top w:val="single" w:sz="12" w:space="0" w:color="FFFFFF"/>
              <w:left w:val="nil"/>
              <w:bottom w:val="single" w:sz="12" w:space="0" w:color="FFFFFF"/>
              <w:right w:val="nil"/>
            </w:tcBorders>
            <w:shd w:val="clear" w:color="000000" w:fill="808080"/>
            <w:vAlign w:val="center"/>
            <w:hideMark/>
          </w:tcPr>
          <w:p w14:paraId="11AE1D25" w14:textId="77777777" w:rsidR="00561D6E" w:rsidRPr="00BF02CB" w:rsidRDefault="00561D6E" w:rsidP="00561D6E">
            <w:pPr>
              <w:spacing w:after="0"/>
              <w:rPr>
                <w:rFonts w:ascii="Arial" w:hAnsi="Arial" w:cs="Arial"/>
                <w:color w:val="FFFFFF"/>
                <w:sz w:val="18"/>
                <w:szCs w:val="18"/>
              </w:rPr>
            </w:pPr>
            <w:r w:rsidRPr="00BF02CB">
              <w:rPr>
                <w:rFonts w:ascii="Arial" w:hAnsi="Arial" w:cs="Arial"/>
                <w:color w:val="FFFFFF"/>
                <w:sz w:val="18"/>
                <w:szCs w:val="18"/>
              </w:rPr>
              <w:t>State or territory</w:t>
            </w:r>
          </w:p>
        </w:tc>
        <w:tc>
          <w:tcPr>
            <w:tcW w:w="3091" w:type="dxa"/>
            <w:tcBorders>
              <w:top w:val="single" w:sz="4" w:space="0" w:color="auto"/>
              <w:left w:val="single" w:sz="4" w:space="0" w:color="auto"/>
              <w:bottom w:val="single" w:sz="4" w:space="0" w:color="auto"/>
              <w:right w:val="nil"/>
            </w:tcBorders>
            <w:shd w:val="clear" w:color="auto" w:fill="auto"/>
            <w:vAlign w:val="center"/>
            <w:hideMark/>
          </w:tcPr>
          <w:p w14:paraId="5FA0C48B" w14:textId="77777777" w:rsidR="00561D6E" w:rsidRPr="00BF02CB" w:rsidRDefault="00561D6E" w:rsidP="00561D6E">
            <w:pPr>
              <w:spacing w:after="0"/>
              <w:rPr>
                <w:rFonts w:ascii="Arial" w:hAnsi="Arial" w:cs="Arial"/>
                <w:sz w:val="16"/>
                <w:szCs w:val="16"/>
              </w:rPr>
            </w:pPr>
            <w:r w:rsidRPr="00BF02CB">
              <w:rPr>
                <w:rFonts w:ascii="Arial" w:hAnsi="Arial" w:cs="Arial"/>
                <w:sz w:val="16"/>
                <w:szCs w:val="16"/>
              </w:rPr>
              <w:t>NSW &amp; ACT</w:t>
            </w:r>
          </w:p>
        </w:tc>
        <w:tc>
          <w:tcPr>
            <w:tcW w:w="1367" w:type="dxa"/>
            <w:tcBorders>
              <w:top w:val="single" w:sz="4" w:space="0" w:color="auto"/>
              <w:left w:val="nil"/>
              <w:bottom w:val="single" w:sz="4" w:space="0" w:color="auto"/>
              <w:right w:val="nil"/>
            </w:tcBorders>
            <w:shd w:val="clear" w:color="auto" w:fill="auto"/>
            <w:vAlign w:val="center"/>
            <w:hideMark/>
          </w:tcPr>
          <w:p w14:paraId="35A0F9DD"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116</w:t>
            </w:r>
          </w:p>
        </w:tc>
        <w:tc>
          <w:tcPr>
            <w:tcW w:w="1447" w:type="dxa"/>
            <w:gridSpan w:val="2"/>
            <w:tcBorders>
              <w:top w:val="single" w:sz="4" w:space="0" w:color="auto"/>
              <w:left w:val="nil"/>
              <w:bottom w:val="single" w:sz="4" w:space="0" w:color="auto"/>
              <w:right w:val="nil"/>
            </w:tcBorders>
            <w:shd w:val="clear" w:color="auto" w:fill="auto"/>
            <w:vAlign w:val="center"/>
            <w:hideMark/>
          </w:tcPr>
          <w:p w14:paraId="7B9E664D" w14:textId="2F3EA919" w:rsidR="00561D6E" w:rsidRPr="00BF02CB" w:rsidRDefault="00561D6E" w:rsidP="0003613D">
            <w:pPr>
              <w:spacing w:after="0"/>
              <w:jc w:val="center"/>
              <w:rPr>
                <w:rFonts w:ascii="Arial" w:hAnsi="Arial" w:cs="Arial"/>
                <w:sz w:val="16"/>
                <w:szCs w:val="16"/>
              </w:rPr>
            </w:pPr>
            <w:r w:rsidRPr="00BF02CB">
              <w:rPr>
                <w:rFonts w:ascii="Arial" w:hAnsi="Arial" w:cs="Arial"/>
                <w:sz w:val="16"/>
                <w:szCs w:val="16"/>
              </w:rPr>
              <w:t>35.8</w:t>
            </w:r>
          </w:p>
        </w:tc>
        <w:tc>
          <w:tcPr>
            <w:tcW w:w="1237" w:type="dxa"/>
            <w:tcBorders>
              <w:top w:val="single" w:sz="4" w:space="0" w:color="auto"/>
              <w:left w:val="nil"/>
              <w:bottom w:val="single" w:sz="4" w:space="0" w:color="auto"/>
              <w:right w:val="nil"/>
            </w:tcBorders>
            <w:shd w:val="clear" w:color="auto" w:fill="auto"/>
            <w:vAlign w:val="center"/>
            <w:hideMark/>
          </w:tcPr>
          <w:p w14:paraId="06C7A212"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10,</w:t>
            </w:r>
            <w:r w:rsidRPr="00BF02CB">
              <w:rPr>
                <w:rFonts w:ascii="Arial" w:hAnsi="Arial" w:cs="Arial"/>
                <w:sz w:val="16"/>
                <w:szCs w:val="16"/>
              </w:rPr>
              <w:t>256</w:t>
            </w:r>
          </w:p>
        </w:tc>
        <w:tc>
          <w:tcPr>
            <w:tcW w:w="1237" w:type="dxa"/>
            <w:tcBorders>
              <w:top w:val="single" w:sz="4" w:space="0" w:color="auto"/>
              <w:left w:val="nil"/>
              <w:bottom w:val="single" w:sz="4" w:space="0" w:color="auto"/>
              <w:right w:val="nil"/>
            </w:tcBorders>
            <w:shd w:val="clear" w:color="auto" w:fill="auto"/>
            <w:noWrap/>
            <w:vAlign w:val="center"/>
            <w:hideMark/>
          </w:tcPr>
          <w:p w14:paraId="33A13706" w14:textId="132576A1" w:rsidR="00561D6E" w:rsidRPr="00BF02CB" w:rsidRDefault="0003613D" w:rsidP="00561D6E">
            <w:pPr>
              <w:spacing w:after="0"/>
              <w:jc w:val="center"/>
              <w:rPr>
                <w:rFonts w:ascii="Arial" w:hAnsi="Arial" w:cs="Arial"/>
                <w:sz w:val="16"/>
                <w:szCs w:val="16"/>
              </w:rPr>
            </w:pPr>
            <w:r>
              <w:rPr>
                <w:rFonts w:ascii="Arial" w:hAnsi="Arial" w:cs="Arial"/>
                <w:sz w:val="16"/>
                <w:szCs w:val="16"/>
              </w:rPr>
              <w:t>39.1</w:t>
            </w:r>
          </w:p>
        </w:tc>
        <w:tc>
          <w:tcPr>
            <w:tcW w:w="1827" w:type="dxa"/>
            <w:tcBorders>
              <w:top w:val="single" w:sz="4" w:space="0" w:color="auto"/>
              <w:left w:val="nil"/>
              <w:bottom w:val="single" w:sz="4" w:space="0" w:color="auto"/>
              <w:right w:val="nil"/>
            </w:tcBorders>
            <w:shd w:val="clear" w:color="auto" w:fill="auto"/>
            <w:vAlign w:val="center"/>
            <w:hideMark/>
          </w:tcPr>
          <w:p w14:paraId="4AC8BAA5"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78.4%</w:t>
            </w:r>
          </w:p>
        </w:tc>
        <w:tc>
          <w:tcPr>
            <w:tcW w:w="1618" w:type="dxa"/>
            <w:tcBorders>
              <w:top w:val="single" w:sz="4" w:space="0" w:color="auto"/>
              <w:left w:val="nil"/>
              <w:bottom w:val="single" w:sz="4" w:space="0" w:color="auto"/>
              <w:right w:val="nil"/>
            </w:tcBorders>
            <w:shd w:val="clear" w:color="auto" w:fill="auto"/>
            <w:noWrap/>
            <w:vAlign w:val="center"/>
            <w:hideMark/>
          </w:tcPr>
          <w:p w14:paraId="11AD2123" w14:textId="14867E60" w:rsidR="00561D6E" w:rsidRPr="00BF02CB" w:rsidRDefault="0003613D" w:rsidP="00561D6E">
            <w:pPr>
              <w:spacing w:after="0"/>
              <w:jc w:val="center"/>
              <w:rPr>
                <w:rFonts w:ascii="Arial" w:hAnsi="Arial" w:cs="Arial"/>
                <w:sz w:val="16"/>
                <w:szCs w:val="16"/>
              </w:rPr>
            </w:pPr>
            <w:r>
              <w:rPr>
                <w:rFonts w:ascii="Arial" w:hAnsi="Arial" w:cs="Arial"/>
                <w:sz w:val="16"/>
                <w:szCs w:val="16"/>
              </w:rPr>
              <w:t>39.7</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39DD0359" w14:textId="67609180" w:rsidR="00561D6E" w:rsidRPr="00BF02CB" w:rsidRDefault="0003613D" w:rsidP="00561D6E">
            <w:pPr>
              <w:spacing w:after="0"/>
              <w:jc w:val="center"/>
              <w:rPr>
                <w:rFonts w:ascii="Arial" w:hAnsi="Arial" w:cs="Arial"/>
                <w:sz w:val="16"/>
                <w:szCs w:val="16"/>
              </w:rPr>
            </w:pPr>
            <w:r>
              <w:rPr>
                <w:rFonts w:ascii="Arial" w:hAnsi="Arial" w:cs="Arial"/>
                <w:sz w:val="16"/>
                <w:szCs w:val="16"/>
              </w:rPr>
              <w:t>31.2</w:t>
            </w:r>
          </w:p>
        </w:tc>
      </w:tr>
      <w:tr w:rsidR="00561D6E" w:rsidRPr="00BF02CB" w14:paraId="20C45894" w14:textId="77777777" w:rsidTr="00C36529">
        <w:trPr>
          <w:trHeight w:val="177"/>
        </w:trPr>
        <w:tc>
          <w:tcPr>
            <w:tcW w:w="1384" w:type="dxa"/>
            <w:vMerge/>
            <w:tcBorders>
              <w:top w:val="single" w:sz="12" w:space="0" w:color="FFFFFF"/>
              <w:left w:val="nil"/>
              <w:bottom w:val="single" w:sz="12" w:space="0" w:color="FFFFFF"/>
              <w:right w:val="nil"/>
            </w:tcBorders>
            <w:vAlign w:val="center"/>
            <w:hideMark/>
          </w:tcPr>
          <w:p w14:paraId="2B6FCBF0"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auto" w:fill="auto"/>
            <w:vAlign w:val="center"/>
            <w:hideMark/>
          </w:tcPr>
          <w:p w14:paraId="7AEF763F" w14:textId="77777777" w:rsidR="00561D6E" w:rsidRPr="00BF02CB" w:rsidRDefault="00561D6E" w:rsidP="00561D6E">
            <w:pPr>
              <w:spacing w:after="0"/>
              <w:rPr>
                <w:rFonts w:ascii="Arial" w:hAnsi="Arial" w:cs="Arial"/>
                <w:sz w:val="16"/>
                <w:szCs w:val="16"/>
              </w:rPr>
            </w:pPr>
            <w:r w:rsidRPr="00BF02CB">
              <w:rPr>
                <w:rFonts w:ascii="Arial" w:hAnsi="Arial" w:cs="Arial"/>
                <w:sz w:val="16"/>
                <w:szCs w:val="16"/>
              </w:rPr>
              <w:t>Qld &amp; NT</w:t>
            </w:r>
          </w:p>
        </w:tc>
        <w:tc>
          <w:tcPr>
            <w:tcW w:w="1367" w:type="dxa"/>
            <w:tcBorders>
              <w:top w:val="nil"/>
              <w:left w:val="nil"/>
              <w:bottom w:val="single" w:sz="4" w:space="0" w:color="auto"/>
              <w:right w:val="nil"/>
            </w:tcBorders>
            <w:shd w:val="clear" w:color="auto" w:fill="auto"/>
            <w:vAlign w:val="center"/>
            <w:hideMark/>
          </w:tcPr>
          <w:p w14:paraId="4F985AB4"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54</w:t>
            </w:r>
          </w:p>
        </w:tc>
        <w:tc>
          <w:tcPr>
            <w:tcW w:w="1447" w:type="dxa"/>
            <w:gridSpan w:val="2"/>
            <w:tcBorders>
              <w:top w:val="nil"/>
              <w:left w:val="nil"/>
              <w:bottom w:val="single" w:sz="4" w:space="0" w:color="auto"/>
              <w:right w:val="nil"/>
            </w:tcBorders>
            <w:shd w:val="clear" w:color="auto" w:fill="auto"/>
            <w:noWrap/>
            <w:vAlign w:val="center"/>
            <w:hideMark/>
          </w:tcPr>
          <w:p w14:paraId="22DC8322" w14:textId="56F32D19" w:rsidR="00561D6E" w:rsidRPr="00BF02CB" w:rsidRDefault="0003613D" w:rsidP="00561D6E">
            <w:pPr>
              <w:spacing w:after="0"/>
              <w:jc w:val="center"/>
              <w:rPr>
                <w:rFonts w:ascii="Arial" w:hAnsi="Arial" w:cs="Arial"/>
                <w:sz w:val="16"/>
                <w:szCs w:val="16"/>
              </w:rPr>
            </w:pPr>
            <w:r>
              <w:rPr>
                <w:rFonts w:ascii="Arial" w:hAnsi="Arial" w:cs="Arial"/>
                <w:sz w:val="16"/>
                <w:szCs w:val="16"/>
              </w:rPr>
              <w:t>28.7</w:t>
            </w:r>
          </w:p>
        </w:tc>
        <w:tc>
          <w:tcPr>
            <w:tcW w:w="1237" w:type="dxa"/>
            <w:tcBorders>
              <w:top w:val="nil"/>
              <w:left w:val="nil"/>
              <w:bottom w:val="single" w:sz="4" w:space="0" w:color="auto"/>
              <w:right w:val="nil"/>
            </w:tcBorders>
            <w:shd w:val="clear" w:color="auto" w:fill="auto"/>
            <w:vAlign w:val="center"/>
            <w:hideMark/>
          </w:tcPr>
          <w:p w14:paraId="009F7DBB"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3</w:t>
            </w:r>
            <w:r>
              <w:rPr>
                <w:rFonts w:ascii="Arial" w:hAnsi="Arial" w:cs="Arial"/>
                <w:sz w:val="16"/>
                <w:szCs w:val="16"/>
              </w:rPr>
              <w:t>,</w:t>
            </w:r>
            <w:r w:rsidRPr="00BF02CB">
              <w:rPr>
                <w:rFonts w:ascii="Arial" w:hAnsi="Arial" w:cs="Arial"/>
                <w:sz w:val="16"/>
                <w:szCs w:val="16"/>
              </w:rPr>
              <w:t>858</w:t>
            </w:r>
          </w:p>
        </w:tc>
        <w:tc>
          <w:tcPr>
            <w:tcW w:w="1237" w:type="dxa"/>
            <w:tcBorders>
              <w:top w:val="nil"/>
              <w:left w:val="nil"/>
              <w:bottom w:val="single" w:sz="4" w:space="0" w:color="auto"/>
              <w:right w:val="nil"/>
            </w:tcBorders>
            <w:shd w:val="clear" w:color="auto" w:fill="auto"/>
            <w:noWrap/>
            <w:vAlign w:val="center"/>
            <w:hideMark/>
          </w:tcPr>
          <w:p w14:paraId="01A72243" w14:textId="2B380DB6" w:rsidR="00561D6E" w:rsidRPr="00BF02CB" w:rsidRDefault="0003613D" w:rsidP="00561D6E">
            <w:pPr>
              <w:spacing w:after="0"/>
              <w:jc w:val="center"/>
              <w:rPr>
                <w:rFonts w:ascii="Arial" w:hAnsi="Arial" w:cs="Arial"/>
                <w:sz w:val="16"/>
                <w:szCs w:val="16"/>
              </w:rPr>
            </w:pPr>
            <w:r>
              <w:rPr>
                <w:rFonts w:ascii="Arial" w:hAnsi="Arial" w:cs="Arial"/>
                <w:sz w:val="16"/>
                <w:szCs w:val="16"/>
              </w:rPr>
              <w:t>14.7</w:t>
            </w:r>
          </w:p>
        </w:tc>
        <w:tc>
          <w:tcPr>
            <w:tcW w:w="1827" w:type="dxa"/>
            <w:tcBorders>
              <w:top w:val="nil"/>
              <w:left w:val="nil"/>
              <w:bottom w:val="single" w:sz="4" w:space="0" w:color="auto"/>
              <w:right w:val="nil"/>
            </w:tcBorders>
            <w:shd w:val="clear" w:color="auto" w:fill="auto"/>
            <w:vAlign w:val="center"/>
            <w:hideMark/>
          </w:tcPr>
          <w:p w14:paraId="03DA2815"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81.2%</w:t>
            </w:r>
          </w:p>
        </w:tc>
        <w:tc>
          <w:tcPr>
            <w:tcW w:w="1618" w:type="dxa"/>
            <w:tcBorders>
              <w:top w:val="nil"/>
              <w:left w:val="nil"/>
              <w:bottom w:val="single" w:sz="4" w:space="0" w:color="auto"/>
              <w:right w:val="nil"/>
            </w:tcBorders>
            <w:shd w:val="clear" w:color="auto" w:fill="auto"/>
            <w:noWrap/>
            <w:vAlign w:val="center"/>
            <w:hideMark/>
          </w:tcPr>
          <w:p w14:paraId="63404E08" w14:textId="4BCB7D90" w:rsidR="00561D6E" w:rsidRPr="00BF02CB" w:rsidRDefault="0003613D" w:rsidP="00561D6E">
            <w:pPr>
              <w:spacing w:after="0"/>
              <w:jc w:val="center"/>
              <w:rPr>
                <w:rFonts w:ascii="Arial" w:hAnsi="Arial" w:cs="Arial"/>
                <w:sz w:val="16"/>
                <w:szCs w:val="16"/>
              </w:rPr>
            </w:pPr>
            <w:r>
              <w:rPr>
                <w:rFonts w:ascii="Arial" w:hAnsi="Arial" w:cs="Arial"/>
                <w:sz w:val="16"/>
                <w:szCs w:val="16"/>
              </w:rPr>
              <w:t>37.0</w:t>
            </w:r>
          </w:p>
        </w:tc>
        <w:tc>
          <w:tcPr>
            <w:tcW w:w="1642" w:type="dxa"/>
            <w:tcBorders>
              <w:top w:val="nil"/>
              <w:left w:val="nil"/>
              <w:bottom w:val="single" w:sz="4" w:space="0" w:color="auto"/>
              <w:right w:val="single" w:sz="4" w:space="0" w:color="auto"/>
            </w:tcBorders>
            <w:shd w:val="clear" w:color="auto" w:fill="auto"/>
            <w:noWrap/>
            <w:vAlign w:val="center"/>
            <w:hideMark/>
          </w:tcPr>
          <w:p w14:paraId="34FE7467" w14:textId="5C0AD96E" w:rsidR="00561D6E" w:rsidRPr="00BF02CB" w:rsidRDefault="0003613D" w:rsidP="00561D6E">
            <w:pPr>
              <w:spacing w:after="0"/>
              <w:jc w:val="center"/>
              <w:rPr>
                <w:rFonts w:ascii="Arial" w:hAnsi="Arial" w:cs="Arial"/>
                <w:sz w:val="16"/>
                <w:szCs w:val="16"/>
              </w:rPr>
            </w:pPr>
            <w:r>
              <w:rPr>
                <w:rFonts w:ascii="Arial" w:hAnsi="Arial" w:cs="Arial"/>
                <w:sz w:val="16"/>
                <w:szCs w:val="16"/>
              </w:rPr>
              <w:t>29.7</w:t>
            </w:r>
          </w:p>
        </w:tc>
      </w:tr>
      <w:tr w:rsidR="00561D6E" w:rsidRPr="00BF02CB" w14:paraId="0AC0AB29" w14:textId="77777777" w:rsidTr="00C36529">
        <w:trPr>
          <w:trHeight w:val="177"/>
        </w:trPr>
        <w:tc>
          <w:tcPr>
            <w:tcW w:w="1384" w:type="dxa"/>
            <w:vMerge/>
            <w:tcBorders>
              <w:top w:val="single" w:sz="12" w:space="0" w:color="FFFFFF"/>
              <w:left w:val="nil"/>
              <w:bottom w:val="single" w:sz="12" w:space="0" w:color="FFFFFF"/>
              <w:right w:val="nil"/>
            </w:tcBorders>
            <w:vAlign w:val="center"/>
            <w:hideMark/>
          </w:tcPr>
          <w:p w14:paraId="2786F258"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auto" w:fill="auto"/>
            <w:vAlign w:val="center"/>
            <w:hideMark/>
          </w:tcPr>
          <w:p w14:paraId="7F0BE5DE" w14:textId="77777777" w:rsidR="00561D6E" w:rsidRPr="00BF02CB" w:rsidRDefault="00561D6E" w:rsidP="00561D6E">
            <w:pPr>
              <w:spacing w:after="0"/>
              <w:rPr>
                <w:rFonts w:ascii="Arial" w:hAnsi="Arial" w:cs="Arial"/>
                <w:sz w:val="16"/>
                <w:szCs w:val="16"/>
              </w:rPr>
            </w:pPr>
            <w:r w:rsidRPr="00BF02CB">
              <w:rPr>
                <w:rFonts w:ascii="Arial" w:hAnsi="Arial" w:cs="Arial"/>
                <w:sz w:val="16"/>
                <w:szCs w:val="16"/>
              </w:rPr>
              <w:t>SA</w:t>
            </w:r>
          </w:p>
        </w:tc>
        <w:tc>
          <w:tcPr>
            <w:tcW w:w="1367" w:type="dxa"/>
            <w:tcBorders>
              <w:top w:val="nil"/>
              <w:left w:val="nil"/>
              <w:bottom w:val="single" w:sz="4" w:space="0" w:color="auto"/>
              <w:right w:val="nil"/>
            </w:tcBorders>
            <w:shd w:val="clear" w:color="auto" w:fill="auto"/>
            <w:vAlign w:val="center"/>
            <w:hideMark/>
          </w:tcPr>
          <w:p w14:paraId="067E75EE"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12</w:t>
            </w:r>
          </w:p>
        </w:tc>
        <w:tc>
          <w:tcPr>
            <w:tcW w:w="1447" w:type="dxa"/>
            <w:gridSpan w:val="2"/>
            <w:tcBorders>
              <w:top w:val="nil"/>
              <w:left w:val="nil"/>
              <w:bottom w:val="single" w:sz="4" w:space="0" w:color="auto"/>
              <w:right w:val="nil"/>
            </w:tcBorders>
            <w:shd w:val="clear" w:color="auto" w:fill="auto"/>
            <w:noWrap/>
            <w:vAlign w:val="center"/>
            <w:hideMark/>
          </w:tcPr>
          <w:p w14:paraId="3C7EDDBD" w14:textId="47F170C4" w:rsidR="00561D6E" w:rsidRPr="00BF02CB" w:rsidRDefault="0003613D" w:rsidP="00561D6E">
            <w:pPr>
              <w:spacing w:after="0"/>
              <w:jc w:val="center"/>
              <w:rPr>
                <w:rFonts w:ascii="Arial" w:hAnsi="Arial" w:cs="Arial"/>
                <w:sz w:val="16"/>
                <w:szCs w:val="16"/>
              </w:rPr>
            </w:pPr>
            <w:r>
              <w:rPr>
                <w:rFonts w:ascii="Arial" w:hAnsi="Arial" w:cs="Arial"/>
                <w:sz w:val="16"/>
                <w:szCs w:val="16"/>
              </w:rPr>
              <w:t>11.4</w:t>
            </w:r>
          </w:p>
        </w:tc>
        <w:tc>
          <w:tcPr>
            <w:tcW w:w="1237" w:type="dxa"/>
            <w:tcBorders>
              <w:top w:val="nil"/>
              <w:left w:val="nil"/>
              <w:bottom w:val="single" w:sz="4" w:space="0" w:color="auto"/>
              <w:right w:val="nil"/>
            </w:tcBorders>
            <w:shd w:val="clear" w:color="auto" w:fill="auto"/>
            <w:vAlign w:val="center"/>
            <w:hideMark/>
          </w:tcPr>
          <w:p w14:paraId="6A0D70ED"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1,</w:t>
            </w:r>
            <w:r w:rsidRPr="00BF02CB">
              <w:rPr>
                <w:rFonts w:ascii="Arial" w:hAnsi="Arial" w:cs="Arial"/>
                <w:sz w:val="16"/>
                <w:szCs w:val="16"/>
              </w:rPr>
              <w:t>420</w:t>
            </w:r>
          </w:p>
        </w:tc>
        <w:tc>
          <w:tcPr>
            <w:tcW w:w="1237" w:type="dxa"/>
            <w:tcBorders>
              <w:top w:val="nil"/>
              <w:left w:val="nil"/>
              <w:bottom w:val="single" w:sz="4" w:space="0" w:color="auto"/>
              <w:right w:val="nil"/>
            </w:tcBorders>
            <w:shd w:val="clear" w:color="auto" w:fill="auto"/>
            <w:noWrap/>
            <w:vAlign w:val="center"/>
            <w:hideMark/>
          </w:tcPr>
          <w:p w14:paraId="20B22910" w14:textId="6FD4CDDD" w:rsidR="00561D6E" w:rsidRPr="00BF02CB" w:rsidRDefault="0003613D" w:rsidP="00561D6E">
            <w:pPr>
              <w:spacing w:after="0"/>
              <w:jc w:val="center"/>
              <w:rPr>
                <w:rFonts w:ascii="Arial" w:hAnsi="Arial" w:cs="Arial"/>
                <w:sz w:val="16"/>
                <w:szCs w:val="16"/>
              </w:rPr>
            </w:pPr>
            <w:r>
              <w:rPr>
                <w:rFonts w:ascii="Arial" w:hAnsi="Arial" w:cs="Arial"/>
                <w:sz w:val="16"/>
                <w:szCs w:val="16"/>
              </w:rPr>
              <w:t>5.4</w:t>
            </w:r>
          </w:p>
        </w:tc>
        <w:tc>
          <w:tcPr>
            <w:tcW w:w="1827" w:type="dxa"/>
            <w:tcBorders>
              <w:top w:val="nil"/>
              <w:left w:val="nil"/>
              <w:bottom w:val="single" w:sz="4" w:space="0" w:color="auto"/>
              <w:right w:val="nil"/>
            </w:tcBorders>
            <w:shd w:val="clear" w:color="auto" w:fill="auto"/>
            <w:vAlign w:val="center"/>
            <w:hideMark/>
          </w:tcPr>
          <w:p w14:paraId="6DDE130A"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77.0%</w:t>
            </w:r>
          </w:p>
        </w:tc>
        <w:tc>
          <w:tcPr>
            <w:tcW w:w="1618" w:type="dxa"/>
            <w:tcBorders>
              <w:top w:val="nil"/>
              <w:left w:val="nil"/>
              <w:bottom w:val="single" w:sz="4" w:space="0" w:color="auto"/>
              <w:right w:val="nil"/>
            </w:tcBorders>
            <w:shd w:val="clear" w:color="auto" w:fill="auto"/>
            <w:noWrap/>
            <w:vAlign w:val="center"/>
            <w:hideMark/>
          </w:tcPr>
          <w:p w14:paraId="7B8D6ABA" w14:textId="31324ADF" w:rsidR="00561D6E" w:rsidRPr="00BF02CB" w:rsidRDefault="0003613D" w:rsidP="00561D6E">
            <w:pPr>
              <w:spacing w:after="0"/>
              <w:jc w:val="center"/>
              <w:rPr>
                <w:rFonts w:ascii="Arial" w:hAnsi="Arial" w:cs="Arial"/>
                <w:sz w:val="16"/>
                <w:szCs w:val="16"/>
              </w:rPr>
            </w:pPr>
            <w:r>
              <w:rPr>
                <w:rFonts w:ascii="Arial" w:hAnsi="Arial" w:cs="Arial"/>
                <w:sz w:val="16"/>
                <w:szCs w:val="16"/>
              </w:rPr>
              <w:t>54.5</w:t>
            </w:r>
          </w:p>
        </w:tc>
        <w:tc>
          <w:tcPr>
            <w:tcW w:w="1642" w:type="dxa"/>
            <w:tcBorders>
              <w:top w:val="nil"/>
              <w:left w:val="nil"/>
              <w:bottom w:val="single" w:sz="4" w:space="0" w:color="auto"/>
              <w:right w:val="single" w:sz="4" w:space="0" w:color="auto"/>
            </w:tcBorders>
            <w:shd w:val="clear" w:color="auto" w:fill="auto"/>
            <w:noWrap/>
            <w:vAlign w:val="center"/>
            <w:hideMark/>
          </w:tcPr>
          <w:p w14:paraId="7B446AC3" w14:textId="00C2A2C4" w:rsidR="00561D6E" w:rsidRPr="00BF02CB" w:rsidRDefault="0003613D" w:rsidP="00561D6E">
            <w:pPr>
              <w:spacing w:after="0"/>
              <w:jc w:val="center"/>
              <w:rPr>
                <w:rFonts w:ascii="Arial" w:hAnsi="Arial" w:cs="Arial"/>
                <w:sz w:val="16"/>
                <w:szCs w:val="16"/>
              </w:rPr>
            </w:pPr>
            <w:r>
              <w:rPr>
                <w:rFonts w:ascii="Arial" w:hAnsi="Arial" w:cs="Arial"/>
                <w:sz w:val="16"/>
                <w:szCs w:val="16"/>
              </w:rPr>
              <w:t>18.3</w:t>
            </w:r>
          </w:p>
        </w:tc>
      </w:tr>
      <w:tr w:rsidR="00561D6E" w:rsidRPr="00BF02CB" w14:paraId="6B2209B4" w14:textId="77777777" w:rsidTr="00C36529">
        <w:trPr>
          <w:trHeight w:val="177"/>
        </w:trPr>
        <w:tc>
          <w:tcPr>
            <w:tcW w:w="1384" w:type="dxa"/>
            <w:vMerge/>
            <w:tcBorders>
              <w:top w:val="single" w:sz="12" w:space="0" w:color="FFFFFF"/>
              <w:left w:val="nil"/>
              <w:bottom w:val="single" w:sz="12" w:space="0" w:color="FFFFFF"/>
              <w:right w:val="nil"/>
            </w:tcBorders>
            <w:vAlign w:val="center"/>
            <w:hideMark/>
          </w:tcPr>
          <w:p w14:paraId="1C73022A"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auto" w:fill="auto"/>
            <w:vAlign w:val="center"/>
            <w:hideMark/>
          </w:tcPr>
          <w:p w14:paraId="0326B691" w14:textId="77777777" w:rsidR="00561D6E" w:rsidRPr="00BF02CB" w:rsidRDefault="00561D6E" w:rsidP="00561D6E">
            <w:pPr>
              <w:spacing w:after="0"/>
              <w:rPr>
                <w:rFonts w:ascii="Arial" w:hAnsi="Arial" w:cs="Arial"/>
                <w:sz w:val="16"/>
                <w:szCs w:val="16"/>
              </w:rPr>
            </w:pPr>
            <w:proofErr w:type="spellStart"/>
            <w:r w:rsidRPr="00BF02CB">
              <w:rPr>
                <w:rFonts w:ascii="Arial" w:hAnsi="Arial" w:cs="Arial"/>
                <w:sz w:val="16"/>
                <w:szCs w:val="16"/>
              </w:rPr>
              <w:t>Tas</w:t>
            </w:r>
            <w:proofErr w:type="spellEnd"/>
          </w:p>
        </w:tc>
        <w:tc>
          <w:tcPr>
            <w:tcW w:w="1367" w:type="dxa"/>
            <w:tcBorders>
              <w:top w:val="nil"/>
              <w:left w:val="nil"/>
              <w:bottom w:val="single" w:sz="4" w:space="0" w:color="auto"/>
              <w:right w:val="nil"/>
            </w:tcBorders>
            <w:shd w:val="clear" w:color="auto" w:fill="auto"/>
            <w:vAlign w:val="center"/>
            <w:hideMark/>
          </w:tcPr>
          <w:p w14:paraId="7F3679B7"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7</w:t>
            </w:r>
          </w:p>
        </w:tc>
        <w:tc>
          <w:tcPr>
            <w:tcW w:w="1447" w:type="dxa"/>
            <w:gridSpan w:val="2"/>
            <w:tcBorders>
              <w:top w:val="nil"/>
              <w:left w:val="nil"/>
              <w:bottom w:val="single" w:sz="4" w:space="0" w:color="auto"/>
              <w:right w:val="nil"/>
            </w:tcBorders>
            <w:shd w:val="clear" w:color="auto" w:fill="auto"/>
            <w:noWrap/>
            <w:vAlign w:val="center"/>
            <w:hideMark/>
          </w:tcPr>
          <w:p w14:paraId="67E865A7" w14:textId="0BF38776" w:rsidR="00561D6E" w:rsidRPr="00BF02CB" w:rsidRDefault="0003613D" w:rsidP="00561D6E">
            <w:pPr>
              <w:spacing w:after="0"/>
              <w:jc w:val="center"/>
              <w:rPr>
                <w:rFonts w:ascii="Arial" w:hAnsi="Arial" w:cs="Arial"/>
                <w:sz w:val="16"/>
                <w:szCs w:val="16"/>
              </w:rPr>
            </w:pPr>
            <w:r>
              <w:rPr>
                <w:rFonts w:ascii="Arial" w:hAnsi="Arial" w:cs="Arial"/>
                <w:sz w:val="16"/>
                <w:szCs w:val="16"/>
              </w:rPr>
              <w:t>23.3</w:t>
            </w:r>
          </w:p>
        </w:tc>
        <w:tc>
          <w:tcPr>
            <w:tcW w:w="1237" w:type="dxa"/>
            <w:tcBorders>
              <w:top w:val="nil"/>
              <w:left w:val="nil"/>
              <w:bottom w:val="single" w:sz="4" w:space="0" w:color="auto"/>
              <w:right w:val="nil"/>
            </w:tcBorders>
            <w:shd w:val="clear" w:color="auto" w:fill="auto"/>
            <w:vAlign w:val="center"/>
            <w:hideMark/>
          </w:tcPr>
          <w:p w14:paraId="5990B878"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332</w:t>
            </w:r>
          </w:p>
        </w:tc>
        <w:tc>
          <w:tcPr>
            <w:tcW w:w="1237" w:type="dxa"/>
            <w:tcBorders>
              <w:top w:val="nil"/>
              <w:left w:val="nil"/>
              <w:bottom w:val="single" w:sz="4" w:space="0" w:color="auto"/>
              <w:right w:val="nil"/>
            </w:tcBorders>
            <w:shd w:val="clear" w:color="auto" w:fill="auto"/>
            <w:noWrap/>
            <w:vAlign w:val="center"/>
            <w:hideMark/>
          </w:tcPr>
          <w:p w14:paraId="2001B6A7" w14:textId="2F71EBC8" w:rsidR="00561D6E" w:rsidRPr="00BF02CB" w:rsidRDefault="0003613D" w:rsidP="00561D6E">
            <w:pPr>
              <w:spacing w:after="0"/>
              <w:jc w:val="center"/>
              <w:rPr>
                <w:rFonts w:ascii="Arial" w:hAnsi="Arial" w:cs="Arial"/>
                <w:sz w:val="16"/>
                <w:szCs w:val="16"/>
              </w:rPr>
            </w:pPr>
            <w:r>
              <w:rPr>
                <w:rFonts w:ascii="Arial" w:hAnsi="Arial" w:cs="Arial"/>
                <w:sz w:val="16"/>
                <w:szCs w:val="16"/>
              </w:rPr>
              <w:t>1.3</w:t>
            </w:r>
          </w:p>
        </w:tc>
        <w:tc>
          <w:tcPr>
            <w:tcW w:w="1827" w:type="dxa"/>
            <w:tcBorders>
              <w:top w:val="nil"/>
              <w:left w:val="nil"/>
              <w:bottom w:val="single" w:sz="4" w:space="0" w:color="auto"/>
              <w:right w:val="nil"/>
            </w:tcBorders>
            <w:shd w:val="clear" w:color="auto" w:fill="auto"/>
            <w:vAlign w:val="center"/>
            <w:hideMark/>
          </w:tcPr>
          <w:p w14:paraId="7CC8DD16"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82.5%</w:t>
            </w:r>
          </w:p>
        </w:tc>
        <w:tc>
          <w:tcPr>
            <w:tcW w:w="1618" w:type="dxa"/>
            <w:tcBorders>
              <w:top w:val="nil"/>
              <w:left w:val="nil"/>
              <w:bottom w:val="single" w:sz="4" w:space="0" w:color="auto"/>
              <w:right w:val="nil"/>
            </w:tcBorders>
            <w:shd w:val="clear" w:color="auto" w:fill="auto"/>
            <w:noWrap/>
            <w:vAlign w:val="center"/>
            <w:hideMark/>
          </w:tcPr>
          <w:p w14:paraId="40D68C94" w14:textId="72CE5D9A" w:rsidR="00561D6E" w:rsidRPr="00BF02CB" w:rsidRDefault="0003613D" w:rsidP="00561D6E">
            <w:pPr>
              <w:spacing w:after="0"/>
              <w:jc w:val="center"/>
              <w:rPr>
                <w:rFonts w:ascii="Arial" w:hAnsi="Arial" w:cs="Arial"/>
                <w:sz w:val="16"/>
                <w:szCs w:val="16"/>
              </w:rPr>
            </w:pPr>
            <w:r>
              <w:rPr>
                <w:rFonts w:ascii="Arial" w:hAnsi="Arial" w:cs="Arial"/>
                <w:sz w:val="16"/>
                <w:szCs w:val="16"/>
              </w:rPr>
              <w:t>41.0</w:t>
            </w:r>
          </w:p>
        </w:tc>
        <w:tc>
          <w:tcPr>
            <w:tcW w:w="1642" w:type="dxa"/>
            <w:tcBorders>
              <w:top w:val="nil"/>
              <w:left w:val="nil"/>
              <w:bottom w:val="single" w:sz="4" w:space="0" w:color="auto"/>
              <w:right w:val="single" w:sz="4" w:space="0" w:color="auto"/>
            </w:tcBorders>
            <w:shd w:val="clear" w:color="auto" w:fill="auto"/>
            <w:noWrap/>
            <w:vAlign w:val="center"/>
            <w:hideMark/>
          </w:tcPr>
          <w:p w14:paraId="01DBDFB6" w14:textId="5E4D7A7D" w:rsidR="00561D6E" w:rsidRPr="00BF02CB" w:rsidRDefault="0003613D" w:rsidP="00561D6E">
            <w:pPr>
              <w:spacing w:after="0"/>
              <w:jc w:val="center"/>
              <w:rPr>
                <w:rFonts w:ascii="Arial" w:hAnsi="Arial" w:cs="Arial"/>
                <w:sz w:val="16"/>
                <w:szCs w:val="16"/>
              </w:rPr>
            </w:pPr>
            <w:r>
              <w:rPr>
                <w:rFonts w:ascii="Arial" w:hAnsi="Arial" w:cs="Arial"/>
                <w:sz w:val="16"/>
                <w:szCs w:val="16"/>
              </w:rPr>
              <w:t>42.9</w:t>
            </w:r>
          </w:p>
        </w:tc>
      </w:tr>
      <w:tr w:rsidR="00561D6E" w:rsidRPr="00BF02CB" w14:paraId="36199930" w14:textId="77777777" w:rsidTr="00C36529">
        <w:trPr>
          <w:trHeight w:val="177"/>
        </w:trPr>
        <w:tc>
          <w:tcPr>
            <w:tcW w:w="1384" w:type="dxa"/>
            <w:vMerge/>
            <w:tcBorders>
              <w:top w:val="single" w:sz="12" w:space="0" w:color="FFFFFF"/>
              <w:left w:val="nil"/>
              <w:bottom w:val="single" w:sz="12" w:space="0" w:color="FFFFFF"/>
              <w:right w:val="nil"/>
            </w:tcBorders>
            <w:vAlign w:val="center"/>
            <w:hideMark/>
          </w:tcPr>
          <w:p w14:paraId="13DB2E44"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auto" w:fill="auto"/>
            <w:vAlign w:val="center"/>
            <w:hideMark/>
          </w:tcPr>
          <w:p w14:paraId="5A8A9216" w14:textId="77777777" w:rsidR="00561D6E" w:rsidRPr="00BF02CB" w:rsidRDefault="00561D6E" w:rsidP="00561D6E">
            <w:pPr>
              <w:spacing w:after="0"/>
              <w:rPr>
                <w:rFonts w:ascii="Arial" w:hAnsi="Arial" w:cs="Arial"/>
                <w:sz w:val="16"/>
                <w:szCs w:val="16"/>
              </w:rPr>
            </w:pPr>
            <w:r w:rsidRPr="00BF02CB">
              <w:rPr>
                <w:rFonts w:ascii="Arial" w:hAnsi="Arial" w:cs="Arial"/>
                <w:sz w:val="16"/>
                <w:szCs w:val="16"/>
              </w:rPr>
              <w:t>Vic</w:t>
            </w:r>
          </w:p>
        </w:tc>
        <w:tc>
          <w:tcPr>
            <w:tcW w:w="1367" w:type="dxa"/>
            <w:tcBorders>
              <w:top w:val="nil"/>
              <w:left w:val="nil"/>
              <w:bottom w:val="single" w:sz="4" w:space="0" w:color="auto"/>
              <w:right w:val="nil"/>
            </w:tcBorders>
            <w:shd w:val="clear" w:color="auto" w:fill="auto"/>
            <w:vAlign w:val="center"/>
            <w:hideMark/>
          </w:tcPr>
          <w:p w14:paraId="1113365A"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94</w:t>
            </w:r>
          </w:p>
        </w:tc>
        <w:tc>
          <w:tcPr>
            <w:tcW w:w="1447" w:type="dxa"/>
            <w:gridSpan w:val="2"/>
            <w:tcBorders>
              <w:top w:val="nil"/>
              <w:left w:val="nil"/>
              <w:bottom w:val="single" w:sz="4" w:space="0" w:color="auto"/>
              <w:right w:val="nil"/>
            </w:tcBorders>
            <w:shd w:val="clear" w:color="auto" w:fill="auto"/>
            <w:noWrap/>
            <w:vAlign w:val="center"/>
            <w:hideMark/>
          </w:tcPr>
          <w:p w14:paraId="2918E4CD" w14:textId="5FB1C211" w:rsidR="00561D6E" w:rsidRPr="00BF02CB" w:rsidRDefault="0003613D" w:rsidP="00561D6E">
            <w:pPr>
              <w:spacing w:after="0"/>
              <w:jc w:val="center"/>
              <w:rPr>
                <w:rFonts w:ascii="Arial" w:hAnsi="Arial" w:cs="Arial"/>
                <w:sz w:val="16"/>
                <w:szCs w:val="16"/>
              </w:rPr>
            </w:pPr>
            <w:r>
              <w:rPr>
                <w:rFonts w:ascii="Arial" w:hAnsi="Arial" w:cs="Arial"/>
                <w:sz w:val="16"/>
                <w:szCs w:val="16"/>
              </w:rPr>
              <w:t>43.7</w:t>
            </w:r>
          </w:p>
        </w:tc>
        <w:tc>
          <w:tcPr>
            <w:tcW w:w="1237" w:type="dxa"/>
            <w:tcBorders>
              <w:top w:val="nil"/>
              <w:left w:val="nil"/>
              <w:bottom w:val="single" w:sz="4" w:space="0" w:color="auto"/>
              <w:right w:val="nil"/>
            </w:tcBorders>
            <w:shd w:val="clear" w:color="auto" w:fill="auto"/>
            <w:vAlign w:val="center"/>
            <w:hideMark/>
          </w:tcPr>
          <w:p w14:paraId="3B0E589A"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7,</w:t>
            </w:r>
            <w:r w:rsidRPr="00BF02CB">
              <w:rPr>
                <w:rFonts w:ascii="Arial" w:hAnsi="Arial" w:cs="Arial"/>
                <w:sz w:val="16"/>
                <w:szCs w:val="16"/>
              </w:rPr>
              <w:t>181</w:t>
            </w:r>
          </w:p>
        </w:tc>
        <w:tc>
          <w:tcPr>
            <w:tcW w:w="1237" w:type="dxa"/>
            <w:tcBorders>
              <w:top w:val="nil"/>
              <w:left w:val="nil"/>
              <w:bottom w:val="single" w:sz="4" w:space="0" w:color="auto"/>
              <w:right w:val="nil"/>
            </w:tcBorders>
            <w:shd w:val="clear" w:color="auto" w:fill="auto"/>
            <w:noWrap/>
            <w:vAlign w:val="center"/>
            <w:hideMark/>
          </w:tcPr>
          <w:p w14:paraId="3069D467" w14:textId="406F11F3" w:rsidR="00561D6E" w:rsidRPr="00BF02CB" w:rsidRDefault="00561D6E" w:rsidP="0003613D">
            <w:pPr>
              <w:spacing w:after="0"/>
              <w:jc w:val="center"/>
              <w:rPr>
                <w:rFonts w:ascii="Arial" w:hAnsi="Arial" w:cs="Arial"/>
                <w:sz w:val="16"/>
                <w:szCs w:val="16"/>
              </w:rPr>
            </w:pPr>
            <w:r w:rsidRPr="00BF02CB">
              <w:rPr>
                <w:rFonts w:ascii="Arial" w:hAnsi="Arial" w:cs="Arial"/>
                <w:sz w:val="16"/>
                <w:szCs w:val="16"/>
              </w:rPr>
              <w:t>27.4</w:t>
            </w:r>
          </w:p>
        </w:tc>
        <w:tc>
          <w:tcPr>
            <w:tcW w:w="1827" w:type="dxa"/>
            <w:tcBorders>
              <w:top w:val="nil"/>
              <w:left w:val="nil"/>
              <w:bottom w:val="single" w:sz="4" w:space="0" w:color="auto"/>
              <w:right w:val="nil"/>
            </w:tcBorders>
            <w:shd w:val="clear" w:color="auto" w:fill="auto"/>
            <w:vAlign w:val="center"/>
            <w:hideMark/>
          </w:tcPr>
          <w:p w14:paraId="67063FB1"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75.9%</w:t>
            </w:r>
          </w:p>
        </w:tc>
        <w:tc>
          <w:tcPr>
            <w:tcW w:w="1618" w:type="dxa"/>
            <w:tcBorders>
              <w:top w:val="nil"/>
              <w:left w:val="nil"/>
              <w:bottom w:val="single" w:sz="4" w:space="0" w:color="auto"/>
              <w:right w:val="nil"/>
            </w:tcBorders>
            <w:shd w:val="clear" w:color="auto" w:fill="auto"/>
            <w:noWrap/>
            <w:vAlign w:val="center"/>
            <w:hideMark/>
          </w:tcPr>
          <w:p w14:paraId="75C6660E" w14:textId="6F61D76F" w:rsidR="00561D6E" w:rsidRPr="00BF02CB" w:rsidRDefault="0003613D" w:rsidP="00561D6E">
            <w:pPr>
              <w:spacing w:after="0"/>
              <w:jc w:val="center"/>
              <w:rPr>
                <w:rFonts w:ascii="Arial" w:hAnsi="Arial" w:cs="Arial"/>
                <w:sz w:val="16"/>
                <w:szCs w:val="16"/>
              </w:rPr>
            </w:pPr>
            <w:r>
              <w:rPr>
                <w:rFonts w:ascii="Arial" w:hAnsi="Arial" w:cs="Arial"/>
                <w:sz w:val="16"/>
                <w:szCs w:val="16"/>
              </w:rPr>
              <w:t>40.9</w:t>
            </w:r>
          </w:p>
        </w:tc>
        <w:tc>
          <w:tcPr>
            <w:tcW w:w="1642" w:type="dxa"/>
            <w:tcBorders>
              <w:top w:val="nil"/>
              <w:left w:val="nil"/>
              <w:bottom w:val="single" w:sz="4" w:space="0" w:color="auto"/>
              <w:right w:val="single" w:sz="4" w:space="0" w:color="auto"/>
            </w:tcBorders>
            <w:shd w:val="clear" w:color="auto" w:fill="auto"/>
            <w:noWrap/>
            <w:vAlign w:val="center"/>
            <w:hideMark/>
          </w:tcPr>
          <w:p w14:paraId="5746117C" w14:textId="6CC78F10" w:rsidR="00561D6E" w:rsidRPr="00BF02CB" w:rsidRDefault="0003613D" w:rsidP="00561D6E">
            <w:pPr>
              <w:spacing w:after="0"/>
              <w:jc w:val="center"/>
              <w:rPr>
                <w:rFonts w:ascii="Arial" w:hAnsi="Arial" w:cs="Arial"/>
                <w:sz w:val="16"/>
                <w:szCs w:val="16"/>
              </w:rPr>
            </w:pPr>
            <w:r>
              <w:rPr>
                <w:rFonts w:ascii="Arial" w:hAnsi="Arial" w:cs="Arial"/>
                <w:sz w:val="16"/>
                <w:szCs w:val="16"/>
              </w:rPr>
              <w:t>34.2</w:t>
            </w:r>
          </w:p>
        </w:tc>
      </w:tr>
      <w:tr w:rsidR="00561D6E" w:rsidRPr="00BF02CB" w14:paraId="2CAF0F98" w14:textId="77777777" w:rsidTr="00C36529">
        <w:trPr>
          <w:trHeight w:val="185"/>
        </w:trPr>
        <w:tc>
          <w:tcPr>
            <w:tcW w:w="1384" w:type="dxa"/>
            <w:vMerge/>
            <w:tcBorders>
              <w:top w:val="single" w:sz="12" w:space="0" w:color="FFFFFF"/>
              <w:left w:val="nil"/>
              <w:bottom w:val="single" w:sz="12" w:space="0" w:color="FFFFFF"/>
              <w:right w:val="nil"/>
            </w:tcBorders>
            <w:vAlign w:val="center"/>
            <w:hideMark/>
          </w:tcPr>
          <w:p w14:paraId="0F16A9CC"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12" w:space="0" w:color="808080" w:themeColor="background1" w:themeShade="80"/>
              <w:right w:val="nil"/>
            </w:tcBorders>
            <w:shd w:val="clear" w:color="auto" w:fill="auto"/>
            <w:noWrap/>
            <w:vAlign w:val="center"/>
            <w:hideMark/>
          </w:tcPr>
          <w:p w14:paraId="737CA50A" w14:textId="77777777" w:rsidR="00561D6E" w:rsidRPr="00BF02CB" w:rsidRDefault="00561D6E" w:rsidP="00561D6E">
            <w:pPr>
              <w:spacing w:after="0"/>
              <w:rPr>
                <w:rFonts w:ascii="Arial" w:hAnsi="Arial" w:cs="Arial"/>
                <w:sz w:val="16"/>
                <w:szCs w:val="16"/>
              </w:rPr>
            </w:pPr>
            <w:r w:rsidRPr="00BF02CB">
              <w:rPr>
                <w:rFonts w:ascii="Arial" w:hAnsi="Arial" w:cs="Arial"/>
                <w:sz w:val="16"/>
                <w:szCs w:val="16"/>
              </w:rPr>
              <w:t>WA</w:t>
            </w:r>
          </w:p>
        </w:tc>
        <w:tc>
          <w:tcPr>
            <w:tcW w:w="1367" w:type="dxa"/>
            <w:tcBorders>
              <w:top w:val="nil"/>
              <w:left w:val="nil"/>
              <w:bottom w:val="single" w:sz="12" w:space="0" w:color="808080" w:themeColor="background1" w:themeShade="80"/>
              <w:right w:val="nil"/>
            </w:tcBorders>
            <w:shd w:val="clear" w:color="auto" w:fill="auto"/>
            <w:vAlign w:val="center"/>
            <w:hideMark/>
          </w:tcPr>
          <w:p w14:paraId="0FD457BD"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31</w:t>
            </w:r>
          </w:p>
        </w:tc>
        <w:tc>
          <w:tcPr>
            <w:tcW w:w="1447" w:type="dxa"/>
            <w:gridSpan w:val="2"/>
            <w:tcBorders>
              <w:top w:val="nil"/>
              <w:left w:val="nil"/>
              <w:bottom w:val="single" w:sz="12" w:space="0" w:color="808080" w:themeColor="background1" w:themeShade="80"/>
              <w:right w:val="nil"/>
            </w:tcBorders>
            <w:shd w:val="clear" w:color="auto" w:fill="auto"/>
            <w:noWrap/>
            <w:vAlign w:val="center"/>
            <w:hideMark/>
          </w:tcPr>
          <w:p w14:paraId="60369EBD" w14:textId="58E7A4D8" w:rsidR="00561D6E" w:rsidRPr="00BF02CB" w:rsidRDefault="0003613D" w:rsidP="00561D6E">
            <w:pPr>
              <w:spacing w:after="0"/>
              <w:jc w:val="center"/>
              <w:rPr>
                <w:rFonts w:ascii="Arial" w:hAnsi="Arial" w:cs="Arial"/>
                <w:sz w:val="16"/>
                <w:szCs w:val="16"/>
              </w:rPr>
            </w:pPr>
            <w:r>
              <w:rPr>
                <w:rFonts w:ascii="Arial" w:hAnsi="Arial" w:cs="Arial"/>
                <w:sz w:val="16"/>
                <w:szCs w:val="16"/>
              </w:rPr>
              <w:t>27.2</w:t>
            </w:r>
          </w:p>
        </w:tc>
        <w:tc>
          <w:tcPr>
            <w:tcW w:w="1237" w:type="dxa"/>
            <w:tcBorders>
              <w:top w:val="nil"/>
              <w:left w:val="nil"/>
              <w:bottom w:val="single" w:sz="12" w:space="0" w:color="808080" w:themeColor="background1" w:themeShade="80"/>
              <w:right w:val="nil"/>
            </w:tcBorders>
            <w:shd w:val="clear" w:color="auto" w:fill="auto"/>
            <w:vAlign w:val="center"/>
            <w:hideMark/>
          </w:tcPr>
          <w:p w14:paraId="2A749187"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3,</w:t>
            </w:r>
            <w:r w:rsidRPr="00BF02CB">
              <w:rPr>
                <w:rFonts w:ascii="Arial" w:hAnsi="Arial" w:cs="Arial"/>
                <w:sz w:val="16"/>
                <w:szCs w:val="16"/>
              </w:rPr>
              <w:t>180</w:t>
            </w:r>
          </w:p>
        </w:tc>
        <w:tc>
          <w:tcPr>
            <w:tcW w:w="1237" w:type="dxa"/>
            <w:tcBorders>
              <w:top w:val="nil"/>
              <w:left w:val="nil"/>
              <w:bottom w:val="single" w:sz="12" w:space="0" w:color="808080" w:themeColor="background1" w:themeShade="80"/>
              <w:right w:val="nil"/>
            </w:tcBorders>
            <w:shd w:val="clear" w:color="auto" w:fill="auto"/>
            <w:noWrap/>
            <w:vAlign w:val="center"/>
            <w:hideMark/>
          </w:tcPr>
          <w:p w14:paraId="54FFABDA" w14:textId="13A2089F" w:rsidR="00561D6E" w:rsidRPr="00BF02CB" w:rsidRDefault="0003613D" w:rsidP="00561D6E">
            <w:pPr>
              <w:spacing w:after="0"/>
              <w:jc w:val="center"/>
              <w:rPr>
                <w:rFonts w:ascii="Arial" w:hAnsi="Arial" w:cs="Arial"/>
                <w:sz w:val="16"/>
                <w:szCs w:val="16"/>
              </w:rPr>
            </w:pPr>
            <w:r>
              <w:rPr>
                <w:rFonts w:ascii="Arial" w:hAnsi="Arial" w:cs="Arial"/>
                <w:sz w:val="16"/>
                <w:szCs w:val="16"/>
              </w:rPr>
              <w:t>12.1</w:t>
            </w:r>
          </w:p>
        </w:tc>
        <w:tc>
          <w:tcPr>
            <w:tcW w:w="1827" w:type="dxa"/>
            <w:tcBorders>
              <w:top w:val="nil"/>
              <w:left w:val="nil"/>
              <w:bottom w:val="single" w:sz="12" w:space="0" w:color="808080" w:themeColor="background1" w:themeShade="80"/>
              <w:right w:val="nil"/>
            </w:tcBorders>
            <w:shd w:val="clear" w:color="auto" w:fill="auto"/>
            <w:vAlign w:val="center"/>
            <w:hideMark/>
          </w:tcPr>
          <w:p w14:paraId="6F70B2CB"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75.5%</w:t>
            </w:r>
          </w:p>
        </w:tc>
        <w:tc>
          <w:tcPr>
            <w:tcW w:w="1618" w:type="dxa"/>
            <w:tcBorders>
              <w:top w:val="nil"/>
              <w:left w:val="nil"/>
              <w:bottom w:val="single" w:sz="12" w:space="0" w:color="808080" w:themeColor="background1" w:themeShade="80"/>
              <w:right w:val="nil"/>
            </w:tcBorders>
            <w:shd w:val="clear" w:color="auto" w:fill="auto"/>
            <w:noWrap/>
            <w:vAlign w:val="center"/>
            <w:hideMark/>
          </w:tcPr>
          <w:p w14:paraId="51880577" w14:textId="4BB2EF7A" w:rsidR="00561D6E" w:rsidRPr="00BF02CB" w:rsidRDefault="0003613D" w:rsidP="00561D6E">
            <w:pPr>
              <w:spacing w:after="0"/>
              <w:jc w:val="center"/>
              <w:rPr>
                <w:rFonts w:ascii="Arial" w:hAnsi="Arial" w:cs="Arial"/>
                <w:sz w:val="16"/>
                <w:szCs w:val="16"/>
              </w:rPr>
            </w:pPr>
            <w:r>
              <w:rPr>
                <w:rFonts w:ascii="Arial" w:hAnsi="Arial" w:cs="Arial"/>
                <w:sz w:val="16"/>
                <w:szCs w:val="16"/>
              </w:rPr>
              <w:t>40.3</w:t>
            </w:r>
          </w:p>
        </w:tc>
        <w:tc>
          <w:tcPr>
            <w:tcW w:w="1642" w:type="dxa"/>
            <w:tcBorders>
              <w:top w:val="nil"/>
              <w:left w:val="nil"/>
              <w:bottom w:val="single" w:sz="12" w:space="0" w:color="808080" w:themeColor="background1" w:themeShade="80"/>
              <w:right w:val="single" w:sz="4" w:space="0" w:color="auto"/>
            </w:tcBorders>
            <w:shd w:val="clear" w:color="auto" w:fill="auto"/>
            <w:noWrap/>
            <w:vAlign w:val="center"/>
            <w:hideMark/>
          </w:tcPr>
          <w:p w14:paraId="6A467979" w14:textId="237109A4" w:rsidR="00561D6E" w:rsidRPr="00BF02CB" w:rsidRDefault="0003613D" w:rsidP="00561D6E">
            <w:pPr>
              <w:spacing w:after="0"/>
              <w:jc w:val="center"/>
              <w:rPr>
                <w:rFonts w:ascii="Arial" w:hAnsi="Arial" w:cs="Arial"/>
                <w:sz w:val="16"/>
                <w:szCs w:val="16"/>
              </w:rPr>
            </w:pPr>
            <w:r>
              <w:rPr>
                <w:rFonts w:ascii="Arial" w:hAnsi="Arial" w:cs="Arial"/>
                <w:sz w:val="16"/>
                <w:szCs w:val="16"/>
              </w:rPr>
              <w:t>27.6</w:t>
            </w:r>
          </w:p>
        </w:tc>
      </w:tr>
      <w:tr w:rsidR="00561D6E" w:rsidRPr="00BF02CB" w14:paraId="69CC01EC" w14:textId="77777777" w:rsidTr="00C36529">
        <w:trPr>
          <w:trHeight w:val="185"/>
        </w:trPr>
        <w:tc>
          <w:tcPr>
            <w:tcW w:w="1384" w:type="dxa"/>
            <w:vMerge w:val="restart"/>
            <w:tcBorders>
              <w:top w:val="nil"/>
              <w:left w:val="nil"/>
              <w:bottom w:val="single" w:sz="12" w:space="0" w:color="FFFFFF"/>
              <w:right w:val="nil"/>
            </w:tcBorders>
            <w:shd w:val="clear" w:color="000000" w:fill="808080"/>
            <w:vAlign w:val="center"/>
            <w:hideMark/>
          </w:tcPr>
          <w:p w14:paraId="52F5FEA1" w14:textId="77777777" w:rsidR="00561D6E" w:rsidRPr="00BF02CB" w:rsidRDefault="00561D6E" w:rsidP="00561D6E">
            <w:pPr>
              <w:spacing w:after="0"/>
              <w:rPr>
                <w:rFonts w:ascii="Arial" w:hAnsi="Arial" w:cs="Arial"/>
                <w:color w:val="FFFFFF"/>
                <w:sz w:val="18"/>
                <w:szCs w:val="18"/>
              </w:rPr>
            </w:pPr>
            <w:r w:rsidRPr="00BF02CB">
              <w:rPr>
                <w:rFonts w:ascii="Arial" w:hAnsi="Arial" w:cs="Arial"/>
                <w:color w:val="FFFFFF"/>
                <w:sz w:val="18"/>
                <w:szCs w:val="18"/>
              </w:rPr>
              <w:t>Remoteness</w:t>
            </w:r>
          </w:p>
        </w:tc>
        <w:tc>
          <w:tcPr>
            <w:tcW w:w="3091" w:type="dxa"/>
            <w:tcBorders>
              <w:top w:val="single" w:sz="12" w:space="0" w:color="808080" w:themeColor="background1" w:themeShade="80"/>
              <w:left w:val="single" w:sz="4" w:space="0" w:color="auto"/>
              <w:bottom w:val="single" w:sz="4" w:space="0" w:color="auto"/>
              <w:right w:val="nil"/>
            </w:tcBorders>
            <w:shd w:val="clear" w:color="000000" w:fill="D9D9D9"/>
            <w:noWrap/>
            <w:vAlign w:val="center"/>
            <w:hideMark/>
          </w:tcPr>
          <w:p w14:paraId="42363A1C" w14:textId="77777777" w:rsidR="00561D6E" w:rsidRPr="00BF02CB" w:rsidRDefault="00561D6E" w:rsidP="00561D6E">
            <w:pPr>
              <w:spacing w:after="0"/>
              <w:rPr>
                <w:rFonts w:ascii="Arial" w:hAnsi="Arial" w:cs="Arial"/>
                <w:sz w:val="16"/>
                <w:szCs w:val="16"/>
              </w:rPr>
            </w:pPr>
            <w:r w:rsidRPr="00BF02CB">
              <w:rPr>
                <w:rFonts w:ascii="Arial" w:hAnsi="Arial" w:cs="Arial"/>
                <w:sz w:val="16"/>
                <w:szCs w:val="16"/>
              </w:rPr>
              <w:t>Major Cities</w:t>
            </w:r>
          </w:p>
        </w:tc>
        <w:tc>
          <w:tcPr>
            <w:tcW w:w="1367" w:type="dxa"/>
            <w:tcBorders>
              <w:top w:val="single" w:sz="12" w:space="0" w:color="808080" w:themeColor="background1" w:themeShade="80"/>
              <w:left w:val="nil"/>
              <w:bottom w:val="single" w:sz="4" w:space="0" w:color="auto"/>
              <w:right w:val="nil"/>
            </w:tcBorders>
            <w:shd w:val="clear" w:color="000000" w:fill="D9D9D9"/>
            <w:noWrap/>
            <w:vAlign w:val="center"/>
            <w:hideMark/>
          </w:tcPr>
          <w:p w14:paraId="356012EC"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159</w:t>
            </w:r>
          </w:p>
        </w:tc>
        <w:tc>
          <w:tcPr>
            <w:tcW w:w="1447" w:type="dxa"/>
            <w:gridSpan w:val="2"/>
            <w:tcBorders>
              <w:top w:val="single" w:sz="12" w:space="0" w:color="808080" w:themeColor="background1" w:themeShade="80"/>
              <w:left w:val="nil"/>
              <w:bottom w:val="single" w:sz="4" w:space="0" w:color="auto"/>
              <w:right w:val="nil"/>
            </w:tcBorders>
            <w:shd w:val="clear" w:color="000000" w:fill="D9D9D9"/>
            <w:noWrap/>
            <w:vAlign w:val="center"/>
            <w:hideMark/>
          </w:tcPr>
          <w:p w14:paraId="41C2BDE7" w14:textId="49ABD3A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50.6</w:t>
            </w:r>
          </w:p>
        </w:tc>
        <w:tc>
          <w:tcPr>
            <w:tcW w:w="1237" w:type="dxa"/>
            <w:tcBorders>
              <w:top w:val="single" w:sz="12" w:space="0" w:color="808080" w:themeColor="background1" w:themeShade="80"/>
              <w:left w:val="nil"/>
              <w:bottom w:val="single" w:sz="4" w:space="0" w:color="auto"/>
              <w:right w:val="nil"/>
            </w:tcBorders>
            <w:shd w:val="clear" w:color="000000" w:fill="D9D9D9"/>
            <w:noWrap/>
            <w:vAlign w:val="center"/>
            <w:hideMark/>
          </w:tcPr>
          <w:p w14:paraId="66FC1C69"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18,</w:t>
            </w:r>
            <w:r w:rsidRPr="00BF02CB">
              <w:rPr>
                <w:rFonts w:ascii="Arial" w:hAnsi="Arial" w:cs="Arial"/>
                <w:sz w:val="16"/>
                <w:szCs w:val="16"/>
              </w:rPr>
              <w:t>610</w:t>
            </w:r>
          </w:p>
        </w:tc>
        <w:tc>
          <w:tcPr>
            <w:tcW w:w="1237" w:type="dxa"/>
            <w:tcBorders>
              <w:top w:val="single" w:sz="12" w:space="0" w:color="808080" w:themeColor="background1" w:themeShade="80"/>
              <w:left w:val="nil"/>
              <w:bottom w:val="single" w:sz="4" w:space="0" w:color="auto"/>
              <w:right w:val="nil"/>
            </w:tcBorders>
            <w:shd w:val="clear" w:color="000000" w:fill="D9D9D9"/>
            <w:noWrap/>
            <w:vAlign w:val="center"/>
            <w:hideMark/>
          </w:tcPr>
          <w:p w14:paraId="70DACBA6" w14:textId="4A3185B8"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71.0</w:t>
            </w:r>
          </w:p>
        </w:tc>
        <w:tc>
          <w:tcPr>
            <w:tcW w:w="1827" w:type="dxa"/>
            <w:tcBorders>
              <w:top w:val="single" w:sz="12" w:space="0" w:color="808080" w:themeColor="background1" w:themeShade="80"/>
              <w:left w:val="nil"/>
              <w:bottom w:val="single" w:sz="4" w:space="0" w:color="auto"/>
              <w:right w:val="nil"/>
            </w:tcBorders>
            <w:shd w:val="clear" w:color="000000" w:fill="D9D9D9"/>
            <w:noWrap/>
            <w:vAlign w:val="center"/>
            <w:hideMark/>
          </w:tcPr>
          <w:p w14:paraId="14C3818A"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78.0</w:t>
            </w:r>
            <w:r>
              <w:rPr>
                <w:rFonts w:ascii="Arial" w:hAnsi="Arial" w:cs="Arial"/>
                <w:sz w:val="16"/>
                <w:szCs w:val="16"/>
              </w:rPr>
              <w:t>%</w:t>
            </w:r>
          </w:p>
        </w:tc>
        <w:tc>
          <w:tcPr>
            <w:tcW w:w="1618" w:type="dxa"/>
            <w:tcBorders>
              <w:top w:val="single" w:sz="12" w:space="0" w:color="808080" w:themeColor="background1" w:themeShade="80"/>
              <w:left w:val="nil"/>
              <w:bottom w:val="single" w:sz="4" w:space="0" w:color="auto"/>
              <w:right w:val="nil"/>
            </w:tcBorders>
            <w:shd w:val="clear" w:color="000000" w:fill="D9D9D9"/>
            <w:noWrap/>
            <w:vAlign w:val="center"/>
            <w:hideMark/>
          </w:tcPr>
          <w:p w14:paraId="2B4D43B5" w14:textId="4F50C6D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43.0</w:t>
            </w:r>
          </w:p>
        </w:tc>
        <w:tc>
          <w:tcPr>
            <w:tcW w:w="1642" w:type="dxa"/>
            <w:tcBorders>
              <w:top w:val="single" w:sz="12" w:space="0" w:color="808080" w:themeColor="background1" w:themeShade="80"/>
              <w:left w:val="nil"/>
              <w:bottom w:val="single" w:sz="4" w:space="0" w:color="auto"/>
              <w:right w:val="single" w:sz="4" w:space="0" w:color="auto"/>
            </w:tcBorders>
            <w:shd w:val="clear" w:color="000000" w:fill="D9D9D9"/>
            <w:noWrap/>
            <w:vAlign w:val="center"/>
            <w:hideMark/>
          </w:tcPr>
          <w:p w14:paraId="4E2B2F8D" w14:textId="428B9E1D"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30.3</w:t>
            </w:r>
          </w:p>
        </w:tc>
      </w:tr>
      <w:tr w:rsidR="00561D6E" w:rsidRPr="00BF02CB" w14:paraId="5F42A67F" w14:textId="77777777" w:rsidTr="00C36529">
        <w:trPr>
          <w:trHeight w:val="177"/>
        </w:trPr>
        <w:tc>
          <w:tcPr>
            <w:tcW w:w="1384" w:type="dxa"/>
            <w:vMerge/>
            <w:tcBorders>
              <w:top w:val="nil"/>
              <w:left w:val="nil"/>
              <w:bottom w:val="single" w:sz="12" w:space="0" w:color="FFFFFF"/>
              <w:right w:val="nil"/>
            </w:tcBorders>
            <w:vAlign w:val="center"/>
            <w:hideMark/>
          </w:tcPr>
          <w:p w14:paraId="5272A26F"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000000" w:fill="D9D9D9"/>
            <w:noWrap/>
            <w:vAlign w:val="center"/>
            <w:hideMark/>
          </w:tcPr>
          <w:p w14:paraId="12CE6527" w14:textId="77777777" w:rsidR="00561D6E" w:rsidRPr="00BF02CB" w:rsidRDefault="00561D6E" w:rsidP="00561D6E">
            <w:pPr>
              <w:spacing w:after="0"/>
              <w:rPr>
                <w:rFonts w:ascii="Arial" w:hAnsi="Arial" w:cs="Arial"/>
                <w:sz w:val="16"/>
                <w:szCs w:val="16"/>
              </w:rPr>
            </w:pPr>
            <w:r w:rsidRPr="00BF02CB">
              <w:rPr>
                <w:rFonts w:ascii="Arial" w:hAnsi="Arial" w:cs="Arial"/>
                <w:sz w:val="16"/>
                <w:szCs w:val="16"/>
              </w:rPr>
              <w:t>Inner regional</w:t>
            </w:r>
          </w:p>
        </w:tc>
        <w:tc>
          <w:tcPr>
            <w:tcW w:w="1367" w:type="dxa"/>
            <w:tcBorders>
              <w:top w:val="nil"/>
              <w:left w:val="nil"/>
              <w:bottom w:val="single" w:sz="4" w:space="0" w:color="auto"/>
              <w:right w:val="nil"/>
            </w:tcBorders>
            <w:shd w:val="clear" w:color="000000" w:fill="D9D9D9"/>
            <w:noWrap/>
            <w:vAlign w:val="center"/>
            <w:hideMark/>
          </w:tcPr>
          <w:p w14:paraId="130B4111"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95</w:t>
            </w:r>
          </w:p>
        </w:tc>
        <w:tc>
          <w:tcPr>
            <w:tcW w:w="1447" w:type="dxa"/>
            <w:gridSpan w:val="2"/>
            <w:tcBorders>
              <w:top w:val="nil"/>
              <w:left w:val="nil"/>
              <w:bottom w:val="single" w:sz="4" w:space="0" w:color="auto"/>
              <w:right w:val="nil"/>
            </w:tcBorders>
            <w:shd w:val="clear" w:color="000000" w:fill="D9D9D9"/>
            <w:noWrap/>
            <w:vAlign w:val="center"/>
            <w:hideMark/>
          </w:tcPr>
          <w:p w14:paraId="31CBEFFC" w14:textId="5FE377B2"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30.3</w:t>
            </w:r>
          </w:p>
        </w:tc>
        <w:tc>
          <w:tcPr>
            <w:tcW w:w="1237" w:type="dxa"/>
            <w:tcBorders>
              <w:top w:val="nil"/>
              <w:left w:val="nil"/>
              <w:bottom w:val="single" w:sz="4" w:space="0" w:color="auto"/>
              <w:right w:val="nil"/>
            </w:tcBorders>
            <w:shd w:val="clear" w:color="000000" w:fill="D9D9D9"/>
            <w:noWrap/>
            <w:vAlign w:val="center"/>
            <w:hideMark/>
          </w:tcPr>
          <w:p w14:paraId="77C262F8"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4,</w:t>
            </w:r>
            <w:r w:rsidRPr="00BF02CB">
              <w:rPr>
                <w:rFonts w:ascii="Arial" w:hAnsi="Arial" w:cs="Arial"/>
                <w:sz w:val="16"/>
                <w:szCs w:val="16"/>
              </w:rPr>
              <w:t>904</w:t>
            </w:r>
          </w:p>
        </w:tc>
        <w:tc>
          <w:tcPr>
            <w:tcW w:w="1237" w:type="dxa"/>
            <w:tcBorders>
              <w:top w:val="nil"/>
              <w:left w:val="nil"/>
              <w:bottom w:val="single" w:sz="4" w:space="0" w:color="auto"/>
              <w:right w:val="nil"/>
            </w:tcBorders>
            <w:shd w:val="clear" w:color="000000" w:fill="D9D9D9"/>
            <w:noWrap/>
            <w:vAlign w:val="center"/>
            <w:hideMark/>
          </w:tcPr>
          <w:p w14:paraId="775BCEC8" w14:textId="68E3AFB0"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18.7</w:t>
            </w:r>
          </w:p>
        </w:tc>
        <w:tc>
          <w:tcPr>
            <w:tcW w:w="1827" w:type="dxa"/>
            <w:tcBorders>
              <w:top w:val="nil"/>
              <w:left w:val="nil"/>
              <w:bottom w:val="single" w:sz="4" w:space="0" w:color="auto"/>
              <w:right w:val="nil"/>
            </w:tcBorders>
            <w:shd w:val="clear" w:color="000000" w:fill="D9D9D9"/>
            <w:noWrap/>
            <w:vAlign w:val="center"/>
            <w:hideMark/>
          </w:tcPr>
          <w:p w14:paraId="1818D741"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77.2</w:t>
            </w:r>
            <w:r>
              <w:rPr>
                <w:rFonts w:ascii="Arial" w:hAnsi="Arial" w:cs="Arial"/>
                <w:sz w:val="16"/>
                <w:szCs w:val="16"/>
              </w:rPr>
              <w:t>%</w:t>
            </w:r>
          </w:p>
        </w:tc>
        <w:tc>
          <w:tcPr>
            <w:tcW w:w="1618" w:type="dxa"/>
            <w:tcBorders>
              <w:top w:val="nil"/>
              <w:left w:val="nil"/>
              <w:bottom w:val="single" w:sz="4" w:space="0" w:color="auto"/>
              <w:right w:val="nil"/>
            </w:tcBorders>
            <w:shd w:val="clear" w:color="000000" w:fill="D9D9D9"/>
            <w:noWrap/>
            <w:vAlign w:val="center"/>
            <w:hideMark/>
          </w:tcPr>
          <w:p w14:paraId="0C069130" w14:textId="1E76D186"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35.6</w:t>
            </w:r>
          </w:p>
        </w:tc>
        <w:tc>
          <w:tcPr>
            <w:tcW w:w="1642" w:type="dxa"/>
            <w:tcBorders>
              <w:top w:val="nil"/>
              <w:left w:val="nil"/>
              <w:bottom w:val="single" w:sz="4" w:space="0" w:color="auto"/>
              <w:right w:val="single" w:sz="4" w:space="0" w:color="auto"/>
            </w:tcBorders>
            <w:shd w:val="clear" w:color="000000" w:fill="D9D9D9"/>
            <w:noWrap/>
            <w:vAlign w:val="center"/>
            <w:hideMark/>
          </w:tcPr>
          <w:p w14:paraId="72FC973B" w14:textId="013D8798"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28.9</w:t>
            </w:r>
          </w:p>
        </w:tc>
      </w:tr>
      <w:tr w:rsidR="00561D6E" w:rsidRPr="00BF02CB" w14:paraId="3055998B" w14:textId="77777777" w:rsidTr="00C36529">
        <w:trPr>
          <w:trHeight w:val="177"/>
        </w:trPr>
        <w:tc>
          <w:tcPr>
            <w:tcW w:w="1384" w:type="dxa"/>
            <w:vMerge/>
            <w:tcBorders>
              <w:top w:val="nil"/>
              <w:left w:val="nil"/>
              <w:bottom w:val="single" w:sz="12" w:space="0" w:color="FFFFFF"/>
              <w:right w:val="nil"/>
            </w:tcBorders>
            <w:vAlign w:val="center"/>
            <w:hideMark/>
          </w:tcPr>
          <w:p w14:paraId="1AFA3DEA"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000000" w:fill="D9D9D9"/>
            <w:noWrap/>
            <w:vAlign w:val="center"/>
            <w:hideMark/>
          </w:tcPr>
          <w:p w14:paraId="0D260371" w14:textId="77777777" w:rsidR="00561D6E" w:rsidRPr="00BF02CB" w:rsidRDefault="00561D6E" w:rsidP="00561D6E">
            <w:pPr>
              <w:spacing w:after="0"/>
              <w:rPr>
                <w:rFonts w:ascii="Arial" w:hAnsi="Arial" w:cs="Arial"/>
                <w:sz w:val="16"/>
                <w:szCs w:val="16"/>
              </w:rPr>
            </w:pPr>
            <w:r w:rsidRPr="00BF02CB">
              <w:rPr>
                <w:rFonts w:ascii="Arial" w:hAnsi="Arial" w:cs="Arial"/>
                <w:sz w:val="16"/>
                <w:szCs w:val="16"/>
              </w:rPr>
              <w:t>Outer regional</w:t>
            </w:r>
          </w:p>
        </w:tc>
        <w:tc>
          <w:tcPr>
            <w:tcW w:w="1367" w:type="dxa"/>
            <w:tcBorders>
              <w:top w:val="nil"/>
              <w:left w:val="nil"/>
              <w:bottom w:val="single" w:sz="4" w:space="0" w:color="auto"/>
              <w:right w:val="nil"/>
            </w:tcBorders>
            <w:shd w:val="clear" w:color="000000" w:fill="D9D9D9"/>
            <w:noWrap/>
            <w:vAlign w:val="center"/>
            <w:hideMark/>
          </w:tcPr>
          <w:p w14:paraId="065EB9D5"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52</w:t>
            </w:r>
          </w:p>
        </w:tc>
        <w:tc>
          <w:tcPr>
            <w:tcW w:w="1447" w:type="dxa"/>
            <w:gridSpan w:val="2"/>
            <w:tcBorders>
              <w:top w:val="nil"/>
              <w:left w:val="nil"/>
              <w:bottom w:val="single" w:sz="4" w:space="0" w:color="auto"/>
              <w:right w:val="nil"/>
            </w:tcBorders>
            <w:shd w:val="clear" w:color="000000" w:fill="D9D9D9"/>
            <w:noWrap/>
            <w:vAlign w:val="center"/>
            <w:hideMark/>
          </w:tcPr>
          <w:p w14:paraId="7B0BC132" w14:textId="3473D330"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16.6</w:t>
            </w:r>
          </w:p>
        </w:tc>
        <w:tc>
          <w:tcPr>
            <w:tcW w:w="1237" w:type="dxa"/>
            <w:tcBorders>
              <w:top w:val="nil"/>
              <w:left w:val="nil"/>
              <w:bottom w:val="single" w:sz="4" w:space="0" w:color="auto"/>
              <w:right w:val="nil"/>
            </w:tcBorders>
            <w:shd w:val="clear" w:color="000000" w:fill="D9D9D9"/>
            <w:noWrap/>
            <w:vAlign w:val="center"/>
            <w:hideMark/>
          </w:tcPr>
          <w:p w14:paraId="0CFF8A70"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2,</w:t>
            </w:r>
            <w:r w:rsidRPr="00BF02CB">
              <w:rPr>
                <w:rFonts w:ascii="Arial" w:hAnsi="Arial" w:cs="Arial"/>
                <w:sz w:val="16"/>
                <w:szCs w:val="16"/>
              </w:rPr>
              <w:t>322</w:t>
            </w:r>
          </w:p>
        </w:tc>
        <w:tc>
          <w:tcPr>
            <w:tcW w:w="1237" w:type="dxa"/>
            <w:tcBorders>
              <w:top w:val="nil"/>
              <w:left w:val="nil"/>
              <w:bottom w:val="single" w:sz="4" w:space="0" w:color="auto"/>
              <w:right w:val="nil"/>
            </w:tcBorders>
            <w:shd w:val="clear" w:color="000000" w:fill="D9D9D9"/>
            <w:noWrap/>
            <w:vAlign w:val="center"/>
            <w:hideMark/>
          </w:tcPr>
          <w:p w14:paraId="426E941F" w14:textId="01D7E462"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8.9</w:t>
            </w:r>
          </w:p>
        </w:tc>
        <w:tc>
          <w:tcPr>
            <w:tcW w:w="1827" w:type="dxa"/>
            <w:tcBorders>
              <w:top w:val="nil"/>
              <w:left w:val="nil"/>
              <w:bottom w:val="single" w:sz="4" w:space="0" w:color="auto"/>
              <w:right w:val="nil"/>
            </w:tcBorders>
            <w:shd w:val="clear" w:color="000000" w:fill="D9D9D9"/>
            <w:noWrap/>
            <w:vAlign w:val="center"/>
            <w:hideMark/>
          </w:tcPr>
          <w:p w14:paraId="27355443"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74.4</w:t>
            </w:r>
            <w:r>
              <w:rPr>
                <w:rFonts w:ascii="Arial" w:hAnsi="Arial" w:cs="Arial"/>
                <w:sz w:val="16"/>
                <w:szCs w:val="16"/>
              </w:rPr>
              <w:t>%</w:t>
            </w:r>
          </w:p>
        </w:tc>
        <w:tc>
          <w:tcPr>
            <w:tcW w:w="1618" w:type="dxa"/>
            <w:tcBorders>
              <w:top w:val="nil"/>
              <w:left w:val="nil"/>
              <w:bottom w:val="single" w:sz="4" w:space="0" w:color="auto"/>
              <w:right w:val="nil"/>
            </w:tcBorders>
            <w:shd w:val="clear" w:color="000000" w:fill="D9D9D9"/>
            <w:noWrap/>
            <w:vAlign w:val="center"/>
            <w:hideMark/>
          </w:tcPr>
          <w:p w14:paraId="43EE5080" w14:textId="3CAEF196"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32.3</w:t>
            </w:r>
          </w:p>
        </w:tc>
        <w:tc>
          <w:tcPr>
            <w:tcW w:w="1642" w:type="dxa"/>
            <w:tcBorders>
              <w:top w:val="nil"/>
              <w:left w:val="nil"/>
              <w:bottom w:val="single" w:sz="4" w:space="0" w:color="auto"/>
              <w:right w:val="single" w:sz="4" w:space="0" w:color="auto"/>
            </w:tcBorders>
            <w:shd w:val="clear" w:color="000000" w:fill="D9D9D9"/>
            <w:noWrap/>
            <w:vAlign w:val="center"/>
            <w:hideMark/>
          </w:tcPr>
          <w:p w14:paraId="28932740" w14:textId="30878984"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39.3</w:t>
            </w:r>
          </w:p>
        </w:tc>
      </w:tr>
      <w:tr w:rsidR="00561D6E" w:rsidRPr="00BF02CB" w14:paraId="252C55B6" w14:textId="77777777" w:rsidTr="00C36529">
        <w:trPr>
          <w:trHeight w:val="177"/>
        </w:trPr>
        <w:tc>
          <w:tcPr>
            <w:tcW w:w="1384" w:type="dxa"/>
            <w:vMerge/>
            <w:tcBorders>
              <w:top w:val="nil"/>
              <w:left w:val="nil"/>
              <w:bottom w:val="single" w:sz="12" w:space="0" w:color="FFFFFF"/>
              <w:right w:val="nil"/>
            </w:tcBorders>
            <w:vAlign w:val="center"/>
            <w:hideMark/>
          </w:tcPr>
          <w:p w14:paraId="5EF0346C"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000000" w:fill="D9D9D9"/>
            <w:noWrap/>
            <w:vAlign w:val="center"/>
            <w:hideMark/>
          </w:tcPr>
          <w:p w14:paraId="401805A6" w14:textId="77777777" w:rsidR="00561D6E" w:rsidRPr="00BF02CB" w:rsidRDefault="00561D6E" w:rsidP="00561D6E">
            <w:pPr>
              <w:spacing w:after="0"/>
              <w:rPr>
                <w:rFonts w:ascii="Arial" w:hAnsi="Arial" w:cs="Arial"/>
                <w:sz w:val="16"/>
                <w:szCs w:val="16"/>
              </w:rPr>
            </w:pPr>
            <w:r w:rsidRPr="00BF02CB">
              <w:rPr>
                <w:rFonts w:ascii="Arial" w:hAnsi="Arial" w:cs="Arial"/>
                <w:sz w:val="16"/>
                <w:szCs w:val="16"/>
              </w:rPr>
              <w:t>Remote</w:t>
            </w:r>
          </w:p>
        </w:tc>
        <w:tc>
          <w:tcPr>
            <w:tcW w:w="1367" w:type="dxa"/>
            <w:tcBorders>
              <w:top w:val="nil"/>
              <w:left w:val="nil"/>
              <w:bottom w:val="single" w:sz="4" w:space="0" w:color="auto"/>
              <w:right w:val="nil"/>
            </w:tcBorders>
            <w:shd w:val="clear" w:color="000000" w:fill="D9D9D9"/>
            <w:noWrap/>
            <w:vAlign w:val="center"/>
            <w:hideMark/>
          </w:tcPr>
          <w:p w14:paraId="749D9927"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5</w:t>
            </w:r>
          </w:p>
        </w:tc>
        <w:tc>
          <w:tcPr>
            <w:tcW w:w="1447" w:type="dxa"/>
            <w:gridSpan w:val="2"/>
            <w:tcBorders>
              <w:top w:val="nil"/>
              <w:left w:val="nil"/>
              <w:bottom w:val="single" w:sz="4" w:space="0" w:color="auto"/>
              <w:right w:val="nil"/>
            </w:tcBorders>
            <w:shd w:val="clear" w:color="000000" w:fill="D9D9D9"/>
            <w:noWrap/>
            <w:vAlign w:val="center"/>
            <w:hideMark/>
          </w:tcPr>
          <w:p w14:paraId="5D0963EE" w14:textId="5A79A503"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1.6</w:t>
            </w:r>
          </w:p>
        </w:tc>
        <w:tc>
          <w:tcPr>
            <w:tcW w:w="1237" w:type="dxa"/>
            <w:tcBorders>
              <w:top w:val="nil"/>
              <w:left w:val="nil"/>
              <w:bottom w:val="single" w:sz="4" w:space="0" w:color="auto"/>
              <w:right w:val="nil"/>
            </w:tcBorders>
            <w:shd w:val="clear" w:color="000000" w:fill="D9D9D9"/>
            <w:noWrap/>
            <w:vAlign w:val="center"/>
            <w:hideMark/>
          </w:tcPr>
          <w:p w14:paraId="4C4B778E"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279</w:t>
            </w:r>
          </w:p>
        </w:tc>
        <w:tc>
          <w:tcPr>
            <w:tcW w:w="1237" w:type="dxa"/>
            <w:tcBorders>
              <w:top w:val="nil"/>
              <w:left w:val="nil"/>
              <w:bottom w:val="single" w:sz="4" w:space="0" w:color="auto"/>
              <w:right w:val="nil"/>
            </w:tcBorders>
            <w:shd w:val="clear" w:color="000000" w:fill="D9D9D9"/>
            <w:noWrap/>
            <w:vAlign w:val="center"/>
            <w:hideMark/>
          </w:tcPr>
          <w:p w14:paraId="0636511D" w14:textId="5261373A"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1.1</w:t>
            </w:r>
          </w:p>
        </w:tc>
        <w:tc>
          <w:tcPr>
            <w:tcW w:w="1827" w:type="dxa"/>
            <w:tcBorders>
              <w:top w:val="nil"/>
              <w:left w:val="nil"/>
              <w:bottom w:val="single" w:sz="4" w:space="0" w:color="auto"/>
              <w:right w:val="nil"/>
            </w:tcBorders>
            <w:shd w:val="clear" w:color="000000" w:fill="D9D9D9"/>
            <w:noWrap/>
            <w:vAlign w:val="center"/>
            <w:hideMark/>
          </w:tcPr>
          <w:p w14:paraId="6CD286CC"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90.0</w:t>
            </w:r>
            <w:r>
              <w:rPr>
                <w:rFonts w:ascii="Arial" w:hAnsi="Arial" w:cs="Arial"/>
                <w:sz w:val="16"/>
                <w:szCs w:val="16"/>
              </w:rPr>
              <w:t>%</w:t>
            </w:r>
          </w:p>
        </w:tc>
        <w:tc>
          <w:tcPr>
            <w:tcW w:w="1618" w:type="dxa"/>
            <w:tcBorders>
              <w:top w:val="nil"/>
              <w:left w:val="nil"/>
              <w:bottom w:val="single" w:sz="4" w:space="0" w:color="auto"/>
              <w:right w:val="nil"/>
            </w:tcBorders>
            <w:shd w:val="clear" w:color="000000" w:fill="D9D9D9"/>
            <w:noWrap/>
            <w:vAlign w:val="center"/>
            <w:hideMark/>
          </w:tcPr>
          <w:p w14:paraId="638A21F7" w14:textId="67C99D93"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31.2</w:t>
            </w:r>
          </w:p>
        </w:tc>
        <w:tc>
          <w:tcPr>
            <w:tcW w:w="1642" w:type="dxa"/>
            <w:tcBorders>
              <w:top w:val="nil"/>
              <w:left w:val="nil"/>
              <w:bottom w:val="single" w:sz="4" w:space="0" w:color="auto"/>
              <w:right w:val="single" w:sz="4" w:space="0" w:color="auto"/>
            </w:tcBorders>
            <w:shd w:val="clear" w:color="000000" w:fill="D9D9D9"/>
            <w:noWrap/>
            <w:vAlign w:val="center"/>
            <w:hideMark/>
          </w:tcPr>
          <w:p w14:paraId="4545E343" w14:textId="5AB368BD"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66.7</w:t>
            </w:r>
          </w:p>
        </w:tc>
      </w:tr>
      <w:tr w:rsidR="00561D6E" w:rsidRPr="00BF02CB" w14:paraId="0E0CF942" w14:textId="77777777" w:rsidTr="00C36529">
        <w:trPr>
          <w:trHeight w:val="185"/>
        </w:trPr>
        <w:tc>
          <w:tcPr>
            <w:tcW w:w="1384" w:type="dxa"/>
            <w:vMerge/>
            <w:tcBorders>
              <w:top w:val="nil"/>
              <w:left w:val="nil"/>
              <w:bottom w:val="single" w:sz="12" w:space="0" w:color="FFFFFF"/>
              <w:right w:val="nil"/>
            </w:tcBorders>
            <w:vAlign w:val="center"/>
            <w:hideMark/>
          </w:tcPr>
          <w:p w14:paraId="30E0EED3"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12" w:space="0" w:color="808080" w:themeColor="background1" w:themeShade="80"/>
              <w:right w:val="nil"/>
            </w:tcBorders>
            <w:shd w:val="clear" w:color="000000" w:fill="D9D9D9"/>
            <w:noWrap/>
            <w:vAlign w:val="center"/>
            <w:hideMark/>
          </w:tcPr>
          <w:p w14:paraId="4036E7F9" w14:textId="77777777" w:rsidR="00561D6E" w:rsidRPr="00BF02CB" w:rsidRDefault="00561D6E" w:rsidP="00561D6E">
            <w:pPr>
              <w:spacing w:after="0"/>
              <w:rPr>
                <w:rFonts w:ascii="Arial" w:hAnsi="Arial" w:cs="Arial"/>
                <w:sz w:val="16"/>
                <w:szCs w:val="16"/>
              </w:rPr>
            </w:pPr>
            <w:r w:rsidRPr="00BF02CB">
              <w:rPr>
                <w:rFonts w:ascii="Arial" w:hAnsi="Arial" w:cs="Arial"/>
                <w:sz w:val="16"/>
                <w:szCs w:val="16"/>
              </w:rPr>
              <w:t>Very remote</w:t>
            </w:r>
          </w:p>
        </w:tc>
        <w:tc>
          <w:tcPr>
            <w:tcW w:w="1367" w:type="dxa"/>
            <w:tcBorders>
              <w:top w:val="nil"/>
              <w:left w:val="nil"/>
              <w:bottom w:val="single" w:sz="12" w:space="0" w:color="808080" w:themeColor="background1" w:themeShade="80"/>
              <w:right w:val="nil"/>
            </w:tcBorders>
            <w:shd w:val="clear" w:color="000000" w:fill="D9D9D9"/>
            <w:noWrap/>
            <w:vAlign w:val="center"/>
            <w:hideMark/>
          </w:tcPr>
          <w:p w14:paraId="156E14B3"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3</w:t>
            </w:r>
          </w:p>
        </w:tc>
        <w:tc>
          <w:tcPr>
            <w:tcW w:w="1447" w:type="dxa"/>
            <w:gridSpan w:val="2"/>
            <w:tcBorders>
              <w:top w:val="nil"/>
              <w:left w:val="nil"/>
              <w:bottom w:val="single" w:sz="12" w:space="0" w:color="808080" w:themeColor="background1" w:themeShade="80"/>
              <w:right w:val="nil"/>
            </w:tcBorders>
            <w:shd w:val="clear" w:color="000000" w:fill="D9D9D9"/>
            <w:noWrap/>
            <w:vAlign w:val="center"/>
            <w:hideMark/>
          </w:tcPr>
          <w:p w14:paraId="3B1CD751" w14:textId="07BC565C"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1.0</w:t>
            </w:r>
          </w:p>
        </w:tc>
        <w:tc>
          <w:tcPr>
            <w:tcW w:w="1237" w:type="dxa"/>
            <w:tcBorders>
              <w:top w:val="nil"/>
              <w:left w:val="nil"/>
              <w:bottom w:val="single" w:sz="12" w:space="0" w:color="808080" w:themeColor="background1" w:themeShade="80"/>
              <w:right w:val="nil"/>
            </w:tcBorders>
            <w:shd w:val="clear" w:color="000000" w:fill="D9D9D9"/>
            <w:noWrap/>
            <w:vAlign w:val="center"/>
            <w:hideMark/>
          </w:tcPr>
          <w:p w14:paraId="5C7D126B"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112</w:t>
            </w:r>
          </w:p>
        </w:tc>
        <w:tc>
          <w:tcPr>
            <w:tcW w:w="1237" w:type="dxa"/>
            <w:tcBorders>
              <w:top w:val="nil"/>
              <w:left w:val="nil"/>
              <w:bottom w:val="single" w:sz="12" w:space="0" w:color="808080" w:themeColor="background1" w:themeShade="80"/>
              <w:right w:val="nil"/>
            </w:tcBorders>
            <w:shd w:val="clear" w:color="000000" w:fill="D9D9D9"/>
            <w:noWrap/>
            <w:vAlign w:val="center"/>
            <w:hideMark/>
          </w:tcPr>
          <w:p w14:paraId="45388476" w14:textId="76908BAE"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0.4</w:t>
            </w:r>
          </w:p>
        </w:tc>
        <w:tc>
          <w:tcPr>
            <w:tcW w:w="1827" w:type="dxa"/>
            <w:tcBorders>
              <w:top w:val="nil"/>
              <w:left w:val="nil"/>
              <w:bottom w:val="single" w:sz="12" w:space="0" w:color="808080" w:themeColor="background1" w:themeShade="80"/>
              <w:right w:val="nil"/>
            </w:tcBorders>
            <w:shd w:val="clear" w:color="000000" w:fill="D9D9D9"/>
            <w:noWrap/>
            <w:vAlign w:val="center"/>
            <w:hideMark/>
          </w:tcPr>
          <w:p w14:paraId="243E8ACB"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96.4</w:t>
            </w:r>
            <w:r>
              <w:rPr>
                <w:rFonts w:ascii="Arial" w:hAnsi="Arial" w:cs="Arial"/>
                <w:sz w:val="16"/>
                <w:szCs w:val="16"/>
              </w:rPr>
              <w:t>%</w:t>
            </w:r>
          </w:p>
        </w:tc>
        <w:tc>
          <w:tcPr>
            <w:tcW w:w="1618" w:type="dxa"/>
            <w:tcBorders>
              <w:top w:val="nil"/>
              <w:left w:val="nil"/>
              <w:bottom w:val="single" w:sz="12" w:space="0" w:color="808080" w:themeColor="background1" w:themeShade="80"/>
              <w:right w:val="nil"/>
            </w:tcBorders>
            <w:shd w:val="clear" w:color="000000" w:fill="D9D9D9"/>
            <w:noWrap/>
            <w:vAlign w:val="center"/>
            <w:hideMark/>
          </w:tcPr>
          <w:p w14:paraId="0E5F651E" w14:textId="50C67028"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38.4</w:t>
            </w:r>
          </w:p>
        </w:tc>
        <w:tc>
          <w:tcPr>
            <w:tcW w:w="1642" w:type="dxa"/>
            <w:tcBorders>
              <w:top w:val="nil"/>
              <w:left w:val="nil"/>
              <w:bottom w:val="single" w:sz="12" w:space="0" w:color="808080" w:themeColor="background1" w:themeShade="80"/>
              <w:right w:val="single" w:sz="4" w:space="0" w:color="auto"/>
            </w:tcBorders>
            <w:shd w:val="clear" w:color="000000" w:fill="D9D9D9"/>
            <w:noWrap/>
            <w:vAlign w:val="center"/>
            <w:hideMark/>
          </w:tcPr>
          <w:p w14:paraId="7CB6DB6E" w14:textId="77777777" w:rsidR="00561D6E" w:rsidRPr="00BF02CB" w:rsidRDefault="00561D6E" w:rsidP="00561D6E">
            <w:pPr>
              <w:spacing w:after="0"/>
              <w:jc w:val="center"/>
              <w:rPr>
                <w:rFonts w:ascii="Arial" w:hAnsi="Arial" w:cs="Arial"/>
                <w:sz w:val="16"/>
                <w:szCs w:val="16"/>
              </w:rPr>
            </w:pPr>
            <w:proofErr w:type="spellStart"/>
            <w:r w:rsidRPr="00BF02CB">
              <w:rPr>
                <w:rFonts w:ascii="Arial" w:hAnsi="Arial" w:cs="Arial"/>
                <w:sz w:val="16"/>
                <w:szCs w:val="16"/>
              </w:rPr>
              <w:t>na</w:t>
            </w:r>
            <w:proofErr w:type="spellEnd"/>
          </w:p>
        </w:tc>
      </w:tr>
      <w:tr w:rsidR="00561D6E" w:rsidRPr="00BF02CB" w14:paraId="114D70D0" w14:textId="77777777" w:rsidTr="00C36529">
        <w:trPr>
          <w:trHeight w:val="185"/>
        </w:trPr>
        <w:tc>
          <w:tcPr>
            <w:tcW w:w="1384" w:type="dxa"/>
            <w:vMerge w:val="restart"/>
            <w:tcBorders>
              <w:top w:val="nil"/>
              <w:left w:val="nil"/>
              <w:bottom w:val="single" w:sz="12" w:space="0" w:color="FFFFFF"/>
              <w:right w:val="nil"/>
            </w:tcBorders>
            <w:shd w:val="clear" w:color="000000" w:fill="808080"/>
            <w:vAlign w:val="center"/>
            <w:hideMark/>
          </w:tcPr>
          <w:p w14:paraId="22C31AD7" w14:textId="77777777" w:rsidR="00561D6E" w:rsidRPr="00BF02CB" w:rsidRDefault="00561D6E" w:rsidP="00561D6E">
            <w:pPr>
              <w:spacing w:after="0"/>
              <w:rPr>
                <w:rFonts w:ascii="Arial" w:hAnsi="Arial" w:cs="Arial"/>
                <w:color w:val="FFFFFF"/>
                <w:sz w:val="18"/>
                <w:szCs w:val="18"/>
              </w:rPr>
            </w:pPr>
            <w:r w:rsidRPr="00BF02CB">
              <w:rPr>
                <w:rFonts w:ascii="Arial" w:hAnsi="Arial" w:cs="Arial"/>
                <w:color w:val="FFFFFF"/>
                <w:sz w:val="18"/>
                <w:szCs w:val="18"/>
              </w:rPr>
              <w:t>Public hospital peer group</w:t>
            </w:r>
          </w:p>
        </w:tc>
        <w:tc>
          <w:tcPr>
            <w:tcW w:w="3091" w:type="dxa"/>
            <w:tcBorders>
              <w:top w:val="single" w:sz="12" w:space="0" w:color="808080" w:themeColor="background1" w:themeShade="80"/>
              <w:left w:val="single" w:sz="4" w:space="0" w:color="auto"/>
              <w:bottom w:val="single" w:sz="4" w:space="0" w:color="auto"/>
              <w:right w:val="nil"/>
            </w:tcBorders>
            <w:shd w:val="clear" w:color="auto" w:fill="auto"/>
            <w:noWrap/>
            <w:vAlign w:val="center"/>
            <w:hideMark/>
          </w:tcPr>
          <w:p w14:paraId="31E976FC"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Principal referral</w:t>
            </w:r>
          </w:p>
        </w:tc>
        <w:tc>
          <w:tcPr>
            <w:tcW w:w="1367" w:type="dxa"/>
            <w:tcBorders>
              <w:top w:val="single" w:sz="12" w:space="0" w:color="808080" w:themeColor="background1" w:themeShade="80"/>
              <w:left w:val="nil"/>
              <w:bottom w:val="single" w:sz="4" w:space="0" w:color="auto"/>
              <w:right w:val="nil"/>
            </w:tcBorders>
            <w:shd w:val="clear" w:color="auto" w:fill="auto"/>
            <w:noWrap/>
            <w:vAlign w:val="center"/>
            <w:hideMark/>
          </w:tcPr>
          <w:p w14:paraId="648662F5"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28</w:t>
            </w:r>
          </w:p>
        </w:tc>
        <w:tc>
          <w:tcPr>
            <w:tcW w:w="1447" w:type="dxa"/>
            <w:gridSpan w:val="2"/>
            <w:tcBorders>
              <w:top w:val="single" w:sz="12" w:space="0" w:color="808080" w:themeColor="background1" w:themeShade="80"/>
              <w:left w:val="nil"/>
              <w:bottom w:val="single" w:sz="4" w:space="0" w:color="auto"/>
              <w:right w:val="nil"/>
            </w:tcBorders>
            <w:shd w:val="clear" w:color="auto" w:fill="auto"/>
            <w:noWrap/>
            <w:vAlign w:val="center"/>
            <w:hideMark/>
          </w:tcPr>
          <w:p w14:paraId="128F40CD" w14:textId="2A96BB19" w:rsidR="00561D6E" w:rsidRPr="00BF02CB" w:rsidRDefault="0003613D" w:rsidP="00561D6E">
            <w:pPr>
              <w:spacing w:after="0"/>
              <w:jc w:val="center"/>
              <w:rPr>
                <w:rFonts w:ascii="Arial" w:hAnsi="Arial" w:cs="Arial"/>
                <w:sz w:val="16"/>
                <w:szCs w:val="16"/>
              </w:rPr>
            </w:pPr>
            <w:r>
              <w:rPr>
                <w:rFonts w:ascii="Arial" w:hAnsi="Arial" w:cs="Arial"/>
                <w:sz w:val="16"/>
                <w:szCs w:val="16"/>
              </w:rPr>
              <w:t>8.9</w:t>
            </w:r>
          </w:p>
        </w:tc>
        <w:tc>
          <w:tcPr>
            <w:tcW w:w="1237" w:type="dxa"/>
            <w:tcBorders>
              <w:top w:val="single" w:sz="12" w:space="0" w:color="808080" w:themeColor="background1" w:themeShade="80"/>
              <w:left w:val="nil"/>
              <w:bottom w:val="single" w:sz="4" w:space="0" w:color="auto"/>
              <w:right w:val="nil"/>
            </w:tcBorders>
            <w:shd w:val="clear" w:color="auto" w:fill="auto"/>
            <w:noWrap/>
            <w:vAlign w:val="center"/>
            <w:hideMark/>
          </w:tcPr>
          <w:p w14:paraId="1CB5AC40"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8,</w:t>
            </w:r>
            <w:r w:rsidRPr="00BF02CB">
              <w:rPr>
                <w:rFonts w:ascii="Arial" w:hAnsi="Arial" w:cs="Arial"/>
                <w:sz w:val="16"/>
                <w:szCs w:val="16"/>
              </w:rPr>
              <w:t>541</w:t>
            </w:r>
          </w:p>
        </w:tc>
        <w:tc>
          <w:tcPr>
            <w:tcW w:w="1237" w:type="dxa"/>
            <w:tcBorders>
              <w:top w:val="single" w:sz="12" w:space="0" w:color="808080" w:themeColor="background1" w:themeShade="80"/>
              <w:left w:val="nil"/>
              <w:bottom w:val="single" w:sz="4" w:space="0" w:color="auto"/>
              <w:right w:val="nil"/>
            </w:tcBorders>
            <w:shd w:val="clear" w:color="auto" w:fill="auto"/>
            <w:noWrap/>
            <w:vAlign w:val="center"/>
            <w:hideMark/>
          </w:tcPr>
          <w:p w14:paraId="009DDA70" w14:textId="224B7A5D" w:rsidR="00561D6E" w:rsidRPr="00BF02CB" w:rsidRDefault="00561D6E" w:rsidP="0003613D">
            <w:pPr>
              <w:spacing w:after="0"/>
              <w:jc w:val="center"/>
              <w:rPr>
                <w:rFonts w:ascii="Arial" w:hAnsi="Arial" w:cs="Arial"/>
                <w:sz w:val="16"/>
                <w:szCs w:val="16"/>
              </w:rPr>
            </w:pPr>
            <w:r w:rsidRPr="00BF02CB">
              <w:rPr>
                <w:rFonts w:ascii="Arial" w:hAnsi="Arial" w:cs="Arial"/>
                <w:sz w:val="16"/>
                <w:szCs w:val="16"/>
              </w:rPr>
              <w:t>32.6</w:t>
            </w:r>
          </w:p>
        </w:tc>
        <w:tc>
          <w:tcPr>
            <w:tcW w:w="1827" w:type="dxa"/>
            <w:tcBorders>
              <w:top w:val="single" w:sz="12" w:space="0" w:color="808080" w:themeColor="background1" w:themeShade="80"/>
              <w:left w:val="nil"/>
              <w:bottom w:val="single" w:sz="4" w:space="0" w:color="auto"/>
              <w:right w:val="nil"/>
            </w:tcBorders>
            <w:shd w:val="clear" w:color="auto" w:fill="auto"/>
            <w:noWrap/>
            <w:vAlign w:val="center"/>
            <w:hideMark/>
          </w:tcPr>
          <w:p w14:paraId="42D19D3B"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79.4%</w:t>
            </w:r>
          </w:p>
        </w:tc>
        <w:tc>
          <w:tcPr>
            <w:tcW w:w="1618" w:type="dxa"/>
            <w:tcBorders>
              <w:top w:val="single" w:sz="12" w:space="0" w:color="808080" w:themeColor="background1" w:themeShade="80"/>
              <w:left w:val="nil"/>
              <w:bottom w:val="single" w:sz="4" w:space="0" w:color="auto"/>
              <w:right w:val="nil"/>
            </w:tcBorders>
            <w:shd w:val="clear" w:color="auto" w:fill="auto"/>
            <w:noWrap/>
            <w:vAlign w:val="center"/>
            <w:hideMark/>
          </w:tcPr>
          <w:p w14:paraId="7E89B028" w14:textId="59CAB674" w:rsidR="00561D6E" w:rsidRPr="00BF02CB" w:rsidRDefault="0003613D" w:rsidP="00561D6E">
            <w:pPr>
              <w:spacing w:after="0"/>
              <w:jc w:val="center"/>
              <w:rPr>
                <w:rFonts w:ascii="Arial" w:hAnsi="Arial" w:cs="Arial"/>
                <w:sz w:val="16"/>
                <w:szCs w:val="16"/>
              </w:rPr>
            </w:pPr>
            <w:r>
              <w:rPr>
                <w:rFonts w:ascii="Arial" w:hAnsi="Arial" w:cs="Arial"/>
                <w:sz w:val="16"/>
                <w:szCs w:val="16"/>
              </w:rPr>
              <w:t>37.0</w:t>
            </w:r>
          </w:p>
        </w:tc>
        <w:tc>
          <w:tcPr>
            <w:tcW w:w="1642" w:type="dxa"/>
            <w:tcBorders>
              <w:top w:val="single" w:sz="12" w:space="0" w:color="808080" w:themeColor="background1" w:themeShade="80"/>
              <w:left w:val="nil"/>
              <w:bottom w:val="single" w:sz="4" w:space="0" w:color="auto"/>
              <w:right w:val="single" w:sz="4" w:space="0" w:color="auto"/>
            </w:tcBorders>
            <w:shd w:val="clear" w:color="auto" w:fill="auto"/>
            <w:noWrap/>
            <w:vAlign w:val="center"/>
            <w:hideMark/>
          </w:tcPr>
          <w:p w14:paraId="0337DE07" w14:textId="5CE91E9A" w:rsidR="00561D6E" w:rsidRPr="00BF02CB" w:rsidRDefault="0003613D" w:rsidP="00561D6E">
            <w:pPr>
              <w:spacing w:after="0"/>
              <w:jc w:val="center"/>
              <w:rPr>
                <w:rFonts w:ascii="Arial" w:hAnsi="Arial" w:cs="Arial"/>
                <w:sz w:val="16"/>
                <w:szCs w:val="16"/>
              </w:rPr>
            </w:pPr>
            <w:r>
              <w:rPr>
                <w:rFonts w:ascii="Arial" w:hAnsi="Arial" w:cs="Arial"/>
                <w:sz w:val="16"/>
                <w:szCs w:val="16"/>
              </w:rPr>
              <w:t>38.6</w:t>
            </w:r>
          </w:p>
        </w:tc>
      </w:tr>
      <w:tr w:rsidR="00561D6E" w:rsidRPr="00BF02CB" w14:paraId="577A9DB5" w14:textId="77777777" w:rsidTr="00C36529">
        <w:trPr>
          <w:trHeight w:val="177"/>
        </w:trPr>
        <w:tc>
          <w:tcPr>
            <w:tcW w:w="1384" w:type="dxa"/>
            <w:vMerge/>
            <w:tcBorders>
              <w:top w:val="nil"/>
              <w:left w:val="nil"/>
              <w:bottom w:val="single" w:sz="12" w:space="0" w:color="FFFFFF"/>
              <w:right w:val="nil"/>
            </w:tcBorders>
            <w:vAlign w:val="center"/>
            <w:hideMark/>
          </w:tcPr>
          <w:p w14:paraId="62ED8CDE"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auto" w:fill="auto"/>
            <w:noWrap/>
            <w:vAlign w:val="center"/>
            <w:hideMark/>
          </w:tcPr>
          <w:p w14:paraId="4E41FF0F"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Public acute group A hospitals</w:t>
            </w:r>
          </w:p>
        </w:tc>
        <w:tc>
          <w:tcPr>
            <w:tcW w:w="1367" w:type="dxa"/>
            <w:tcBorders>
              <w:top w:val="nil"/>
              <w:left w:val="nil"/>
              <w:bottom w:val="single" w:sz="4" w:space="0" w:color="auto"/>
              <w:right w:val="nil"/>
            </w:tcBorders>
            <w:shd w:val="clear" w:color="auto" w:fill="auto"/>
            <w:noWrap/>
            <w:vAlign w:val="center"/>
            <w:hideMark/>
          </w:tcPr>
          <w:p w14:paraId="54E2B731"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48</w:t>
            </w:r>
          </w:p>
        </w:tc>
        <w:tc>
          <w:tcPr>
            <w:tcW w:w="1447" w:type="dxa"/>
            <w:gridSpan w:val="2"/>
            <w:tcBorders>
              <w:top w:val="nil"/>
              <w:left w:val="nil"/>
              <w:bottom w:val="single" w:sz="4" w:space="0" w:color="auto"/>
              <w:right w:val="nil"/>
            </w:tcBorders>
            <w:shd w:val="clear" w:color="auto" w:fill="auto"/>
            <w:noWrap/>
            <w:vAlign w:val="center"/>
            <w:hideMark/>
          </w:tcPr>
          <w:p w14:paraId="189ABD5A" w14:textId="73948359" w:rsidR="00561D6E" w:rsidRPr="00BF02CB" w:rsidRDefault="00561D6E" w:rsidP="0003613D">
            <w:pPr>
              <w:spacing w:after="0"/>
              <w:jc w:val="center"/>
              <w:rPr>
                <w:rFonts w:ascii="Arial" w:hAnsi="Arial" w:cs="Arial"/>
                <w:sz w:val="16"/>
                <w:szCs w:val="16"/>
              </w:rPr>
            </w:pPr>
            <w:r w:rsidRPr="00BF02CB">
              <w:rPr>
                <w:rFonts w:ascii="Arial" w:hAnsi="Arial" w:cs="Arial"/>
                <w:sz w:val="16"/>
                <w:szCs w:val="16"/>
              </w:rPr>
              <w:t>15.3</w:t>
            </w:r>
          </w:p>
        </w:tc>
        <w:tc>
          <w:tcPr>
            <w:tcW w:w="1237" w:type="dxa"/>
            <w:tcBorders>
              <w:top w:val="nil"/>
              <w:left w:val="nil"/>
              <w:bottom w:val="single" w:sz="4" w:space="0" w:color="auto"/>
              <w:right w:val="nil"/>
            </w:tcBorders>
            <w:shd w:val="clear" w:color="auto" w:fill="auto"/>
            <w:noWrap/>
            <w:vAlign w:val="center"/>
            <w:hideMark/>
          </w:tcPr>
          <w:p w14:paraId="035EE46A"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5,</w:t>
            </w:r>
            <w:r w:rsidRPr="00BF02CB">
              <w:rPr>
                <w:rFonts w:ascii="Arial" w:hAnsi="Arial" w:cs="Arial"/>
                <w:sz w:val="16"/>
                <w:szCs w:val="16"/>
              </w:rPr>
              <w:t>368</w:t>
            </w:r>
          </w:p>
        </w:tc>
        <w:tc>
          <w:tcPr>
            <w:tcW w:w="1237" w:type="dxa"/>
            <w:tcBorders>
              <w:top w:val="nil"/>
              <w:left w:val="nil"/>
              <w:bottom w:val="single" w:sz="4" w:space="0" w:color="auto"/>
              <w:right w:val="nil"/>
            </w:tcBorders>
            <w:shd w:val="clear" w:color="auto" w:fill="auto"/>
            <w:noWrap/>
            <w:vAlign w:val="center"/>
            <w:hideMark/>
          </w:tcPr>
          <w:p w14:paraId="6A6D6B41" w14:textId="170DFD33" w:rsidR="00561D6E" w:rsidRPr="00BF02CB" w:rsidRDefault="0003613D" w:rsidP="00561D6E">
            <w:pPr>
              <w:spacing w:after="0"/>
              <w:jc w:val="center"/>
              <w:rPr>
                <w:rFonts w:ascii="Arial" w:hAnsi="Arial" w:cs="Arial"/>
                <w:sz w:val="16"/>
                <w:szCs w:val="16"/>
              </w:rPr>
            </w:pPr>
            <w:r>
              <w:rPr>
                <w:rFonts w:ascii="Arial" w:hAnsi="Arial" w:cs="Arial"/>
                <w:sz w:val="16"/>
                <w:szCs w:val="16"/>
              </w:rPr>
              <w:t>20.5</w:t>
            </w:r>
          </w:p>
        </w:tc>
        <w:tc>
          <w:tcPr>
            <w:tcW w:w="1827" w:type="dxa"/>
            <w:tcBorders>
              <w:top w:val="nil"/>
              <w:left w:val="nil"/>
              <w:bottom w:val="single" w:sz="4" w:space="0" w:color="auto"/>
              <w:right w:val="nil"/>
            </w:tcBorders>
            <w:shd w:val="clear" w:color="auto" w:fill="auto"/>
            <w:noWrap/>
            <w:vAlign w:val="center"/>
            <w:hideMark/>
          </w:tcPr>
          <w:p w14:paraId="02B89806"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83.3%</w:t>
            </w:r>
          </w:p>
        </w:tc>
        <w:tc>
          <w:tcPr>
            <w:tcW w:w="1618" w:type="dxa"/>
            <w:tcBorders>
              <w:top w:val="nil"/>
              <w:left w:val="nil"/>
              <w:bottom w:val="single" w:sz="4" w:space="0" w:color="auto"/>
              <w:right w:val="nil"/>
            </w:tcBorders>
            <w:shd w:val="clear" w:color="auto" w:fill="auto"/>
            <w:noWrap/>
            <w:vAlign w:val="center"/>
            <w:hideMark/>
          </w:tcPr>
          <w:p w14:paraId="7EACD7DF" w14:textId="0A184E41" w:rsidR="00561D6E" w:rsidRPr="00BF02CB" w:rsidRDefault="0003613D" w:rsidP="00561D6E">
            <w:pPr>
              <w:spacing w:after="0"/>
              <w:jc w:val="center"/>
              <w:rPr>
                <w:rFonts w:ascii="Arial" w:hAnsi="Arial" w:cs="Arial"/>
                <w:sz w:val="16"/>
                <w:szCs w:val="16"/>
              </w:rPr>
            </w:pPr>
            <w:r>
              <w:rPr>
                <w:rFonts w:ascii="Arial" w:hAnsi="Arial" w:cs="Arial"/>
                <w:sz w:val="16"/>
                <w:szCs w:val="16"/>
              </w:rPr>
              <w:t>36.4</w:t>
            </w:r>
          </w:p>
        </w:tc>
        <w:tc>
          <w:tcPr>
            <w:tcW w:w="1642" w:type="dxa"/>
            <w:tcBorders>
              <w:top w:val="nil"/>
              <w:left w:val="nil"/>
              <w:bottom w:val="single" w:sz="4" w:space="0" w:color="auto"/>
              <w:right w:val="single" w:sz="4" w:space="0" w:color="auto"/>
            </w:tcBorders>
            <w:shd w:val="clear" w:color="auto" w:fill="auto"/>
            <w:noWrap/>
            <w:vAlign w:val="center"/>
            <w:hideMark/>
          </w:tcPr>
          <w:p w14:paraId="47E280F9" w14:textId="3FC21318" w:rsidR="00561D6E" w:rsidRPr="00BF02CB" w:rsidRDefault="0003613D" w:rsidP="00561D6E">
            <w:pPr>
              <w:spacing w:after="0"/>
              <w:jc w:val="center"/>
              <w:rPr>
                <w:rFonts w:ascii="Arial" w:hAnsi="Arial" w:cs="Arial"/>
                <w:sz w:val="16"/>
                <w:szCs w:val="16"/>
              </w:rPr>
            </w:pPr>
            <w:r>
              <w:rPr>
                <w:rFonts w:ascii="Arial" w:hAnsi="Arial" w:cs="Arial"/>
                <w:sz w:val="16"/>
                <w:szCs w:val="16"/>
              </w:rPr>
              <w:t>41.4</w:t>
            </w:r>
          </w:p>
        </w:tc>
      </w:tr>
      <w:tr w:rsidR="00561D6E" w:rsidRPr="00BF02CB" w14:paraId="68532F2D" w14:textId="77777777" w:rsidTr="00C36529">
        <w:trPr>
          <w:trHeight w:val="177"/>
        </w:trPr>
        <w:tc>
          <w:tcPr>
            <w:tcW w:w="1384" w:type="dxa"/>
            <w:vMerge/>
            <w:tcBorders>
              <w:top w:val="nil"/>
              <w:left w:val="nil"/>
              <w:bottom w:val="single" w:sz="12" w:space="0" w:color="FFFFFF"/>
              <w:right w:val="nil"/>
            </w:tcBorders>
            <w:vAlign w:val="center"/>
            <w:hideMark/>
          </w:tcPr>
          <w:p w14:paraId="16010D03"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auto" w:fill="auto"/>
            <w:noWrap/>
            <w:vAlign w:val="center"/>
            <w:hideMark/>
          </w:tcPr>
          <w:p w14:paraId="415CE0EA"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Public acute group B hospitals</w:t>
            </w:r>
          </w:p>
        </w:tc>
        <w:tc>
          <w:tcPr>
            <w:tcW w:w="1367" w:type="dxa"/>
            <w:tcBorders>
              <w:top w:val="nil"/>
              <w:left w:val="nil"/>
              <w:bottom w:val="single" w:sz="4" w:space="0" w:color="auto"/>
              <w:right w:val="nil"/>
            </w:tcBorders>
            <w:shd w:val="clear" w:color="auto" w:fill="auto"/>
            <w:noWrap/>
            <w:vAlign w:val="center"/>
            <w:hideMark/>
          </w:tcPr>
          <w:p w14:paraId="232D4D06"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29</w:t>
            </w:r>
          </w:p>
        </w:tc>
        <w:tc>
          <w:tcPr>
            <w:tcW w:w="1447" w:type="dxa"/>
            <w:gridSpan w:val="2"/>
            <w:tcBorders>
              <w:top w:val="nil"/>
              <w:left w:val="nil"/>
              <w:bottom w:val="single" w:sz="4" w:space="0" w:color="auto"/>
              <w:right w:val="nil"/>
            </w:tcBorders>
            <w:shd w:val="clear" w:color="auto" w:fill="auto"/>
            <w:noWrap/>
            <w:vAlign w:val="center"/>
            <w:hideMark/>
          </w:tcPr>
          <w:p w14:paraId="1BF094C2" w14:textId="7C1945E9" w:rsidR="00561D6E" w:rsidRPr="00BF02CB" w:rsidRDefault="0003613D" w:rsidP="00561D6E">
            <w:pPr>
              <w:spacing w:after="0"/>
              <w:jc w:val="center"/>
              <w:rPr>
                <w:rFonts w:ascii="Arial" w:hAnsi="Arial" w:cs="Arial"/>
                <w:sz w:val="16"/>
                <w:szCs w:val="16"/>
              </w:rPr>
            </w:pPr>
            <w:r>
              <w:rPr>
                <w:rFonts w:ascii="Arial" w:hAnsi="Arial" w:cs="Arial"/>
                <w:sz w:val="16"/>
                <w:szCs w:val="16"/>
              </w:rPr>
              <w:t>9.2</w:t>
            </w:r>
          </w:p>
        </w:tc>
        <w:tc>
          <w:tcPr>
            <w:tcW w:w="1237" w:type="dxa"/>
            <w:tcBorders>
              <w:top w:val="nil"/>
              <w:left w:val="nil"/>
              <w:bottom w:val="single" w:sz="4" w:space="0" w:color="auto"/>
              <w:right w:val="nil"/>
            </w:tcBorders>
            <w:shd w:val="clear" w:color="auto" w:fill="auto"/>
            <w:noWrap/>
            <w:vAlign w:val="center"/>
            <w:hideMark/>
          </w:tcPr>
          <w:p w14:paraId="77878514"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2,</w:t>
            </w:r>
            <w:r w:rsidRPr="00BF02CB">
              <w:rPr>
                <w:rFonts w:ascii="Arial" w:hAnsi="Arial" w:cs="Arial"/>
                <w:sz w:val="16"/>
                <w:szCs w:val="16"/>
              </w:rPr>
              <w:t>027</w:t>
            </w:r>
          </w:p>
        </w:tc>
        <w:tc>
          <w:tcPr>
            <w:tcW w:w="1237" w:type="dxa"/>
            <w:tcBorders>
              <w:top w:val="nil"/>
              <w:left w:val="nil"/>
              <w:bottom w:val="single" w:sz="4" w:space="0" w:color="auto"/>
              <w:right w:val="nil"/>
            </w:tcBorders>
            <w:shd w:val="clear" w:color="auto" w:fill="auto"/>
            <w:noWrap/>
            <w:vAlign w:val="center"/>
            <w:hideMark/>
          </w:tcPr>
          <w:p w14:paraId="25094FB8" w14:textId="2A816FCA" w:rsidR="00561D6E" w:rsidRPr="00BF02CB" w:rsidRDefault="0003613D" w:rsidP="00561D6E">
            <w:pPr>
              <w:spacing w:after="0"/>
              <w:jc w:val="center"/>
              <w:rPr>
                <w:rFonts w:ascii="Arial" w:hAnsi="Arial" w:cs="Arial"/>
                <w:sz w:val="16"/>
                <w:szCs w:val="16"/>
              </w:rPr>
            </w:pPr>
            <w:r>
              <w:rPr>
                <w:rFonts w:ascii="Arial" w:hAnsi="Arial" w:cs="Arial"/>
                <w:sz w:val="16"/>
                <w:szCs w:val="16"/>
              </w:rPr>
              <w:t>7.7</w:t>
            </w:r>
          </w:p>
        </w:tc>
        <w:tc>
          <w:tcPr>
            <w:tcW w:w="1827" w:type="dxa"/>
            <w:tcBorders>
              <w:top w:val="nil"/>
              <w:left w:val="nil"/>
              <w:bottom w:val="single" w:sz="4" w:space="0" w:color="auto"/>
              <w:right w:val="nil"/>
            </w:tcBorders>
            <w:shd w:val="clear" w:color="auto" w:fill="auto"/>
            <w:noWrap/>
            <w:vAlign w:val="center"/>
            <w:hideMark/>
          </w:tcPr>
          <w:p w14:paraId="71441EA2"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76.7%</w:t>
            </w:r>
          </w:p>
        </w:tc>
        <w:tc>
          <w:tcPr>
            <w:tcW w:w="1618" w:type="dxa"/>
            <w:tcBorders>
              <w:top w:val="nil"/>
              <w:left w:val="nil"/>
              <w:bottom w:val="single" w:sz="4" w:space="0" w:color="auto"/>
              <w:right w:val="nil"/>
            </w:tcBorders>
            <w:shd w:val="clear" w:color="auto" w:fill="auto"/>
            <w:noWrap/>
            <w:vAlign w:val="center"/>
            <w:hideMark/>
          </w:tcPr>
          <w:p w14:paraId="5D58100E" w14:textId="33D0FD41" w:rsidR="00561D6E" w:rsidRPr="00BF02CB" w:rsidRDefault="0003613D" w:rsidP="00561D6E">
            <w:pPr>
              <w:spacing w:after="0"/>
              <w:jc w:val="center"/>
              <w:rPr>
                <w:rFonts w:ascii="Arial" w:hAnsi="Arial" w:cs="Arial"/>
                <w:sz w:val="16"/>
                <w:szCs w:val="16"/>
              </w:rPr>
            </w:pPr>
            <w:r>
              <w:rPr>
                <w:rFonts w:ascii="Arial" w:hAnsi="Arial" w:cs="Arial"/>
                <w:sz w:val="16"/>
                <w:szCs w:val="16"/>
              </w:rPr>
              <w:t>31.4</w:t>
            </w:r>
          </w:p>
        </w:tc>
        <w:tc>
          <w:tcPr>
            <w:tcW w:w="1642" w:type="dxa"/>
            <w:tcBorders>
              <w:top w:val="nil"/>
              <w:left w:val="nil"/>
              <w:bottom w:val="single" w:sz="4" w:space="0" w:color="auto"/>
              <w:right w:val="single" w:sz="4" w:space="0" w:color="auto"/>
            </w:tcBorders>
            <w:shd w:val="clear" w:color="auto" w:fill="auto"/>
            <w:noWrap/>
            <w:vAlign w:val="center"/>
            <w:hideMark/>
          </w:tcPr>
          <w:p w14:paraId="166CD5CF" w14:textId="6313EFC7" w:rsidR="00561D6E" w:rsidRPr="00BF02CB" w:rsidRDefault="0003613D" w:rsidP="00561D6E">
            <w:pPr>
              <w:spacing w:after="0"/>
              <w:jc w:val="center"/>
              <w:rPr>
                <w:rFonts w:ascii="Arial" w:hAnsi="Arial" w:cs="Arial"/>
                <w:sz w:val="16"/>
                <w:szCs w:val="16"/>
              </w:rPr>
            </w:pPr>
            <w:r>
              <w:rPr>
                <w:rFonts w:ascii="Arial" w:hAnsi="Arial" w:cs="Arial"/>
                <w:sz w:val="16"/>
                <w:szCs w:val="16"/>
              </w:rPr>
              <w:t>41.1</w:t>
            </w:r>
          </w:p>
        </w:tc>
      </w:tr>
      <w:tr w:rsidR="00561D6E" w:rsidRPr="00BF02CB" w14:paraId="6B01A9EC" w14:textId="77777777" w:rsidTr="00C36529">
        <w:trPr>
          <w:trHeight w:val="177"/>
        </w:trPr>
        <w:tc>
          <w:tcPr>
            <w:tcW w:w="1384" w:type="dxa"/>
            <w:vMerge/>
            <w:tcBorders>
              <w:top w:val="nil"/>
              <w:left w:val="nil"/>
              <w:bottom w:val="single" w:sz="12" w:space="0" w:color="FFFFFF"/>
              <w:right w:val="nil"/>
            </w:tcBorders>
            <w:vAlign w:val="center"/>
            <w:hideMark/>
          </w:tcPr>
          <w:p w14:paraId="5A45CE67"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auto" w:fill="auto"/>
            <w:noWrap/>
            <w:vAlign w:val="center"/>
            <w:hideMark/>
          </w:tcPr>
          <w:p w14:paraId="430C2554"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Public acute group C hospitals</w:t>
            </w:r>
          </w:p>
        </w:tc>
        <w:tc>
          <w:tcPr>
            <w:tcW w:w="1367" w:type="dxa"/>
            <w:tcBorders>
              <w:top w:val="nil"/>
              <w:left w:val="nil"/>
              <w:bottom w:val="single" w:sz="4" w:space="0" w:color="auto"/>
              <w:right w:val="nil"/>
            </w:tcBorders>
            <w:shd w:val="clear" w:color="auto" w:fill="auto"/>
            <w:noWrap/>
            <w:vAlign w:val="center"/>
            <w:hideMark/>
          </w:tcPr>
          <w:p w14:paraId="4400CE2C"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58</w:t>
            </w:r>
          </w:p>
        </w:tc>
        <w:tc>
          <w:tcPr>
            <w:tcW w:w="1447" w:type="dxa"/>
            <w:gridSpan w:val="2"/>
            <w:tcBorders>
              <w:top w:val="nil"/>
              <w:left w:val="nil"/>
              <w:bottom w:val="single" w:sz="4" w:space="0" w:color="auto"/>
              <w:right w:val="nil"/>
            </w:tcBorders>
            <w:shd w:val="clear" w:color="auto" w:fill="auto"/>
            <w:noWrap/>
            <w:vAlign w:val="center"/>
            <w:hideMark/>
          </w:tcPr>
          <w:p w14:paraId="6DF252D6" w14:textId="709C06B5" w:rsidR="00561D6E" w:rsidRPr="00BF02CB" w:rsidRDefault="00561D6E" w:rsidP="0003613D">
            <w:pPr>
              <w:spacing w:after="0"/>
              <w:jc w:val="center"/>
              <w:rPr>
                <w:rFonts w:ascii="Arial" w:hAnsi="Arial" w:cs="Arial"/>
                <w:sz w:val="16"/>
                <w:szCs w:val="16"/>
              </w:rPr>
            </w:pPr>
            <w:r w:rsidRPr="00BF02CB">
              <w:rPr>
                <w:rFonts w:ascii="Arial" w:hAnsi="Arial" w:cs="Arial"/>
                <w:sz w:val="16"/>
                <w:szCs w:val="16"/>
              </w:rPr>
              <w:t>18.5</w:t>
            </w:r>
          </w:p>
        </w:tc>
        <w:tc>
          <w:tcPr>
            <w:tcW w:w="1237" w:type="dxa"/>
            <w:tcBorders>
              <w:top w:val="nil"/>
              <w:left w:val="nil"/>
              <w:bottom w:val="single" w:sz="4" w:space="0" w:color="auto"/>
              <w:right w:val="nil"/>
            </w:tcBorders>
            <w:shd w:val="clear" w:color="auto" w:fill="auto"/>
            <w:noWrap/>
            <w:vAlign w:val="center"/>
            <w:hideMark/>
          </w:tcPr>
          <w:p w14:paraId="0460C851"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2,</w:t>
            </w:r>
            <w:r w:rsidRPr="00BF02CB">
              <w:rPr>
                <w:rFonts w:ascii="Arial" w:hAnsi="Arial" w:cs="Arial"/>
                <w:sz w:val="16"/>
                <w:szCs w:val="16"/>
              </w:rPr>
              <w:t>748</w:t>
            </w:r>
          </w:p>
        </w:tc>
        <w:tc>
          <w:tcPr>
            <w:tcW w:w="1237" w:type="dxa"/>
            <w:tcBorders>
              <w:top w:val="nil"/>
              <w:left w:val="nil"/>
              <w:bottom w:val="single" w:sz="4" w:space="0" w:color="auto"/>
              <w:right w:val="nil"/>
            </w:tcBorders>
            <w:shd w:val="clear" w:color="auto" w:fill="auto"/>
            <w:noWrap/>
            <w:vAlign w:val="center"/>
            <w:hideMark/>
          </w:tcPr>
          <w:p w14:paraId="0FF1868C" w14:textId="36891CF9"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10.5</w:t>
            </w:r>
          </w:p>
        </w:tc>
        <w:tc>
          <w:tcPr>
            <w:tcW w:w="1827" w:type="dxa"/>
            <w:tcBorders>
              <w:top w:val="nil"/>
              <w:left w:val="nil"/>
              <w:bottom w:val="single" w:sz="4" w:space="0" w:color="auto"/>
              <w:right w:val="nil"/>
            </w:tcBorders>
            <w:shd w:val="clear" w:color="auto" w:fill="auto"/>
            <w:noWrap/>
            <w:vAlign w:val="center"/>
            <w:hideMark/>
          </w:tcPr>
          <w:p w14:paraId="3FC36866"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77.7%</w:t>
            </w:r>
          </w:p>
        </w:tc>
        <w:tc>
          <w:tcPr>
            <w:tcW w:w="1618" w:type="dxa"/>
            <w:tcBorders>
              <w:top w:val="nil"/>
              <w:left w:val="nil"/>
              <w:bottom w:val="single" w:sz="4" w:space="0" w:color="auto"/>
              <w:right w:val="nil"/>
            </w:tcBorders>
            <w:shd w:val="clear" w:color="auto" w:fill="auto"/>
            <w:noWrap/>
            <w:vAlign w:val="center"/>
            <w:hideMark/>
          </w:tcPr>
          <w:p w14:paraId="4688EC18" w14:textId="51C3F34B" w:rsidR="00561D6E" w:rsidRPr="00BF02CB" w:rsidRDefault="0003613D" w:rsidP="00561D6E">
            <w:pPr>
              <w:spacing w:after="0"/>
              <w:jc w:val="center"/>
              <w:rPr>
                <w:rFonts w:ascii="Arial" w:hAnsi="Arial" w:cs="Arial"/>
                <w:sz w:val="16"/>
                <w:szCs w:val="16"/>
              </w:rPr>
            </w:pPr>
            <w:r>
              <w:rPr>
                <w:rFonts w:ascii="Arial" w:hAnsi="Arial" w:cs="Arial"/>
                <w:sz w:val="16"/>
                <w:szCs w:val="16"/>
              </w:rPr>
              <w:t>32.5</w:t>
            </w:r>
          </w:p>
        </w:tc>
        <w:tc>
          <w:tcPr>
            <w:tcW w:w="1642" w:type="dxa"/>
            <w:tcBorders>
              <w:top w:val="nil"/>
              <w:left w:val="nil"/>
              <w:bottom w:val="single" w:sz="4" w:space="0" w:color="auto"/>
              <w:right w:val="single" w:sz="4" w:space="0" w:color="auto"/>
            </w:tcBorders>
            <w:shd w:val="clear" w:color="auto" w:fill="auto"/>
            <w:noWrap/>
            <w:vAlign w:val="center"/>
            <w:hideMark/>
          </w:tcPr>
          <w:p w14:paraId="0DD622CC" w14:textId="2558E8D0" w:rsidR="00561D6E" w:rsidRPr="00BF02CB" w:rsidRDefault="0003613D" w:rsidP="00561D6E">
            <w:pPr>
              <w:spacing w:after="0"/>
              <w:jc w:val="center"/>
              <w:rPr>
                <w:rFonts w:ascii="Arial" w:hAnsi="Arial" w:cs="Arial"/>
                <w:sz w:val="16"/>
                <w:szCs w:val="16"/>
              </w:rPr>
            </w:pPr>
            <w:r>
              <w:rPr>
                <w:rFonts w:ascii="Arial" w:hAnsi="Arial" w:cs="Arial"/>
                <w:sz w:val="16"/>
                <w:szCs w:val="16"/>
              </w:rPr>
              <w:t>20.6</w:t>
            </w:r>
          </w:p>
        </w:tc>
      </w:tr>
      <w:tr w:rsidR="00561D6E" w:rsidRPr="00BF02CB" w14:paraId="5DB37C76" w14:textId="77777777" w:rsidTr="00C36529">
        <w:trPr>
          <w:trHeight w:val="177"/>
        </w:trPr>
        <w:tc>
          <w:tcPr>
            <w:tcW w:w="1384" w:type="dxa"/>
            <w:vMerge/>
            <w:tcBorders>
              <w:top w:val="nil"/>
              <w:left w:val="nil"/>
              <w:bottom w:val="single" w:sz="12" w:space="0" w:color="FFFFFF"/>
              <w:right w:val="nil"/>
            </w:tcBorders>
            <w:vAlign w:val="center"/>
            <w:hideMark/>
          </w:tcPr>
          <w:p w14:paraId="39E0BD51"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auto" w:fill="auto"/>
            <w:noWrap/>
            <w:vAlign w:val="center"/>
            <w:hideMark/>
          </w:tcPr>
          <w:p w14:paraId="7DCBAC8E"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Public acute group D hospitals</w:t>
            </w:r>
          </w:p>
        </w:tc>
        <w:tc>
          <w:tcPr>
            <w:tcW w:w="1367" w:type="dxa"/>
            <w:tcBorders>
              <w:top w:val="nil"/>
              <w:left w:val="nil"/>
              <w:bottom w:val="single" w:sz="4" w:space="0" w:color="auto"/>
              <w:right w:val="nil"/>
            </w:tcBorders>
            <w:shd w:val="clear" w:color="auto" w:fill="auto"/>
            <w:noWrap/>
            <w:vAlign w:val="center"/>
            <w:hideMark/>
          </w:tcPr>
          <w:p w14:paraId="09A7C584"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36</w:t>
            </w:r>
          </w:p>
        </w:tc>
        <w:tc>
          <w:tcPr>
            <w:tcW w:w="1447" w:type="dxa"/>
            <w:gridSpan w:val="2"/>
            <w:tcBorders>
              <w:top w:val="nil"/>
              <w:left w:val="nil"/>
              <w:bottom w:val="single" w:sz="4" w:space="0" w:color="auto"/>
              <w:right w:val="nil"/>
            </w:tcBorders>
            <w:shd w:val="clear" w:color="auto" w:fill="auto"/>
            <w:noWrap/>
            <w:vAlign w:val="center"/>
            <w:hideMark/>
          </w:tcPr>
          <w:p w14:paraId="04510B3C" w14:textId="0305797A" w:rsidR="00561D6E" w:rsidRPr="00BF02CB" w:rsidRDefault="0003613D" w:rsidP="00561D6E">
            <w:pPr>
              <w:spacing w:after="0"/>
              <w:jc w:val="center"/>
              <w:rPr>
                <w:rFonts w:ascii="Arial" w:hAnsi="Arial" w:cs="Arial"/>
                <w:sz w:val="16"/>
                <w:szCs w:val="16"/>
              </w:rPr>
            </w:pPr>
            <w:r>
              <w:rPr>
                <w:rFonts w:ascii="Arial" w:hAnsi="Arial" w:cs="Arial"/>
                <w:sz w:val="16"/>
                <w:szCs w:val="16"/>
              </w:rPr>
              <w:t>11.5</w:t>
            </w:r>
          </w:p>
        </w:tc>
        <w:tc>
          <w:tcPr>
            <w:tcW w:w="1237" w:type="dxa"/>
            <w:tcBorders>
              <w:top w:val="nil"/>
              <w:left w:val="nil"/>
              <w:bottom w:val="single" w:sz="4" w:space="0" w:color="auto"/>
              <w:right w:val="nil"/>
            </w:tcBorders>
            <w:shd w:val="clear" w:color="auto" w:fill="auto"/>
            <w:noWrap/>
            <w:vAlign w:val="center"/>
            <w:hideMark/>
          </w:tcPr>
          <w:p w14:paraId="3428ABB4"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1,</w:t>
            </w:r>
            <w:r w:rsidRPr="00BF02CB">
              <w:rPr>
                <w:rFonts w:ascii="Arial" w:hAnsi="Arial" w:cs="Arial"/>
                <w:sz w:val="16"/>
                <w:szCs w:val="16"/>
              </w:rPr>
              <w:t>014</w:t>
            </w:r>
          </w:p>
        </w:tc>
        <w:tc>
          <w:tcPr>
            <w:tcW w:w="1237" w:type="dxa"/>
            <w:tcBorders>
              <w:top w:val="nil"/>
              <w:left w:val="nil"/>
              <w:bottom w:val="single" w:sz="4" w:space="0" w:color="auto"/>
              <w:right w:val="nil"/>
            </w:tcBorders>
            <w:shd w:val="clear" w:color="auto" w:fill="auto"/>
            <w:noWrap/>
            <w:vAlign w:val="center"/>
            <w:hideMark/>
          </w:tcPr>
          <w:p w14:paraId="174FE6FE" w14:textId="5E536E1B" w:rsidR="00561D6E" w:rsidRPr="00BF02CB" w:rsidRDefault="0003613D" w:rsidP="00561D6E">
            <w:pPr>
              <w:spacing w:after="0"/>
              <w:jc w:val="center"/>
              <w:rPr>
                <w:rFonts w:ascii="Arial" w:hAnsi="Arial" w:cs="Arial"/>
                <w:sz w:val="16"/>
                <w:szCs w:val="16"/>
              </w:rPr>
            </w:pPr>
            <w:r>
              <w:rPr>
                <w:rFonts w:ascii="Arial" w:hAnsi="Arial" w:cs="Arial"/>
                <w:sz w:val="16"/>
                <w:szCs w:val="16"/>
              </w:rPr>
              <w:t>3.9</w:t>
            </w:r>
          </w:p>
        </w:tc>
        <w:tc>
          <w:tcPr>
            <w:tcW w:w="1827" w:type="dxa"/>
            <w:tcBorders>
              <w:top w:val="nil"/>
              <w:left w:val="nil"/>
              <w:bottom w:val="single" w:sz="4" w:space="0" w:color="auto"/>
              <w:right w:val="nil"/>
            </w:tcBorders>
            <w:shd w:val="clear" w:color="auto" w:fill="auto"/>
            <w:noWrap/>
            <w:vAlign w:val="center"/>
            <w:hideMark/>
          </w:tcPr>
          <w:p w14:paraId="6F5D6680"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78.0%</w:t>
            </w:r>
          </w:p>
        </w:tc>
        <w:tc>
          <w:tcPr>
            <w:tcW w:w="1618" w:type="dxa"/>
            <w:tcBorders>
              <w:top w:val="nil"/>
              <w:left w:val="nil"/>
              <w:bottom w:val="single" w:sz="4" w:space="0" w:color="auto"/>
              <w:right w:val="nil"/>
            </w:tcBorders>
            <w:shd w:val="clear" w:color="auto" w:fill="auto"/>
            <w:noWrap/>
            <w:vAlign w:val="center"/>
            <w:hideMark/>
          </w:tcPr>
          <w:p w14:paraId="6D324099" w14:textId="6A35D155" w:rsidR="00561D6E" w:rsidRPr="00BF02CB" w:rsidRDefault="0003613D" w:rsidP="00561D6E">
            <w:pPr>
              <w:spacing w:after="0"/>
              <w:jc w:val="center"/>
              <w:rPr>
                <w:rFonts w:ascii="Arial" w:hAnsi="Arial" w:cs="Arial"/>
                <w:sz w:val="16"/>
                <w:szCs w:val="16"/>
              </w:rPr>
            </w:pPr>
            <w:r>
              <w:rPr>
                <w:rFonts w:ascii="Arial" w:hAnsi="Arial" w:cs="Arial"/>
                <w:sz w:val="16"/>
                <w:szCs w:val="16"/>
              </w:rPr>
              <w:t>31.7</w:t>
            </w:r>
          </w:p>
        </w:tc>
        <w:tc>
          <w:tcPr>
            <w:tcW w:w="1642" w:type="dxa"/>
            <w:tcBorders>
              <w:top w:val="nil"/>
              <w:left w:val="nil"/>
              <w:bottom w:val="single" w:sz="4" w:space="0" w:color="auto"/>
              <w:right w:val="single" w:sz="4" w:space="0" w:color="auto"/>
            </w:tcBorders>
            <w:shd w:val="clear" w:color="auto" w:fill="auto"/>
            <w:noWrap/>
            <w:vAlign w:val="center"/>
            <w:hideMark/>
          </w:tcPr>
          <w:p w14:paraId="3BE5106A" w14:textId="106A000B" w:rsidR="00561D6E" w:rsidRPr="00BF02CB" w:rsidRDefault="0003613D" w:rsidP="00561D6E">
            <w:pPr>
              <w:spacing w:after="0"/>
              <w:jc w:val="center"/>
              <w:rPr>
                <w:rFonts w:ascii="Arial" w:hAnsi="Arial" w:cs="Arial"/>
                <w:sz w:val="16"/>
                <w:szCs w:val="16"/>
              </w:rPr>
            </w:pPr>
            <w:r>
              <w:rPr>
                <w:rFonts w:ascii="Arial" w:hAnsi="Arial" w:cs="Arial"/>
                <w:sz w:val="16"/>
                <w:szCs w:val="16"/>
              </w:rPr>
              <w:t>50.0</w:t>
            </w:r>
          </w:p>
        </w:tc>
      </w:tr>
      <w:tr w:rsidR="00561D6E" w:rsidRPr="00BF02CB" w14:paraId="634E3DED" w14:textId="77777777" w:rsidTr="00C36529">
        <w:trPr>
          <w:trHeight w:val="177"/>
        </w:trPr>
        <w:tc>
          <w:tcPr>
            <w:tcW w:w="1384" w:type="dxa"/>
            <w:vMerge/>
            <w:tcBorders>
              <w:top w:val="nil"/>
              <w:left w:val="nil"/>
              <w:bottom w:val="single" w:sz="12" w:space="0" w:color="FFFFFF"/>
              <w:right w:val="nil"/>
            </w:tcBorders>
            <w:vAlign w:val="center"/>
            <w:hideMark/>
          </w:tcPr>
          <w:p w14:paraId="49BA9F6C"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auto" w:fill="auto"/>
            <w:noWrap/>
            <w:vAlign w:val="center"/>
            <w:hideMark/>
          </w:tcPr>
          <w:p w14:paraId="1782C2EF"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Other acute specialised hospitals</w:t>
            </w:r>
          </w:p>
        </w:tc>
        <w:tc>
          <w:tcPr>
            <w:tcW w:w="1367" w:type="dxa"/>
            <w:tcBorders>
              <w:top w:val="nil"/>
              <w:left w:val="nil"/>
              <w:bottom w:val="single" w:sz="4" w:space="0" w:color="auto"/>
              <w:right w:val="nil"/>
            </w:tcBorders>
            <w:shd w:val="clear" w:color="auto" w:fill="auto"/>
            <w:noWrap/>
            <w:vAlign w:val="center"/>
            <w:hideMark/>
          </w:tcPr>
          <w:p w14:paraId="0E7D165B"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w:t>
            </w:r>
          </w:p>
        </w:tc>
        <w:tc>
          <w:tcPr>
            <w:tcW w:w="1447" w:type="dxa"/>
            <w:gridSpan w:val="2"/>
            <w:tcBorders>
              <w:top w:val="nil"/>
              <w:left w:val="nil"/>
              <w:bottom w:val="single" w:sz="4" w:space="0" w:color="auto"/>
              <w:right w:val="nil"/>
            </w:tcBorders>
            <w:shd w:val="clear" w:color="auto" w:fill="auto"/>
            <w:noWrap/>
            <w:vAlign w:val="center"/>
            <w:hideMark/>
          </w:tcPr>
          <w:p w14:paraId="6FCF5821" w14:textId="4101A041" w:rsidR="00561D6E" w:rsidRPr="00BF02CB" w:rsidRDefault="0003613D" w:rsidP="00561D6E">
            <w:pPr>
              <w:spacing w:after="0"/>
              <w:jc w:val="center"/>
              <w:rPr>
                <w:rFonts w:ascii="Arial" w:hAnsi="Arial" w:cs="Arial"/>
                <w:sz w:val="16"/>
                <w:szCs w:val="16"/>
              </w:rPr>
            </w:pPr>
            <w:r>
              <w:rPr>
                <w:rFonts w:ascii="Arial" w:hAnsi="Arial" w:cs="Arial"/>
                <w:sz w:val="16"/>
                <w:szCs w:val="16"/>
              </w:rPr>
              <w:t>0.3</w:t>
            </w:r>
          </w:p>
        </w:tc>
        <w:tc>
          <w:tcPr>
            <w:tcW w:w="1237" w:type="dxa"/>
            <w:tcBorders>
              <w:top w:val="nil"/>
              <w:left w:val="nil"/>
              <w:bottom w:val="single" w:sz="4" w:space="0" w:color="auto"/>
              <w:right w:val="nil"/>
            </w:tcBorders>
            <w:shd w:val="clear" w:color="auto" w:fill="auto"/>
            <w:noWrap/>
            <w:vAlign w:val="center"/>
            <w:hideMark/>
          </w:tcPr>
          <w:p w14:paraId="0074D73D"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77</w:t>
            </w:r>
          </w:p>
        </w:tc>
        <w:tc>
          <w:tcPr>
            <w:tcW w:w="1237" w:type="dxa"/>
            <w:tcBorders>
              <w:top w:val="nil"/>
              <w:left w:val="nil"/>
              <w:bottom w:val="single" w:sz="4" w:space="0" w:color="auto"/>
              <w:right w:val="nil"/>
            </w:tcBorders>
            <w:shd w:val="clear" w:color="auto" w:fill="auto"/>
            <w:noWrap/>
            <w:vAlign w:val="center"/>
            <w:hideMark/>
          </w:tcPr>
          <w:p w14:paraId="1D71EC58" w14:textId="2FF7D332"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0.</w:t>
            </w:r>
            <w:r w:rsidR="0003613D">
              <w:rPr>
                <w:rFonts w:ascii="Arial" w:hAnsi="Arial" w:cs="Arial"/>
                <w:sz w:val="16"/>
                <w:szCs w:val="16"/>
              </w:rPr>
              <w:t>3</w:t>
            </w:r>
          </w:p>
        </w:tc>
        <w:tc>
          <w:tcPr>
            <w:tcW w:w="1827" w:type="dxa"/>
            <w:tcBorders>
              <w:top w:val="nil"/>
              <w:left w:val="nil"/>
              <w:bottom w:val="single" w:sz="4" w:space="0" w:color="auto"/>
              <w:right w:val="nil"/>
            </w:tcBorders>
            <w:shd w:val="clear" w:color="auto" w:fill="auto"/>
            <w:noWrap/>
            <w:vAlign w:val="center"/>
            <w:hideMark/>
          </w:tcPr>
          <w:p w14:paraId="3684B3C1"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67.5%</w:t>
            </w:r>
          </w:p>
        </w:tc>
        <w:tc>
          <w:tcPr>
            <w:tcW w:w="1618" w:type="dxa"/>
            <w:tcBorders>
              <w:top w:val="nil"/>
              <w:left w:val="nil"/>
              <w:bottom w:val="single" w:sz="4" w:space="0" w:color="auto"/>
              <w:right w:val="nil"/>
            </w:tcBorders>
            <w:shd w:val="clear" w:color="auto" w:fill="auto"/>
            <w:noWrap/>
            <w:vAlign w:val="center"/>
            <w:hideMark/>
          </w:tcPr>
          <w:p w14:paraId="1BF0B28B" w14:textId="7604C797" w:rsidR="00561D6E" w:rsidRPr="00BF02CB" w:rsidRDefault="0003613D" w:rsidP="00561D6E">
            <w:pPr>
              <w:spacing w:after="0"/>
              <w:jc w:val="center"/>
              <w:rPr>
                <w:rFonts w:ascii="Arial" w:hAnsi="Arial" w:cs="Arial"/>
                <w:sz w:val="16"/>
                <w:szCs w:val="16"/>
              </w:rPr>
            </w:pPr>
            <w:r>
              <w:rPr>
                <w:rFonts w:ascii="Arial" w:hAnsi="Arial" w:cs="Arial"/>
                <w:sz w:val="16"/>
                <w:szCs w:val="16"/>
              </w:rPr>
              <w:t>22.1</w:t>
            </w:r>
          </w:p>
        </w:tc>
        <w:tc>
          <w:tcPr>
            <w:tcW w:w="1642" w:type="dxa"/>
            <w:tcBorders>
              <w:top w:val="nil"/>
              <w:left w:val="nil"/>
              <w:bottom w:val="single" w:sz="4" w:space="0" w:color="auto"/>
              <w:right w:val="single" w:sz="4" w:space="0" w:color="auto"/>
            </w:tcBorders>
            <w:shd w:val="clear" w:color="auto" w:fill="auto"/>
            <w:noWrap/>
            <w:vAlign w:val="center"/>
            <w:hideMark/>
          </w:tcPr>
          <w:p w14:paraId="7BFE3BEF" w14:textId="355DCD49" w:rsidR="00561D6E" w:rsidRPr="00BF02CB" w:rsidRDefault="0003613D" w:rsidP="00561D6E">
            <w:pPr>
              <w:spacing w:after="0"/>
              <w:jc w:val="center"/>
              <w:rPr>
                <w:rFonts w:ascii="Arial" w:hAnsi="Arial" w:cs="Arial"/>
                <w:sz w:val="16"/>
                <w:szCs w:val="16"/>
              </w:rPr>
            </w:pPr>
            <w:r>
              <w:rPr>
                <w:rFonts w:ascii="Arial" w:hAnsi="Arial" w:cs="Arial"/>
                <w:sz w:val="16"/>
                <w:szCs w:val="16"/>
              </w:rPr>
              <w:t>100.0</w:t>
            </w:r>
          </w:p>
        </w:tc>
      </w:tr>
      <w:tr w:rsidR="00561D6E" w:rsidRPr="00BF02CB" w14:paraId="38FD032B" w14:textId="77777777" w:rsidTr="00C36529">
        <w:trPr>
          <w:trHeight w:val="177"/>
        </w:trPr>
        <w:tc>
          <w:tcPr>
            <w:tcW w:w="1384" w:type="dxa"/>
            <w:vMerge/>
            <w:tcBorders>
              <w:top w:val="nil"/>
              <w:left w:val="nil"/>
              <w:bottom w:val="single" w:sz="12" w:space="0" w:color="FFFFFF"/>
              <w:right w:val="nil"/>
            </w:tcBorders>
            <w:vAlign w:val="center"/>
            <w:hideMark/>
          </w:tcPr>
          <w:p w14:paraId="4BAAA1E9"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auto" w:fill="auto"/>
            <w:noWrap/>
            <w:vAlign w:val="center"/>
            <w:hideMark/>
          </w:tcPr>
          <w:p w14:paraId="6C12484D"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Children’s hospitals</w:t>
            </w:r>
          </w:p>
        </w:tc>
        <w:tc>
          <w:tcPr>
            <w:tcW w:w="1367" w:type="dxa"/>
            <w:tcBorders>
              <w:top w:val="nil"/>
              <w:left w:val="nil"/>
              <w:bottom w:val="single" w:sz="4" w:space="0" w:color="auto"/>
              <w:right w:val="nil"/>
            </w:tcBorders>
            <w:shd w:val="clear" w:color="auto" w:fill="auto"/>
            <w:noWrap/>
            <w:vAlign w:val="center"/>
            <w:hideMark/>
          </w:tcPr>
          <w:p w14:paraId="146C97F4"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4</w:t>
            </w:r>
          </w:p>
        </w:tc>
        <w:tc>
          <w:tcPr>
            <w:tcW w:w="1447" w:type="dxa"/>
            <w:gridSpan w:val="2"/>
            <w:tcBorders>
              <w:top w:val="nil"/>
              <w:left w:val="nil"/>
              <w:bottom w:val="single" w:sz="4" w:space="0" w:color="auto"/>
              <w:right w:val="nil"/>
            </w:tcBorders>
            <w:shd w:val="clear" w:color="auto" w:fill="auto"/>
            <w:noWrap/>
            <w:vAlign w:val="center"/>
            <w:hideMark/>
          </w:tcPr>
          <w:p w14:paraId="250E275C" w14:textId="6C3FE87E" w:rsidR="00561D6E" w:rsidRPr="00BF02CB" w:rsidRDefault="0003613D" w:rsidP="00561D6E">
            <w:pPr>
              <w:spacing w:after="0"/>
              <w:jc w:val="center"/>
              <w:rPr>
                <w:rFonts w:ascii="Arial" w:hAnsi="Arial" w:cs="Arial"/>
                <w:sz w:val="16"/>
                <w:szCs w:val="16"/>
              </w:rPr>
            </w:pPr>
            <w:r>
              <w:rPr>
                <w:rFonts w:ascii="Arial" w:hAnsi="Arial" w:cs="Arial"/>
                <w:sz w:val="16"/>
                <w:szCs w:val="16"/>
              </w:rPr>
              <w:t>1.3</w:t>
            </w:r>
          </w:p>
        </w:tc>
        <w:tc>
          <w:tcPr>
            <w:tcW w:w="1237" w:type="dxa"/>
            <w:tcBorders>
              <w:top w:val="nil"/>
              <w:left w:val="nil"/>
              <w:bottom w:val="single" w:sz="4" w:space="0" w:color="auto"/>
              <w:right w:val="nil"/>
            </w:tcBorders>
            <w:shd w:val="clear" w:color="auto" w:fill="auto"/>
            <w:noWrap/>
            <w:vAlign w:val="center"/>
            <w:hideMark/>
          </w:tcPr>
          <w:p w14:paraId="2B08C559"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549</w:t>
            </w:r>
          </w:p>
        </w:tc>
        <w:tc>
          <w:tcPr>
            <w:tcW w:w="1237" w:type="dxa"/>
            <w:tcBorders>
              <w:top w:val="nil"/>
              <w:left w:val="nil"/>
              <w:bottom w:val="single" w:sz="4" w:space="0" w:color="auto"/>
              <w:right w:val="nil"/>
            </w:tcBorders>
            <w:shd w:val="clear" w:color="auto" w:fill="auto"/>
            <w:noWrap/>
            <w:vAlign w:val="center"/>
            <w:hideMark/>
          </w:tcPr>
          <w:p w14:paraId="0A87A168" w14:textId="03A31DA0" w:rsidR="00561D6E" w:rsidRPr="00BF02CB" w:rsidRDefault="0003613D" w:rsidP="00561D6E">
            <w:pPr>
              <w:spacing w:after="0"/>
              <w:jc w:val="center"/>
              <w:rPr>
                <w:rFonts w:ascii="Arial" w:hAnsi="Arial" w:cs="Arial"/>
                <w:sz w:val="16"/>
                <w:szCs w:val="16"/>
              </w:rPr>
            </w:pPr>
            <w:r>
              <w:rPr>
                <w:rFonts w:ascii="Arial" w:hAnsi="Arial" w:cs="Arial"/>
                <w:sz w:val="16"/>
                <w:szCs w:val="16"/>
              </w:rPr>
              <w:t>2.1</w:t>
            </w:r>
          </w:p>
        </w:tc>
        <w:tc>
          <w:tcPr>
            <w:tcW w:w="1827" w:type="dxa"/>
            <w:tcBorders>
              <w:top w:val="nil"/>
              <w:left w:val="nil"/>
              <w:bottom w:val="single" w:sz="4" w:space="0" w:color="auto"/>
              <w:right w:val="nil"/>
            </w:tcBorders>
            <w:shd w:val="clear" w:color="auto" w:fill="auto"/>
            <w:noWrap/>
            <w:vAlign w:val="center"/>
            <w:hideMark/>
          </w:tcPr>
          <w:p w14:paraId="1047BD7E"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84.3%</w:t>
            </w:r>
          </w:p>
        </w:tc>
        <w:tc>
          <w:tcPr>
            <w:tcW w:w="1618" w:type="dxa"/>
            <w:tcBorders>
              <w:top w:val="nil"/>
              <w:left w:val="nil"/>
              <w:bottom w:val="single" w:sz="4" w:space="0" w:color="auto"/>
              <w:right w:val="nil"/>
            </w:tcBorders>
            <w:shd w:val="clear" w:color="auto" w:fill="auto"/>
            <w:noWrap/>
            <w:vAlign w:val="center"/>
            <w:hideMark/>
          </w:tcPr>
          <w:p w14:paraId="2B3D52C8" w14:textId="637258C6" w:rsidR="00561D6E" w:rsidRPr="00BF02CB" w:rsidRDefault="0003613D" w:rsidP="00561D6E">
            <w:pPr>
              <w:spacing w:after="0"/>
              <w:jc w:val="center"/>
              <w:rPr>
                <w:rFonts w:ascii="Arial" w:hAnsi="Arial" w:cs="Arial"/>
                <w:sz w:val="16"/>
                <w:szCs w:val="16"/>
              </w:rPr>
            </w:pPr>
            <w:r>
              <w:rPr>
                <w:rFonts w:ascii="Arial" w:hAnsi="Arial" w:cs="Arial"/>
                <w:sz w:val="16"/>
                <w:szCs w:val="16"/>
              </w:rPr>
              <w:t>52.1</w:t>
            </w:r>
          </w:p>
        </w:tc>
        <w:tc>
          <w:tcPr>
            <w:tcW w:w="1642" w:type="dxa"/>
            <w:tcBorders>
              <w:top w:val="nil"/>
              <w:left w:val="nil"/>
              <w:bottom w:val="single" w:sz="4" w:space="0" w:color="auto"/>
              <w:right w:val="single" w:sz="4" w:space="0" w:color="auto"/>
            </w:tcBorders>
            <w:shd w:val="clear" w:color="auto" w:fill="auto"/>
            <w:noWrap/>
            <w:vAlign w:val="center"/>
            <w:hideMark/>
          </w:tcPr>
          <w:p w14:paraId="6A9D8B7C" w14:textId="13E53BAB" w:rsidR="00561D6E" w:rsidRPr="00BF02CB" w:rsidRDefault="0003613D" w:rsidP="00561D6E">
            <w:pPr>
              <w:spacing w:after="0"/>
              <w:jc w:val="center"/>
              <w:rPr>
                <w:rFonts w:ascii="Arial" w:hAnsi="Arial" w:cs="Arial"/>
                <w:sz w:val="16"/>
                <w:szCs w:val="16"/>
              </w:rPr>
            </w:pPr>
            <w:r>
              <w:rPr>
                <w:rFonts w:ascii="Arial" w:hAnsi="Arial" w:cs="Arial"/>
                <w:sz w:val="16"/>
                <w:szCs w:val="16"/>
              </w:rPr>
              <w:t>37.5</w:t>
            </w:r>
          </w:p>
        </w:tc>
      </w:tr>
      <w:tr w:rsidR="00561D6E" w:rsidRPr="00BF02CB" w14:paraId="59C55306" w14:textId="77777777" w:rsidTr="00C36529">
        <w:trPr>
          <w:trHeight w:val="177"/>
        </w:trPr>
        <w:tc>
          <w:tcPr>
            <w:tcW w:w="1384" w:type="dxa"/>
            <w:vMerge/>
            <w:tcBorders>
              <w:top w:val="nil"/>
              <w:left w:val="nil"/>
              <w:bottom w:val="single" w:sz="12" w:space="0" w:color="FFFFFF"/>
              <w:right w:val="nil"/>
            </w:tcBorders>
            <w:vAlign w:val="center"/>
            <w:hideMark/>
          </w:tcPr>
          <w:p w14:paraId="5D6F4A68"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auto" w:fill="auto"/>
            <w:noWrap/>
            <w:vAlign w:val="center"/>
            <w:hideMark/>
          </w:tcPr>
          <w:p w14:paraId="1186640E"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Women’s hospitals</w:t>
            </w:r>
          </w:p>
        </w:tc>
        <w:tc>
          <w:tcPr>
            <w:tcW w:w="1367" w:type="dxa"/>
            <w:tcBorders>
              <w:top w:val="nil"/>
              <w:left w:val="nil"/>
              <w:bottom w:val="single" w:sz="4" w:space="0" w:color="auto"/>
              <w:right w:val="nil"/>
            </w:tcBorders>
            <w:shd w:val="clear" w:color="auto" w:fill="auto"/>
            <w:noWrap/>
            <w:vAlign w:val="center"/>
            <w:hideMark/>
          </w:tcPr>
          <w:p w14:paraId="6BB9329E"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4</w:t>
            </w:r>
          </w:p>
        </w:tc>
        <w:tc>
          <w:tcPr>
            <w:tcW w:w="1447" w:type="dxa"/>
            <w:gridSpan w:val="2"/>
            <w:tcBorders>
              <w:top w:val="nil"/>
              <w:left w:val="nil"/>
              <w:bottom w:val="single" w:sz="4" w:space="0" w:color="auto"/>
              <w:right w:val="nil"/>
            </w:tcBorders>
            <w:shd w:val="clear" w:color="auto" w:fill="auto"/>
            <w:noWrap/>
            <w:vAlign w:val="center"/>
            <w:hideMark/>
          </w:tcPr>
          <w:p w14:paraId="3AD7C6D1" w14:textId="71695E31" w:rsidR="00561D6E" w:rsidRPr="00BF02CB" w:rsidRDefault="0003613D" w:rsidP="00561D6E">
            <w:pPr>
              <w:spacing w:after="0"/>
              <w:jc w:val="center"/>
              <w:rPr>
                <w:rFonts w:ascii="Arial" w:hAnsi="Arial" w:cs="Arial"/>
                <w:sz w:val="16"/>
                <w:szCs w:val="16"/>
              </w:rPr>
            </w:pPr>
            <w:r>
              <w:rPr>
                <w:rFonts w:ascii="Arial" w:hAnsi="Arial" w:cs="Arial"/>
                <w:sz w:val="16"/>
                <w:szCs w:val="16"/>
              </w:rPr>
              <w:t>1.3</w:t>
            </w:r>
          </w:p>
        </w:tc>
        <w:tc>
          <w:tcPr>
            <w:tcW w:w="1237" w:type="dxa"/>
            <w:tcBorders>
              <w:top w:val="nil"/>
              <w:left w:val="nil"/>
              <w:bottom w:val="single" w:sz="4" w:space="0" w:color="auto"/>
              <w:right w:val="nil"/>
            </w:tcBorders>
            <w:shd w:val="clear" w:color="auto" w:fill="auto"/>
            <w:noWrap/>
            <w:vAlign w:val="center"/>
            <w:hideMark/>
          </w:tcPr>
          <w:p w14:paraId="02F31DAA"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294</w:t>
            </w:r>
          </w:p>
        </w:tc>
        <w:tc>
          <w:tcPr>
            <w:tcW w:w="1237" w:type="dxa"/>
            <w:tcBorders>
              <w:top w:val="nil"/>
              <w:left w:val="nil"/>
              <w:bottom w:val="single" w:sz="4" w:space="0" w:color="auto"/>
              <w:right w:val="nil"/>
            </w:tcBorders>
            <w:shd w:val="clear" w:color="auto" w:fill="auto"/>
            <w:noWrap/>
            <w:vAlign w:val="center"/>
            <w:hideMark/>
          </w:tcPr>
          <w:p w14:paraId="43C5BF26" w14:textId="5468BA90" w:rsidR="00561D6E" w:rsidRPr="00BF02CB" w:rsidRDefault="0003613D" w:rsidP="00561D6E">
            <w:pPr>
              <w:spacing w:after="0"/>
              <w:jc w:val="center"/>
              <w:rPr>
                <w:rFonts w:ascii="Arial" w:hAnsi="Arial" w:cs="Arial"/>
                <w:sz w:val="16"/>
                <w:szCs w:val="16"/>
              </w:rPr>
            </w:pPr>
            <w:r>
              <w:rPr>
                <w:rFonts w:ascii="Arial" w:hAnsi="Arial" w:cs="Arial"/>
                <w:sz w:val="16"/>
                <w:szCs w:val="16"/>
              </w:rPr>
              <w:t>1.1</w:t>
            </w:r>
          </w:p>
        </w:tc>
        <w:tc>
          <w:tcPr>
            <w:tcW w:w="1827" w:type="dxa"/>
            <w:tcBorders>
              <w:top w:val="nil"/>
              <w:left w:val="nil"/>
              <w:bottom w:val="single" w:sz="4" w:space="0" w:color="auto"/>
              <w:right w:val="nil"/>
            </w:tcBorders>
            <w:shd w:val="clear" w:color="auto" w:fill="auto"/>
            <w:noWrap/>
            <w:vAlign w:val="center"/>
            <w:hideMark/>
          </w:tcPr>
          <w:p w14:paraId="1442FE16"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90.5%</w:t>
            </w:r>
          </w:p>
        </w:tc>
        <w:tc>
          <w:tcPr>
            <w:tcW w:w="1618" w:type="dxa"/>
            <w:tcBorders>
              <w:top w:val="nil"/>
              <w:left w:val="nil"/>
              <w:bottom w:val="single" w:sz="4" w:space="0" w:color="auto"/>
              <w:right w:val="nil"/>
            </w:tcBorders>
            <w:shd w:val="clear" w:color="auto" w:fill="auto"/>
            <w:noWrap/>
            <w:vAlign w:val="center"/>
            <w:hideMark/>
          </w:tcPr>
          <w:p w14:paraId="691A3DF9" w14:textId="65841697" w:rsidR="00561D6E" w:rsidRPr="00BF02CB" w:rsidRDefault="0003613D" w:rsidP="00561D6E">
            <w:pPr>
              <w:spacing w:after="0"/>
              <w:jc w:val="center"/>
              <w:rPr>
                <w:rFonts w:ascii="Arial" w:hAnsi="Arial" w:cs="Arial"/>
                <w:sz w:val="16"/>
                <w:szCs w:val="16"/>
              </w:rPr>
            </w:pPr>
            <w:r>
              <w:rPr>
                <w:rFonts w:ascii="Arial" w:hAnsi="Arial" w:cs="Arial"/>
                <w:sz w:val="16"/>
                <w:szCs w:val="16"/>
              </w:rPr>
              <w:t>64.6</w:t>
            </w:r>
          </w:p>
        </w:tc>
        <w:tc>
          <w:tcPr>
            <w:tcW w:w="1642" w:type="dxa"/>
            <w:tcBorders>
              <w:top w:val="nil"/>
              <w:left w:val="nil"/>
              <w:bottom w:val="single" w:sz="4" w:space="0" w:color="auto"/>
              <w:right w:val="single" w:sz="4" w:space="0" w:color="auto"/>
            </w:tcBorders>
            <w:shd w:val="clear" w:color="auto" w:fill="auto"/>
            <w:noWrap/>
            <w:vAlign w:val="center"/>
            <w:hideMark/>
          </w:tcPr>
          <w:p w14:paraId="2EC86B33" w14:textId="08903D65" w:rsidR="00561D6E" w:rsidRPr="00BF02CB" w:rsidRDefault="0003613D" w:rsidP="00561D6E">
            <w:pPr>
              <w:spacing w:after="0"/>
              <w:jc w:val="center"/>
              <w:rPr>
                <w:rFonts w:ascii="Arial" w:hAnsi="Arial" w:cs="Arial"/>
                <w:sz w:val="16"/>
                <w:szCs w:val="16"/>
              </w:rPr>
            </w:pPr>
            <w:r>
              <w:rPr>
                <w:rFonts w:ascii="Arial" w:hAnsi="Arial" w:cs="Arial"/>
                <w:sz w:val="16"/>
                <w:szCs w:val="16"/>
              </w:rPr>
              <w:t>15.8</w:t>
            </w:r>
          </w:p>
        </w:tc>
      </w:tr>
      <w:tr w:rsidR="00561D6E" w:rsidRPr="00BF02CB" w14:paraId="26DC1C56" w14:textId="77777777" w:rsidTr="00C36529">
        <w:trPr>
          <w:trHeight w:val="177"/>
        </w:trPr>
        <w:tc>
          <w:tcPr>
            <w:tcW w:w="1384" w:type="dxa"/>
            <w:vMerge/>
            <w:tcBorders>
              <w:top w:val="nil"/>
              <w:left w:val="nil"/>
              <w:bottom w:val="single" w:sz="12" w:space="0" w:color="FFFFFF"/>
              <w:right w:val="nil"/>
            </w:tcBorders>
            <w:vAlign w:val="center"/>
            <w:hideMark/>
          </w:tcPr>
          <w:p w14:paraId="020F02AC"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auto" w:fill="auto"/>
            <w:noWrap/>
            <w:vAlign w:val="center"/>
            <w:hideMark/>
          </w:tcPr>
          <w:p w14:paraId="14E62CC5"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Women’s and children’s hospitals</w:t>
            </w:r>
          </w:p>
        </w:tc>
        <w:tc>
          <w:tcPr>
            <w:tcW w:w="1367" w:type="dxa"/>
            <w:tcBorders>
              <w:top w:val="nil"/>
              <w:left w:val="nil"/>
              <w:bottom w:val="single" w:sz="4" w:space="0" w:color="auto"/>
              <w:right w:val="nil"/>
            </w:tcBorders>
            <w:shd w:val="clear" w:color="auto" w:fill="auto"/>
            <w:noWrap/>
            <w:vAlign w:val="center"/>
            <w:hideMark/>
          </w:tcPr>
          <w:p w14:paraId="5D504275"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w:t>
            </w:r>
          </w:p>
        </w:tc>
        <w:tc>
          <w:tcPr>
            <w:tcW w:w="1447" w:type="dxa"/>
            <w:gridSpan w:val="2"/>
            <w:tcBorders>
              <w:top w:val="nil"/>
              <w:left w:val="nil"/>
              <w:bottom w:val="single" w:sz="4" w:space="0" w:color="auto"/>
              <w:right w:val="nil"/>
            </w:tcBorders>
            <w:shd w:val="clear" w:color="auto" w:fill="auto"/>
            <w:noWrap/>
            <w:vAlign w:val="center"/>
            <w:hideMark/>
          </w:tcPr>
          <w:p w14:paraId="6B125885" w14:textId="6C1DDB14" w:rsidR="00561D6E" w:rsidRPr="00BF02CB" w:rsidRDefault="0003613D" w:rsidP="00561D6E">
            <w:pPr>
              <w:spacing w:after="0"/>
              <w:jc w:val="center"/>
              <w:rPr>
                <w:rFonts w:ascii="Arial" w:hAnsi="Arial" w:cs="Arial"/>
                <w:sz w:val="16"/>
                <w:szCs w:val="16"/>
              </w:rPr>
            </w:pPr>
            <w:r>
              <w:rPr>
                <w:rFonts w:ascii="Arial" w:hAnsi="Arial" w:cs="Arial"/>
                <w:sz w:val="16"/>
                <w:szCs w:val="16"/>
              </w:rPr>
              <w:t>0.3</w:t>
            </w:r>
          </w:p>
        </w:tc>
        <w:tc>
          <w:tcPr>
            <w:tcW w:w="1237" w:type="dxa"/>
            <w:tcBorders>
              <w:top w:val="nil"/>
              <w:left w:val="nil"/>
              <w:bottom w:val="single" w:sz="4" w:space="0" w:color="auto"/>
              <w:right w:val="nil"/>
            </w:tcBorders>
            <w:shd w:val="clear" w:color="auto" w:fill="auto"/>
            <w:noWrap/>
            <w:vAlign w:val="center"/>
            <w:hideMark/>
          </w:tcPr>
          <w:p w14:paraId="39DAD43D"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138</w:t>
            </w:r>
          </w:p>
        </w:tc>
        <w:tc>
          <w:tcPr>
            <w:tcW w:w="1237" w:type="dxa"/>
            <w:tcBorders>
              <w:top w:val="nil"/>
              <w:left w:val="nil"/>
              <w:bottom w:val="single" w:sz="4" w:space="0" w:color="auto"/>
              <w:right w:val="nil"/>
            </w:tcBorders>
            <w:shd w:val="clear" w:color="auto" w:fill="auto"/>
            <w:noWrap/>
            <w:vAlign w:val="center"/>
            <w:hideMark/>
          </w:tcPr>
          <w:p w14:paraId="1B0CED9F" w14:textId="73268ACC" w:rsidR="00561D6E" w:rsidRPr="00BF02CB" w:rsidRDefault="0003613D" w:rsidP="00561D6E">
            <w:pPr>
              <w:spacing w:after="0"/>
              <w:jc w:val="center"/>
              <w:rPr>
                <w:rFonts w:ascii="Arial" w:hAnsi="Arial" w:cs="Arial"/>
                <w:sz w:val="16"/>
                <w:szCs w:val="16"/>
              </w:rPr>
            </w:pPr>
            <w:r>
              <w:rPr>
                <w:rFonts w:ascii="Arial" w:hAnsi="Arial" w:cs="Arial"/>
                <w:sz w:val="16"/>
                <w:szCs w:val="16"/>
              </w:rPr>
              <w:t>0.5</w:t>
            </w:r>
          </w:p>
        </w:tc>
        <w:tc>
          <w:tcPr>
            <w:tcW w:w="1827" w:type="dxa"/>
            <w:tcBorders>
              <w:top w:val="nil"/>
              <w:left w:val="nil"/>
              <w:bottom w:val="single" w:sz="4" w:space="0" w:color="auto"/>
              <w:right w:val="nil"/>
            </w:tcBorders>
            <w:shd w:val="clear" w:color="auto" w:fill="auto"/>
            <w:noWrap/>
            <w:vAlign w:val="center"/>
            <w:hideMark/>
          </w:tcPr>
          <w:p w14:paraId="5A04AED9"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95.7%</w:t>
            </w:r>
          </w:p>
        </w:tc>
        <w:tc>
          <w:tcPr>
            <w:tcW w:w="1618" w:type="dxa"/>
            <w:tcBorders>
              <w:top w:val="nil"/>
              <w:left w:val="nil"/>
              <w:bottom w:val="single" w:sz="4" w:space="0" w:color="auto"/>
              <w:right w:val="nil"/>
            </w:tcBorders>
            <w:shd w:val="clear" w:color="auto" w:fill="auto"/>
            <w:noWrap/>
            <w:vAlign w:val="center"/>
            <w:hideMark/>
          </w:tcPr>
          <w:p w14:paraId="00B49C9E" w14:textId="17E479EF" w:rsidR="00561D6E" w:rsidRPr="00BF02CB" w:rsidRDefault="0003613D" w:rsidP="00561D6E">
            <w:pPr>
              <w:spacing w:after="0"/>
              <w:jc w:val="center"/>
              <w:rPr>
                <w:rFonts w:ascii="Arial" w:hAnsi="Arial" w:cs="Arial"/>
                <w:sz w:val="16"/>
                <w:szCs w:val="16"/>
              </w:rPr>
            </w:pPr>
            <w:r>
              <w:rPr>
                <w:rFonts w:ascii="Arial" w:hAnsi="Arial" w:cs="Arial"/>
                <w:sz w:val="16"/>
                <w:szCs w:val="16"/>
              </w:rPr>
              <w:t>67.4</w:t>
            </w:r>
          </w:p>
        </w:tc>
        <w:tc>
          <w:tcPr>
            <w:tcW w:w="1642" w:type="dxa"/>
            <w:tcBorders>
              <w:top w:val="nil"/>
              <w:left w:val="nil"/>
              <w:bottom w:val="single" w:sz="4" w:space="0" w:color="auto"/>
              <w:right w:val="single" w:sz="4" w:space="0" w:color="auto"/>
            </w:tcBorders>
            <w:shd w:val="clear" w:color="auto" w:fill="auto"/>
            <w:noWrap/>
            <w:vAlign w:val="center"/>
            <w:hideMark/>
          </w:tcPr>
          <w:p w14:paraId="2BE90E73" w14:textId="51AF8A19" w:rsidR="00561D6E" w:rsidRPr="00BF02CB" w:rsidRDefault="0003613D" w:rsidP="00561D6E">
            <w:pPr>
              <w:spacing w:after="0"/>
              <w:jc w:val="center"/>
              <w:rPr>
                <w:rFonts w:ascii="Arial" w:hAnsi="Arial" w:cs="Arial"/>
                <w:sz w:val="16"/>
                <w:szCs w:val="16"/>
              </w:rPr>
            </w:pPr>
            <w:r>
              <w:rPr>
                <w:rFonts w:ascii="Arial" w:hAnsi="Arial" w:cs="Arial"/>
                <w:sz w:val="16"/>
                <w:szCs w:val="16"/>
              </w:rPr>
              <w:t>19.4</w:t>
            </w:r>
          </w:p>
        </w:tc>
      </w:tr>
      <w:tr w:rsidR="00561D6E" w:rsidRPr="00BF02CB" w14:paraId="5D896362" w14:textId="77777777" w:rsidTr="00C36529">
        <w:trPr>
          <w:trHeight w:val="177"/>
        </w:trPr>
        <w:tc>
          <w:tcPr>
            <w:tcW w:w="1384" w:type="dxa"/>
            <w:vMerge/>
            <w:tcBorders>
              <w:top w:val="nil"/>
              <w:left w:val="nil"/>
              <w:bottom w:val="single" w:sz="12" w:space="0" w:color="FFFFFF"/>
              <w:right w:val="nil"/>
            </w:tcBorders>
            <w:vAlign w:val="center"/>
            <w:hideMark/>
          </w:tcPr>
          <w:p w14:paraId="6537C3F4"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auto" w:fill="auto"/>
            <w:noWrap/>
            <w:vAlign w:val="center"/>
            <w:hideMark/>
          </w:tcPr>
          <w:p w14:paraId="27654C62"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Mixed subacute and non-acute hospitals</w:t>
            </w:r>
          </w:p>
        </w:tc>
        <w:tc>
          <w:tcPr>
            <w:tcW w:w="1367" w:type="dxa"/>
            <w:tcBorders>
              <w:top w:val="nil"/>
              <w:left w:val="nil"/>
              <w:bottom w:val="single" w:sz="4" w:space="0" w:color="auto"/>
              <w:right w:val="nil"/>
            </w:tcBorders>
            <w:shd w:val="clear" w:color="auto" w:fill="auto"/>
            <w:noWrap/>
            <w:vAlign w:val="center"/>
            <w:hideMark/>
          </w:tcPr>
          <w:p w14:paraId="74301A93"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8</w:t>
            </w:r>
          </w:p>
        </w:tc>
        <w:tc>
          <w:tcPr>
            <w:tcW w:w="1447" w:type="dxa"/>
            <w:gridSpan w:val="2"/>
            <w:tcBorders>
              <w:top w:val="nil"/>
              <w:left w:val="nil"/>
              <w:bottom w:val="single" w:sz="4" w:space="0" w:color="auto"/>
              <w:right w:val="nil"/>
            </w:tcBorders>
            <w:shd w:val="clear" w:color="auto" w:fill="auto"/>
            <w:noWrap/>
            <w:vAlign w:val="center"/>
            <w:hideMark/>
          </w:tcPr>
          <w:p w14:paraId="74786479" w14:textId="1E81960A" w:rsidR="00561D6E" w:rsidRPr="00BF02CB" w:rsidRDefault="0003613D" w:rsidP="00561D6E">
            <w:pPr>
              <w:spacing w:after="0"/>
              <w:jc w:val="center"/>
              <w:rPr>
                <w:rFonts w:ascii="Arial" w:hAnsi="Arial" w:cs="Arial"/>
                <w:sz w:val="16"/>
                <w:szCs w:val="16"/>
              </w:rPr>
            </w:pPr>
            <w:r>
              <w:rPr>
                <w:rFonts w:ascii="Arial" w:hAnsi="Arial" w:cs="Arial"/>
                <w:sz w:val="16"/>
                <w:szCs w:val="16"/>
              </w:rPr>
              <w:t>2.6</w:t>
            </w:r>
          </w:p>
        </w:tc>
        <w:tc>
          <w:tcPr>
            <w:tcW w:w="1237" w:type="dxa"/>
            <w:tcBorders>
              <w:top w:val="nil"/>
              <w:left w:val="nil"/>
              <w:bottom w:val="single" w:sz="4" w:space="0" w:color="auto"/>
              <w:right w:val="nil"/>
            </w:tcBorders>
            <w:shd w:val="clear" w:color="auto" w:fill="auto"/>
            <w:noWrap/>
            <w:vAlign w:val="center"/>
            <w:hideMark/>
          </w:tcPr>
          <w:p w14:paraId="49B36586"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243</w:t>
            </w:r>
          </w:p>
        </w:tc>
        <w:tc>
          <w:tcPr>
            <w:tcW w:w="1237" w:type="dxa"/>
            <w:tcBorders>
              <w:top w:val="nil"/>
              <w:left w:val="nil"/>
              <w:bottom w:val="single" w:sz="4" w:space="0" w:color="auto"/>
              <w:right w:val="nil"/>
            </w:tcBorders>
            <w:shd w:val="clear" w:color="auto" w:fill="auto"/>
            <w:noWrap/>
            <w:vAlign w:val="center"/>
            <w:hideMark/>
          </w:tcPr>
          <w:p w14:paraId="024AB15B" w14:textId="45EDE51A"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0.</w:t>
            </w:r>
            <w:r w:rsidR="0003613D">
              <w:rPr>
                <w:rFonts w:ascii="Arial" w:hAnsi="Arial" w:cs="Arial"/>
                <w:sz w:val="16"/>
                <w:szCs w:val="16"/>
              </w:rPr>
              <w:t>9</w:t>
            </w:r>
          </w:p>
        </w:tc>
        <w:tc>
          <w:tcPr>
            <w:tcW w:w="1827" w:type="dxa"/>
            <w:tcBorders>
              <w:top w:val="nil"/>
              <w:left w:val="nil"/>
              <w:bottom w:val="single" w:sz="4" w:space="0" w:color="auto"/>
              <w:right w:val="nil"/>
            </w:tcBorders>
            <w:shd w:val="clear" w:color="auto" w:fill="auto"/>
            <w:noWrap/>
            <w:vAlign w:val="center"/>
            <w:hideMark/>
          </w:tcPr>
          <w:p w14:paraId="0682A436"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67.5%</w:t>
            </w:r>
          </w:p>
        </w:tc>
        <w:tc>
          <w:tcPr>
            <w:tcW w:w="1618" w:type="dxa"/>
            <w:tcBorders>
              <w:top w:val="nil"/>
              <w:left w:val="nil"/>
              <w:bottom w:val="single" w:sz="4" w:space="0" w:color="auto"/>
              <w:right w:val="nil"/>
            </w:tcBorders>
            <w:shd w:val="clear" w:color="auto" w:fill="auto"/>
            <w:noWrap/>
            <w:vAlign w:val="center"/>
            <w:hideMark/>
          </w:tcPr>
          <w:p w14:paraId="5CE26F47" w14:textId="3FDF2EF6" w:rsidR="00561D6E" w:rsidRPr="00BF02CB" w:rsidRDefault="0003613D" w:rsidP="00561D6E">
            <w:pPr>
              <w:spacing w:after="0"/>
              <w:jc w:val="center"/>
              <w:rPr>
                <w:rFonts w:ascii="Arial" w:hAnsi="Arial" w:cs="Arial"/>
                <w:sz w:val="16"/>
                <w:szCs w:val="16"/>
              </w:rPr>
            </w:pPr>
            <w:r>
              <w:rPr>
                <w:rFonts w:ascii="Arial" w:hAnsi="Arial" w:cs="Arial"/>
                <w:sz w:val="16"/>
                <w:szCs w:val="16"/>
              </w:rPr>
              <w:t>35.0</w:t>
            </w:r>
          </w:p>
        </w:tc>
        <w:tc>
          <w:tcPr>
            <w:tcW w:w="1642" w:type="dxa"/>
            <w:tcBorders>
              <w:top w:val="nil"/>
              <w:left w:val="nil"/>
              <w:bottom w:val="single" w:sz="4" w:space="0" w:color="auto"/>
              <w:right w:val="single" w:sz="4" w:space="0" w:color="auto"/>
            </w:tcBorders>
            <w:shd w:val="clear" w:color="auto" w:fill="auto"/>
            <w:noWrap/>
            <w:vAlign w:val="center"/>
            <w:hideMark/>
          </w:tcPr>
          <w:p w14:paraId="75D3E872" w14:textId="5957A22B" w:rsidR="00561D6E" w:rsidRPr="00BF02CB" w:rsidRDefault="0003613D" w:rsidP="00561D6E">
            <w:pPr>
              <w:spacing w:after="0"/>
              <w:jc w:val="center"/>
              <w:rPr>
                <w:rFonts w:ascii="Arial" w:hAnsi="Arial" w:cs="Arial"/>
                <w:sz w:val="16"/>
                <w:szCs w:val="16"/>
              </w:rPr>
            </w:pPr>
            <w:r>
              <w:rPr>
                <w:rFonts w:ascii="Arial" w:hAnsi="Arial" w:cs="Arial"/>
                <w:sz w:val="16"/>
                <w:szCs w:val="16"/>
              </w:rPr>
              <w:t>0</w:t>
            </w:r>
          </w:p>
        </w:tc>
      </w:tr>
      <w:tr w:rsidR="00561D6E" w:rsidRPr="00BF02CB" w14:paraId="07F20626" w14:textId="77777777" w:rsidTr="00C36529">
        <w:trPr>
          <w:trHeight w:val="177"/>
        </w:trPr>
        <w:tc>
          <w:tcPr>
            <w:tcW w:w="1384" w:type="dxa"/>
            <w:vMerge/>
            <w:tcBorders>
              <w:top w:val="nil"/>
              <w:left w:val="nil"/>
              <w:bottom w:val="single" w:sz="12" w:space="0" w:color="FFFFFF"/>
              <w:right w:val="nil"/>
            </w:tcBorders>
            <w:vAlign w:val="center"/>
            <w:hideMark/>
          </w:tcPr>
          <w:p w14:paraId="7AB69E1C"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auto" w:fill="auto"/>
            <w:noWrap/>
            <w:vAlign w:val="center"/>
            <w:hideMark/>
          </w:tcPr>
          <w:p w14:paraId="4ADC8D82"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Rehabilitation and GEM</w:t>
            </w:r>
            <w:r w:rsidR="0080398E" w:rsidRPr="00695D8A">
              <w:rPr>
                <w:rFonts w:ascii="Arial" w:hAnsi="Arial" w:cs="Arial"/>
                <w:color w:val="000000"/>
                <w:sz w:val="16"/>
                <w:szCs w:val="16"/>
                <w:vertAlign w:val="superscript"/>
              </w:rPr>
              <w:t>†</w:t>
            </w:r>
            <w:r w:rsidRPr="00BF02CB">
              <w:rPr>
                <w:rFonts w:ascii="Arial" w:hAnsi="Arial" w:cs="Arial"/>
                <w:color w:val="000000"/>
                <w:sz w:val="16"/>
                <w:szCs w:val="16"/>
              </w:rPr>
              <w:t xml:space="preserve"> hospitals</w:t>
            </w:r>
          </w:p>
        </w:tc>
        <w:tc>
          <w:tcPr>
            <w:tcW w:w="1367" w:type="dxa"/>
            <w:tcBorders>
              <w:top w:val="nil"/>
              <w:left w:val="nil"/>
              <w:bottom w:val="single" w:sz="4" w:space="0" w:color="auto"/>
              <w:right w:val="nil"/>
            </w:tcBorders>
            <w:shd w:val="clear" w:color="auto" w:fill="auto"/>
            <w:noWrap/>
            <w:vAlign w:val="center"/>
            <w:hideMark/>
          </w:tcPr>
          <w:p w14:paraId="0A2D9F74"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4</w:t>
            </w:r>
          </w:p>
        </w:tc>
        <w:tc>
          <w:tcPr>
            <w:tcW w:w="1447" w:type="dxa"/>
            <w:gridSpan w:val="2"/>
            <w:tcBorders>
              <w:top w:val="nil"/>
              <w:left w:val="nil"/>
              <w:bottom w:val="single" w:sz="4" w:space="0" w:color="auto"/>
              <w:right w:val="nil"/>
            </w:tcBorders>
            <w:shd w:val="clear" w:color="auto" w:fill="auto"/>
            <w:noWrap/>
            <w:vAlign w:val="center"/>
            <w:hideMark/>
          </w:tcPr>
          <w:p w14:paraId="134AD5D9" w14:textId="15E35E5A" w:rsidR="00561D6E" w:rsidRPr="00BF02CB" w:rsidRDefault="0003613D" w:rsidP="00561D6E">
            <w:pPr>
              <w:spacing w:after="0"/>
              <w:jc w:val="center"/>
              <w:rPr>
                <w:rFonts w:ascii="Arial" w:hAnsi="Arial" w:cs="Arial"/>
                <w:sz w:val="16"/>
                <w:szCs w:val="16"/>
              </w:rPr>
            </w:pPr>
            <w:r>
              <w:rPr>
                <w:rFonts w:ascii="Arial" w:hAnsi="Arial" w:cs="Arial"/>
                <w:sz w:val="16"/>
                <w:szCs w:val="16"/>
              </w:rPr>
              <w:t>1.3</w:t>
            </w:r>
          </w:p>
        </w:tc>
        <w:tc>
          <w:tcPr>
            <w:tcW w:w="1237" w:type="dxa"/>
            <w:tcBorders>
              <w:top w:val="nil"/>
              <w:left w:val="nil"/>
              <w:bottom w:val="single" w:sz="4" w:space="0" w:color="auto"/>
              <w:right w:val="nil"/>
            </w:tcBorders>
            <w:shd w:val="clear" w:color="auto" w:fill="auto"/>
            <w:noWrap/>
            <w:vAlign w:val="center"/>
            <w:hideMark/>
          </w:tcPr>
          <w:p w14:paraId="38FA9BDB"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124</w:t>
            </w:r>
          </w:p>
        </w:tc>
        <w:tc>
          <w:tcPr>
            <w:tcW w:w="1237" w:type="dxa"/>
            <w:tcBorders>
              <w:top w:val="nil"/>
              <w:left w:val="nil"/>
              <w:bottom w:val="single" w:sz="4" w:space="0" w:color="auto"/>
              <w:right w:val="nil"/>
            </w:tcBorders>
            <w:shd w:val="clear" w:color="auto" w:fill="auto"/>
            <w:noWrap/>
            <w:vAlign w:val="center"/>
            <w:hideMark/>
          </w:tcPr>
          <w:p w14:paraId="0139F8FA" w14:textId="5021E08C" w:rsidR="00561D6E" w:rsidRPr="00BF02CB" w:rsidRDefault="0003613D" w:rsidP="00561D6E">
            <w:pPr>
              <w:spacing w:after="0"/>
              <w:jc w:val="center"/>
              <w:rPr>
                <w:rFonts w:ascii="Arial" w:hAnsi="Arial" w:cs="Arial"/>
                <w:sz w:val="16"/>
                <w:szCs w:val="16"/>
              </w:rPr>
            </w:pPr>
            <w:r>
              <w:rPr>
                <w:rFonts w:ascii="Arial" w:hAnsi="Arial" w:cs="Arial"/>
                <w:sz w:val="16"/>
                <w:szCs w:val="16"/>
              </w:rPr>
              <w:t>0.5</w:t>
            </w:r>
          </w:p>
        </w:tc>
        <w:tc>
          <w:tcPr>
            <w:tcW w:w="1827" w:type="dxa"/>
            <w:tcBorders>
              <w:top w:val="nil"/>
              <w:left w:val="nil"/>
              <w:bottom w:val="single" w:sz="4" w:space="0" w:color="auto"/>
              <w:right w:val="nil"/>
            </w:tcBorders>
            <w:shd w:val="clear" w:color="auto" w:fill="auto"/>
            <w:noWrap/>
            <w:vAlign w:val="center"/>
            <w:hideMark/>
          </w:tcPr>
          <w:p w14:paraId="28114F2F"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90.3%</w:t>
            </w:r>
          </w:p>
        </w:tc>
        <w:tc>
          <w:tcPr>
            <w:tcW w:w="1618" w:type="dxa"/>
            <w:tcBorders>
              <w:top w:val="nil"/>
              <w:left w:val="nil"/>
              <w:bottom w:val="single" w:sz="4" w:space="0" w:color="auto"/>
              <w:right w:val="nil"/>
            </w:tcBorders>
            <w:shd w:val="clear" w:color="auto" w:fill="auto"/>
            <w:noWrap/>
            <w:vAlign w:val="center"/>
            <w:hideMark/>
          </w:tcPr>
          <w:p w14:paraId="3B17990A" w14:textId="26BD57D6" w:rsidR="00561D6E" w:rsidRPr="00BF02CB" w:rsidRDefault="0003613D" w:rsidP="00561D6E">
            <w:pPr>
              <w:spacing w:after="0"/>
              <w:jc w:val="center"/>
              <w:rPr>
                <w:rFonts w:ascii="Arial" w:hAnsi="Arial" w:cs="Arial"/>
                <w:sz w:val="16"/>
                <w:szCs w:val="16"/>
              </w:rPr>
            </w:pPr>
            <w:r>
              <w:rPr>
                <w:rFonts w:ascii="Arial" w:hAnsi="Arial" w:cs="Arial"/>
                <w:sz w:val="16"/>
                <w:szCs w:val="16"/>
              </w:rPr>
              <w:t>60.5</w:t>
            </w:r>
          </w:p>
        </w:tc>
        <w:tc>
          <w:tcPr>
            <w:tcW w:w="1642" w:type="dxa"/>
            <w:tcBorders>
              <w:top w:val="nil"/>
              <w:left w:val="nil"/>
              <w:bottom w:val="single" w:sz="4" w:space="0" w:color="auto"/>
              <w:right w:val="single" w:sz="4" w:space="0" w:color="auto"/>
            </w:tcBorders>
            <w:shd w:val="clear" w:color="auto" w:fill="auto"/>
            <w:noWrap/>
            <w:vAlign w:val="center"/>
            <w:hideMark/>
          </w:tcPr>
          <w:p w14:paraId="1356E73F" w14:textId="77777777" w:rsidR="00561D6E" w:rsidRPr="00BF02CB" w:rsidRDefault="00561D6E" w:rsidP="00561D6E">
            <w:pPr>
              <w:spacing w:after="0"/>
              <w:jc w:val="center"/>
              <w:rPr>
                <w:rFonts w:ascii="Arial" w:hAnsi="Arial" w:cs="Arial"/>
                <w:sz w:val="16"/>
                <w:szCs w:val="16"/>
              </w:rPr>
            </w:pPr>
            <w:proofErr w:type="spellStart"/>
            <w:r w:rsidRPr="00BF02CB">
              <w:rPr>
                <w:rFonts w:ascii="Arial" w:hAnsi="Arial" w:cs="Arial"/>
                <w:sz w:val="16"/>
                <w:szCs w:val="16"/>
              </w:rPr>
              <w:t>na</w:t>
            </w:r>
            <w:proofErr w:type="spellEnd"/>
          </w:p>
        </w:tc>
      </w:tr>
      <w:tr w:rsidR="00561D6E" w:rsidRPr="00BF02CB" w14:paraId="3E2C7513" w14:textId="77777777" w:rsidTr="00C36529">
        <w:trPr>
          <w:trHeight w:val="177"/>
        </w:trPr>
        <w:tc>
          <w:tcPr>
            <w:tcW w:w="1384" w:type="dxa"/>
            <w:vMerge/>
            <w:tcBorders>
              <w:top w:val="nil"/>
              <w:left w:val="nil"/>
              <w:bottom w:val="single" w:sz="12" w:space="0" w:color="FFFFFF"/>
              <w:right w:val="nil"/>
            </w:tcBorders>
            <w:vAlign w:val="center"/>
            <w:hideMark/>
          </w:tcPr>
          <w:p w14:paraId="6AE2A45D"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auto" w:fill="auto"/>
            <w:noWrap/>
            <w:vAlign w:val="center"/>
            <w:hideMark/>
          </w:tcPr>
          <w:p w14:paraId="13C86558" w14:textId="4ADA3F72"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Very small hospitals</w:t>
            </w:r>
            <w:r w:rsidR="00BD09B3" w:rsidRPr="00BD09B3">
              <w:rPr>
                <w:sz w:val="18"/>
                <w:szCs w:val="18"/>
                <w:vertAlign w:val="superscript"/>
              </w:rPr>
              <w:t>§</w:t>
            </w:r>
          </w:p>
        </w:tc>
        <w:tc>
          <w:tcPr>
            <w:tcW w:w="1367" w:type="dxa"/>
            <w:tcBorders>
              <w:top w:val="nil"/>
              <w:left w:val="nil"/>
              <w:bottom w:val="single" w:sz="4" w:space="0" w:color="auto"/>
              <w:right w:val="nil"/>
            </w:tcBorders>
            <w:shd w:val="clear" w:color="auto" w:fill="auto"/>
            <w:noWrap/>
            <w:vAlign w:val="center"/>
            <w:hideMark/>
          </w:tcPr>
          <w:p w14:paraId="09E4A7A1"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4</w:t>
            </w:r>
          </w:p>
        </w:tc>
        <w:tc>
          <w:tcPr>
            <w:tcW w:w="1447" w:type="dxa"/>
            <w:gridSpan w:val="2"/>
            <w:tcBorders>
              <w:top w:val="nil"/>
              <w:left w:val="nil"/>
              <w:bottom w:val="single" w:sz="4" w:space="0" w:color="auto"/>
              <w:right w:val="nil"/>
            </w:tcBorders>
            <w:shd w:val="clear" w:color="auto" w:fill="auto"/>
            <w:noWrap/>
            <w:vAlign w:val="center"/>
            <w:hideMark/>
          </w:tcPr>
          <w:p w14:paraId="23FF89FB" w14:textId="083F3E04" w:rsidR="00561D6E" w:rsidRPr="00BF02CB" w:rsidRDefault="0003613D" w:rsidP="00561D6E">
            <w:pPr>
              <w:spacing w:after="0"/>
              <w:jc w:val="center"/>
              <w:rPr>
                <w:rFonts w:ascii="Arial" w:hAnsi="Arial" w:cs="Arial"/>
                <w:sz w:val="16"/>
                <w:szCs w:val="16"/>
              </w:rPr>
            </w:pPr>
            <w:r>
              <w:rPr>
                <w:rFonts w:ascii="Arial" w:hAnsi="Arial" w:cs="Arial"/>
                <w:sz w:val="16"/>
                <w:szCs w:val="16"/>
              </w:rPr>
              <w:t>1.3</w:t>
            </w:r>
          </w:p>
        </w:tc>
        <w:tc>
          <w:tcPr>
            <w:tcW w:w="1237" w:type="dxa"/>
            <w:tcBorders>
              <w:top w:val="nil"/>
              <w:left w:val="nil"/>
              <w:bottom w:val="single" w:sz="4" w:space="0" w:color="auto"/>
              <w:right w:val="nil"/>
            </w:tcBorders>
            <w:shd w:val="clear" w:color="auto" w:fill="auto"/>
            <w:noWrap/>
            <w:vAlign w:val="center"/>
            <w:hideMark/>
          </w:tcPr>
          <w:p w14:paraId="1D5D2865"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12</w:t>
            </w:r>
          </w:p>
        </w:tc>
        <w:tc>
          <w:tcPr>
            <w:tcW w:w="1237" w:type="dxa"/>
            <w:tcBorders>
              <w:top w:val="nil"/>
              <w:left w:val="nil"/>
              <w:bottom w:val="single" w:sz="4" w:space="0" w:color="auto"/>
              <w:right w:val="nil"/>
            </w:tcBorders>
            <w:shd w:val="clear" w:color="auto" w:fill="auto"/>
            <w:noWrap/>
            <w:vAlign w:val="center"/>
            <w:hideMark/>
          </w:tcPr>
          <w:p w14:paraId="19E365BD" w14:textId="08612E86" w:rsidR="00561D6E" w:rsidRPr="00BF02CB" w:rsidRDefault="0003613D" w:rsidP="00561D6E">
            <w:pPr>
              <w:spacing w:after="0"/>
              <w:jc w:val="center"/>
              <w:rPr>
                <w:rFonts w:ascii="Arial" w:hAnsi="Arial" w:cs="Arial"/>
                <w:sz w:val="16"/>
                <w:szCs w:val="16"/>
              </w:rPr>
            </w:pPr>
            <w:r>
              <w:rPr>
                <w:rFonts w:ascii="Arial" w:hAnsi="Arial" w:cs="Arial"/>
                <w:sz w:val="16"/>
                <w:szCs w:val="16"/>
              </w:rPr>
              <w:t>0.1</w:t>
            </w:r>
          </w:p>
        </w:tc>
        <w:tc>
          <w:tcPr>
            <w:tcW w:w="1827" w:type="dxa"/>
            <w:tcBorders>
              <w:top w:val="nil"/>
              <w:left w:val="nil"/>
              <w:bottom w:val="single" w:sz="4" w:space="0" w:color="auto"/>
              <w:right w:val="nil"/>
            </w:tcBorders>
            <w:shd w:val="clear" w:color="auto" w:fill="auto"/>
            <w:noWrap/>
            <w:vAlign w:val="center"/>
            <w:hideMark/>
          </w:tcPr>
          <w:p w14:paraId="43C2BC3B"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w:t>
            </w:r>
          </w:p>
        </w:tc>
        <w:tc>
          <w:tcPr>
            <w:tcW w:w="1618" w:type="dxa"/>
            <w:tcBorders>
              <w:top w:val="nil"/>
              <w:left w:val="nil"/>
              <w:bottom w:val="single" w:sz="4" w:space="0" w:color="auto"/>
              <w:right w:val="nil"/>
            </w:tcBorders>
            <w:shd w:val="clear" w:color="auto" w:fill="auto"/>
            <w:noWrap/>
            <w:vAlign w:val="center"/>
            <w:hideMark/>
          </w:tcPr>
          <w:p w14:paraId="20BC0298"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w:t>
            </w:r>
          </w:p>
        </w:tc>
        <w:tc>
          <w:tcPr>
            <w:tcW w:w="1642" w:type="dxa"/>
            <w:tcBorders>
              <w:top w:val="nil"/>
              <w:left w:val="nil"/>
              <w:bottom w:val="single" w:sz="4" w:space="0" w:color="auto"/>
              <w:right w:val="single" w:sz="4" w:space="0" w:color="auto"/>
            </w:tcBorders>
            <w:shd w:val="clear" w:color="auto" w:fill="auto"/>
            <w:noWrap/>
            <w:vAlign w:val="center"/>
            <w:hideMark/>
          </w:tcPr>
          <w:p w14:paraId="67BC4EEB"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w:t>
            </w:r>
          </w:p>
        </w:tc>
      </w:tr>
      <w:tr w:rsidR="00561D6E" w:rsidRPr="00BF02CB" w14:paraId="27439E04" w14:textId="77777777" w:rsidTr="00C36529">
        <w:trPr>
          <w:trHeight w:val="177"/>
        </w:trPr>
        <w:tc>
          <w:tcPr>
            <w:tcW w:w="1384" w:type="dxa"/>
            <w:vMerge/>
            <w:tcBorders>
              <w:top w:val="nil"/>
              <w:left w:val="nil"/>
              <w:bottom w:val="single" w:sz="12" w:space="0" w:color="FFFFFF"/>
              <w:right w:val="nil"/>
            </w:tcBorders>
            <w:vAlign w:val="center"/>
            <w:hideMark/>
          </w:tcPr>
          <w:p w14:paraId="4A941C5D"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auto" w:fill="auto"/>
            <w:noWrap/>
            <w:vAlign w:val="center"/>
            <w:hideMark/>
          </w:tcPr>
          <w:p w14:paraId="2F10FA0C"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Psychiatric hospitals</w:t>
            </w:r>
          </w:p>
        </w:tc>
        <w:tc>
          <w:tcPr>
            <w:tcW w:w="1367" w:type="dxa"/>
            <w:tcBorders>
              <w:top w:val="nil"/>
              <w:left w:val="nil"/>
              <w:bottom w:val="single" w:sz="4" w:space="0" w:color="auto"/>
              <w:right w:val="nil"/>
            </w:tcBorders>
            <w:shd w:val="clear" w:color="auto" w:fill="auto"/>
            <w:noWrap/>
            <w:vAlign w:val="center"/>
            <w:hideMark/>
          </w:tcPr>
          <w:p w14:paraId="3955652B"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2</w:t>
            </w:r>
          </w:p>
        </w:tc>
        <w:tc>
          <w:tcPr>
            <w:tcW w:w="1447" w:type="dxa"/>
            <w:gridSpan w:val="2"/>
            <w:tcBorders>
              <w:top w:val="nil"/>
              <w:left w:val="nil"/>
              <w:bottom w:val="single" w:sz="4" w:space="0" w:color="auto"/>
              <w:right w:val="nil"/>
            </w:tcBorders>
            <w:shd w:val="clear" w:color="auto" w:fill="auto"/>
            <w:noWrap/>
            <w:vAlign w:val="center"/>
            <w:hideMark/>
          </w:tcPr>
          <w:p w14:paraId="1C16EF0D" w14:textId="57052BC0" w:rsidR="00561D6E" w:rsidRPr="00BF02CB" w:rsidRDefault="0003613D" w:rsidP="00561D6E">
            <w:pPr>
              <w:spacing w:after="0"/>
              <w:jc w:val="center"/>
              <w:rPr>
                <w:rFonts w:ascii="Arial" w:hAnsi="Arial" w:cs="Arial"/>
                <w:sz w:val="16"/>
                <w:szCs w:val="16"/>
              </w:rPr>
            </w:pPr>
            <w:r>
              <w:rPr>
                <w:rFonts w:ascii="Arial" w:hAnsi="Arial" w:cs="Arial"/>
                <w:sz w:val="16"/>
                <w:szCs w:val="16"/>
              </w:rPr>
              <w:t>0.6</w:t>
            </w:r>
          </w:p>
        </w:tc>
        <w:tc>
          <w:tcPr>
            <w:tcW w:w="1237" w:type="dxa"/>
            <w:tcBorders>
              <w:top w:val="nil"/>
              <w:left w:val="nil"/>
              <w:bottom w:val="single" w:sz="4" w:space="0" w:color="auto"/>
              <w:right w:val="nil"/>
            </w:tcBorders>
            <w:shd w:val="clear" w:color="auto" w:fill="auto"/>
            <w:noWrap/>
            <w:vAlign w:val="center"/>
            <w:hideMark/>
          </w:tcPr>
          <w:p w14:paraId="36DD83B0"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235</w:t>
            </w:r>
          </w:p>
        </w:tc>
        <w:tc>
          <w:tcPr>
            <w:tcW w:w="1237" w:type="dxa"/>
            <w:tcBorders>
              <w:top w:val="nil"/>
              <w:left w:val="nil"/>
              <w:bottom w:val="single" w:sz="4" w:space="0" w:color="auto"/>
              <w:right w:val="nil"/>
            </w:tcBorders>
            <w:shd w:val="clear" w:color="auto" w:fill="auto"/>
            <w:noWrap/>
            <w:vAlign w:val="center"/>
            <w:hideMark/>
          </w:tcPr>
          <w:p w14:paraId="6B11D917" w14:textId="77E901F8" w:rsidR="00561D6E" w:rsidRPr="00BF02CB" w:rsidRDefault="0003613D" w:rsidP="00561D6E">
            <w:pPr>
              <w:spacing w:after="0"/>
              <w:jc w:val="center"/>
              <w:rPr>
                <w:rFonts w:ascii="Arial" w:hAnsi="Arial" w:cs="Arial"/>
                <w:sz w:val="16"/>
                <w:szCs w:val="16"/>
              </w:rPr>
            </w:pPr>
            <w:r>
              <w:rPr>
                <w:rFonts w:ascii="Arial" w:hAnsi="Arial" w:cs="Arial"/>
                <w:sz w:val="16"/>
                <w:szCs w:val="16"/>
              </w:rPr>
              <w:t>0.9</w:t>
            </w:r>
          </w:p>
        </w:tc>
        <w:tc>
          <w:tcPr>
            <w:tcW w:w="1827" w:type="dxa"/>
            <w:tcBorders>
              <w:top w:val="nil"/>
              <w:left w:val="nil"/>
              <w:bottom w:val="single" w:sz="4" w:space="0" w:color="auto"/>
              <w:right w:val="nil"/>
            </w:tcBorders>
            <w:shd w:val="clear" w:color="auto" w:fill="auto"/>
            <w:noWrap/>
            <w:vAlign w:val="center"/>
            <w:hideMark/>
          </w:tcPr>
          <w:p w14:paraId="26C2459D"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86.4%</w:t>
            </w:r>
          </w:p>
        </w:tc>
        <w:tc>
          <w:tcPr>
            <w:tcW w:w="1618" w:type="dxa"/>
            <w:tcBorders>
              <w:top w:val="nil"/>
              <w:left w:val="nil"/>
              <w:bottom w:val="single" w:sz="4" w:space="0" w:color="auto"/>
              <w:right w:val="nil"/>
            </w:tcBorders>
            <w:shd w:val="clear" w:color="auto" w:fill="auto"/>
            <w:noWrap/>
            <w:vAlign w:val="center"/>
            <w:hideMark/>
          </w:tcPr>
          <w:p w14:paraId="05F54E10" w14:textId="5A57C468" w:rsidR="00561D6E" w:rsidRPr="00BF02CB" w:rsidRDefault="0003613D" w:rsidP="00561D6E">
            <w:pPr>
              <w:spacing w:after="0"/>
              <w:jc w:val="center"/>
              <w:rPr>
                <w:rFonts w:ascii="Arial" w:hAnsi="Arial" w:cs="Arial"/>
                <w:sz w:val="16"/>
                <w:szCs w:val="16"/>
              </w:rPr>
            </w:pPr>
            <w:r>
              <w:rPr>
                <w:rFonts w:ascii="Arial" w:hAnsi="Arial" w:cs="Arial"/>
                <w:sz w:val="16"/>
                <w:szCs w:val="16"/>
              </w:rPr>
              <w:t>60.4</w:t>
            </w:r>
          </w:p>
        </w:tc>
        <w:tc>
          <w:tcPr>
            <w:tcW w:w="1642" w:type="dxa"/>
            <w:tcBorders>
              <w:top w:val="nil"/>
              <w:left w:val="nil"/>
              <w:bottom w:val="single" w:sz="4" w:space="0" w:color="auto"/>
              <w:right w:val="single" w:sz="4" w:space="0" w:color="auto"/>
            </w:tcBorders>
            <w:shd w:val="clear" w:color="auto" w:fill="auto"/>
            <w:noWrap/>
            <w:vAlign w:val="center"/>
            <w:hideMark/>
          </w:tcPr>
          <w:p w14:paraId="2EC06DDE" w14:textId="07349451" w:rsidR="00561D6E" w:rsidRPr="00BF02CB" w:rsidRDefault="0003613D" w:rsidP="00561D6E">
            <w:pPr>
              <w:spacing w:after="0"/>
              <w:jc w:val="center"/>
              <w:rPr>
                <w:rFonts w:ascii="Arial" w:hAnsi="Arial" w:cs="Arial"/>
                <w:sz w:val="16"/>
                <w:szCs w:val="16"/>
              </w:rPr>
            </w:pPr>
            <w:r>
              <w:rPr>
                <w:rFonts w:ascii="Arial" w:hAnsi="Arial" w:cs="Arial"/>
                <w:sz w:val="16"/>
                <w:szCs w:val="16"/>
              </w:rPr>
              <w:t>50.0</w:t>
            </w:r>
          </w:p>
        </w:tc>
      </w:tr>
      <w:tr w:rsidR="00561D6E" w:rsidRPr="00BF02CB" w14:paraId="7B9AFE04" w14:textId="77777777" w:rsidTr="00C36529">
        <w:trPr>
          <w:trHeight w:val="185"/>
        </w:trPr>
        <w:tc>
          <w:tcPr>
            <w:tcW w:w="1384" w:type="dxa"/>
            <w:vMerge/>
            <w:tcBorders>
              <w:top w:val="nil"/>
              <w:left w:val="nil"/>
              <w:bottom w:val="single" w:sz="12" w:space="0" w:color="FFFFFF"/>
              <w:right w:val="nil"/>
            </w:tcBorders>
            <w:vAlign w:val="center"/>
            <w:hideMark/>
          </w:tcPr>
          <w:p w14:paraId="6811B40D"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12" w:space="0" w:color="808080" w:themeColor="background1" w:themeShade="80"/>
              <w:right w:val="nil"/>
            </w:tcBorders>
            <w:shd w:val="clear" w:color="auto" w:fill="auto"/>
            <w:noWrap/>
            <w:vAlign w:val="center"/>
            <w:hideMark/>
          </w:tcPr>
          <w:p w14:paraId="0A354432" w14:textId="77777777" w:rsidR="00561D6E" w:rsidRPr="00BF02CB" w:rsidRDefault="00561D6E" w:rsidP="00561D6E">
            <w:pPr>
              <w:spacing w:after="0"/>
              <w:rPr>
                <w:rFonts w:ascii="Arial" w:hAnsi="Arial" w:cs="Arial"/>
                <w:color w:val="000000"/>
                <w:sz w:val="16"/>
                <w:szCs w:val="16"/>
              </w:rPr>
            </w:pPr>
            <w:proofErr w:type="spellStart"/>
            <w:r w:rsidRPr="00BF02CB">
              <w:rPr>
                <w:rFonts w:ascii="Arial" w:hAnsi="Arial" w:cs="Arial"/>
                <w:color w:val="000000"/>
                <w:sz w:val="16"/>
                <w:szCs w:val="16"/>
              </w:rPr>
              <w:t>Unpeered</w:t>
            </w:r>
            <w:proofErr w:type="spellEnd"/>
            <w:r w:rsidRPr="00BF02CB">
              <w:rPr>
                <w:rFonts w:ascii="Arial" w:hAnsi="Arial" w:cs="Arial"/>
                <w:color w:val="000000"/>
                <w:sz w:val="16"/>
                <w:szCs w:val="16"/>
              </w:rPr>
              <w:t xml:space="preserve"> hospitals</w:t>
            </w:r>
          </w:p>
        </w:tc>
        <w:tc>
          <w:tcPr>
            <w:tcW w:w="1367" w:type="dxa"/>
            <w:tcBorders>
              <w:top w:val="nil"/>
              <w:left w:val="nil"/>
              <w:bottom w:val="single" w:sz="12" w:space="0" w:color="808080" w:themeColor="background1" w:themeShade="80"/>
              <w:right w:val="nil"/>
            </w:tcBorders>
            <w:shd w:val="clear" w:color="auto" w:fill="auto"/>
            <w:noWrap/>
            <w:vAlign w:val="center"/>
            <w:hideMark/>
          </w:tcPr>
          <w:p w14:paraId="3885F41A"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w:t>
            </w:r>
          </w:p>
        </w:tc>
        <w:tc>
          <w:tcPr>
            <w:tcW w:w="1447" w:type="dxa"/>
            <w:gridSpan w:val="2"/>
            <w:tcBorders>
              <w:top w:val="nil"/>
              <w:left w:val="nil"/>
              <w:bottom w:val="single" w:sz="12" w:space="0" w:color="808080" w:themeColor="background1" w:themeShade="80"/>
              <w:right w:val="nil"/>
            </w:tcBorders>
            <w:shd w:val="clear" w:color="auto" w:fill="auto"/>
            <w:noWrap/>
            <w:vAlign w:val="center"/>
            <w:hideMark/>
          </w:tcPr>
          <w:p w14:paraId="05F25D4B" w14:textId="6017339C" w:rsidR="00561D6E" w:rsidRPr="00BF02CB" w:rsidRDefault="0003613D" w:rsidP="00561D6E">
            <w:pPr>
              <w:spacing w:after="0"/>
              <w:jc w:val="center"/>
              <w:rPr>
                <w:rFonts w:ascii="Arial" w:hAnsi="Arial" w:cs="Arial"/>
                <w:sz w:val="16"/>
                <w:szCs w:val="16"/>
              </w:rPr>
            </w:pPr>
            <w:r>
              <w:rPr>
                <w:rFonts w:ascii="Arial" w:hAnsi="Arial" w:cs="Arial"/>
                <w:sz w:val="16"/>
                <w:szCs w:val="16"/>
              </w:rPr>
              <w:t>0.3</w:t>
            </w:r>
          </w:p>
        </w:tc>
        <w:tc>
          <w:tcPr>
            <w:tcW w:w="1237" w:type="dxa"/>
            <w:tcBorders>
              <w:top w:val="nil"/>
              <w:left w:val="nil"/>
              <w:bottom w:val="single" w:sz="12" w:space="0" w:color="808080" w:themeColor="background1" w:themeShade="80"/>
              <w:right w:val="nil"/>
            </w:tcBorders>
            <w:shd w:val="clear" w:color="auto" w:fill="auto"/>
            <w:noWrap/>
            <w:vAlign w:val="center"/>
            <w:hideMark/>
          </w:tcPr>
          <w:p w14:paraId="3DF1C38A"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40</w:t>
            </w:r>
          </w:p>
        </w:tc>
        <w:tc>
          <w:tcPr>
            <w:tcW w:w="1237" w:type="dxa"/>
            <w:tcBorders>
              <w:top w:val="nil"/>
              <w:left w:val="nil"/>
              <w:bottom w:val="single" w:sz="12" w:space="0" w:color="808080" w:themeColor="background1" w:themeShade="80"/>
              <w:right w:val="nil"/>
            </w:tcBorders>
            <w:shd w:val="clear" w:color="auto" w:fill="auto"/>
            <w:noWrap/>
            <w:vAlign w:val="center"/>
            <w:hideMark/>
          </w:tcPr>
          <w:p w14:paraId="7EE74EEF" w14:textId="57E06FEE" w:rsidR="00561D6E" w:rsidRPr="00BF02CB" w:rsidRDefault="0003613D" w:rsidP="00561D6E">
            <w:pPr>
              <w:spacing w:after="0"/>
              <w:jc w:val="center"/>
              <w:rPr>
                <w:rFonts w:ascii="Arial" w:hAnsi="Arial" w:cs="Arial"/>
                <w:sz w:val="16"/>
                <w:szCs w:val="16"/>
              </w:rPr>
            </w:pPr>
            <w:r>
              <w:rPr>
                <w:rFonts w:ascii="Arial" w:hAnsi="Arial" w:cs="Arial"/>
                <w:sz w:val="16"/>
                <w:szCs w:val="16"/>
              </w:rPr>
              <w:t>0.2</w:t>
            </w:r>
          </w:p>
        </w:tc>
        <w:tc>
          <w:tcPr>
            <w:tcW w:w="1827" w:type="dxa"/>
            <w:tcBorders>
              <w:top w:val="nil"/>
              <w:left w:val="nil"/>
              <w:bottom w:val="single" w:sz="12" w:space="0" w:color="808080" w:themeColor="background1" w:themeShade="80"/>
              <w:right w:val="nil"/>
            </w:tcBorders>
            <w:shd w:val="clear" w:color="auto" w:fill="auto"/>
            <w:noWrap/>
            <w:vAlign w:val="center"/>
            <w:hideMark/>
          </w:tcPr>
          <w:p w14:paraId="0ACC23CF"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45.0%</w:t>
            </w:r>
          </w:p>
        </w:tc>
        <w:tc>
          <w:tcPr>
            <w:tcW w:w="1618" w:type="dxa"/>
            <w:tcBorders>
              <w:top w:val="nil"/>
              <w:left w:val="nil"/>
              <w:bottom w:val="single" w:sz="12" w:space="0" w:color="808080" w:themeColor="background1" w:themeShade="80"/>
              <w:right w:val="nil"/>
            </w:tcBorders>
            <w:shd w:val="clear" w:color="auto" w:fill="auto"/>
            <w:noWrap/>
            <w:vAlign w:val="center"/>
            <w:hideMark/>
          </w:tcPr>
          <w:p w14:paraId="54866EC6" w14:textId="2F5AA794" w:rsidR="00561D6E" w:rsidRPr="00BF02CB" w:rsidRDefault="0003613D" w:rsidP="00561D6E">
            <w:pPr>
              <w:spacing w:after="0"/>
              <w:jc w:val="center"/>
              <w:rPr>
                <w:rFonts w:ascii="Arial" w:hAnsi="Arial" w:cs="Arial"/>
                <w:sz w:val="16"/>
                <w:szCs w:val="16"/>
              </w:rPr>
            </w:pPr>
            <w:r>
              <w:rPr>
                <w:rFonts w:ascii="Arial" w:hAnsi="Arial" w:cs="Arial"/>
                <w:sz w:val="16"/>
                <w:szCs w:val="16"/>
              </w:rPr>
              <w:t>37.5</w:t>
            </w:r>
          </w:p>
        </w:tc>
        <w:tc>
          <w:tcPr>
            <w:tcW w:w="1642" w:type="dxa"/>
            <w:tcBorders>
              <w:top w:val="nil"/>
              <w:left w:val="nil"/>
              <w:bottom w:val="single" w:sz="12" w:space="0" w:color="808080" w:themeColor="background1" w:themeShade="80"/>
              <w:right w:val="single" w:sz="4" w:space="0" w:color="auto"/>
            </w:tcBorders>
            <w:shd w:val="clear" w:color="auto" w:fill="auto"/>
            <w:noWrap/>
            <w:vAlign w:val="center"/>
            <w:hideMark/>
          </w:tcPr>
          <w:p w14:paraId="44549312"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0</w:t>
            </w:r>
          </w:p>
        </w:tc>
      </w:tr>
      <w:tr w:rsidR="00561D6E" w:rsidRPr="00BF02CB" w14:paraId="34E5881A" w14:textId="77777777" w:rsidTr="00C36529">
        <w:trPr>
          <w:trHeight w:val="185"/>
        </w:trPr>
        <w:tc>
          <w:tcPr>
            <w:tcW w:w="1384" w:type="dxa"/>
            <w:vMerge w:val="restart"/>
            <w:tcBorders>
              <w:top w:val="nil"/>
              <w:left w:val="nil"/>
              <w:bottom w:val="single" w:sz="12" w:space="0" w:color="FFFFFF"/>
              <w:right w:val="nil"/>
            </w:tcBorders>
            <w:shd w:val="clear" w:color="000000" w:fill="808080"/>
            <w:vAlign w:val="center"/>
            <w:hideMark/>
          </w:tcPr>
          <w:p w14:paraId="040FCF8D" w14:textId="77777777" w:rsidR="00561D6E" w:rsidRPr="00BF02CB" w:rsidRDefault="00561D6E" w:rsidP="00561D6E">
            <w:pPr>
              <w:spacing w:after="0"/>
              <w:rPr>
                <w:rFonts w:ascii="Arial" w:hAnsi="Arial" w:cs="Arial"/>
                <w:color w:val="FFFFFF"/>
                <w:sz w:val="18"/>
                <w:szCs w:val="18"/>
              </w:rPr>
            </w:pPr>
            <w:r w:rsidRPr="00BF02CB">
              <w:rPr>
                <w:rFonts w:ascii="Arial" w:hAnsi="Arial" w:cs="Arial"/>
                <w:color w:val="FFFFFF"/>
                <w:sz w:val="18"/>
                <w:szCs w:val="18"/>
              </w:rPr>
              <w:t>Private hospital peer group</w:t>
            </w:r>
          </w:p>
        </w:tc>
        <w:tc>
          <w:tcPr>
            <w:tcW w:w="3091" w:type="dxa"/>
            <w:tcBorders>
              <w:top w:val="single" w:sz="12" w:space="0" w:color="808080" w:themeColor="background1" w:themeShade="80"/>
              <w:left w:val="single" w:sz="4" w:space="0" w:color="auto"/>
              <w:bottom w:val="single" w:sz="4" w:space="0" w:color="auto"/>
              <w:right w:val="nil"/>
            </w:tcBorders>
            <w:shd w:val="clear" w:color="000000" w:fill="D9D9D9"/>
            <w:noWrap/>
            <w:vAlign w:val="center"/>
            <w:hideMark/>
          </w:tcPr>
          <w:p w14:paraId="6D99FD81"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Private acute group A hospitals</w:t>
            </w:r>
          </w:p>
        </w:tc>
        <w:tc>
          <w:tcPr>
            <w:tcW w:w="1367" w:type="dxa"/>
            <w:tcBorders>
              <w:top w:val="single" w:sz="12" w:space="0" w:color="808080" w:themeColor="background1" w:themeShade="80"/>
              <w:left w:val="nil"/>
              <w:bottom w:val="single" w:sz="4" w:space="0" w:color="auto"/>
              <w:right w:val="nil"/>
            </w:tcBorders>
            <w:shd w:val="clear" w:color="000000" w:fill="D9D9D9"/>
            <w:noWrap/>
            <w:vAlign w:val="center"/>
            <w:hideMark/>
          </w:tcPr>
          <w:p w14:paraId="479F414A"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13</w:t>
            </w:r>
          </w:p>
        </w:tc>
        <w:tc>
          <w:tcPr>
            <w:tcW w:w="1447" w:type="dxa"/>
            <w:gridSpan w:val="2"/>
            <w:tcBorders>
              <w:top w:val="single" w:sz="12" w:space="0" w:color="808080" w:themeColor="background1" w:themeShade="80"/>
              <w:left w:val="nil"/>
              <w:bottom w:val="single" w:sz="4" w:space="0" w:color="auto"/>
              <w:right w:val="nil"/>
            </w:tcBorders>
            <w:shd w:val="clear" w:color="000000" w:fill="D9D9D9"/>
            <w:noWrap/>
            <w:vAlign w:val="center"/>
            <w:hideMark/>
          </w:tcPr>
          <w:p w14:paraId="43987E70" w14:textId="7523E446"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4.1</w:t>
            </w:r>
          </w:p>
        </w:tc>
        <w:tc>
          <w:tcPr>
            <w:tcW w:w="1237" w:type="dxa"/>
            <w:tcBorders>
              <w:top w:val="single" w:sz="12" w:space="0" w:color="808080" w:themeColor="background1" w:themeShade="80"/>
              <w:left w:val="nil"/>
              <w:bottom w:val="single" w:sz="4" w:space="0" w:color="auto"/>
              <w:right w:val="nil"/>
            </w:tcBorders>
            <w:shd w:val="clear" w:color="000000" w:fill="D9D9D9"/>
            <w:noWrap/>
            <w:vAlign w:val="center"/>
            <w:hideMark/>
          </w:tcPr>
          <w:p w14:paraId="4C375E43"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1,</w:t>
            </w:r>
            <w:r w:rsidRPr="00BF02CB">
              <w:rPr>
                <w:rFonts w:ascii="Arial" w:hAnsi="Arial" w:cs="Arial"/>
                <w:sz w:val="16"/>
                <w:szCs w:val="16"/>
              </w:rPr>
              <w:t>515</w:t>
            </w:r>
          </w:p>
        </w:tc>
        <w:tc>
          <w:tcPr>
            <w:tcW w:w="1237" w:type="dxa"/>
            <w:tcBorders>
              <w:top w:val="single" w:sz="12" w:space="0" w:color="808080" w:themeColor="background1" w:themeShade="80"/>
              <w:left w:val="nil"/>
              <w:bottom w:val="single" w:sz="4" w:space="0" w:color="auto"/>
              <w:right w:val="nil"/>
            </w:tcBorders>
            <w:shd w:val="clear" w:color="000000" w:fill="D9D9D9"/>
            <w:noWrap/>
            <w:vAlign w:val="center"/>
            <w:hideMark/>
          </w:tcPr>
          <w:p w14:paraId="03280670" w14:textId="5832D6C6"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5.8</w:t>
            </w:r>
          </w:p>
        </w:tc>
        <w:tc>
          <w:tcPr>
            <w:tcW w:w="1827" w:type="dxa"/>
            <w:tcBorders>
              <w:top w:val="single" w:sz="12" w:space="0" w:color="808080" w:themeColor="background1" w:themeShade="80"/>
              <w:left w:val="nil"/>
              <w:bottom w:val="single" w:sz="4" w:space="0" w:color="auto"/>
              <w:right w:val="nil"/>
            </w:tcBorders>
            <w:shd w:val="clear" w:color="000000" w:fill="D9D9D9"/>
            <w:noWrap/>
            <w:vAlign w:val="center"/>
            <w:hideMark/>
          </w:tcPr>
          <w:p w14:paraId="318B9EDA" w14:textId="1DFCAD91"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69.3</w:t>
            </w:r>
            <w:r w:rsidR="006F48AC">
              <w:rPr>
                <w:rFonts w:ascii="Arial" w:hAnsi="Arial" w:cs="Arial"/>
                <w:sz w:val="16"/>
                <w:szCs w:val="16"/>
              </w:rPr>
              <w:t>%</w:t>
            </w:r>
          </w:p>
        </w:tc>
        <w:tc>
          <w:tcPr>
            <w:tcW w:w="1618" w:type="dxa"/>
            <w:tcBorders>
              <w:top w:val="single" w:sz="12" w:space="0" w:color="808080" w:themeColor="background1" w:themeShade="80"/>
              <w:left w:val="nil"/>
              <w:bottom w:val="single" w:sz="4" w:space="0" w:color="auto"/>
              <w:right w:val="nil"/>
            </w:tcBorders>
            <w:shd w:val="clear" w:color="000000" w:fill="D9D9D9"/>
            <w:noWrap/>
            <w:vAlign w:val="center"/>
            <w:hideMark/>
          </w:tcPr>
          <w:p w14:paraId="5459D276" w14:textId="23F3D4DC"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45.4</w:t>
            </w:r>
          </w:p>
        </w:tc>
        <w:tc>
          <w:tcPr>
            <w:tcW w:w="1642" w:type="dxa"/>
            <w:tcBorders>
              <w:top w:val="single" w:sz="12" w:space="0" w:color="808080" w:themeColor="background1" w:themeShade="80"/>
              <w:left w:val="nil"/>
              <w:bottom w:val="single" w:sz="4" w:space="0" w:color="auto"/>
              <w:right w:val="single" w:sz="4" w:space="0" w:color="auto"/>
            </w:tcBorders>
            <w:shd w:val="clear" w:color="000000" w:fill="D9D9D9"/>
            <w:noWrap/>
            <w:vAlign w:val="center"/>
            <w:hideMark/>
          </w:tcPr>
          <w:p w14:paraId="14EBCB5E" w14:textId="072A8FD1"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31.8</w:t>
            </w:r>
          </w:p>
        </w:tc>
      </w:tr>
      <w:tr w:rsidR="00561D6E" w:rsidRPr="00BF02CB" w14:paraId="4A572F4F" w14:textId="77777777" w:rsidTr="00C36529">
        <w:trPr>
          <w:trHeight w:val="177"/>
        </w:trPr>
        <w:tc>
          <w:tcPr>
            <w:tcW w:w="1384" w:type="dxa"/>
            <w:vMerge/>
            <w:tcBorders>
              <w:top w:val="nil"/>
              <w:left w:val="nil"/>
              <w:bottom w:val="single" w:sz="12" w:space="0" w:color="FFFFFF"/>
              <w:right w:val="nil"/>
            </w:tcBorders>
            <w:vAlign w:val="center"/>
            <w:hideMark/>
          </w:tcPr>
          <w:p w14:paraId="64A314B3"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000000" w:fill="D9D9D9"/>
            <w:noWrap/>
            <w:vAlign w:val="center"/>
            <w:hideMark/>
          </w:tcPr>
          <w:p w14:paraId="5F5E0D43"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Private acute group B hospitals</w:t>
            </w:r>
          </w:p>
        </w:tc>
        <w:tc>
          <w:tcPr>
            <w:tcW w:w="1367" w:type="dxa"/>
            <w:tcBorders>
              <w:top w:val="nil"/>
              <w:left w:val="nil"/>
              <w:bottom w:val="single" w:sz="4" w:space="0" w:color="auto"/>
              <w:right w:val="nil"/>
            </w:tcBorders>
            <w:shd w:val="clear" w:color="000000" w:fill="D9D9D9"/>
            <w:noWrap/>
            <w:vAlign w:val="center"/>
            <w:hideMark/>
          </w:tcPr>
          <w:p w14:paraId="362FB54F"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23</w:t>
            </w:r>
          </w:p>
        </w:tc>
        <w:tc>
          <w:tcPr>
            <w:tcW w:w="1447" w:type="dxa"/>
            <w:gridSpan w:val="2"/>
            <w:tcBorders>
              <w:top w:val="nil"/>
              <w:left w:val="nil"/>
              <w:bottom w:val="single" w:sz="4" w:space="0" w:color="auto"/>
              <w:right w:val="nil"/>
            </w:tcBorders>
            <w:shd w:val="clear" w:color="000000" w:fill="D9D9D9"/>
            <w:noWrap/>
            <w:vAlign w:val="center"/>
            <w:hideMark/>
          </w:tcPr>
          <w:p w14:paraId="5F4B55BD" w14:textId="7CF95440"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7.3</w:t>
            </w:r>
          </w:p>
        </w:tc>
        <w:tc>
          <w:tcPr>
            <w:tcW w:w="1237" w:type="dxa"/>
            <w:tcBorders>
              <w:top w:val="nil"/>
              <w:left w:val="nil"/>
              <w:bottom w:val="single" w:sz="4" w:space="0" w:color="auto"/>
              <w:right w:val="nil"/>
            </w:tcBorders>
            <w:shd w:val="clear" w:color="000000" w:fill="D9D9D9"/>
            <w:noWrap/>
            <w:vAlign w:val="center"/>
            <w:hideMark/>
          </w:tcPr>
          <w:p w14:paraId="68251CC8"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1,</w:t>
            </w:r>
            <w:r w:rsidRPr="00BF02CB">
              <w:rPr>
                <w:rFonts w:ascii="Arial" w:hAnsi="Arial" w:cs="Arial"/>
                <w:sz w:val="16"/>
                <w:szCs w:val="16"/>
              </w:rPr>
              <w:t>317</w:t>
            </w:r>
          </w:p>
        </w:tc>
        <w:tc>
          <w:tcPr>
            <w:tcW w:w="1237" w:type="dxa"/>
            <w:tcBorders>
              <w:top w:val="nil"/>
              <w:left w:val="nil"/>
              <w:bottom w:val="single" w:sz="4" w:space="0" w:color="auto"/>
              <w:right w:val="nil"/>
            </w:tcBorders>
            <w:shd w:val="clear" w:color="000000" w:fill="D9D9D9"/>
            <w:noWrap/>
            <w:vAlign w:val="center"/>
            <w:hideMark/>
          </w:tcPr>
          <w:p w14:paraId="72CE1EC9" w14:textId="3166578D"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5.0</w:t>
            </w:r>
          </w:p>
        </w:tc>
        <w:tc>
          <w:tcPr>
            <w:tcW w:w="1827" w:type="dxa"/>
            <w:tcBorders>
              <w:top w:val="nil"/>
              <w:left w:val="nil"/>
              <w:bottom w:val="single" w:sz="4" w:space="0" w:color="auto"/>
              <w:right w:val="nil"/>
            </w:tcBorders>
            <w:shd w:val="clear" w:color="000000" w:fill="D9D9D9"/>
            <w:noWrap/>
            <w:vAlign w:val="center"/>
            <w:hideMark/>
          </w:tcPr>
          <w:p w14:paraId="68800811" w14:textId="019B4C2D"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61.1</w:t>
            </w:r>
            <w:r w:rsidR="006F48AC">
              <w:rPr>
                <w:rFonts w:ascii="Arial" w:hAnsi="Arial" w:cs="Arial"/>
                <w:sz w:val="16"/>
                <w:szCs w:val="16"/>
              </w:rPr>
              <w:t>%</w:t>
            </w:r>
          </w:p>
        </w:tc>
        <w:tc>
          <w:tcPr>
            <w:tcW w:w="1618" w:type="dxa"/>
            <w:tcBorders>
              <w:top w:val="nil"/>
              <w:left w:val="nil"/>
              <w:bottom w:val="single" w:sz="4" w:space="0" w:color="auto"/>
              <w:right w:val="nil"/>
            </w:tcBorders>
            <w:shd w:val="clear" w:color="000000" w:fill="D9D9D9"/>
            <w:noWrap/>
            <w:vAlign w:val="center"/>
            <w:hideMark/>
          </w:tcPr>
          <w:p w14:paraId="12C2688B" w14:textId="5474E7F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51.3</w:t>
            </w:r>
          </w:p>
        </w:tc>
        <w:tc>
          <w:tcPr>
            <w:tcW w:w="1642" w:type="dxa"/>
            <w:tcBorders>
              <w:top w:val="nil"/>
              <w:left w:val="nil"/>
              <w:bottom w:val="single" w:sz="4" w:space="0" w:color="auto"/>
              <w:right w:val="single" w:sz="4" w:space="0" w:color="auto"/>
            </w:tcBorders>
            <w:shd w:val="clear" w:color="000000" w:fill="D9D9D9"/>
            <w:noWrap/>
            <w:vAlign w:val="center"/>
            <w:hideMark/>
          </w:tcPr>
          <w:p w14:paraId="47315358" w14:textId="06DBF4BC"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26.0</w:t>
            </w:r>
          </w:p>
        </w:tc>
      </w:tr>
      <w:tr w:rsidR="00561D6E" w:rsidRPr="00BF02CB" w14:paraId="019FD89F" w14:textId="77777777" w:rsidTr="00C36529">
        <w:trPr>
          <w:trHeight w:val="177"/>
        </w:trPr>
        <w:tc>
          <w:tcPr>
            <w:tcW w:w="1384" w:type="dxa"/>
            <w:vMerge/>
            <w:tcBorders>
              <w:top w:val="nil"/>
              <w:left w:val="nil"/>
              <w:bottom w:val="single" w:sz="12" w:space="0" w:color="FFFFFF"/>
              <w:right w:val="nil"/>
            </w:tcBorders>
            <w:vAlign w:val="center"/>
            <w:hideMark/>
          </w:tcPr>
          <w:p w14:paraId="0DBEC976"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000000" w:fill="D9D9D9"/>
            <w:noWrap/>
            <w:vAlign w:val="center"/>
            <w:hideMark/>
          </w:tcPr>
          <w:p w14:paraId="6B436C96"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Private acute group C hospitals</w:t>
            </w:r>
          </w:p>
        </w:tc>
        <w:tc>
          <w:tcPr>
            <w:tcW w:w="1367" w:type="dxa"/>
            <w:tcBorders>
              <w:top w:val="nil"/>
              <w:left w:val="nil"/>
              <w:bottom w:val="single" w:sz="4" w:space="0" w:color="auto"/>
              <w:right w:val="nil"/>
            </w:tcBorders>
            <w:shd w:val="clear" w:color="000000" w:fill="D9D9D9"/>
            <w:noWrap/>
            <w:vAlign w:val="center"/>
            <w:hideMark/>
          </w:tcPr>
          <w:p w14:paraId="14A9A397"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24</w:t>
            </w:r>
          </w:p>
        </w:tc>
        <w:tc>
          <w:tcPr>
            <w:tcW w:w="1447" w:type="dxa"/>
            <w:gridSpan w:val="2"/>
            <w:tcBorders>
              <w:top w:val="nil"/>
              <w:left w:val="nil"/>
              <w:bottom w:val="single" w:sz="4" w:space="0" w:color="auto"/>
              <w:right w:val="nil"/>
            </w:tcBorders>
            <w:shd w:val="clear" w:color="000000" w:fill="D9D9D9"/>
            <w:noWrap/>
            <w:vAlign w:val="center"/>
            <w:hideMark/>
          </w:tcPr>
          <w:p w14:paraId="4AF59D50" w14:textId="04222100"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7.6</w:t>
            </w:r>
          </w:p>
        </w:tc>
        <w:tc>
          <w:tcPr>
            <w:tcW w:w="1237" w:type="dxa"/>
            <w:tcBorders>
              <w:top w:val="nil"/>
              <w:left w:val="nil"/>
              <w:bottom w:val="single" w:sz="4" w:space="0" w:color="auto"/>
              <w:right w:val="nil"/>
            </w:tcBorders>
            <w:shd w:val="clear" w:color="000000" w:fill="D9D9D9"/>
            <w:noWrap/>
            <w:vAlign w:val="center"/>
            <w:hideMark/>
          </w:tcPr>
          <w:p w14:paraId="4BA0EE83"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1,</w:t>
            </w:r>
            <w:r w:rsidRPr="00BF02CB">
              <w:rPr>
                <w:rFonts w:ascii="Arial" w:hAnsi="Arial" w:cs="Arial"/>
                <w:sz w:val="16"/>
                <w:szCs w:val="16"/>
              </w:rPr>
              <w:t>034</w:t>
            </w:r>
          </w:p>
        </w:tc>
        <w:tc>
          <w:tcPr>
            <w:tcW w:w="1237" w:type="dxa"/>
            <w:tcBorders>
              <w:top w:val="nil"/>
              <w:left w:val="nil"/>
              <w:bottom w:val="single" w:sz="4" w:space="0" w:color="auto"/>
              <w:right w:val="nil"/>
            </w:tcBorders>
            <w:shd w:val="clear" w:color="000000" w:fill="D9D9D9"/>
            <w:noWrap/>
            <w:vAlign w:val="center"/>
            <w:hideMark/>
          </w:tcPr>
          <w:p w14:paraId="77EAF95E" w14:textId="3E398C19"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3.9</w:t>
            </w:r>
          </w:p>
        </w:tc>
        <w:tc>
          <w:tcPr>
            <w:tcW w:w="1827" w:type="dxa"/>
            <w:tcBorders>
              <w:top w:val="nil"/>
              <w:left w:val="nil"/>
              <w:bottom w:val="single" w:sz="4" w:space="0" w:color="auto"/>
              <w:right w:val="nil"/>
            </w:tcBorders>
            <w:shd w:val="clear" w:color="000000" w:fill="D9D9D9"/>
            <w:noWrap/>
            <w:vAlign w:val="center"/>
            <w:hideMark/>
          </w:tcPr>
          <w:p w14:paraId="0C6D8CED" w14:textId="3DC60C2D"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65.8</w:t>
            </w:r>
            <w:r w:rsidR="006F48AC">
              <w:rPr>
                <w:rFonts w:ascii="Arial" w:hAnsi="Arial" w:cs="Arial"/>
                <w:sz w:val="16"/>
                <w:szCs w:val="16"/>
              </w:rPr>
              <w:t>%</w:t>
            </w:r>
          </w:p>
        </w:tc>
        <w:tc>
          <w:tcPr>
            <w:tcW w:w="1618" w:type="dxa"/>
            <w:tcBorders>
              <w:top w:val="nil"/>
              <w:left w:val="nil"/>
              <w:bottom w:val="single" w:sz="4" w:space="0" w:color="auto"/>
              <w:right w:val="nil"/>
            </w:tcBorders>
            <w:shd w:val="clear" w:color="000000" w:fill="D9D9D9"/>
            <w:noWrap/>
            <w:vAlign w:val="center"/>
            <w:hideMark/>
          </w:tcPr>
          <w:p w14:paraId="61C42AA6" w14:textId="0EA1137A"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65.9</w:t>
            </w:r>
          </w:p>
        </w:tc>
        <w:tc>
          <w:tcPr>
            <w:tcW w:w="1642" w:type="dxa"/>
            <w:tcBorders>
              <w:top w:val="nil"/>
              <w:left w:val="nil"/>
              <w:bottom w:val="single" w:sz="4" w:space="0" w:color="auto"/>
              <w:right w:val="single" w:sz="4" w:space="0" w:color="auto"/>
            </w:tcBorders>
            <w:shd w:val="clear" w:color="000000" w:fill="D9D9D9"/>
            <w:noWrap/>
            <w:vAlign w:val="center"/>
            <w:hideMark/>
          </w:tcPr>
          <w:p w14:paraId="3DA5183E" w14:textId="3F487F6D"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28.4</w:t>
            </w:r>
          </w:p>
        </w:tc>
      </w:tr>
      <w:tr w:rsidR="00561D6E" w:rsidRPr="00BF02CB" w14:paraId="68B01C1F" w14:textId="77777777" w:rsidTr="00C36529">
        <w:trPr>
          <w:trHeight w:val="177"/>
        </w:trPr>
        <w:tc>
          <w:tcPr>
            <w:tcW w:w="1384" w:type="dxa"/>
            <w:vMerge/>
            <w:tcBorders>
              <w:top w:val="nil"/>
              <w:left w:val="nil"/>
              <w:bottom w:val="single" w:sz="12" w:space="0" w:color="FFFFFF"/>
              <w:right w:val="nil"/>
            </w:tcBorders>
            <w:vAlign w:val="center"/>
            <w:hideMark/>
          </w:tcPr>
          <w:p w14:paraId="6C45F3EC"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000000" w:fill="D9D9D9"/>
            <w:noWrap/>
            <w:vAlign w:val="center"/>
            <w:hideMark/>
          </w:tcPr>
          <w:p w14:paraId="52AB8C5C"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Private acute group D hospitals</w:t>
            </w:r>
          </w:p>
        </w:tc>
        <w:tc>
          <w:tcPr>
            <w:tcW w:w="1367" w:type="dxa"/>
            <w:tcBorders>
              <w:top w:val="nil"/>
              <w:left w:val="nil"/>
              <w:bottom w:val="single" w:sz="4" w:space="0" w:color="auto"/>
              <w:right w:val="nil"/>
            </w:tcBorders>
            <w:shd w:val="clear" w:color="000000" w:fill="D9D9D9"/>
            <w:noWrap/>
            <w:vAlign w:val="center"/>
            <w:hideMark/>
          </w:tcPr>
          <w:p w14:paraId="1A3492E5"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17</w:t>
            </w:r>
          </w:p>
        </w:tc>
        <w:tc>
          <w:tcPr>
            <w:tcW w:w="1447" w:type="dxa"/>
            <w:gridSpan w:val="2"/>
            <w:tcBorders>
              <w:top w:val="nil"/>
              <w:left w:val="nil"/>
              <w:bottom w:val="single" w:sz="4" w:space="0" w:color="auto"/>
              <w:right w:val="nil"/>
            </w:tcBorders>
            <w:shd w:val="clear" w:color="000000" w:fill="D9D9D9"/>
            <w:noWrap/>
            <w:vAlign w:val="center"/>
            <w:hideMark/>
          </w:tcPr>
          <w:p w14:paraId="6DF41D20" w14:textId="2C58B952"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5.4</w:t>
            </w:r>
          </w:p>
        </w:tc>
        <w:tc>
          <w:tcPr>
            <w:tcW w:w="1237" w:type="dxa"/>
            <w:tcBorders>
              <w:top w:val="nil"/>
              <w:left w:val="nil"/>
              <w:bottom w:val="single" w:sz="4" w:space="0" w:color="auto"/>
              <w:right w:val="nil"/>
            </w:tcBorders>
            <w:shd w:val="clear" w:color="000000" w:fill="D9D9D9"/>
            <w:noWrap/>
            <w:vAlign w:val="center"/>
            <w:hideMark/>
          </w:tcPr>
          <w:p w14:paraId="490E4ED5"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642</w:t>
            </w:r>
          </w:p>
        </w:tc>
        <w:tc>
          <w:tcPr>
            <w:tcW w:w="1237" w:type="dxa"/>
            <w:tcBorders>
              <w:top w:val="nil"/>
              <w:left w:val="nil"/>
              <w:bottom w:val="single" w:sz="4" w:space="0" w:color="auto"/>
              <w:right w:val="nil"/>
            </w:tcBorders>
            <w:shd w:val="clear" w:color="000000" w:fill="D9D9D9"/>
            <w:noWrap/>
            <w:vAlign w:val="center"/>
            <w:hideMark/>
          </w:tcPr>
          <w:p w14:paraId="44F3251C" w14:textId="40C066AF"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2.5</w:t>
            </w:r>
          </w:p>
        </w:tc>
        <w:tc>
          <w:tcPr>
            <w:tcW w:w="1827" w:type="dxa"/>
            <w:tcBorders>
              <w:top w:val="nil"/>
              <w:left w:val="nil"/>
              <w:bottom w:val="single" w:sz="4" w:space="0" w:color="auto"/>
              <w:right w:val="nil"/>
            </w:tcBorders>
            <w:shd w:val="clear" w:color="000000" w:fill="D9D9D9"/>
            <w:noWrap/>
            <w:vAlign w:val="center"/>
            <w:hideMark/>
          </w:tcPr>
          <w:p w14:paraId="3EE373F2" w14:textId="71CDEC2B"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69.5</w:t>
            </w:r>
            <w:r w:rsidR="006F48AC">
              <w:rPr>
                <w:rFonts w:ascii="Arial" w:hAnsi="Arial" w:cs="Arial"/>
                <w:sz w:val="16"/>
                <w:szCs w:val="16"/>
              </w:rPr>
              <w:t>%</w:t>
            </w:r>
          </w:p>
        </w:tc>
        <w:tc>
          <w:tcPr>
            <w:tcW w:w="1618" w:type="dxa"/>
            <w:tcBorders>
              <w:top w:val="nil"/>
              <w:left w:val="nil"/>
              <w:bottom w:val="single" w:sz="4" w:space="0" w:color="auto"/>
              <w:right w:val="nil"/>
            </w:tcBorders>
            <w:shd w:val="clear" w:color="000000" w:fill="D9D9D9"/>
            <w:noWrap/>
            <w:vAlign w:val="center"/>
            <w:hideMark/>
          </w:tcPr>
          <w:p w14:paraId="36E3DD69" w14:textId="33278834"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77.3</w:t>
            </w:r>
          </w:p>
        </w:tc>
        <w:tc>
          <w:tcPr>
            <w:tcW w:w="1642" w:type="dxa"/>
            <w:tcBorders>
              <w:top w:val="nil"/>
              <w:left w:val="nil"/>
              <w:bottom w:val="single" w:sz="4" w:space="0" w:color="auto"/>
              <w:right w:val="single" w:sz="4" w:space="0" w:color="auto"/>
            </w:tcBorders>
            <w:shd w:val="clear" w:color="000000" w:fill="D9D9D9"/>
            <w:noWrap/>
            <w:vAlign w:val="center"/>
            <w:hideMark/>
          </w:tcPr>
          <w:p w14:paraId="5EB1DE75" w14:textId="5B4D5C1A"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20.1</w:t>
            </w:r>
          </w:p>
        </w:tc>
      </w:tr>
      <w:tr w:rsidR="00561D6E" w:rsidRPr="00BF02CB" w14:paraId="2DF8E880" w14:textId="77777777" w:rsidTr="00C36529">
        <w:trPr>
          <w:trHeight w:val="177"/>
        </w:trPr>
        <w:tc>
          <w:tcPr>
            <w:tcW w:w="1384" w:type="dxa"/>
            <w:vMerge/>
            <w:tcBorders>
              <w:top w:val="nil"/>
              <w:left w:val="nil"/>
              <w:bottom w:val="single" w:sz="12" w:space="0" w:color="FFFFFF"/>
              <w:right w:val="nil"/>
            </w:tcBorders>
            <w:vAlign w:val="center"/>
            <w:hideMark/>
          </w:tcPr>
          <w:p w14:paraId="4733C780"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000000" w:fill="D9D9D9"/>
            <w:noWrap/>
            <w:vAlign w:val="center"/>
            <w:hideMark/>
          </w:tcPr>
          <w:p w14:paraId="2879451B"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Other acute specialised hospitals</w:t>
            </w:r>
          </w:p>
        </w:tc>
        <w:tc>
          <w:tcPr>
            <w:tcW w:w="1367" w:type="dxa"/>
            <w:tcBorders>
              <w:top w:val="nil"/>
              <w:left w:val="nil"/>
              <w:bottom w:val="single" w:sz="4" w:space="0" w:color="auto"/>
              <w:right w:val="nil"/>
            </w:tcBorders>
            <w:shd w:val="clear" w:color="000000" w:fill="D9D9D9"/>
            <w:noWrap/>
            <w:vAlign w:val="center"/>
            <w:hideMark/>
          </w:tcPr>
          <w:p w14:paraId="4F5CDAD9"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2</w:t>
            </w:r>
          </w:p>
        </w:tc>
        <w:tc>
          <w:tcPr>
            <w:tcW w:w="1447" w:type="dxa"/>
            <w:gridSpan w:val="2"/>
            <w:tcBorders>
              <w:top w:val="nil"/>
              <w:left w:val="nil"/>
              <w:bottom w:val="single" w:sz="4" w:space="0" w:color="auto"/>
              <w:right w:val="nil"/>
            </w:tcBorders>
            <w:shd w:val="clear" w:color="000000" w:fill="D9D9D9"/>
            <w:noWrap/>
            <w:vAlign w:val="center"/>
            <w:hideMark/>
          </w:tcPr>
          <w:p w14:paraId="38449FF5" w14:textId="62CA3ABB"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0.6</w:t>
            </w:r>
          </w:p>
        </w:tc>
        <w:tc>
          <w:tcPr>
            <w:tcW w:w="1237" w:type="dxa"/>
            <w:tcBorders>
              <w:top w:val="nil"/>
              <w:left w:val="nil"/>
              <w:bottom w:val="single" w:sz="4" w:space="0" w:color="auto"/>
              <w:right w:val="nil"/>
            </w:tcBorders>
            <w:shd w:val="clear" w:color="000000" w:fill="D9D9D9"/>
            <w:noWrap/>
            <w:vAlign w:val="center"/>
            <w:hideMark/>
          </w:tcPr>
          <w:p w14:paraId="3BB94DC6"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87</w:t>
            </w:r>
          </w:p>
        </w:tc>
        <w:tc>
          <w:tcPr>
            <w:tcW w:w="1237" w:type="dxa"/>
            <w:tcBorders>
              <w:top w:val="nil"/>
              <w:left w:val="nil"/>
              <w:bottom w:val="single" w:sz="4" w:space="0" w:color="auto"/>
              <w:right w:val="nil"/>
            </w:tcBorders>
            <w:shd w:val="clear" w:color="000000" w:fill="D9D9D9"/>
            <w:noWrap/>
            <w:vAlign w:val="center"/>
            <w:hideMark/>
          </w:tcPr>
          <w:p w14:paraId="4EE9819E" w14:textId="30302BFB"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0.3</w:t>
            </w:r>
          </w:p>
        </w:tc>
        <w:tc>
          <w:tcPr>
            <w:tcW w:w="1827" w:type="dxa"/>
            <w:tcBorders>
              <w:top w:val="nil"/>
              <w:left w:val="nil"/>
              <w:bottom w:val="single" w:sz="4" w:space="0" w:color="auto"/>
              <w:right w:val="nil"/>
            </w:tcBorders>
            <w:shd w:val="clear" w:color="000000" w:fill="D9D9D9"/>
            <w:noWrap/>
            <w:vAlign w:val="center"/>
            <w:hideMark/>
          </w:tcPr>
          <w:p w14:paraId="6F1E5852" w14:textId="03EA206A"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93.1</w:t>
            </w:r>
            <w:r w:rsidR="006F48AC">
              <w:rPr>
                <w:rFonts w:ascii="Arial" w:hAnsi="Arial" w:cs="Arial"/>
                <w:sz w:val="16"/>
                <w:szCs w:val="16"/>
              </w:rPr>
              <w:t>%</w:t>
            </w:r>
          </w:p>
        </w:tc>
        <w:tc>
          <w:tcPr>
            <w:tcW w:w="1618" w:type="dxa"/>
            <w:tcBorders>
              <w:top w:val="nil"/>
              <w:left w:val="nil"/>
              <w:bottom w:val="single" w:sz="4" w:space="0" w:color="auto"/>
              <w:right w:val="nil"/>
            </w:tcBorders>
            <w:shd w:val="clear" w:color="000000" w:fill="D9D9D9"/>
            <w:noWrap/>
            <w:vAlign w:val="center"/>
            <w:hideMark/>
          </w:tcPr>
          <w:p w14:paraId="7A2F3E64" w14:textId="566671C5"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83.9</w:t>
            </w:r>
          </w:p>
        </w:tc>
        <w:tc>
          <w:tcPr>
            <w:tcW w:w="1642" w:type="dxa"/>
            <w:tcBorders>
              <w:top w:val="nil"/>
              <w:left w:val="nil"/>
              <w:bottom w:val="single" w:sz="4" w:space="0" w:color="auto"/>
              <w:right w:val="single" w:sz="4" w:space="0" w:color="auto"/>
            </w:tcBorders>
            <w:shd w:val="clear" w:color="000000" w:fill="D9D9D9"/>
            <w:noWrap/>
            <w:vAlign w:val="center"/>
            <w:hideMark/>
          </w:tcPr>
          <w:p w14:paraId="0179853B" w14:textId="41D333AD"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12.4</w:t>
            </w:r>
          </w:p>
        </w:tc>
      </w:tr>
      <w:tr w:rsidR="00561D6E" w:rsidRPr="00BF02CB" w14:paraId="07D0FD1C" w14:textId="77777777" w:rsidTr="00C36529">
        <w:trPr>
          <w:trHeight w:val="177"/>
        </w:trPr>
        <w:tc>
          <w:tcPr>
            <w:tcW w:w="1384" w:type="dxa"/>
            <w:vMerge/>
            <w:tcBorders>
              <w:top w:val="nil"/>
              <w:left w:val="nil"/>
              <w:bottom w:val="single" w:sz="12" w:space="0" w:color="FFFFFF"/>
              <w:right w:val="nil"/>
            </w:tcBorders>
            <w:vAlign w:val="center"/>
            <w:hideMark/>
          </w:tcPr>
          <w:p w14:paraId="40FC3597"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4" w:space="0" w:color="auto"/>
              <w:right w:val="nil"/>
            </w:tcBorders>
            <w:shd w:val="clear" w:color="000000" w:fill="D9D9D9"/>
            <w:noWrap/>
            <w:vAlign w:val="center"/>
            <w:hideMark/>
          </w:tcPr>
          <w:p w14:paraId="26A0C4F3"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Private rehabilitation hospitals</w:t>
            </w:r>
          </w:p>
        </w:tc>
        <w:tc>
          <w:tcPr>
            <w:tcW w:w="1367" w:type="dxa"/>
            <w:tcBorders>
              <w:top w:val="nil"/>
              <w:left w:val="nil"/>
              <w:bottom w:val="single" w:sz="4" w:space="0" w:color="auto"/>
              <w:right w:val="nil"/>
            </w:tcBorders>
            <w:shd w:val="clear" w:color="000000" w:fill="D9D9D9"/>
            <w:noWrap/>
            <w:vAlign w:val="center"/>
            <w:hideMark/>
          </w:tcPr>
          <w:p w14:paraId="00B06D68"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6</w:t>
            </w:r>
          </w:p>
        </w:tc>
        <w:tc>
          <w:tcPr>
            <w:tcW w:w="1447" w:type="dxa"/>
            <w:gridSpan w:val="2"/>
            <w:tcBorders>
              <w:top w:val="nil"/>
              <w:left w:val="nil"/>
              <w:bottom w:val="single" w:sz="4" w:space="0" w:color="auto"/>
              <w:right w:val="nil"/>
            </w:tcBorders>
            <w:shd w:val="clear" w:color="000000" w:fill="D9D9D9"/>
            <w:noWrap/>
            <w:vAlign w:val="center"/>
            <w:hideMark/>
          </w:tcPr>
          <w:p w14:paraId="0B61DB11" w14:textId="033BFDC4"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1.9</w:t>
            </w:r>
          </w:p>
        </w:tc>
        <w:tc>
          <w:tcPr>
            <w:tcW w:w="1237" w:type="dxa"/>
            <w:tcBorders>
              <w:top w:val="nil"/>
              <w:left w:val="nil"/>
              <w:bottom w:val="single" w:sz="4" w:space="0" w:color="auto"/>
              <w:right w:val="nil"/>
            </w:tcBorders>
            <w:shd w:val="clear" w:color="000000" w:fill="D9D9D9"/>
            <w:noWrap/>
            <w:vAlign w:val="center"/>
            <w:hideMark/>
          </w:tcPr>
          <w:p w14:paraId="441DDC11"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205</w:t>
            </w:r>
          </w:p>
        </w:tc>
        <w:tc>
          <w:tcPr>
            <w:tcW w:w="1237" w:type="dxa"/>
            <w:tcBorders>
              <w:top w:val="nil"/>
              <w:left w:val="nil"/>
              <w:bottom w:val="single" w:sz="4" w:space="0" w:color="auto"/>
              <w:right w:val="nil"/>
            </w:tcBorders>
            <w:shd w:val="clear" w:color="000000" w:fill="D9D9D9"/>
            <w:noWrap/>
            <w:vAlign w:val="center"/>
            <w:hideMark/>
          </w:tcPr>
          <w:p w14:paraId="489042B1" w14:textId="4313FEF2"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0.8</w:t>
            </w:r>
          </w:p>
        </w:tc>
        <w:tc>
          <w:tcPr>
            <w:tcW w:w="1827" w:type="dxa"/>
            <w:tcBorders>
              <w:top w:val="nil"/>
              <w:left w:val="nil"/>
              <w:bottom w:val="single" w:sz="4" w:space="0" w:color="auto"/>
              <w:right w:val="nil"/>
            </w:tcBorders>
            <w:shd w:val="clear" w:color="000000" w:fill="D9D9D9"/>
            <w:noWrap/>
            <w:vAlign w:val="center"/>
            <w:hideMark/>
          </w:tcPr>
          <w:p w14:paraId="615B5F9C" w14:textId="47EA4079"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80.5</w:t>
            </w:r>
            <w:r w:rsidR="006F48AC">
              <w:rPr>
                <w:rFonts w:ascii="Arial" w:hAnsi="Arial" w:cs="Arial"/>
                <w:sz w:val="16"/>
                <w:szCs w:val="16"/>
              </w:rPr>
              <w:t>%</w:t>
            </w:r>
          </w:p>
        </w:tc>
        <w:tc>
          <w:tcPr>
            <w:tcW w:w="1618" w:type="dxa"/>
            <w:tcBorders>
              <w:top w:val="nil"/>
              <w:left w:val="nil"/>
              <w:bottom w:val="single" w:sz="4" w:space="0" w:color="auto"/>
              <w:right w:val="nil"/>
            </w:tcBorders>
            <w:shd w:val="clear" w:color="000000" w:fill="D9D9D9"/>
            <w:noWrap/>
            <w:vAlign w:val="center"/>
            <w:hideMark/>
          </w:tcPr>
          <w:p w14:paraId="096FBF50" w14:textId="45B89CDC"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60.5</w:t>
            </w:r>
          </w:p>
        </w:tc>
        <w:tc>
          <w:tcPr>
            <w:tcW w:w="1642" w:type="dxa"/>
            <w:tcBorders>
              <w:top w:val="nil"/>
              <w:left w:val="nil"/>
              <w:bottom w:val="single" w:sz="4" w:space="0" w:color="auto"/>
              <w:right w:val="single" w:sz="4" w:space="0" w:color="auto"/>
            </w:tcBorders>
            <w:shd w:val="clear" w:color="000000" w:fill="D9D9D9"/>
            <w:noWrap/>
            <w:vAlign w:val="center"/>
            <w:hideMark/>
          </w:tcPr>
          <w:p w14:paraId="1F0B1929" w14:textId="5E7252B5"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88.9</w:t>
            </w:r>
          </w:p>
        </w:tc>
      </w:tr>
      <w:tr w:rsidR="00561D6E" w:rsidRPr="00BF02CB" w14:paraId="2F4243D5" w14:textId="77777777" w:rsidTr="00C36529">
        <w:trPr>
          <w:trHeight w:val="185"/>
        </w:trPr>
        <w:tc>
          <w:tcPr>
            <w:tcW w:w="1384" w:type="dxa"/>
            <w:vMerge/>
            <w:tcBorders>
              <w:top w:val="nil"/>
              <w:left w:val="nil"/>
              <w:bottom w:val="single" w:sz="12" w:space="0" w:color="FFFFFF"/>
              <w:right w:val="nil"/>
            </w:tcBorders>
            <w:vAlign w:val="center"/>
            <w:hideMark/>
          </w:tcPr>
          <w:p w14:paraId="778ACC06" w14:textId="77777777" w:rsidR="00561D6E" w:rsidRPr="00BF02CB" w:rsidRDefault="00561D6E" w:rsidP="00561D6E">
            <w:pPr>
              <w:spacing w:after="0"/>
              <w:rPr>
                <w:rFonts w:ascii="Arial" w:hAnsi="Arial" w:cs="Arial"/>
                <w:color w:val="FFFFFF"/>
                <w:sz w:val="18"/>
                <w:szCs w:val="18"/>
              </w:rPr>
            </w:pPr>
          </w:p>
        </w:tc>
        <w:tc>
          <w:tcPr>
            <w:tcW w:w="3091" w:type="dxa"/>
            <w:tcBorders>
              <w:top w:val="nil"/>
              <w:left w:val="single" w:sz="4" w:space="0" w:color="auto"/>
              <w:bottom w:val="single" w:sz="12" w:space="0" w:color="808080" w:themeColor="background1" w:themeShade="80"/>
              <w:right w:val="nil"/>
            </w:tcBorders>
            <w:shd w:val="clear" w:color="000000" w:fill="D9D9D9"/>
            <w:noWrap/>
            <w:vAlign w:val="center"/>
            <w:hideMark/>
          </w:tcPr>
          <w:p w14:paraId="22C1EC81" w14:textId="77777777" w:rsidR="00561D6E" w:rsidRPr="00BF02CB" w:rsidRDefault="00561D6E" w:rsidP="0080398E">
            <w:pPr>
              <w:spacing w:after="0"/>
              <w:rPr>
                <w:rFonts w:ascii="Arial" w:hAnsi="Arial" w:cs="Arial"/>
                <w:color w:val="000000"/>
                <w:sz w:val="16"/>
                <w:szCs w:val="16"/>
              </w:rPr>
            </w:pPr>
            <w:r w:rsidRPr="00BF02CB">
              <w:rPr>
                <w:rFonts w:ascii="Arial" w:hAnsi="Arial" w:cs="Arial"/>
                <w:color w:val="000000"/>
                <w:sz w:val="16"/>
                <w:szCs w:val="16"/>
              </w:rPr>
              <w:t>Private acute psychiatric hospitals</w:t>
            </w:r>
            <w:r w:rsidR="0080398E" w:rsidRPr="00695D8A">
              <w:rPr>
                <w:rFonts w:ascii="Arial" w:hAnsi="Arial" w:cs="Arial"/>
                <w:color w:val="000000"/>
                <w:sz w:val="16"/>
                <w:szCs w:val="16"/>
                <w:vertAlign w:val="superscript"/>
              </w:rPr>
              <w:t>§</w:t>
            </w:r>
          </w:p>
        </w:tc>
        <w:tc>
          <w:tcPr>
            <w:tcW w:w="1367" w:type="dxa"/>
            <w:tcBorders>
              <w:top w:val="nil"/>
              <w:left w:val="nil"/>
              <w:bottom w:val="single" w:sz="12" w:space="0" w:color="808080" w:themeColor="background1" w:themeShade="80"/>
              <w:right w:val="nil"/>
            </w:tcBorders>
            <w:shd w:val="clear" w:color="000000" w:fill="D9D9D9"/>
            <w:noWrap/>
            <w:vAlign w:val="center"/>
            <w:hideMark/>
          </w:tcPr>
          <w:p w14:paraId="049AE11E"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w:t>
            </w:r>
          </w:p>
        </w:tc>
        <w:tc>
          <w:tcPr>
            <w:tcW w:w="1447" w:type="dxa"/>
            <w:gridSpan w:val="2"/>
            <w:tcBorders>
              <w:top w:val="nil"/>
              <w:left w:val="nil"/>
              <w:bottom w:val="single" w:sz="12" w:space="0" w:color="808080" w:themeColor="background1" w:themeShade="80"/>
              <w:right w:val="nil"/>
            </w:tcBorders>
            <w:shd w:val="clear" w:color="000000" w:fill="D9D9D9"/>
            <w:noWrap/>
            <w:vAlign w:val="center"/>
            <w:hideMark/>
          </w:tcPr>
          <w:p w14:paraId="44BADD9E" w14:textId="2F82F5E9"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0.3</w:t>
            </w:r>
          </w:p>
        </w:tc>
        <w:tc>
          <w:tcPr>
            <w:tcW w:w="1237" w:type="dxa"/>
            <w:tcBorders>
              <w:top w:val="nil"/>
              <w:left w:val="nil"/>
              <w:bottom w:val="single" w:sz="12" w:space="0" w:color="808080" w:themeColor="background1" w:themeShade="80"/>
              <w:right w:val="nil"/>
            </w:tcBorders>
            <w:shd w:val="clear" w:color="000000" w:fill="D9D9D9"/>
            <w:noWrap/>
            <w:vAlign w:val="center"/>
            <w:hideMark/>
          </w:tcPr>
          <w:p w14:paraId="4FD4C632"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17</w:t>
            </w:r>
          </w:p>
        </w:tc>
        <w:tc>
          <w:tcPr>
            <w:tcW w:w="1237" w:type="dxa"/>
            <w:tcBorders>
              <w:top w:val="nil"/>
              <w:left w:val="nil"/>
              <w:bottom w:val="single" w:sz="12" w:space="0" w:color="808080" w:themeColor="background1" w:themeShade="80"/>
              <w:right w:val="nil"/>
            </w:tcBorders>
            <w:shd w:val="clear" w:color="000000" w:fill="D9D9D9"/>
            <w:noWrap/>
            <w:vAlign w:val="center"/>
            <w:hideMark/>
          </w:tcPr>
          <w:p w14:paraId="30C4572A" w14:textId="71285DAE"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0.1</w:t>
            </w:r>
          </w:p>
        </w:tc>
        <w:tc>
          <w:tcPr>
            <w:tcW w:w="1827" w:type="dxa"/>
            <w:tcBorders>
              <w:top w:val="nil"/>
              <w:left w:val="nil"/>
              <w:bottom w:val="single" w:sz="12" w:space="0" w:color="808080" w:themeColor="background1" w:themeShade="80"/>
              <w:right w:val="nil"/>
            </w:tcBorders>
            <w:shd w:val="clear" w:color="000000" w:fill="D9D9D9"/>
            <w:noWrap/>
            <w:vAlign w:val="center"/>
            <w:hideMark/>
          </w:tcPr>
          <w:p w14:paraId="7750A86B"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w:t>
            </w:r>
          </w:p>
        </w:tc>
        <w:tc>
          <w:tcPr>
            <w:tcW w:w="1618" w:type="dxa"/>
            <w:tcBorders>
              <w:top w:val="nil"/>
              <w:left w:val="nil"/>
              <w:bottom w:val="single" w:sz="12" w:space="0" w:color="808080" w:themeColor="background1" w:themeShade="80"/>
              <w:right w:val="nil"/>
            </w:tcBorders>
            <w:shd w:val="clear" w:color="000000" w:fill="D9D9D9"/>
            <w:noWrap/>
            <w:vAlign w:val="center"/>
            <w:hideMark/>
          </w:tcPr>
          <w:p w14:paraId="6C59F99E"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w:t>
            </w:r>
          </w:p>
        </w:tc>
        <w:tc>
          <w:tcPr>
            <w:tcW w:w="1642" w:type="dxa"/>
            <w:tcBorders>
              <w:top w:val="nil"/>
              <w:left w:val="nil"/>
              <w:bottom w:val="single" w:sz="12" w:space="0" w:color="808080" w:themeColor="background1" w:themeShade="80"/>
              <w:right w:val="single" w:sz="4" w:space="0" w:color="auto"/>
            </w:tcBorders>
            <w:shd w:val="clear" w:color="000000" w:fill="D9D9D9"/>
            <w:noWrap/>
            <w:vAlign w:val="center"/>
            <w:hideMark/>
          </w:tcPr>
          <w:p w14:paraId="52CA2034"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w:t>
            </w:r>
          </w:p>
        </w:tc>
      </w:tr>
      <w:tr w:rsidR="00561D6E" w:rsidRPr="00BF02CB" w14:paraId="4BB1B068" w14:textId="77777777" w:rsidTr="00C36529">
        <w:trPr>
          <w:trHeight w:val="185"/>
        </w:trPr>
        <w:tc>
          <w:tcPr>
            <w:tcW w:w="1384" w:type="dxa"/>
            <w:vMerge w:val="restart"/>
            <w:tcBorders>
              <w:top w:val="nil"/>
              <w:left w:val="nil"/>
              <w:bottom w:val="single" w:sz="12" w:space="0" w:color="FFFFFF"/>
              <w:right w:val="nil"/>
            </w:tcBorders>
            <w:shd w:val="clear" w:color="000000" w:fill="808080"/>
            <w:vAlign w:val="center"/>
            <w:hideMark/>
          </w:tcPr>
          <w:p w14:paraId="1C310D29" w14:textId="77777777" w:rsidR="00561D6E" w:rsidRPr="00BF02CB" w:rsidRDefault="00561D6E" w:rsidP="00561D6E">
            <w:pPr>
              <w:spacing w:after="0"/>
              <w:rPr>
                <w:rFonts w:ascii="Arial" w:hAnsi="Arial" w:cs="Arial"/>
                <w:color w:val="FFFFFF"/>
                <w:sz w:val="18"/>
                <w:szCs w:val="18"/>
              </w:rPr>
            </w:pPr>
            <w:r w:rsidRPr="00BF02CB">
              <w:rPr>
                <w:rFonts w:ascii="Arial" w:hAnsi="Arial" w:cs="Arial"/>
                <w:color w:val="FFFFFF"/>
                <w:sz w:val="18"/>
                <w:szCs w:val="18"/>
              </w:rPr>
              <w:t>Funding type</w:t>
            </w:r>
          </w:p>
        </w:tc>
        <w:tc>
          <w:tcPr>
            <w:tcW w:w="3091" w:type="dxa"/>
            <w:tcBorders>
              <w:top w:val="single" w:sz="12" w:space="0" w:color="808080" w:themeColor="background1" w:themeShade="80"/>
              <w:left w:val="single" w:sz="4" w:space="0" w:color="auto"/>
              <w:bottom w:val="single" w:sz="4" w:space="0" w:color="auto"/>
              <w:right w:val="nil"/>
            </w:tcBorders>
            <w:shd w:val="clear" w:color="auto" w:fill="auto"/>
            <w:vAlign w:val="center"/>
            <w:hideMark/>
          </w:tcPr>
          <w:p w14:paraId="20D29C03"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Public</w:t>
            </w:r>
          </w:p>
        </w:tc>
        <w:tc>
          <w:tcPr>
            <w:tcW w:w="1367" w:type="dxa"/>
            <w:tcBorders>
              <w:top w:val="single" w:sz="12" w:space="0" w:color="808080" w:themeColor="background1" w:themeShade="80"/>
              <w:left w:val="nil"/>
              <w:bottom w:val="single" w:sz="4" w:space="0" w:color="auto"/>
              <w:right w:val="nil"/>
            </w:tcBorders>
            <w:shd w:val="clear" w:color="auto" w:fill="auto"/>
            <w:vAlign w:val="center"/>
            <w:hideMark/>
          </w:tcPr>
          <w:p w14:paraId="4AB7E8D2"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228</w:t>
            </w:r>
          </w:p>
        </w:tc>
        <w:tc>
          <w:tcPr>
            <w:tcW w:w="1447" w:type="dxa"/>
            <w:gridSpan w:val="2"/>
            <w:tcBorders>
              <w:top w:val="single" w:sz="12" w:space="0" w:color="808080" w:themeColor="background1" w:themeShade="80"/>
              <w:left w:val="nil"/>
              <w:bottom w:val="single" w:sz="4" w:space="0" w:color="auto"/>
              <w:right w:val="nil"/>
            </w:tcBorders>
            <w:shd w:val="clear" w:color="auto" w:fill="auto"/>
            <w:noWrap/>
            <w:vAlign w:val="center"/>
            <w:hideMark/>
          </w:tcPr>
          <w:p w14:paraId="0C6B8FF1" w14:textId="4E20BDD8" w:rsidR="00561D6E" w:rsidRPr="00BF02CB" w:rsidRDefault="00561D6E" w:rsidP="0003613D">
            <w:pPr>
              <w:spacing w:after="0"/>
              <w:jc w:val="center"/>
              <w:rPr>
                <w:rFonts w:ascii="Arial" w:hAnsi="Arial" w:cs="Arial"/>
                <w:sz w:val="16"/>
                <w:szCs w:val="16"/>
              </w:rPr>
            </w:pPr>
            <w:r w:rsidRPr="00BF02CB">
              <w:rPr>
                <w:rFonts w:ascii="Arial" w:hAnsi="Arial" w:cs="Arial"/>
                <w:sz w:val="16"/>
                <w:szCs w:val="16"/>
              </w:rPr>
              <w:t>72.6</w:t>
            </w:r>
          </w:p>
        </w:tc>
        <w:tc>
          <w:tcPr>
            <w:tcW w:w="1237" w:type="dxa"/>
            <w:tcBorders>
              <w:top w:val="single" w:sz="12" w:space="0" w:color="808080" w:themeColor="background1" w:themeShade="80"/>
              <w:left w:val="nil"/>
              <w:bottom w:val="single" w:sz="4" w:space="0" w:color="auto"/>
              <w:right w:val="nil"/>
            </w:tcBorders>
            <w:shd w:val="clear" w:color="auto" w:fill="auto"/>
            <w:noWrap/>
            <w:vAlign w:val="center"/>
            <w:hideMark/>
          </w:tcPr>
          <w:p w14:paraId="157DC740"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21,</w:t>
            </w:r>
            <w:r w:rsidRPr="00BF02CB">
              <w:rPr>
                <w:rFonts w:ascii="Arial" w:hAnsi="Arial" w:cs="Arial"/>
                <w:sz w:val="16"/>
                <w:szCs w:val="16"/>
              </w:rPr>
              <w:t>410</w:t>
            </w:r>
          </w:p>
        </w:tc>
        <w:tc>
          <w:tcPr>
            <w:tcW w:w="1237" w:type="dxa"/>
            <w:tcBorders>
              <w:top w:val="single" w:sz="12" w:space="0" w:color="808080" w:themeColor="background1" w:themeShade="80"/>
              <w:left w:val="nil"/>
              <w:bottom w:val="single" w:sz="4" w:space="0" w:color="auto"/>
              <w:right w:val="nil"/>
            </w:tcBorders>
            <w:shd w:val="clear" w:color="auto" w:fill="auto"/>
            <w:noWrap/>
            <w:vAlign w:val="center"/>
            <w:hideMark/>
          </w:tcPr>
          <w:p w14:paraId="1551ACA8" w14:textId="349EDF43" w:rsidR="00561D6E" w:rsidRPr="00BF02CB" w:rsidRDefault="00561D6E" w:rsidP="0003613D">
            <w:pPr>
              <w:spacing w:after="0"/>
              <w:jc w:val="center"/>
              <w:rPr>
                <w:rFonts w:ascii="Arial" w:hAnsi="Arial" w:cs="Arial"/>
                <w:sz w:val="16"/>
                <w:szCs w:val="16"/>
              </w:rPr>
            </w:pPr>
            <w:r w:rsidRPr="00BF02CB">
              <w:rPr>
                <w:rFonts w:ascii="Arial" w:hAnsi="Arial" w:cs="Arial"/>
                <w:sz w:val="16"/>
                <w:szCs w:val="16"/>
              </w:rPr>
              <w:t>81.6</w:t>
            </w:r>
          </w:p>
        </w:tc>
        <w:tc>
          <w:tcPr>
            <w:tcW w:w="1827" w:type="dxa"/>
            <w:tcBorders>
              <w:top w:val="single" w:sz="12" w:space="0" w:color="808080" w:themeColor="background1" w:themeShade="80"/>
              <w:left w:val="nil"/>
              <w:bottom w:val="single" w:sz="4" w:space="0" w:color="auto"/>
              <w:right w:val="nil"/>
            </w:tcBorders>
            <w:shd w:val="clear" w:color="auto" w:fill="auto"/>
            <w:noWrap/>
            <w:vAlign w:val="center"/>
            <w:hideMark/>
          </w:tcPr>
          <w:p w14:paraId="79596AAA"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80.1%</w:t>
            </w:r>
          </w:p>
        </w:tc>
        <w:tc>
          <w:tcPr>
            <w:tcW w:w="1618" w:type="dxa"/>
            <w:tcBorders>
              <w:top w:val="single" w:sz="12" w:space="0" w:color="808080" w:themeColor="background1" w:themeShade="80"/>
              <w:left w:val="nil"/>
              <w:bottom w:val="single" w:sz="4" w:space="0" w:color="auto"/>
              <w:right w:val="nil"/>
            </w:tcBorders>
            <w:shd w:val="clear" w:color="auto" w:fill="auto"/>
            <w:noWrap/>
            <w:vAlign w:val="center"/>
            <w:hideMark/>
          </w:tcPr>
          <w:p w14:paraId="765E0074" w14:textId="7F9D043D"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36.</w:t>
            </w:r>
            <w:r w:rsidR="0003613D">
              <w:rPr>
                <w:rFonts w:ascii="Arial" w:hAnsi="Arial" w:cs="Arial"/>
                <w:sz w:val="16"/>
                <w:szCs w:val="16"/>
              </w:rPr>
              <w:t>8</w:t>
            </w:r>
          </w:p>
        </w:tc>
        <w:tc>
          <w:tcPr>
            <w:tcW w:w="1642" w:type="dxa"/>
            <w:tcBorders>
              <w:top w:val="single" w:sz="12" w:space="0" w:color="808080" w:themeColor="background1" w:themeShade="80"/>
              <w:left w:val="nil"/>
              <w:bottom w:val="single" w:sz="4" w:space="0" w:color="auto"/>
              <w:right w:val="single" w:sz="4" w:space="0" w:color="auto"/>
            </w:tcBorders>
            <w:shd w:val="clear" w:color="auto" w:fill="auto"/>
            <w:noWrap/>
            <w:vAlign w:val="center"/>
            <w:hideMark/>
          </w:tcPr>
          <w:p w14:paraId="0F44565C" w14:textId="23AC32BD" w:rsidR="00561D6E" w:rsidRPr="00BF02CB" w:rsidRDefault="0003613D" w:rsidP="00561D6E">
            <w:pPr>
              <w:spacing w:after="0"/>
              <w:jc w:val="center"/>
              <w:rPr>
                <w:rFonts w:ascii="Arial" w:hAnsi="Arial" w:cs="Arial"/>
                <w:sz w:val="16"/>
                <w:szCs w:val="16"/>
              </w:rPr>
            </w:pPr>
            <w:r>
              <w:rPr>
                <w:rFonts w:ascii="Arial" w:hAnsi="Arial" w:cs="Arial"/>
                <w:sz w:val="16"/>
                <w:szCs w:val="16"/>
              </w:rPr>
              <w:t>36.4</w:t>
            </w:r>
          </w:p>
        </w:tc>
      </w:tr>
      <w:tr w:rsidR="00561D6E" w:rsidRPr="00BF02CB" w14:paraId="5A7C453C" w14:textId="77777777" w:rsidTr="00C36529">
        <w:trPr>
          <w:trHeight w:val="185"/>
        </w:trPr>
        <w:tc>
          <w:tcPr>
            <w:tcW w:w="1384" w:type="dxa"/>
            <w:vMerge/>
            <w:tcBorders>
              <w:top w:val="nil"/>
              <w:left w:val="nil"/>
              <w:bottom w:val="single" w:sz="12" w:space="0" w:color="FFFFFF"/>
              <w:right w:val="nil"/>
            </w:tcBorders>
            <w:vAlign w:val="center"/>
            <w:hideMark/>
          </w:tcPr>
          <w:p w14:paraId="7AC96D54" w14:textId="77777777" w:rsidR="00561D6E" w:rsidRPr="00BF02CB" w:rsidRDefault="00561D6E" w:rsidP="00561D6E">
            <w:pPr>
              <w:spacing w:after="0"/>
              <w:rPr>
                <w:rFonts w:ascii="Arial" w:hAnsi="Arial" w:cs="Arial"/>
                <w:color w:val="FFFFFF"/>
                <w:sz w:val="18"/>
                <w:szCs w:val="18"/>
              </w:rPr>
            </w:pPr>
          </w:p>
        </w:tc>
        <w:tc>
          <w:tcPr>
            <w:tcW w:w="3091" w:type="dxa"/>
            <w:tcBorders>
              <w:top w:val="single" w:sz="4" w:space="0" w:color="auto"/>
              <w:left w:val="single" w:sz="4" w:space="0" w:color="auto"/>
              <w:bottom w:val="single" w:sz="12" w:space="0" w:color="808080" w:themeColor="background1" w:themeShade="80"/>
              <w:right w:val="nil"/>
            </w:tcBorders>
            <w:shd w:val="clear" w:color="auto" w:fill="auto"/>
            <w:vAlign w:val="center"/>
            <w:hideMark/>
          </w:tcPr>
          <w:p w14:paraId="1C7430C5"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000000"/>
                <w:sz w:val="16"/>
                <w:szCs w:val="16"/>
              </w:rPr>
              <w:t>Private</w:t>
            </w:r>
          </w:p>
        </w:tc>
        <w:tc>
          <w:tcPr>
            <w:tcW w:w="1367" w:type="dxa"/>
            <w:tcBorders>
              <w:top w:val="single" w:sz="4" w:space="0" w:color="auto"/>
              <w:left w:val="nil"/>
              <w:bottom w:val="single" w:sz="12" w:space="0" w:color="808080" w:themeColor="background1" w:themeShade="80"/>
              <w:right w:val="nil"/>
            </w:tcBorders>
            <w:shd w:val="clear" w:color="auto" w:fill="auto"/>
            <w:vAlign w:val="center"/>
            <w:hideMark/>
          </w:tcPr>
          <w:p w14:paraId="307FB5C8"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86</w:t>
            </w:r>
          </w:p>
        </w:tc>
        <w:tc>
          <w:tcPr>
            <w:tcW w:w="1447" w:type="dxa"/>
            <w:gridSpan w:val="2"/>
            <w:tcBorders>
              <w:top w:val="single" w:sz="4" w:space="0" w:color="auto"/>
              <w:left w:val="nil"/>
              <w:bottom w:val="single" w:sz="12" w:space="0" w:color="808080" w:themeColor="background1" w:themeShade="80"/>
              <w:right w:val="nil"/>
            </w:tcBorders>
            <w:shd w:val="clear" w:color="auto" w:fill="auto"/>
            <w:noWrap/>
            <w:vAlign w:val="center"/>
            <w:hideMark/>
          </w:tcPr>
          <w:p w14:paraId="2E6D86AF" w14:textId="36446EAF" w:rsidR="00561D6E" w:rsidRPr="00BF02CB" w:rsidRDefault="0003613D" w:rsidP="00561D6E">
            <w:pPr>
              <w:spacing w:after="0"/>
              <w:jc w:val="center"/>
              <w:rPr>
                <w:rFonts w:ascii="Arial" w:hAnsi="Arial" w:cs="Arial"/>
                <w:sz w:val="16"/>
                <w:szCs w:val="16"/>
              </w:rPr>
            </w:pPr>
            <w:r>
              <w:rPr>
                <w:rFonts w:ascii="Arial" w:hAnsi="Arial" w:cs="Arial"/>
                <w:sz w:val="16"/>
                <w:szCs w:val="16"/>
              </w:rPr>
              <w:t>27.4</w:t>
            </w:r>
          </w:p>
        </w:tc>
        <w:tc>
          <w:tcPr>
            <w:tcW w:w="1237" w:type="dxa"/>
            <w:tcBorders>
              <w:top w:val="single" w:sz="4" w:space="0" w:color="auto"/>
              <w:left w:val="nil"/>
              <w:bottom w:val="single" w:sz="12" w:space="0" w:color="808080" w:themeColor="background1" w:themeShade="80"/>
              <w:right w:val="nil"/>
            </w:tcBorders>
            <w:shd w:val="clear" w:color="auto" w:fill="auto"/>
            <w:noWrap/>
            <w:vAlign w:val="center"/>
            <w:hideMark/>
          </w:tcPr>
          <w:p w14:paraId="3AD4B6ED" w14:textId="77777777" w:rsidR="00561D6E" w:rsidRPr="00BF02CB" w:rsidRDefault="00561D6E" w:rsidP="00561D6E">
            <w:pPr>
              <w:spacing w:after="0"/>
              <w:jc w:val="center"/>
              <w:rPr>
                <w:rFonts w:ascii="Arial" w:hAnsi="Arial" w:cs="Arial"/>
                <w:sz w:val="16"/>
                <w:szCs w:val="16"/>
              </w:rPr>
            </w:pPr>
            <w:r>
              <w:rPr>
                <w:rFonts w:ascii="Arial" w:hAnsi="Arial" w:cs="Arial"/>
                <w:sz w:val="16"/>
                <w:szCs w:val="16"/>
              </w:rPr>
              <w:t>4,</w:t>
            </w:r>
            <w:r w:rsidRPr="00BF02CB">
              <w:rPr>
                <w:rFonts w:ascii="Arial" w:hAnsi="Arial" w:cs="Arial"/>
                <w:sz w:val="16"/>
                <w:szCs w:val="16"/>
              </w:rPr>
              <w:t>817</w:t>
            </w:r>
          </w:p>
        </w:tc>
        <w:tc>
          <w:tcPr>
            <w:tcW w:w="1237" w:type="dxa"/>
            <w:tcBorders>
              <w:top w:val="single" w:sz="4" w:space="0" w:color="auto"/>
              <w:left w:val="nil"/>
              <w:bottom w:val="single" w:sz="12" w:space="0" w:color="808080" w:themeColor="background1" w:themeShade="80"/>
              <w:right w:val="nil"/>
            </w:tcBorders>
            <w:shd w:val="clear" w:color="auto" w:fill="auto"/>
            <w:noWrap/>
            <w:vAlign w:val="center"/>
            <w:hideMark/>
          </w:tcPr>
          <w:p w14:paraId="0D7A634A" w14:textId="52D675D1" w:rsidR="00561D6E" w:rsidRPr="00BF02CB" w:rsidRDefault="0003613D" w:rsidP="00561D6E">
            <w:pPr>
              <w:spacing w:after="0"/>
              <w:jc w:val="center"/>
              <w:rPr>
                <w:rFonts w:ascii="Arial" w:hAnsi="Arial" w:cs="Arial"/>
                <w:sz w:val="16"/>
                <w:szCs w:val="16"/>
              </w:rPr>
            </w:pPr>
            <w:r>
              <w:rPr>
                <w:rFonts w:ascii="Arial" w:hAnsi="Arial" w:cs="Arial"/>
                <w:sz w:val="16"/>
                <w:szCs w:val="16"/>
              </w:rPr>
              <w:t>18.4</w:t>
            </w:r>
          </w:p>
        </w:tc>
        <w:tc>
          <w:tcPr>
            <w:tcW w:w="1827" w:type="dxa"/>
            <w:tcBorders>
              <w:top w:val="single" w:sz="4" w:space="0" w:color="auto"/>
              <w:left w:val="nil"/>
              <w:bottom w:val="single" w:sz="12" w:space="0" w:color="808080" w:themeColor="background1" w:themeShade="80"/>
              <w:right w:val="nil"/>
            </w:tcBorders>
            <w:shd w:val="clear" w:color="auto" w:fill="auto"/>
            <w:noWrap/>
            <w:vAlign w:val="center"/>
            <w:hideMark/>
          </w:tcPr>
          <w:p w14:paraId="2B3FC269" w14:textId="77777777" w:rsidR="00561D6E" w:rsidRPr="00BF02CB" w:rsidRDefault="00561D6E" w:rsidP="00561D6E">
            <w:pPr>
              <w:spacing w:after="0"/>
              <w:jc w:val="center"/>
              <w:rPr>
                <w:rFonts w:ascii="Arial" w:hAnsi="Arial" w:cs="Arial"/>
                <w:sz w:val="16"/>
                <w:szCs w:val="16"/>
              </w:rPr>
            </w:pPr>
            <w:r w:rsidRPr="00BF02CB">
              <w:rPr>
                <w:rFonts w:ascii="Arial" w:hAnsi="Arial" w:cs="Arial"/>
                <w:sz w:val="16"/>
                <w:szCs w:val="16"/>
              </w:rPr>
              <w:t>67.3%</w:t>
            </w:r>
          </w:p>
        </w:tc>
        <w:tc>
          <w:tcPr>
            <w:tcW w:w="1618" w:type="dxa"/>
            <w:tcBorders>
              <w:top w:val="single" w:sz="4" w:space="0" w:color="auto"/>
              <w:left w:val="nil"/>
              <w:bottom w:val="single" w:sz="12" w:space="0" w:color="808080" w:themeColor="background1" w:themeShade="80"/>
              <w:right w:val="nil"/>
            </w:tcBorders>
            <w:shd w:val="clear" w:color="auto" w:fill="auto"/>
            <w:noWrap/>
            <w:vAlign w:val="center"/>
            <w:hideMark/>
          </w:tcPr>
          <w:p w14:paraId="4811F648" w14:textId="7F656354" w:rsidR="00561D6E" w:rsidRPr="00BF02CB" w:rsidRDefault="0003613D" w:rsidP="00561D6E">
            <w:pPr>
              <w:spacing w:after="0"/>
              <w:jc w:val="center"/>
              <w:rPr>
                <w:rFonts w:ascii="Arial" w:hAnsi="Arial" w:cs="Arial"/>
                <w:sz w:val="16"/>
                <w:szCs w:val="16"/>
              </w:rPr>
            </w:pPr>
            <w:r>
              <w:rPr>
                <w:rFonts w:ascii="Arial" w:hAnsi="Arial" w:cs="Arial"/>
                <w:sz w:val="16"/>
                <w:szCs w:val="16"/>
              </w:rPr>
              <w:t>57.2</w:t>
            </w:r>
          </w:p>
        </w:tc>
        <w:tc>
          <w:tcPr>
            <w:tcW w:w="1642" w:type="dxa"/>
            <w:tcBorders>
              <w:top w:val="single" w:sz="4" w:space="0" w:color="auto"/>
              <w:left w:val="nil"/>
              <w:bottom w:val="single" w:sz="12" w:space="0" w:color="808080" w:themeColor="background1" w:themeShade="80"/>
              <w:right w:val="single" w:sz="4" w:space="0" w:color="auto"/>
            </w:tcBorders>
            <w:shd w:val="clear" w:color="auto" w:fill="auto"/>
            <w:noWrap/>
            <w:vAlign w:val="center"/>
            <w:hideMark/>
          </w:tcPr>
          <w:p w14:paraId="74221493" w14:textId="02FFE91D" w:rsidR="00561D6E" w:rsidRPr="00BF02CB" w:rsidRDefault="0003613D" w:rsidP="00561D6E">
            <w:pPr>
              <w:spacing w:after="0"/>
              <w:jc w:val="center"/>
              <w:rPr>
                <w:rFonts w:ascii="Arial" w:hAnsi="Arial" w:cs="Arial"/>
                <w:sz w:val="16"/>
                <w:szCs w:val="16"/>
              </w:rPr>
            </w:pPr>
            <w:r>
              <w:rPr>
                <w:rFonts w:ascii="Arial" w:hAnsi="Arial" w:cs="Arial"/>
                <w:sz w:val="16"/>
                <w:szCs w:val="16"/>
              </w:rPr>
              <w:t>26.5</w:t>
            </w:r>
          </w:p>
        </w:tc>
      </w:tr>
      <w:tr w:rsidR="00561D6E" w:rsidRPr="00BF02CB" w14:paraId="27EAF1C3" w14:textId="77777777" w:rsidTr="00603A69">
        <w:trPr>
          <w:trHeight w:val="227"/>
        </w:trPr>
        <w:tc>
          <w:tcPr>
            <w:tcW w:w="4475" w:type="dxa"/>
            <w:gridSpan w:val="2"/>
            <w:tcBorders>
              <w:top w:val="nil"/>
              <w:left w:val="nil"/>
              <w:bottom w:val="single" w:sz="12" w:space="0" w:color="808080" w:themeColor="background1" w:themeShade="80"/>
              <w:right w:val="nil"/>
            </w:tcBorders>
            <w:shd w:val="clear" w:color="auto" w:fill="808080" w:themeFill="background1" w:themeFillShade="80"/>
            <w:vAlign w:val="center"/>
          </w:tcPr>
          <w:p w14:paraId="6C78F61F" w14:textId="77777777" w:rsidR="00561D6E" w:rsidRPr="00BF02CB" w:rsidRDefault="00561D6E" w:rsidP="00561D6E">
            <w:pPr>
              <w:spacing w:after="0"/>
              <w:rPr>
                <w:rFonts w:ascii="Arial" w:hAnsi="Arial" w:cs="Arial"/>
                <w:color w:val="000000"/>
                <w:sz w:val="16"/>
                <w:szCs w:val="16"/>
              </w:rPr>
            </w:pPr>
            <w:r w:rsidRPr="00BF02CB">
              <w:rPr>
                <w:rFonts w:ascii="Arial" w:hAnsi="Arial" w:cs="Arial"/>
                <w:color w:val="FFFFFF"/>
                <w:sz w:val="18"/>
                <w:szCs w:val="18"/>
              </w:rPr>
              <w:t>Combined national result</w:t>
            </w:r>
          </w:p>
        </w:tc>
        <w:tc>
          <w:tcPr>
            <w:tcW w:w="1367" w:type="dxa"/>
            <w:tcBorders>
              <w:top w:val="single" w:sz="12" w:space="0" w:color="808080" w:themeColor="background1" w:themeShade="80"/>
              <w:left w:val="nil"/>
              <w:bottom w:val="single" w:sz="12" w:space="0" w:color="808080" w:themeColor="background1" w:themeShade="80"/>
              <w:right w:val="nil"/>
            </w:tcBorders>
            <w:shd w:val="clear" w:color="auto" w:fill="808080" w:themeFill="background1" w:themeFillShade="80"/>
            <w:vAlign w:val="center"/>
          </w:tcPr>
          <w:p w14:paraId="7786EF9B" w14:textId="77777777" w:rsidR="00561D6E" w:rsidRPr="00BF02CB" w:rsidRDefault="00561D6E" w:rsidP="00561D6E">
            <w:pPr>
              <w:spacing w:after="0"/>
              <w:jc w:val="center"/>
              <w:rPr>
                <w:rFonts w:ascii="Arial" w:hAnsi="Arial" w:cs="Arial"/>
                <w:sz w:val="16"/>
                <w:szCs w:val="16"/>
              </w:rPr>
            </w:pPr>
            <w:r w:rsidRPr="00BF02CB">
              <w:rPr>
                <w:rFonts w:ascii="Arial" w:hAnsi="Arial" w:cs="Arial"/>
                <w:b/>
                <w:bCs/>
                <w:color w:val="FFFFFF"/>
                <w:sz w:val="18"/>
                <w:szCs w:val="18"/>
              </w:rPr>
              <w:t>314</w:t>
            </w:r>
          </w:p>
        </w:tc>
        <w:tc>
          <w:tcPr>
            <w:tcW w:w="1447" w:type="dxa"/>
            <w:gridSpan w:val="2"/>
            <w:tcBorders>
              <w:top w:val="single" w:sz="12" w:space="0" w:color="808080" w:themeColor="background1" w:themeShade="80"/>
              <w:left w:val="nil"/>
              <w:bottom w:val="single" w:sz="12" w:space="0" w:color="808080" w:themeColor="background1" w:themeShade="80"/>
              <w:right w:val="nil"/>
            </w:tcBorders>
            <w:shd w:val="clear" w:color="auto" w:fill="808080" w:themeFill="background1" w:themeFillShade="80"/>
            <w:noWrap/>
            <w:vAlign w:val="center"/>
          </w:tcPr>
          <w:p w14:paraId="0EA30054" w14:textId="7A56FEC5" w:rsidR="00561D6E" w:rsidRPr="006F48AC" w:rsidRDefault="006F48AC" w:rsidP="00561D6E">
            <w:pPr>
              <w:spacing w:after="0"/>
              <w:jc w:val="center"/>
              <w:rPr>
                <w:rFonts w:ascii="Arial" w:hAnsi="Arial" w:cs="Arial"/>
                <w:b/>
                <w:sz w:val="18"/>
                <w:szCs w:val="18"/>
              </w:rPr>
            </w:pPr>
            <w:r w:rsidRPr="006F48AC">
              <w:rPr>
                <w:rFonts w:ascii="Arial" w:hAnsi="Arial" w:cs="Arial"/>
                <w:b/>
                <w:color w:val="FFFFFF" w:themeColor="background1"/>
                <w:sz w:val="18"/>
                <w:szCs w:val="18"/>
              </w:rPr>
              <w:t>100</w:t>
            </w:r>
          </w:p>
        </w:tc>
        <w:tc>
          <w:tcPr>
            <w:tcW w:w="1237" w:type="dxa"/>
            <w:tcBorders>
              <w:top w:val="single" w:sz="12" w:space="0" w:color="808080" w:themeColor="background1" w:themeShade="80"/>
              <w:left w:val="nil"/>
              <w:bottom w:val="single" w:sz="12" w:space="0" w:color="808080" w:themeColor="background1" w:themeShade="80"/>
              <w:right w:val="nil"/>
            </w:tcBorders>
            <w:shd w:val="clear" w:color="auto" w:fill="808080" w:themeFill="background1" w:themeFillShade="80"/>
            <w:noWrap/>
            <w:vAlign w:val="center"/>
          </w:tcPr>
          <w:p w14:paraId="1E50431A" w14:textId="77777777" w:rsidR="00561D6E" w:rsidRDefault="00561D6E" w:rsidP="00561D6E">
            <w:pPr>
              <w:spacing w:after="0"/>
              <w:jc w:val="center"/>
              <w:rPr>
                <w:rFonts w:ascii="Arial" w:hAnsi="Arial" w:cs="Arial"/>
                <w:sz w:val="16"/>
                <w:szCs w:val="16"/>
              </w:rPr>
            </w:pPr>
            <w:r>
              <w:rPr>
                <w:rFonts w:ascii="Arial" w:hAnsi="Arial" w:cs="Arial"/>
                <w:b/>
                <w:bCs/>
                <w:color w:val="FFFFFF"/>
                <w:sz w:val="18"/>
                <w:szCs w:val="18"/>
              </w:rPr>
              <w:t>26,</w:t>
            </w:r>
            <w:r w:rsidR="00500170">
              <w:rPr>
                <w:rFonts w:ascii="Arial" w:hAnsi="Arial" w:cs="Arial"/>
                <w:b/>
                <w:bCs/>
                <w:color w:val="FFFFFF"/>
                <w:sz w:val="18"/>
                <w:szCs w:val="18"/>
              </w:rPr>
              <w:t>22</w:t>
            </w:r>
            <w:r w:rsidRPr="00BF02CB">
              <w:rPr>
                <w:rFonts w:ascii="Arial" w:hAnsi="Arial" w:cs="Arial"/>
                <w:b/>
                <w:bCs/>
                <w:color w:val="FFFFFF"/>
                <w:sz w:val="18"/>
                <w:szCs w:val="18"/>
              </w:rPr>
              <w:t>7</w:t>
            </w:r>
          </w:p>
        </w:tc>
        <w:tc>
          <w:tcPr>
            <w:tcW w:w="1237" w:type="dxa"/>
            <w:tcBorders>
              <w:top w:val="single" w:sz="12" w:space="0" w:color="808080" w:themeColor="background1" w:themeShade="80"/>
              <w:left w:val="nil"/>
              <w:bottom w:val="single" w:sz="12" w:space="0" w:color="808080" w:themeColor="background1" w:themeShade="80"/>
              <w:right w:val="nil"/>
            </w:tcBorders>
            <w:shd w:val="clear" w:color="auto" w:fill="808080" w:themeFill="background1" w:themeFillShade="80"/>
            <w:noWrap/>
            <w:vAlign w:val="center"/>
          </w:tcPr>
          <w:p w14:paraId="082AF2D9" w14:textId="32212F76" w:rsidR="00561D6E" w:rsidRPr="00BF02CB" w:rsidRDefault="006F48AC" w:rsidP="00561D6E">
            <w:pPr>
              <w:spacing w:after="0"/>
              <w:jc w:val="center"/>
              <w:rPr>
                <w:rFonts w:ascii="Arial" w:hAnsi="Arial" w:cs="Arial"/>
                <w:sz w:val="16"/>
                <w:szCs w:val="16"/>
              </w:rPr>
            </w:pPr>
            <w:r w:rsidRPr="006F48AC">
              <w:rPr>
                <w:rFonts w:ascii="Arial" w:hAnsi="Arial" w:cs="Arial"/>
                <w:b/>
                <w:color w:val="FFFFFF" w:themeColor="background1"/>
                <w:sz w:val="18"/>
                <w:szCs w:val="18"/>
              </w:rPr>
              <w:t>100</w:t>
            </w:r>
          </w:p>
        </w:tc>
        <w:tc>
          <w:tcPr>
            <w:tcW w:w="1827" w:type="dxa"/>
            <w:tcBorders>
              <w:top w:val="single" w:sz="12" w:space="0" w:color="808080" w:themeColor="background1" w:themeShade="80"/>
              <w:left w:val="nil"/>
              <w:bottom w:val="single" w:sz="12" w:space="0" w:color="808080" w:themeColor="background1" w:themeShade="80"/>
              <w:right w:val="nil"/>
            </w:tcBorders>
            <w:shd w:val="clear" w:color="auto" w:fill="808080" w:themeFill="background1" w:themeFillShade="80"/>
            <w:noWrap/>
            <w:vAlign w:val="center"/>
          </w:tcPr>
          <w:p w14:paraId="72B31D5C" w14:textId="0872AB45" w:rsidR="00561D6E" w:rsidRPr="00BF02CB" w:rsidRDefault="00561D6E" w:rsidP="00561D6E">
            <w:pPr>
              <w:spacing w:after="0"/>
              <w:jc w:val="center"/>
              <w:rPr>
                <w:rFonts w:ascii="Arial" w:hAnsi="Arial" w:cs="Arial"/>
                <w:sz w:val="16"/>
                <w:szCs w:val="16"/>
              </w:rPr>
            </w:pPr>
            <w:r w:rsidRPr="00BF02CB">
              <w:rPr>
                <w:rFonts w:ascii="Arial" w:hAnsi="Arial" w:cs="Arial"/>
                <w:b/>
                <w:bCs/>
                <w:color w:val="FFFFFF"/>
                <w:sz w:val="18"/>
                <w:szCs w:val="18"/>
              </w:rPr>
              <w:t>77.7</w:t>
            </w:r>
          </w:p>
        </w:tc>
        <w:tc>
          <w:tcPr>
            <w:tcW w:w="1618" w:type="dxa"/>
            <w:tcBorders>
              <w:top w:val="single" w:sz="12" w:space="0" w:color="808080" w:themeColor="background1" w:themeShade="80"/>
              <w:left w:val="nil"/>
              <w:bottom w:val="single" w:sz="12" w:space="0" w:color="808080" w:themeColor="background1" w:themeShade="80"/>
              <w:right w:val="nil"/>
            </w:tcBorders>
            <w:shd w:val="clear" w:color="auto" w:fill="808080" w:themeFill="background1" w:themeFillShade="80"/>
            <w:noWrap/>
            <w:vAlign w:val="center"/>
          </w:tcPr>
          <w:p w14:paraId="5C7A4AE8" w14:textId="3E26A0F4" w:rsidR="00561D6E" w:rsidRPr="00BF02CB" w:rsidRDefault="00561D6E" w:rsidP="00561D6E">
            <w:pPr>
              <w:spacing w:after="0"/>
              <w:jc w:val="center"/>
              <w:rPr>
                <w:rFonts w:ascii="Arial" w:hAnsi="Arial" w:cs="Arial"/>
                <w:sz w:val="16"/>
                <w:szCs w:val="16"/>
              </w:rPr>
            </w:pPr>
            <w:r w:rsidRPr="00BF02CB">
              <w:rPr>
                <w:rFonts w:ascii="Arial" w:hAnsi="Arial" w:cs="Arial"/>
                <w:b/>
                <w:bCs/>
                <w:color w:val="FFFFFF"/>
                <w:sz w:val="18"/>
                <w:szCs w:val="18"/>
              </w:rPr>
              <w:t>40.5</w:t>
            </w:r>
          </w:p>
        </w:tc>
        <w:tc>
          <w:tcPr>
            <w:tcW w:w="1642" w:type="dxa"/>
            <w:tcBorders>
              <w:top w:val="single" w:sz="12" w:space="0" w:color="808080" w:themeColor="background1" w:themeShade="80"/>
              <w:left w:val="nil"/>
              <w:bottom w:val="single" w:sz="12" w:space="0" w:color="808080" w:themeColor="background1" w:themeShade="80"/>
              <w:right w:val="single" w:sz="4" w:space="0" w:color="auto"/>
            </w:tcBorders>
            <w:shd w:val="clear" w:color="auto" w:fill="808080" w:themeFill="background1" w:themeFillShade="80"/>
            <w:noWrap/>
            <w:vAlign w:val="center"/>
          </w:tcPr>
          <w:p w14:paraId="5A98831E" w14:textId="2E9EA3AD" w:rsidR="00561D6E" w:rsidRPr="00BF02CB" w:rsidRDefault="00561D6E" w:rsidP="00561D6E">
            <w:pPr>
              <w:spacing w:after="0"/>
              <w:jc w:val="center"/>
              <w:rPr>
                <w:rFonts w:ascii="Arial" w:hAnsi="Arial" w:cs="Arial"/>
                <w:sz w:val="16"/>
                <w:szCs w:val="16"/>
              </w:rPr>
            </w:pPr>
            <w:r w:rsidRPr="00BF02CB">
              <w:rPr>
                <w:rFonts w:ascii="Arial" w:hAnsi="Arial" w:cs="Arial"/>
                <w:b/>
                <w:bCs/>
                <w:color w:val="FFFFFF"/>
                <w:sz w:val="18"/>
                <w:szCs w:val="18"/>
              </w:rPr>
              <w:t>30.5</w:t>
            </w:r>
          </w:p>
        </w:tc>
      </w:tr>
    </w:tbl>
    <w:p w14:paraId="7B4993D6" w14:textId="77777777" w:rsidR="00255E01" w:rsidRPr="00BD09B3" w:rsidRDefault="00255E01" w:rsidP="00255E01">
      <w:pPr>
        <w:pStyle w:val="Captions"/>
        <w:spacing w:before="0" w:after="0"/>
        <w:rPr>
          <w:sz w:val="18"/>
          <w:szCs w:val="18"/>
        </w:rPr>
      </w:pPr>
      <w:proofErr w:type="spellStart"/>
      <w:r w:rsidRPr="00BD09B3">
        <w:rPr>
          <w:sz w:val="18"/>
          <w:szCs w:val="18"/>
        </w:rPr>
        <w:t>na</w:t>
      </w:r>
      <w:proofErr w:type="spellEnd"/>
      <w:r w:rsidRPr="00BD09B3">
        <w:rPr>
          <w:sz w:val="18"/>
          <w:szCs w:val="18"/>
        </w:rPr>
        <w:t xml:space="preserve"> - not applicable</w:t>
      </w:r>
    </w:p>
    <w:p w14:paraId="50B97C51" w14:textId="77777777" w:rsidR="00255E01" w:rsidRPr="00BD09B3" w:rsidRDefault="0080398E" w:rsidP="00255E01">
      <w:pPr>
        <w:pStyle w:val="Captions"/>
        <w:spacing w:before="0" w:after="0"/>
        <w:rPr>
          <w:sz w:val="18"/>
          <w:szCs w:val="18"/>
        </w:rPr>
      </w:pPr>
      <w:r w:rsidRPr="00BD09B3">
        <w:rPr>
          <w:sz w:val="18"/>
          <w:szCs w:val="18"/>
        </w:rPr>
        <w:t xml:space="preserve">* </w:t>
      </w:r>
      <w:r w:rsidR="00255E01" w:rsidRPr="00BD09B3">
        <w:rPr>
          <w:sz w:val="18"/>
          <w:szCs w:val="18"/>
        </w:rPr>
        <w:t xml:space="preserve">Where surgical prophylaxis was selected as the indication (n = </w:t>
      </w:r>
      <w:r w:rsidR="00683211" w:rsidRPr="00BD09B3">
        <w:rPr>
          <w:sz w:val="18"/>
          <w:szCs w:val="18"/>
        </w:rPr>
        <w:t>3,397</w:t>
      </w:r>
      <w:r w:rsidR="00255E01" w:rsidRPr="00BD09B3">
        <w:rPr>
          <w:sz w:val="18"/>
          <w:szCs w:val="18"/>
        </w:rPr>
        <w:t>)</w:t>
      </w:r>
    </w:p>
    <w:p w14:paraId="76E307C3" w14:textId="77777777" w:rsidR="0080398E" w:rsidRPr="00BD09B3" w:rsidRDefault="0080398E" w:rsidP="00255E01">
      <w:pPr>
        <w:pStyle w:val="Captions"/>
        <w:spacing w:before="0" w:after="0"/>
        <w:rPr>
          <w:sz w:val="18"/>
          <w:szCs w:val="18"/>
        </w:rPr>
      </w:pPr>
      <w:r w:rsidRPr="00BD09B3">
        <w:rPr>
          <w:sz w:val="18"/>
          <w:szCs w:val="18"/>
        </w:rPr>
        <w:t>† GEM - geriatric evaluation and management</w:t>
      </w:r>
    </w:p>
    <w:p w14:paraId="7EADC9F5" w14:textId="77777777" w:rsidR="00255E01" w:rsidRPr="00BD09B3" w:rsidRDefault="0080398E" w:rsidP="00255E01">
      <w:pPr>
        <w:pStyle w:val="Captions"/>
        <w:spacing w:before="0" w:after="0"/>
        <w:rPr>
          <w:sz w:val="18"/>
          <w:szCs w:val="18"/>
        </w:rPr>
      </w:pPr>
      <w:r w:rsidRPr="00BD09B3">
        <w:rPr>
          <w:sz w:val="18"/>
          <w:szCs w:val="18"/>
        </w:rPr>
        <w:t xml:space="preserve">§ </w:t>
      </w:r>
      <w:r w:rsidR="00255E01" w:rsidRPr="00BD09B3">
        <w:rPr>
          <w:sz w:val="18"/>
          <w:szCs w:val="18"/>
        </w:rPr>
        <w:t>Results are not displayed if there are fewer than 30 prescriptions</w:t>
      </w:r>
    </w:p>
    <w:p w14:paraId="18F505B1" w14:textId="5AB1A3D0" w:rsidR="00900A0A" w:rsidRDefault="006554D0" w:rsidP="007A459F">
      <w:pPr>
        <w:pStyle w:val="FigureTitle"/>
      </w:pPr>
      <w:r>
        <w:lastRenderedPageBreak/>
        <w:t>Table 4</w:t>
      </w:r>
      <w:r w:rsidR="00557374">
        <w:t xml:space="preserve">: </w:t>
      </w:r>
      <w:r w:rsidR="00900A0A">
        <w:t>C</w:t>
      </w:r>
      <w:r w:rsidR="00900A0A" w:rsidRPr="00340CA0">
        <w:t>ompliance with guidelines and</w:t>
      </w:r>
      <w:r w:rsidR="002E181A">
        <w:t xml:space="preserve"> prescription</w:t>
      </w:r>
      <w:r w:rsidR="00900A0A" w:rsidRPr="00340CA0">
        <w:t xml:space="preserve"> appropriateness</w:t>
      </w:r>
      <w:r w:rsidR="00DE3127">
        <w:t xml:space="preserve"> in Hospital NAPS contributors</w:t>
      </w:r>
      <w:r w:rsidR="00900A0A" w:rsidRPr="00340CA0">
        <w:t xml:space="preserve">, by state </w:t>
      </w:r>
      <w:r w:rsidR="00DE3127">
        <w:t>and</w:t>
      </w:r>
      <w:r w:rsidR="00900A0A" w:rsidRPr="00340CA0">
        <w:t xml:space="preserve"> territory, remoteness</w:t>
      </w:r>
      <w:r w:rsidR="00DE3127">
        <w:t xml:space="preserve"> area</w:t>
      </w:r>
      <w:r w:rsidR="00900A0A" w:rsidRPr="00340CA0">
        <w:t xml:space="preserve"> </w:t>
      </w:r>
      <w:r w:rsidR="00900A0A">
        <w:t xml:space="preserve">and </w:t>
      </w:r>
      <w:r w:rsidR="00DE3127">
        <w:t>AIHW</w:t>
      </w:r>
      <w:r w:rsidR="00900A0A">
        <w:t xml:space="preserve"> </w:t>
      </w:r>
      <w:r w:rsidR="00900A0A" w:rsidRPr="00340CA0">
        <w:t>peer group</w:t>
      </w:r>
      <w:r w:rsidR="00900A0A">
        <w:t>, 2017</w:t>
      </w:r>
    </w:p>
    <w:tbl>
      <w:tblPr>
        <w:tblW w:w="14757" w:type="dxa"/>
        <w:tblInd w:w="93" w:type="dxa"/>
        <w:tblLayout w:type="fixed"/>
        <w:tblLook w:val="04A0" w:firstRow="1" w:lastRow="0" w:firstColumn="1" w:lastColumn="0" w:noHBand="0" w:noVBand="1"/>
      </w:tblPr>
      <w:tblGrid>
        <w:gridCol w:w="1243"/>
        <w:gridCol w:w="3734"/>
        <w:gridCol w:w="1222"/>
        <w:gridCol w:w="1223"/>
        <w:gridCol w:w="1222"/>
        <w:gridCol w:w="1223"/>
        <w:gridCol w:w="1222"/>
        <w:gridCol w:w="1223"/>
        <w:gridCol w:w="1222"/>
        <w:gridCol w:w="1223"/>
      </w:tblGrid>
      <w:tr w:rsidR="00561D6E" w:rsidRPr="00BF02CB" w14:paraId="6DEC16E7" w14:textId="77777777" w:rsidTr="00C36529">
        <w:trPr>
          <w:trHeight w:val="283"/>
        </w:trPr>
        <w:tc>
          <w:tcPr>
            <w:tcW w:w="4977" w:type="dxa"/>
            <w:gridSpan w:val="2"/>
            <w:vMerge w:val="restart"/>
            <w:tcBorders>
              <w:top w:val="nil"/>
              <w:left w:val="nil"/>
              <w:bottom w:val="single" w:sz="12" w:space="0" w:color="FFFFFF"/>
              <w:right w:val="single" w:sz="12" w:space="0" w:color="FFFFFF" w:themeColor="background1"/>
            </w:tcBorders>
            <w:shd w:val="clear" w:color="000000" w:fill="808080"/>
            <w:vAlign w:val="center"/>
            <w:hideMark/>
          </w:tcPr>
          <w:p w14:paraId="0AE81B90" w14:textId="77777777" w:rsidR="00561D6E" w:rsidRPr="00BF02CB" w:rsidRDefault="00561D6E" w:rsidP="00561D6E">
            <w:pPr>
              <w:spacing w:after="0"/>
              <w:jc w:val="both"/>
              <w:rPr>
                <w:rFonts w:ascii="Arial" w:hAnsi="Arial" w:cs="Arial"/>
                <w:b/>
                <w:bCs/>
                <w:color w:val="FFFFFF"/>
                <w:sz w:val="20"/>
                <w:szCs w:val="20"/>
              </w:rPr>
            </w:pPr>
            <w:r w:rsidRPr="00BF02CB">
              <w:rPr>
                <w:rFonts w:ascii="Arial" w:hAnsi="Arial" w:cs="Arial"/>
                <w:b/>
                <w:bCs/>
                <w:color w:val="FFFFFF"/>
                <w:sz w:val="20"/>
                <w:szCs w:val="20"/>
              </w:rPr>
              <w:t>Key Indicators </w:t>
            </w:r>
          </w:p>
        </w:tc>
        <w:tc>
          <w:tcPr>
            <w:tcW w:w="4890" w:type="dxa"/>
            <w:gridSpan w:val="4"/>
            <w:tcBorders>
              <w:top w:val="nil"/>
              <w:left w:val="single" w:sz="12" w:space="0" w:color="FFFFFF" w:themeColor="background1"/>
              <w:bottom w:val="nil"/>
              <w:right w:val="single" w:sz="12" w:space="0" w:color="FFFFFF" w:themeColor="background1"/>
            </w:tcBorders>
            <w:shd w:val="clear" w:color="000000" w:fill="808080"/>
            <w:vAlign w:val="center"/>
            <w:hideMark/>
          </w:tcPr>
          <w:p w14:paraId="05762900" w14:textId="77777777" w:rsidR="00561D6E" w:rsidRPr="00266FF0" w:rsidRDefault="00561D6E" w:rsidP="00561D6E">
            <w:pPr>
              <w:spacing w:after="0"/>
              <w:jc w:val="center"/>
              <w:rPr>
                <w:rFonts w:ascii="Arial" w:hAnsi="Arial" w:cs="Arial"/>
                <w:b/>
                <w:color w:val="FFFFFF"/>
                <w:sz w:val="18"/>
                <w:szCs w:val="18"/>
              </w:rPr>
            </w:pPr>
            <w:r w:rsidRPr="00266FF0">
              <w:rPr>
                <w:rFonts w:ascii="Arial" w:hAnsi="Arial" w:cs="Arial"/>
                <w:b/>
                <w:color w:val="FFFFFF"/>
                <w:sz w:val="18"/>
                <w:szCs w:val="18"/>
              </w:rPr>
              <w:t xml:space="preserve"> Compliance with guidelines</w:t>
            </w:r>
            <w:r>
              <w:rPr>
                <w:rFonts w:ascii="Arial" w:hAnsi="Arial" w:cs="Arial"/>
                <w:b/>
                <w:color w:val="FFFFFF"/>
                <w:sz w:val="18"/>
                <w:szCs w:val="18"/>
              </w:rPr>
              <w:t xml:space="preserve"> (%)</w:t>
            </w:r>
          </w:p>
        </w:tc>
        <w:tc>
          <w:tcPr>
            <w:tcW w:w="4890" w:type="dxa"/>
            <w:gridSpan w:val="4"/>
            <w:tcBorders>
              <w:top w:val="nil"/>
              <w:left w:val="single" w:sz="12" w:space="0" w:color="FFFFFF" w:themeColor="background1"/>
              <w:bottom w:val="nil"/>
              <w:right w:val="nil"/>
            </w:tcBorders>
            <w:shd w:val="clear" w:color="000000" w:fill="808080"/>
            <w:vAlign w:val="center"/>
            <w:hideMark/>
          </w:tcPr>
          <w:p w14:paraId="210F95A1" w14:textId="77777777" w:rsidR="00561D6E" w:rsidRPr="00266FF0" w:rsidRDefault="00561D6E" w:rsidP="00561D6E">
            <w:pPr>
              <w:spacing w:after="0"/>
              <w:jc w:val="center"/>
              <w:rPr>
                <w:rFonts w:ascii="Arial" w:hAnsi="Arial" w:cs="Arial"/>
                <w:b/>
                <w:color w:val="FFFFFF"/>
                <w:sz w:val="18"/>
                <w:szCs w:val="18"/>
              </w:rPr>
            </w:pPr>
            <w:r w:rsidRPr="00266FF0">
              <w:rPr>
                <w:rFonts w:ascii="Arial" w:hAnsi="Arial" w:cs="Arial"/>
                <w:b/>
                <w:color w:val="FFFFFF"/>
                <w:sz w:val="18"/>
                <w:szCs w:val="18"/>
              </w:rPr>
              <w:t xml:space="preserve"> Appropriateness</w:t>
            </w:r>
            <w:r>
              <w:rPr>
                <w:rFonts w:ascii="Arial" w:hAnsi="Arial" w:cs="Arial"/>
                <w:b/>
                <w:color w:val="FFFFFF"/>
                <w:sz w:val="18"/>
                <w:szCs w:val="18"/>
              </w:rPr>
              <w:t xml:space="preserve"> (%)</w:t>
            </w:r>
          </w:p>
        </w:tc>
      </w:tr>
      <w:tr w:rsidR="00561D6E" w:rsidRPr="00BF02CB" w14:paraId="65D29EB9" w14:textId="77777777" w:rsidTr="00C36529">
        <w:trPr>
          <w:trHeight w:val="437"/>
        </w:trPr>
        <w:tc>
          <w:tcPr>
            <w:tcW w:w="4977" w:type="dxa"/>
            <w:gridSpan w:val="2"/>
            <w:vMerge/>
            <w:tcBorders>
              <w:top w:val="nil"/>
              <w:left w:val="nil"/>
              <w:bottom w:val="single" w:sz="12" w:space="0" w:color="FFFFFF"/>
              <w:right w:val="single" w:sz="12" w:space="0" w:color="FFFFFF" w:themeColor="background1"/>
            </w:tcBorders>
            <w:vAlign w:val="center"/>
            <w:hideMark/>
          </w:tcPr>
          <w:p w14:paraId="15379ED2" w14:textId="77777777" w:rsidR="00561D6E" w:rsidRPr="00BF02CB" w:rsidRDefault="00561D6E" w:rsidP="00561D6E">
            <w:pPr>
              <w:spacing w:after="0"/>
              <w:rPr>
                <w:rFonts w:ascii="Arial" w:hAnsi="Arial" w:cs="Arial"/>
                <w:b/>
                <w:bCs/>
                <w:color w:val="FFFFFF"/>
                <w:sz w:val="20"/>
                <w:szCs w:val="20"/>
              </w:rPr>
            </w:pPr>
          </w:p>
        </w:tc>
        <w:tc>
          <w:tcPr>
            <w:tcW w:w="1222" w:type="dxa"/>
            <w:tcBorders>
              <w:top w:val="nil"/>
              <w:left w:val="single" w:sz="12" w:space="0" w:color="FFFFFF" w:themeColor="background1"/>
              <w:bottom w:val="single" w:sz="12" w:space="0" w:color="808080" w:themeColor="background1" w:themeShade="80"/>
              <w:right w:val="nil"/>
            </w:tcBorders>
            <w:shd w:val="clear" w:color="000000" w:fill="808080"/>
            <w:vAlign w:val="center"/>
            <w:hideMark/>
          </w:tcPr>
          <w:p w14:paraId="11D49E5B" w14:textId="77777777" w:rsidR="00561D6E" w:rsidRPr="00BF02CB" w:rsidRDefault="00561D6E" w:rsidP="00561D6E">
            <w:pPr>
              <w:spacing w:after="0"/>
              <w:jc w:val="center"/>
              <w:rPr>
                <w:rFonts w:ascii="Arial" w:hAnsi="Arial" w:cs="Arial"/>
                <w:color w:val="FFFFFF"/>
                <w:sz w:val="18"/>
                <w:szCs w:val="18"/>
              </w:rPr>
            </w:pPr>
            <w:r w:rsidRPr="00BF02CB">
              <w:rPr>
                <w:rFonts w:ascii="Arial" w:hAnsi="Arial" w:cs="Arial"/>
                <w:color w:val="FFFFFF"/>
                <w:sz w:val="18"/>
                <w:szCs w:val="18"/>
              </w:rPr>
              <w:t>Compliant</w:t>
            </w:r>
          </w:p>
        </w:tc>
        <w:tc>
          <w:tcPr>
            <w:tcW w:w="1223" w:type="dxa"/>
            <w:tcBorders>
              <w:top w:val="nil"/>
              <w:left w:val="nil"/>
              <w:bottom w:val="single" w:sz="12" w:space="0" w:color="808080" w:themeColor="background1" w:themeShade="80"/>
              <w:right w:val="nil"/>
            </w:tcBorders>
            <w:shd w:val="clear" w:color="000000" w:fill="808080"/>
            <w:vAlign w:val="center"/>
            <w:hideMark/>
          </w:tcPr>
          <w:p w14:paraId="24CBC826" w14:textId="77777777" w:rsidR="00561D6E" w:rsidRPr="00BF02CB" w:rsidRDefault="00561D6E" w:rsidP="00561D6E">
            <w:pPr>
              <w:spacing w:after="0"/>
              <w:jc w:val="center"/>
              <w:rPr>
                <w:rFonts w:ascii="Arial" w:hAnsi="Arial" w:cs="Arial"/>
                <w:color w:val="FFFFFF"/>
                <w:sz w:val="18"/>
                <w:szCs w:val="18"/>
              </w:rPr>
            </w:pPr>
            <w:r w:rsidRPr="00BF02CB">
              <w:rPr>
                <w:rFonts w:ascii="Arial" w:hAnsi="Arial" w:cs="Arial"/>
                <w:color w:val="FFFFFF"/>
                <w:sz w:val="18"/>
                <w:szCs w:val="18"/>
              </w:rPr>
              <w:t>Non-compliant</w:t>
            </w:r>
          </w:p>
        </w:tc>
        <w:tc>
          <w:tcPr>
            <w:tcW w:w="1222" w:type="dxa"/>
            <w:tcBorders>
              <w:top w:val="nil"/>
              <w:left w:val="nil"/>
              <w:bottom w:val="single" w:sz="12" w:space="0" w:color="808080" w:themeColor="background1" w:themeShade="80"/>
              <w:right w:val="nil"/>
            </w:tcBorders>
            <w:shd w:val="clear" w:color="000000" w:fill="808080"/>
            <w:vAlign w:val="center"/>
            <w:hideMark/>
          </w:tcPr>
          <w:p w14:paraId="38CA3166" w14:textId="77777777" w:rsidR="00561D6E" w:rsidRPr="00BF02CB" w:rsidRDefault="00561D6E" w:rsidP="00561D6E">
            <w:pPr>
              <w:spacing w:after="0"/>
              <w:jc w:val="center"/>
              <w:rPr>
                <w:rFonts w:ascii="Arial" w:hAnsi="Arial" w:cs="Arial"/>
                <w:color w:val="FFFFFF"/>
                <w:sz w:val="18"/>
                <w:szCs w:val="18"/>
              </w:rPr>
            </w:pPr>
            <w:r w:rsidRPr="00BF02CB">
              <w:rPr>
                <w:rFonts w:ascii="Arial" w:hAnsi="Arial" w:cs="Arial"/>
                <w:color w:val="FFFFFF"/>
                <w:sz w:val="18"/>
                <w:szCs w:val="18"/>
              </w:rPr>
              <w:t>Directed therapy</w:t>
            </w:r>
          </w:p>
        </w:tc>
        <w:tc>
          <w:tcPr>
            <w:tcW w:w="1223" w:type="dxa"/>
            <w:tcBorders>
              <w:top w:val="nil"/>
              <w:left w:val="nil"/>
              <w:bottom w:val="single" w:sz="12" w:space="0" w:color="808080" w:themeColor="background1" w:themeShade="80"/>
              <w:right w:val="nil"/>
            </w:tcBorders>
            <w:shd w:val="clear" w:color="000000" w:fill="808080"/>
            <w:vAlign w:val="center"/>
            <w:hideMark/>
          </w:tcPr>
          <w:p w14:paraId="3FD5D67E" w14:textId="77777777" w:rsidR="00561D6E" w:rsidRPr="00BF02CB" w:rsidRDefault="00561D6E" w:rsidP="00561D6E">
            <w:pPr>
              <w:spacing w:after="0"/>
              <w:jc w:val="center"/>
              <w:rPr>
                <w:rFonts w:ascii="Arial" w:hAnsi="Arial" w:cs="Arial"/>
                <w:color w:val="FFFFFF"/>
                <w:sz w:val="18"/>
                <w:szCs w:val="18"/>
              </w:rPr>
            </w:pPr>
            <w:r w:rsidRPr="00BF02CB">
              <w:rPr>
                <w:rFonts w:ascii="Arial" w:hAnsi="Arial" w:cs="Arial"/>
                <w:color w:val="FFFFFF"/>
                <w:sz w:val="18"/>
                <w:szCs w:val="18"/>
              </w:rPr>
              <w:t>Not available</w:t>
            </w:r>
          </w:p>
        </w:tc>
        <w:tc>
          <w:tcPr>
            <w:tcW w:w="1222" w:type="dxa"/>
            <w:tcBorders>
              <w:top w:val="nil"/>
              <w:left w:val="nil"/>
              <w:bottom w:val="single" w:sz="12" w:space="0" w:color="808080" w:themeColor="background1" w:themeShade="80"/>
              <w:right w:val="single" w:sz="12" w:space="0" w:color="FFFFFF" w:themeColor="background1"/>
            </w:tcBorders>
            <w:shd w:val="clear" w:color="000000" w:fill="808080"/>
            <w:vAlign w:val="center"/>
            <w:hideMark/>
          </w:tcPr>
          <w:p w14:paraId="099281B5" w14:textId="77777777" w:rsidR="00561D6E" w:rsidRPr="00BF02CB" w:rsidRDefault="00561D6E" w:rsidP="00561D6E">
            <w:pPr>
              <w:spacing w:after="0"/>
              <w:jc w:val="center"/>
              <w:rPr>
                <w:rFonts w:ascii="Arial" w:hAnsi="Arial" w:cs="Arial"/>
                <w:color w:val="FFFFFF"/>
                <w:sz w:val="18"/>
                <w:szCs w:val="18"/>
              </w:rPr>
            </w:pPr>
            <w:r w:rsidRPr="00BF02CB">
              <w:rPr>
                <w:rFonts w:ascii="Arial" w:hAnsi="Arial" w:cs="Arial"/>
                <w:color w:val="FFFFFF"/>
                <w:sz w:val="18"/>
                <w:szCs w:val="18"/>
              </w:rPr>
              <w:t>Not assessable</w:t>
            </w:r>
          </w:p>
        </w:tc>
        <w:tc>
          <w:tcPr>
            <w:tcW w:w="1223" w:type="dxa"/>
            <w:tcBorders>
              <w:top w:val="nil"/>
              <w:left w:val="single" w:sz="12" w:space="0" w:color="FFFFFF" w:themeColor="background1"/>
              <w:bottom w:val="single" w:sz="12" w:space="0" w:color="808080" w:themeColor="background1" w:themeShade="80"/>
              <w:right w:val="nil"/>
            </w:tcBorders>
            <w:shd w:val="clear" w:color="000000" w:fill="808080"/>
            <w:vAlign w:val="center"/>
            <w:hideMark/>
          </w:tcPr>
          <w:p w14:paraId="5486BFBD" w14:textId="77777777" w:rsidR="00561D6E" w:rsidRPr="00BF02CB" w:rsidRDefault="00561D6E" w:rsidP="00561D6E">
            <w:pPr>
              <w:spacing w:after="0"/>
              <w:jc w:val="center"/>
              <w:rPr>
                <w:rFonts w:ascii="Arial" w:hAnsi="Arial" w:cs="Arial"/>
                <w:color w:val="FFFFFF"/>
                <w:sz w:val="18"/>
                <w:szCs w:val="18"/>
              </w:rPr>
            </w:pPr>
            <w:r w:rsidRPr="00BF02CB">
              <w:rPr>
                <w:rFonts w:ascii="Arial" w:hAnsi="Arial" w:cs="Arial"/>
                <w:color w:val="FFFFFF"/>
                <w:sz w:val="18"/>
                <w:szCs w:val="18"/>
              </w:rPr>
              <w:t>Appropriate</w:t>
            </w:r>
          </w:p>
        </w:tc>
        <w:tc>
          <w:tcPr>
            <w:tcW w:w="1222" w:type="dxa"/>
            <w:tcBorders>
              <w:top w:val="nil"/>
              <w:left w:val="nil"/>
              <w:bottom w:val="single" w:sz="12" w:space="0" w:color="808080" w:themeColor="background1" w:themeShade="80"/>
              <w:right w:val="nil"/>
            </w:tcBorders>
            <w:shd w:val="clear" w:color="000000" w:fill="808080"/>
            <w:vAlign w:val="center"/>
            <w:hideMark/>
          </w:tcPr>
          <w:p w14:paraId="50769E56" w14:textId="77777777" w:rsidR="00561D6E" w:rsidRPr="00BF02CB" w:rsidRDefault="00561D6E" w:rsidP="00561D6E">
            <w:pPr>
              <w:spacing w:after="0"/>
              <w:jc w:val="center"/>
              <w:rPr>
                <w:rFonts w:ascii="Arial" w:hAnsi="Arial" w:cs="Arial"/>
                <w:color w:val="FFFFFF"/>
                <w:sz w:val="18"/>
                <w:szCs w:val="18"/>
              </w:rPr>
            </w:pPr>
            <w:r w:rsidRPr="00BF02CB">
              <w:rPr>
                <w:rFonts w:ascii="Arial" w:hAnsi="Arial" w:cs="Arial"/>
                <w:color w:val="FFFFFF"/>
                <w:sz w:val="18"/>
                <w:szCs w:val="18"/>
              </w:rPr>
              <w:t>Inappropriate</w:t>
            </w:r>
          </w:p>
        </w:tc>
        <w:tc>
          <w:tcPr>
            <w:tcW w:w="1223" w:type="dxa"/>
            <w:tcBorders>
              <w:top w:val="nil"/>
              <w:left w:val="nil"/>
              <w:bottom w:val="single" w:sz="12" w:space="0" w:color="808080" w:themeColor="background1" w:themeShade="80"/>
              <w:right w:val="nil"/>
            </w:tcBorders>
            <w:shd w:val="clear" w:color="000000" w:fill="808080"/>
            <w:vAlign w:val="center"/>
            <w:hideMark/>
          </w:tcPr>
          <w:p w14:paraId="71A51990" w14:textId="77777777" w:rsidR="00561D6E" w:rsidRPr="00BF02CB" w:rsidRDefault="00561D6E" w:rsidP="00561D6E">
            <w:pPr>
              <w:spacing w:after="0"/>
              <w:jc w:val="center"/>
              <w:rPr>
                <w:rFonts w:ascii="Arial" w:hAnsi="Arial" w:cs="Arial"/>
                <w:color w:val="FFFFFF"/>
                <w:sz w:val="18"/>
                <w:szCs w:val="18"/>
              </w:rPr>
            </w:pPr>
            <w:r w:rsidRPr="00BF02CB">
              <w:rPr>
                <w:rFonts w:ascii="Arial" w:hAnsi="Arial" w:cs="Arial"/>
                <w:color w:val="FFFFFF"/>
                <w:sz w:val="18"/>
                <w:szCs w:val="18"/>
              </w:rPr>
              <w:t>Not assessable</w:t>
            </w:r>
          </w:p>
        </w:tc>
      </w:tr>
      <w:tr w:rsidR="00561D6E" w:rsidRPr="00BF02CB" w14:paraId="0F437AC0" w14:textId="77777777" w:rsidTr="00C36529">
        <w:trPr>
          <w:trHeight w:val="20"/>
        </w:trPr>
        <w:tc>
          <w:tcPr>
            <w:tcW w:w="1243" w:type="dxa"/>
            <w:vMerge w:val="restart"/>
            <w:tcBorders>
              <w:top w:val="nil"/>
              <w:left w:val="nil"/>
              <w:bottom w:val="single" w:sz="12" w:space="0" w:color="FFFFFF"/>
              <w:right w:val="nil"/>
            </w:tcBorders>
            <w:shd w:val="clear" w:color="000000" w:fill="808080"/>
            <w:vAlign w:val="center"/>
            <w:hideMark/>
          </w:tcPr>
          <w:p w14:paraId="5C201152" w14:textId="77777777" w:rsidR="00561D6E" w:rsidRPr="00BF02CB" w:rsidRDefault="00561D6E" w:rsidP="00561D6E">
            <w:pPr>
              <w:spacing w:after="0"/>
              <w:rPr>
                <w:rFonts w:ascii="Arial" w:hAnsi="Arial" w:cs="Arial"/>
                <w:color w:val="FFFFFF"/>
                <w:sz w:val="18"/>
                <w:szCs w:val="18"/>
              </w:rPr>
            </w:pPr>
            <w:r w:rsidRPr="00BF02CB">
              <w:rPr>
                <w:rFonts w:ascii="Arial" w:hAnsi="Arial" w:cs="Arial"/>
                <w:color w:val="FFFFFF"/>
                <w:sz w:val="18"/>
                <w:szCs w:val="18"/>
              </w:rPr>
              <w:t>State or territory</w:t>
            </w:r>
          </w:p>
        </w:tc>
        <w:tc>
          <w:tcPr>
            <w:tcW w:w="3734" w:type="dxa"/>
            <w:tcBorders>
              <w:left w:val="nil"/>
              <w:bottom w:val="single" w:sz="2" w:space="0" w:color="auto"/>
              <w:right w:val="single" w:sz="12" w:space="0" w:color="808080" w:themeColor="background1" w:themeShade="80"/>
            </w:tcBorders>
            <w:shd w:val="clear" w:color="auto" w:fill="auto"/>
            <w:vAlign w:val="center"/>
            <w:hideMark/>
          </w:tcPr>
          <w:p w14:paraId="55456921"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NSW &amp; ACT</w:t>
            </w:r>
          </w:p>
        </w:tc>
        <w:tc>
          <w:tcPr>
            <w:tcW w:w="1222" w:type="dxa"/>
            <w:tcBorders>
              <w:left w:val="single" w:sz="12" w:space="0" w:color="808080" w:themeColor="background1" w:themeShade="80"/>
              <w:bottom w:val="single" w:sz="2" w:space="0" w:color="auto"/>
            </w:tcBorders>
            <w:shd w:val="clear" w:color="auto" w:fill="auto"/>
            <w:noWrap/>
            <w:vAlign w:val="center"/>
            <w:hideMark/>
          </w:tcPr>
          <w:p w14:paraId="62DEF7DE"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52.9</w:t>
            </w:r>
          </w:p>
        </w:tc>
        <w:tc>
          <w:tcPr>
            <w:tcW w:w="1223" w:type="dxa"/>
            <w:tcBorders>
              <w:bottom w:val="single" w:sz="2" w:space="0" w:color="auto"/>
            </w:tcBorders>
            <w:shd w:val="clear" w:color="auto" w:fill="auto"/>
            <w:noWrap/>
            <w:vAlign w:val="center"/>
            <w:hideMark/>
          </w:tcPr>
          <w:p w14:paraId="1ED7FA88"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26.7</w:t>
            </w:r>
          </w:p>
        </w:tc>
        <w:tc>
          <w:tcPr>
            <w:tcW w:w="1222" w:type="dxa"/>
            <w:tcBorders>
              <w:bottom w:val="single" w:sz="2" w:space="0" w:color="auto"/>
            </w:tcBorders>
            <w:shd w:val="clear" w:color="auto" w:fill="auto"/>
            <w:noWrap/>
            <w:vAlign w:val="center"/>
            <w:hideMark/>
          </w:tcPr>
          <w:p w14:paraId="5EB3090C"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11.3</w:t>
            </w:r>
          </w:p>
        </w:tc>
        <w:tc>
          <w:tcPr>
            <w:tcW w:w="1223" w:type="dxa"/>
            <w:tcBorders>
              <w:bottom w:val="single" w:sz="2" w:space="0" w:color="auto"/>
            </w:tcBorders>
            <w:shd w:val="clear" w:color="auto" w:fill="auto"/>
            <w:noWrap/>
            <w:vAlign w:val="center"/>
            <w:hideMark/>
          </w:tcPr>
          <w:p w14:paraId="156F02CE"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4.6</w:t>
            </w:r>
          </w:p>
        </w:tc>
        <w:tc>
          <w:tcPr>
            <w:tcW w:w="1222" w:type="dxa"/>
            <w:tcBorders>
              <w:bottom w:val="single" w:sz="2" w:space="0" w:color="auto"/>
              <w:right w:val="single" w:sz="12" w:space="0" w:color="808080" w:themeColor="background1" w:themeShade="80"/>
            </w:tcBorders>
            <w:shd w:val="clear" w:color="auto" w:fill="auto"/>
            <w:noWrap/>
            <w:vAlign w:val="center"/>
            <w:hideMark/>
          </w:tcPr>
          <w:p w14:paraId="5ECB4C76"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4.5</w:t>
            </w:r>
          </w:p>
        </w:tc>
        <w:tc>
          <w:tcPr>
            <w:tcW w:w="1223" w:type="dxa"/>
            <w:tcBorders>
              <w:left w:val="single" w:sz="12" w:space="0" w:color="808080" w:themeColor="background1" w:themeShade="80"/>
              <w:bottom w:val="single" w:sz="2" w:space="0" w:color="auto"/>
            </w:tcBorders>
            <w:shd w:val="clear" w:color="auto" w:fill="auto"/>
            <w:noWrap/>
            <w:vAlign w:val="center"/>
            <w:hideMark/>
          </w:tcPr>
          <w:p w14:paraId="38412A7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70.5</w:t>
            </w:r>
          </w:p>
        </w:tc>
        <w:tc>
          <w:tcPr>
            <w:tcW w:w="1222" w:type="dxa"/>
            <w:tcBorders>
              <w:bottom w:val="single" w:sz="2" w:space="0" w:color="auto"/>
            </w:tcBorders>
            <w:shd w:val="clear" w:color="auto" w:fill="auto"/>
            <w:noWrap/>
            <w:vAlign w:val="center"/>
            <w:hideMark/>
          </w:tcPr>
          <w:p w14:paraId="37075B7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24.9</w:t>
            </w:r>
          </w:p>
        </w:tc>
        <w:tc>
          <w:tcPr>
            <w:tcW w:w="1223" w:type="dxa"/>
            <w:tcBorders>
              <w:bottom w:val="single" w:sz="2" w:space="0" w:color="auto"/>
              <w:right w:val="nil"/>
            </w:tcBorders>
            <w:shd w:val="clear" w:color="auto" w:fill="auto"/>
            <w:noWrap/>
            <w:vAlign w:val="center"/>
            <w:hideMark/>
          </w:tcPr>
          <w:p w14:paraId="304CD992"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4.6</w:t>
            </w:r>
          </w:p>
        </w:tc>
      </w:tr>
      <w:tr w:rsidR="00561D6E" w:rsidRPr="00BF02CB" w14:paraId="3CE88B4F" w14:textId="77777777" w:rsidTr="00C36529">
        <w:trPr>
          <w:trHeight w:val="20"/>
        </w:trPr>
        <w:tc>
          <w:tcPr>
            <w:tcW w:w="1243" w:type="dxa"/>
            <w:vMerge/>
            <w:tcBorders>
              <w:top w:val="nil"/>
              <w:left w:val="nil"/>
              <w:bottom w:val="single" w:sz="12" w:space="0" w:color="FFFFFF"/>
              <w:right w:val="nil"/>
            </w:tcBorders>
            <w:vAlign w:val="center"/>
            <w:hideMark/>
          </w:tcPr>
          <w:p w14:paraId="2AC8E0E2"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auto" w:fill="auto"/>
            <w:vAlign w:val="center"/>
            <w:hideMark/>
          </w:tcPr>
          <w:p w14:paraId="7767FC5D"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Qld &amp; NT</w:t>
            </w:r>
          </w:p>
        </w:tc>
        <w:tc>
          <w:tcPr>
            <w:tcW w:w="1222"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6B4979D0"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51.7</w:t>
            </w:r>
          </w:p>
        </w:tc>
        <w:tc>
          <w:tcPr>
            <w:tcW w:w="1223" w:type="dxa"/>
            <w:tcBorders>
              <w:top w:val="single" w:sz="2" w:space="0" w:color="auto"/>
              <w:bottom w:val="single" w:sz="2" w:space="0" w:color="auto"/>
            </w:tcBorders>
            <w:shd w:val="clear" w:color="auto" w:fill="auto"/>
            <w:noWrap/>
            <w:vAlign w:val="center"/>
            <w:hideMark/>
          </w:tcPr>
          <w:p w14:paraId="7CD30E7B"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27.3</w:t>
            </w:r>
          </w:p>
        </w:tc>
        <w:tc>
          <w:tcPr>
            <w:tcW w:w="1222" w:type="dxa"/>
            <w:tcBorders>
              <w:top w:val="single" w:sz="2" w:space="0" w:color="auto"/>
              <w:bottom w:val="single" w:sz="2" w:space="0" w:color="auto"/>
            </w:tcBorders>
            <w:shd w:val="clear" w:color="auto" w:fill="auto"/>
            <w:noWrap/>
            <w:vAlign w:val="center"/>
            <w:hideMark/>
          </w:tcPr>
          <w:p w14:paraId="47DF7081"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12.8</w:t>
            </w:r>
          </w:p>
        </w:tc>
        <w:tc>
          <w:tcPr>
            <w:tcW w:w="1223" w:type="dxa"/>
            <w:tcBorders>
              <w:top w:val="single" w:sz="2" w:space="0" w:color="auto"/>
              <w:bottom w:val="single" w:sz="2" w:space="0" w:color="auto"/>
            </w:tcBorders>
            <w:shd w:val="clear" w:color="auto" w:fill="auto"/>
            <w:noWrap/>
            <w:vAlign w:val="center"/>
            <w:hideMark/>
          </w:tcPr>
          <w:p w14:paraId="61EBED63"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2.9</w:t>
            </w:r>
          </w:p>
        </w:tc>
        <w:tc>
          <w:tcPr>
            <w:tcW w:w="1222" w:type="dxa"/>
            <w:tcBorders>
              <w:top w:val="single" w:sz="2" w:space="0" w:color="auto"/>
              <w:bottom w:val="single" w:sz="2" w:space="0" w:color="auto"/>
              <w:right w:val="single" w:sz="12" w:space="0" w:color="808080" w:themeColor="background1" w:themeShade="80"/>
            </w:tcBorders>
            <w:shd w:val="clear" w:color="auto" w:fill="auto"/>
            <w:noWrap/>
            <w:vAlign w:val="center"/>
            <w:hideMark/>
          </w:tcPr>
          <w:p w14:paraId="32FED7B7"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5.4</w:t>
            </w:r>
          </w:p>
        </w:tc>
        <w:tc>
          <w:tcPr>
            <w:tcW w:w="1223"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75A65EC5"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71.0</w:t>
            </w:r>
          </w:p>
        </w:tc>
        <w:tc>
          <w:tcPr>
            <w:tcW w:w="1222" w:type="dxa"/>
            <w:tcBorders>
              <w:top w:val="single" w:sz="2" w:space="0" w:color="auto"/>
              <w:bottom w:val="single" w:sz="2" w:space="0" w:color="auto"/>
            </w:tcBorders>
            <w:shd w:val="clear" w:color="auto" w:fill="auto"/>
            <w:noWrap/>
            <w:vAlign w:val="center"/>
            <w:hideMark/>
          </w:tcPr>
          <w:p w14:paraId="0A8E9CDD"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23.4</w:t>
            </w:r>
          </w:p>
        </w:tc>
        <w:tc>
          <w:tcPr>
            <w:tcW w:w="1223" w:type="dxa"/>
            <w:tcBorders>
              <w:top w:val="single" w:sz="2" w:space="0" w:color="auto"/>
              <w:bottom w:val="single" w:sz="2" w:space="0" w:color="auto"/>
              <w:right w:val="nil"/>
            </w:tcBorders>
            <w:shd w:val="clear" w:color="auto" w:fill="auto"/>
            <w:noWrap/>
            <w:vAlign w:val="center"/>
            <w:hideMark/>
          </w:tcPr>
          <w:p w14:paraId="1C246FF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5.6</w:t>
            </w:r>
          </w:p>
        </w:tc>
      </w:tr>
      <w:tr w:rsidR="00561D6E" w:rsidRPr="00BF02CB" w14:paraId="4340D99C" w14:textId="77777777" w:rsidTr="00C36529">
        <w:trPr>
          <w:trHeight w:val="20"/>
        </w:trPr>
        <w:tc>
          <w:tcPr>
            <w:tcW w:w="1243" w:type="dxa"/>
            <w:vMerge/>
            <w:tcBorders>
              <w:top w:val="nil"/>
              <w:left w:val="nil"/>
              <w:bottom w:val="single" w:sz="12" w:space="0" w:color="FFFFFF"/>
              <w:right w:val="nil"/>
            </w:tcBorders>
            <w:vAlign w:val="center"/>
            <w:hideMark/>
          </w:tcPr>
          <w:p w14:paraId="40352619"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auto" w:fill="auto"/>
            <w:vAlign w:val="center"/>
            <w:hideMark/>
          </w:tcPr>
          <w:p w14:paraId="52036319"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SA</w:t>
            </w:r>
          </w:p>
        </w:tc>
        <w:tc>
          <w:tcPr>
            <w:tcW w:w="1222"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66FDA400"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61.2</w:t>
            </w:r>
          </w:p>
        </w:tc>
        <w:tc>
          <w:tcPr>
            <w:tcW w:w="1223" w:type="dxa"/>
            <w:tcBorders>
              <w:top w:val="single" w:sz="2" w:space="0" w:color="auto"/>
              <w:bottom w:val="single" w:sz="2" w:space="0" w:color="auto"/>
            </w:tcBorders>
            <w:shd w:val="clear" w:color="auto" w:fill="auto"/>
            <w:noWrap/>
            <w:vAlign w:val="center"/>
            <w:hideMark/>
          </w:tcPr>
          <w:p w14:paraId="2B897FC0"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22.0</w:t>
            </w:r>
          </w:p>
        </w:tc>
        <w:tc>
          <w:tcPr>
            <w:tcW w:w="1222" w:type="dxa"/>
            <w:tcBorders>
              <w:top w:val="single" w:sz="2" w:space="0" w:color="auto"/>
              <w:bottom w:val="single" w:sz="2" w:space="0" w:color="auto"/>
            </w:tcBorders>
            <w:shd w:val="clear" w:color="auto" w:fill="auto"/>
            <w:noWrap/>
            <w:vAlign w:val="center"/>
            <w:hideMark/>
          </w:tcPr>
          <w:p w14:paraId="54F6A3DE"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9.2</w:t>
            </w:r>
          </w:p>
        </w:tc>
        <w:tc>
          <w:tcPr>
            <w:tcW w:w="1223" w:type="dxa"/>
            <w:tcBorders>
              <w:top w:val="single" w:sz="2" w:space="0" w:color="auto"/>
              <w:bottom w:val="single" w:sz="2" w:space="0" w:color="auto"/>
            </w:tcBorders>
            <w:shd w:val="clear" w:color="auto" w:fill="auto"/>
            <w:noWrap/>
            <w:vAlign w:val="center"/>
            <w:hideMark/>
          </w:tcPr>
          <w:p w14:paraId="14F9618E"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4.0</w:t>
            </w:r>
          </w:p>
        </w:tc>
        <w:tc>
          <w:tcPr>
            <w:tcW w:w="1222" w:type="dxa"/>
            <w:tcBorders>
              <w:top w:val="single" w:sz="2" w:space="0" w:color="auto"/>
              <w:bottom w:val="single" w:sz="2" w:space="0" w:color="auto"/>
              <w:right w:val="single" w:sz="12" w:space="0" w:color="808080" w:themeColor="background1" w:themeShade="80"/>
            </w:tcBorders>
            <w:shd w:val="clear" w:color="auto" w:fill="auto"/>
            <w:noWrap/>
            <w:vAlign w:val="center"/>
            <w:hideMark/>
          </w:tcPr>
          <w:p w14:paraId="3E203943"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3.6</w:t>
            </w:r>
          </w:p>
        </w:tc>
        <w:tc>
          <w:tcPr>
            <w:tcW w:w="1223"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75418D6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75.8</w:t>
            </w:r>
          </w:p>
        </w:tc>
        <w:tc>
          <w:tcPr>
            <w:tcW w:w="1222" w:type="dxa"/>
            <w:tcBorders>
              <w:top w:val="single" w:sz="2" w:space="0" w:color="auto"/>
              <w:bottom w:val="single" w:sz="2" w:space="0" w:color="auto"/>
            </w:tcBorders>
            <w:shd w:val="clear" w:color="auto" w:fill="auto"/>
            <w:noWrap/>
            <w:vAlign w:val="center"/>
            <w:hideMark/>
          </w:tcPr>
          <w:p w14:paraId="6EDAFFAF"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19.5</w:t>
            </w:r>
          </w:p>
        </w:tc>
        <w:tc>
          <w:tcPr>
            <w:tcW w:w="1223" w:type="dxa"/>
            <w:tcBorders>
              <w:top w:val="single" w:sz="2" w:space="0" w:color="auto"/>
              <w:bottom w:val="single" w:sz="2" w:space="0" w:color="auto"/>
              <w:right w:val="nil"/>
            </w:tcBorders>
            <w:shd w:val="clear" w:color="auto" w:fill="auto"/>
            <w:noWrap/>
            <w:vAlign w:val="center"/>
            <w:hideMark/>
          </w:tcPr>
          <w:p w14:paraId="628FD73B"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4.8</w:t>
            </w:r>
          </w:p>
        </w:tc>
      </w:tr>
      <w:tr w:rsidR="00561D6E" w:rsidRPr="00BF02CB" w14:paraId="0E2A7F7F" w14:textId="77777777" w:rsidTr="00C36529">
        <w:trPr>
          <w:trHeight w:val="20"/>
        </w:trPr>
        <w:tc>
          <w:tcPr>
            <w:tcW w:w="1243" w:type="dxa"/>
            <w:vMerge/>
            <w:tcBorders>
              <w:top w:val="nil"/>
              <w:left w:val="nil"/>
              <w:bottom w:val="single" w:sz="12" w:space="0" w:color="FFFFFF"/>
              <w:right w:val="nil"/>
            </w:tcBorders>
            <w:vAlign w:val="center"/>
            <w:hideMark/>
          </w:tcPr>
          <w:p w14:paraId="29E91415"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auto" w:fill="auto"/>
            <w:vAlign w:val="center"/>
            <w:hideMark/>
          </w:tcPr>
          <w:p w14:paraId="6DB43E5F" w14:textId="77777777" w:rsidR="00561D6E" w:rsidRPr="00BF02CB" w:rsidRDefault="00561D6E" w:rsidP="00561D6E">
            <w:pPr>
              <w:spacing w:after="0"/>
              <w:jc w:val="both"/>
              <w:rPr>
                <w:rFonts w:ascii="Arial" w:hAnsi="Arial" w:cs="Arial"/>
                <w:color w:val="000000"/>
                <w:sz w:val="16"/>
                <w:szCs w:val="16"/>
              </w:rPr>
            </w:pPr>
            <w:proofErr w:type="spellStart"/>
            <w:r w:rsidRPr="00BF02CB">
              <w:rPr>
                <w:rFonts w:ascii="Arial" w:hAnsi="Arial" w:cs="Arial"/>
                <w:color w:val="000000"/>
                <w:sz w:val="16"/>
                <w:szCs w:val="16"/>
              </w:rPr>
              <w:t>Tas</w:t>
            </w:r>
            <w:proofErr w:type="spellEnd"/>
          </w:p>
        </w:tc>
        <w:tc>
          <w:tcPr>
            <w:tcW w:w="1222"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36C9AD10"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55.2</w:t>
            </w:r>
          </w:p>
        </w:tc>
        <w:tc>
          <w:tcPr>
            <w:tcW w:w="1223" w:type="dxa"/>
            <w:tcBorders>
              <w:top w:val="single" w:sz="2" w:space="0" w:color="auto"/>
              <w:bottom w:val="single" w:sz="2" w:space="0" w:color="auto"/>
            </w:tcBorders>
            <w:shd w:val="clear" w:color="auto" w:fill="auto"/>
            <w:noWrap/>
            <w:vAlign w:val="center"/>
            <w:hideMark/>
          </w:tcPr>
          <w:p w14:paraId="7200FDAD"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27.3</w:t>
            </w:r>
          </w:p>
        </w:tc>
        <w:tc>
          <w:tcPr>
            <w:tcW w:w="1222" w:type="dxa"/>
            <w:tcBorders>
              <w:top w:val="single" w:sz="2" w:space="0" w:color="auto"/>
              <w:bottom w:val="single" w:sz="2" w:space="0" w:color="auto"/>
            </w:tcBorders>
            <w:shd w:val="clear" w:color="auto" w:fill="auto"/>
            <w:noWrap/>
            <w:vAlign w:val="center"/>
            <w:hideMark/>
          </w:tcPr>
          <w:p w14:paraId="2B10BEE6"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7.7</w:t>
            </w:r>
          </w:p>
        </w:tc>
        <w:tc>
          <w:tcPr>
            <w:tcW w:w="1223" w:type="dxa"/>
            <w:tcBorders>
              <w:top w:val="single" w:sz="2" w:space="0" w:color="auto"/>
              <w:bottom w:val="single" w:sz="2" w:space="0" w:color="auto"/>
            </w:tcBorders>
            <w:shd w:val="clear" w:color="auto" w:fill="auto"/>
            <w:noWrap/>
            <w:vAlign w:val="center"/>
            <w:hideMark/>
          </w:tcPr>
          <w:p w14:paraId="3C784A82"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3.2</w:t>
            </w:r>
          </w:p>
        </w:tc>
        <w:tc>
          <w:tcPr>
            <w:tcW w:w="1222" w:type="dxa"/>
            <w:tcBorders>
              <w:top w:val="single" w:sz="2" w:space="0" w:color="auto"/>
              <w:bottom w:val="single" w:sz="2" w:space="0" w:color="auto"/>
              <w:right w:val="single" w:sz="12" w:space="0" w:color="808080" w:themeColor="background1" w:themeShade="80"/>
            </w:tcBorders>
            <w:shd w:val="clear" w:color="auto" w:fill="auto"/>
            <w:noWrap/>
            <w:vAlign w:val="center"/>
            <w:hideMark/>
          </w:tcPr>
          <w:p w14:paraId="6DCF259B"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6.7</w:t>
            </w:r>
          </w:p>
        </w:tc>
        <w:tc>
          <w:tcPr>
            <w:tcW w:w="1223"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3EE296FB"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72.5</w:t>
            </w:r>
          </w:p>
        </w:tc>
        <w:tc>
          <w:tcPr>
            <w:tcW w:w="1222" w:type="dxa"/>
            <w:tcBorders>
              <w:top w:val="single" w:sz="2" w:space="0" w:color="auto"/>
              <w:bottom w:val="single" w:sz="2" w:space="0" w:color="auto"/>
            </w:tcBorders>
            <w:shd w:val="clear" w:color="auto" w:fill="auto"/>
            <w:noWrap/>
            <w:vAlign w:val="center"/>
            <w:hideMark/>
          </w:tcPr>
          <w:p w14:paraId="15C6F5C6"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21.2</w:t>
            </w:r>
          </w:p>
        </w:tc>
        <w:tc>
          <w:tcPr>
            <w:tcW w:w="1223" w:type="dxa"/>
            <w:tcBorders>
              <w:top w:val="single" w:sz="2" w:space="0" w:color="auto"/>
              <w:bottom w:val="single" w:sz="2" w:space="0" w:color="auto"/>
              <w:right w:val="nil"/>
            </w:tcBorders>
            <w:shd w:val="clear" w:color="auto" w:fill="auto"/>
            <w:noWrap/>
            <w:vAlign w:val="center"/>
            <w:hideMark/>
          </w:tcPr>
          <w:p w14:paraId="0CCF7790"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6.3</w:t>
            </w:r>
          </w:p>
        </w:tc>
      </w:tr>
      <w:tr w:rsidR="00561D6E" w:rsidRPr="00BF02CB" w14:paraId="082AD5D4" w14:textId="77777777" w:rsidTr="00C36529">
        <w:trPr>
          <w:trHeight w:val="20"/>
        </w:trPr>
        <w:tc>
          <w:tcPr>
            <w:tcW w:w="1243" w:type="dxa"/>
            <w:vMerge/>
            <w:tcBorders>
              <w:top w:val="nil"/>
              <w:left w:val="nil"/>
              <w:bottom w:val="single" w:sz="12" w:space="0" w:color="FFFFFF"/>
              <w:right w:val="nil"/>
            </w:tcBorders>
            <w:vAlign w:val="center"/>
            <w:hideMark/>
          </w:tcPr>
          <w:p w14:paraId="0F69D6C0"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auto" w:fill="auto"/>
            <w:vAlign w:val="center"/>
            <w:hideMark/>
          </w:tcPr>
          <w:p w14:paraId="6A602C49"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Vic</w:t>
            </w:r>
          </w:p>
        </w:tc>
        <w:tc>
          <w:tcPr>
            <w:tcW w:w="1222"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068FD0A1"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57.0</w:t>
            </w:r>
          </w:p>
        </w:tc>
        <w:tc>
          <w:tcPr>
            <w:tcW w:w="1223" w:type="dxa"/>
            <w:tcBorders>
              <w:top w:val="single" w:sz="2" w:space="0" w:color="auto"/>
              <w:bottom w:val="single" w:sz="2" w:space="0" w:color="auto"/>
            </w:tcBorders>
            <w:shd w:val="clear" w:color="auto" w:fill="auto"/>
            <w:noWrap/>
            <w:vAlign w:val="center"/>
            <w:hideMark/>
          </w:tcPr>
          <w:p w14:paraId="56435760"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23.3</w:t>
            </w:r>
          </w:p>
        </w:tc>
        <w:tc>
          <w:tcPr>
            <w:tcW w:w="1222" w:type="dxa"/>
            <w:tcBorders>
              <w:top w:val="single" w:sz="2" w:space="0" w:color="auto"/>
              <w:bottom w:val="single" w:sz="2" w:space="0" w:color="auto"/>
            </w:tcBorders>
            <w:shd w:val="clear" w:color="auto" w:fill="auto"/>
            <w:noWrap/>
            <w:vAlign w:val="center"/>
            <w:hideMark/>
          </w:tcPr>
          <w:p w14:paraId="707BE220"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9.5</w:t>
            </w:r>
          </w:p>
        </w:tc>
        <w:tc>
          <w:tcPr>
            <w:tcW w:w="1223" w:type="dxa"/>
            <w:tcBorders>
              <w:top w:val="single" w:sz="2" w:space="0" w:color="auto"/>
              <w:bottom w:val="single" w:sz="2" w:space="0" w:color="auto"/>
            </w:tcBorders>
            <w:shd w:val="clear" w:color="auto" w:fill="auto"/>
            <w:noWrap/>
            <w:vAlign w:val="center"/>
            <w:hideMark/>
          </w:tcPr>
          <w:p w14:paraId="5B9EE72D"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5.2</w:t>
            </w:r>
          </w:p>
        </w:tc>
        <w:tc>
          <w:tcPr>
            <w:tcW w:w="1222" w:type="dxa"/>
            <w:tcBorders>
              <w:top w:val="single" w:sz="2" w:space="0" w:color="auto"/>
              <w:bottom w:val="single" w:sz="2" w:space="0" w:color="auto"/>
              <w:right w:val="single" w:sz="12" w:space="0" w:color="808080" w:themeColor="background1" w:themeShade="80"/>
            </w:tcBorders>
            <w:shd w:val="clear" w:color="auto" w:fill="auto"/>
            <w:noWrap/>
            <w:vAlign w:val="center"/>
            <w:hideMark/>
          </w:tcPr>
          <w:p w14:paraId="7A17856E"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5.0</w:t>
            </w:r>
          </w:p>
        </w:tc>
        <w:tc>
          <w:tcPr>
            <w:tcW w:w="1223"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7366D63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73.1</w:t>
            </w:r>
          </w:p>
        </w:tc>
        <w:tc>
          <w:tcPr>
            <w:tcW w:w="1222" w:type="dxa"/>
            <w:tcBorders>
              <w:top w:val="single" w:sz="2" w:space="0" w:color="auto"/>
              <w:bottom w:val="single" w:sz="2" w:space="0" w:color="auto"/>
            </w:tcBorders>
            <w:shd w:val="clear" w:color="auto" w:fill="auto"/>
            <w:noWrap/>
            <w:vAlign w:val="center"/>
            <w:hideMark/>
          </w:tcPr>
          <w:p w14:paraId="4B35664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20.6</w:t>
            </w:r>
          </w:p>
        </w:tc>
        <w:tc>
          <w:tcPr>
            <w:tcW w:w="1223" w:type="dxa"/>
            <w:tcBorders>
              <w:top w:val="single" w:sz="2" w:space="0" w:color="auto"/>
              <w:bottom w:val="single" w:sz="2" w:space="0" w:color="auto"/>
              <w:right w:val="nil"/>
            </w:tcBorders>
            <w:shd w:val="clear" w:color="auto" w:fill="auto"/>
            <w:noWrap/>
            <w:vAlign w:val="center"/>
            <w:hideMark/>
          </w:tcPr>
          <w:p w14:paraId="5AA1B1B2"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6.3</w:t>
            </w:r>
          </w:p>
        </w:tc>
      </w:tr>
      <w:tr w:rsidR="00561D6E" w:rsidRPr="00BF02CB" w14:paraId="62AC80D4" w14:textId="77777777" w:rsidTr="00C36529">
        <w:trPr>
          <w:trHeight w:val="20"/>
        </w:trPr>
        <w:tc>
          <w:tcPr>
            <w:tcW w:w="1243" w:type="dxa"/>
            <w:vMerge/>
            <w:tcBorders>
              <w:top w:val="nil"/>
              <w:left w:val="nil"/>
              <w:bottom w:val="single" w:sz="12" w:space="0" w:color="FFFFFF"/>
              <w:right w:val="nil"/>
            </w:tcBorders>
            <w:vAlign w:val="center"/>
            <w:hideMark/>
          </w:tcPr>
          <w:p w14:paraId="6E59E986"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12" w:space="0" w:color="808080" w:themeColor="background1" w:themeShade="80"/>
              <w:right w:val="single" w:sz="12" w:space="0" w:color="808080" w:themeColor="background1" w:themeShade="80"/>
            </w:tcBorders>
            <w:shd w:val="clear" w:color="auto" w:fill="auto"/>
            <w:vAlign w:val="center"/>
            <w:hideMark/>
          </w:tcPr>
          <w:p w14:paraId="0A60ACC6"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WA</w:t>
            </w:r>
          </w:p>
        </w:tc>
        <w:tc>
          <w:tcPr>
            <w:tcW w:w="1222" w:type="dxa"/>
            <w:tcBorders>
              <w:top w:val="single" w:sz="2" w:space="0" w:color="auto"/>
              <w:left w:val="single" w:sz="12" w:space="0" w:color="808080" w:themeColor="background1" w:themeShade="80"/>
              <w:bottom w:val="single" w:sz="12" w:space="0" w:color="808080" w:themeColor="background1" w:themeShade="80"/>
            </w:tcBorders>
            <w:shd w:val="clear" w:color="auto" w:fill="auto"/>
            <w:noWrap/>
            <w:vAlign w:val="center"/>
            <w:hideMark/>
          </w:tcPr>
          <w:p w14:paraId="39D0DB68"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56.0</w:t>
            </w:r>
          </w:p>
        </w:tc>
        <w:tc>
          <w:tcPr>
            <w:tcW w:w="1223" w:type="dxa"/>
            <w:tcBorders>
              <w:top w:val="single" w:sz="2" w:space="0" w:color="auto"/>
              <w:bottom w:val="single" w:sz="12" w:space="0" w:color="808080" w:themeColor="background1" w:themeShade="80"/>
            </w:tcBorders>
            <w:shd w:val="clear" w:color="auto" w:fill="auto"/>
            <w:noWrap/>
            <w:vAlign w:val="center"/>
            <w:hideMark/>
          </w:tcPr>
          <w:p w14:paraId="1C7DF675"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23.3</w:t>
            </w:r>
          </w:p>
        </w:tc>
        <w:tc>
          <w:tcPr>
            <w:tcW w:w="1222" w:type="dxa"/>
            <w:tcBorders>
              <w:top w:val="single" w:sz="2" w:space="0" w:color="auto"/>
              <w:bottom w:val="single" w:sz="12" w:space="0" w:color="808080" w:themeColor="background1" w:themeShade="80"/>
            </w:tcBorders>
            <w:shd w:val="clear" w:color="auto" w:fill="auto"/>
            <w:noWrap/>
            <w:vAlign w:val="center"/>
            <w:hideMark/>
          </w:tcPr>
          <w:p w14:paraId="2764998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9.9</w:t>
            </w:r>
          </w:p>
        </w:tc>
        <w:tc>
          <w:tcPr>
            <w:tcW w:w="1223" w:type="dxa"/>
            <w:tcBorders>
              <w:top w:val="single" w:sz="2" w:space="0" w:color="auto"/>
              <w:bottom w:val="single" w:sz="12" w:space="0" w:color="808080" w:themeColor="background1" w:themeShade="80"/>
            </w:tcBorders>
            <w:shd w:val="clear" w:color="auto" w:fill="auto"/>
            <w:noWrap/>
            <w:vAlign w:val="center"/>
            <w:hideMark/>
          </w:tcPr>
          <w:p w14:paraId="5962C4A1"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7.1</w:t>
            </w:r>
          </w:p>
        </w:tc>
        <w:tc>
          <w:tcPr>
            <w:tcW w:w="1222" w:type="dxa"/>
            <w:tcBorders>
              <w:top w:val="single" w:sz="2" w:space="0" w:color="auto"/>
              <w:bottom w:val="single" w:sz="12" w:space="0" w:color="808080" w:themeColor="background1" w:themeShade="80"/>
              <w:right w:val="single" w:sz="12" w:space="0" w:color="808080" w:themeColor="background1" w:themeShade="80"/>
            </w:tcBorders>
            <w:shd w:val="clear" w:color="auto" w:fill="auto"/>
            <w:noWrap/>
            <w:vAlign w:val="center"/>
            <w:hideMark/>
          </w:tcPr>
          <w:p w14:paraId="3D1E469B"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3.7</w:t>
            </w:r>
          </w:p>
        </w:tc>
        <w:tc>
          <w:tcPr>
            <w:tcW w:w="1223" w:type="dxa"/>
            <w:tcBorders>
              <w:top w:val="single" w:sz="2" w:space="0" w:color="auto"/>
              <w:left w:val="single" w:sz="12" w:space="0" w:color="808080" w:themeColor="background1" w:themeShade="80"/>
              <w:bottom w:val="single" w:sz="12" w:space="0" w:color="808080" w:themeColor="background1" w:themeShade="80"/>
            </w:tcBorders>
            <w:shd w:val="clear" w:color="auto" w:fill="auto"/>
            <w:noWrap/>
            <w:vAlign w:val="center"/>
            <w:hideMark/>
          </w:tcPr>
          <w:p w14:paraId="4D877449"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74.4</w:t>
            </w:r>
          </w:p>
        </w:tc>
        <w:tc>
          <w:tcPr>
            <w:tcW w:w="1222" w:type="dxa"/>
            <w:tcBorders>
              <w:top w:val="single" w:sz="2" w:space="0" w:color="auto"/>
              <w:bottom w:val="single" w:sz="12" w:space="0" w:color="808080" w:themeColor="background1" w:themeShade="80"/>
            </w:tcBorders>
            <w:shd w:val="clear" w:color="auto" w:fill="auto"/>
            <w:noWrap/>
            <w:vAlign w:val="center"/>
            <w:hideMark/>
          </w:tcPr>
          <w:p w14:paraId="6084F566"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21.8</w:t>
            </w:r>
          </w:p>
        </w:tc>
        <w:tc>
          <w:tcPr>
            <w:tcW w:w="1223" w:type="dxa"/>
            <w:tcBorders>
              <w:top w:val="single" w:sz="2" w:space="0" w:color="auto"/>
              <w:bottom w:val="single" w:sz="12" w:space="0" w:color="808080" w:themeColor="background1" w:themeShade="80"/>
              <w:right w:val="nil"/>
            </w:tcBorders>
            <w:shd w:val="clear" w:color="auto" w:fill="auto"/>
            <w:noWrap/>
            <w:vAlign w:val="center"/>
            <w:hideMark/>
          </w:tcPr>
          <w:p w14:paraId="67C744EF"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3.8</w:t>
            </w:r>
          </w:p>
        </w:tc>
      </w:tr>
      <w:tr w:rsidR="00561D6E" w:rsidRPr="00BF02CB" w14:paraId="512BDE68" w14:textId="77777777" w:rsidTr="00C36529">
        <w:trPr>
          <w:trHeight w:val="20"/>
        </w:trPr>
        <w:tc>
          <w:tcPr>
            <w:tcW w:w="1243" w:type="dxa"/>
            <w:vMerge w:val="restart"/>
            <w:tcBorders>
              <w:top w:val="nil"/>
              <w:left w:val="nil"/>
              <w:bottom w:val="single" w:sz="12" w:space="0" w:color="FFFFFF"/>
              <w:right w:val="nil"/>
            </w:tcBorders>
            <w:shd w:val="clear" w:color="000000" w:fill="808080"/>
            <w:vAlign w:val="center"/>
            <w:hideMark/>
          </w:tcPr>
          <w:p w14:paraId="0ED73676" w14:textId="77777777" w:rsidR="00561D6E" w:rsidRPr="00BF02CB" w:rsidRDefault="00561D6E" w:rsidP="00561D6E">
            <w:pPr>
              <w:spacing w:after="0"/>
              <w:rPr>
                <w:rFonts w:ascii="Arial" w:hAnsi="Arial" w:cs="Arial"/>
                <w:color w:val="FFFFFF"/>
                <w:sz w:val="18"/>
                <w:szCs w:val="18"/>
              </w:rPr>
            </w:pPr>
            <w:r w:rsidRPr="00BF02CB">
              <w:rPr>
                <w:rFonts w:ascii="Arial" w:hAnsi="Arial" w:cs="Arial"/>
                <w:color w:val="FFFFFF"/>
                <w:sz w:val="18"/>
                <w:szCs w:val="18"/>
              </w:rPr>
              <w:t>Remoteness</w:t>
            </w:r>
          </w:p>
        </w:tc>
        <w:tc>
          <w:tcPr>
            <w:tcW w:w="3734" w:type="dxa"/>
            <w:tcBorders>
              <w:top w:val="single" w:sz="12" w:space="0" w:color="808080" w:themeColor="background1" w:themeShade="80"/>
              <w:left w:val="nil"/>
              <w:bottom w:val="single" w:sz="2" w:space="0" w:color="auto"/>
              <w:right w:val="single" w:sz="12" w:space="0" w:color="808080" w:themeColor="background1" w:themeShade="80"/>
            </w:tcBorders>
            <w:shd w:val="clear" w:color="000000" w:fill="D9D9D9"/>
            <w:vAlign w:val="center"/>
            <w:hideMark/>
          </w:tcPr>
          <w:p w14:paraId="7151007D"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Major Cities</w:t>
            </w:r>
          </w:p>
        </w:tc>
        <w:tc>
          <w:tcPr>
            <w:tcW w:w="1222" w:type="dxa"/>
            <w:tcBorders>
              <w:top w:val="single" w:sz="12" w:space="0" w:color="808080" w:themeColor="background1" w:themeShade="80"/>
              <w:left w:val="single" w:sz="12" w:space="0" w:color="808080" w:themeColor="background1" w:themeShade="80"/>
              <w:bottom w:val="single" w:sz="2" w:space="0" w:color="auto"/>
            </w:tcBorders>
            <w:shd w:val="clear" w:color="auto" w:fill="D9D9D9" w:themeFill="background1" w:themeFillShade="D9"/>
            <w:noWrap/>
            <w:vAlign w:val="center"/>
            <w:hideMark/>
          </w:tcPr>
          <w:p w14:paraId="4B8CC162"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54.4</w:t>
            </w:r>
          </w:p>
        </w:tc>
        <w:tc>
          <w:tcPr>
            <w:tcW w:w="1223" w:type="dxa"/>
            <w:tcBorders>
              <w:top w:val="single" w:sz="12" w:space="0" w:color="808080" w:themeColor="background1" w:themeShade="80"/>
              <w:bottom w:val="single" w:sz="2" w:space="0" w:color="auto"/>
            </w:tcBorders>
            <w:shd w:val="clear" w:color="auto" w:fill="D9D9D9" w:themeFill="background1" w:themeFillShade="D9"/>
            <w:noWrap/>
            <w:vAlign w:val="center"/>
            <w:hideMark/>
          </w:tcPr>
          <w:p w14:paraId="71E39DBF"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23.6</w:t>
            </w:r>
          </w:p>
        </w:tc>
        <w:tc>
          <w:tcPr>
            <w:tcW w:w="1222" w:type="dxa"/>
            <w:tcBorders>
              <w:top w:val="single" w:sz="12" w:space="0" w:color="808080" w:themeColor="background1" w:themeShade="80"/>
              <w:bottom w:val="single" w:sz="2" w:space="0" w:color="auto"/>
            </w:tcBorders>
            <w:shd w:val="clear" w:color="auto" w:fill="D9D9D9" w:themeFill="background1" w:themeFillShade="D9"/>
            <w:noWrap/>
            <w:vAlign w:val="center"/>
            <w:hideMark/>
          </w:tcPr>
          <w:p w14:paraId="44279DB9"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11.7</w:t>
            </w:r>
          </w:p>
        </w:tc>
        <w:tc>
          <w:tcPr>
            <w:tcW w:w="1223" w:type="dxa"/>
            <w:tcBorders>
              <w:top w:val="single" w:sz="12" w:space="0" w:color="808080" w:themeColor="background1" w:themeShade="80"/>
              <w:bottom w:val="single" w:sz="2" w:space="0" w:color="auto"/>
            </w:tcBorders>
            <w:shd w:val="clear" w:color="auto" w:fill="D9D9D9" w:themeFill="background1" w:themeFillShade="D9"/>
            <w:noWrap/>
            <w:vAlign w:val="center"/>
            <w:hideMark/>
          </w:tcPr>
          <w:p w14:paraId="3EDAAD6E"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5.7</w:t>
            </w:r>
          </w:p>
        </w:tc>
        <w:tc>
          <w:tcPr>
            <w:tcW w:w="1222" w:type="dxa"/>
            <w:tcBorders>
              <w:top w:val="single" w:sz="12" w:space="0" w:color="808080" w:themeColor="background1" w:themeShade="80"/>
              <w:bottom w:val="single" w:sz="2" w:space="0" w:color="auto"/>
              <w:right w:val="single" w:sz="12" w:space="0" w:color="808080" w:themeColor="background1" w:themeShade="80"/>
            </w:tcBorders>
            <w:shd w:val="clear" w:color="auto" w:fill="D9D9D9" w:themeFill="background1" w:themeFillShade="D9"/>
            <w:noWrap/>
            <w:vAlign w:val="center"/>
            <w:hideMark/>
          </w:tcPr>
          <w:p w14:paraId="663C2C07"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4.6</w:t>
            </w:r>
          </w:p>
        </w:tc>
        <w:tc>
          <w:tcPr>
            <w:tcW w:w="1223" w:type="dxa"/>
            <w:tcBorders>
              <w:top w:val="single" w:sz="12" w:space="0" w:color="808080" w:themeColor="background1" w:themeShade="80"/>
              <w:left w:val="single" w:sz="12" w:space="0" w:color="808080" w:themeColor="background1" w:themeShade="80"/>
              <w:bottom w:val="single" w:sz="2" w:space="0" w:color="auto"/>
            </w:tcBorders>
            <w:shd w:val="clear" w:color="auto" w:fill="D9D9D9" w:themeFill="background1" w:themeFillShade="D9"/>
            <w:noWrap/>
            <w:vAlign w:val="center"/>
            <w:hideMark/>
          </w:tcPr>
          <w:p w14:paraId="2D71E4EE"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72.8</w:t>
            </w:r>
          </w:p>
        </w:tc>
        <w:tc>
          <w:tcPr>
            <w:tcW w:w="1222" w:type="dxa"/>
            <w:tcBorders>
              <w:top w:val="single" w:sz="12" w:space="0" w:color="808080" w:themeColor="background1" w:themeShade="80"/>
              <w:bottom w:val="single" w:sz="2" w:space="0" w:color="auto"/>
            </w:tcBorders>
            <w:shd w:val="clear" w:color="auto" w:fill="D9D9D9" w:themeFill="background1" w:themeFillShade="D9"/>
            <w:noWrap/>
            <w:vAlign w:val="center"/>
            <w:hideMark/>
          </w:tcPr>
          <w:p w14:paraId="056856E1"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22.0</w:t>
            </w:r>
          </w:p>
        </w:tc>
        <w:tc>
          <w:tcPr>
            <w:tcW w:w="1223" w:type="dxa"/>
            <w:tcBorders>
              <w:top w:val="single" w:sz="12" w:space="0" w:color="808080" w:themeColor="background1" w:themeShade="80"/>
              <w:bottom w:val="single" w:sz="2" w:space="0" w:color="auto"/>
              <w:right w:val="nil"/>
            </w:tcBorders>
            <w:shd w:val="clear" w:color="auto" w:fill="D9D9D9" w:themeFill="background1" w:themeFillShade="D9"/>
            <w:noWrap/>
            <w:vAlign w:val="center"/>
            <w:hideMark/>
          </w:tcPr>
          <w:p w14:paraId="0ED9B61B"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5.2</w:t>
            </w:r>
          </w:p>
        </w:tc>
      </w:tr>
      <w:tr w:rsidR="00561D6E" w:rsidRPr="00BF02CB" w14:paraId="6D36DAA8" w14:textId="77777777" w:rsidTr="00C36529">
        <w:trPr>
          <w:trHeight w:val="20"/>
        </w:trPr>
        <w:tc>
          <w:tcPr>
            <w:tcW w:w="1243" w:type="dxa"/>
            <w:vMerge/>
            <w:tcBorders>
              <w:top w:val="nil"/>
              <w:left w:val="nil"/>
              <w:bottom w:val="single" w:sz="12" w:space="0" w:color="FFFFFF"/>
              <w:right w:val="nil"/>
            </w:tcBorders>
            <w:vAlign w:val="center"/>
            <w:hideMark/>
          </w:tcPr>
          <w:p w14:paraId="1B002941"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000000" w:fill="D9D9D9"/>
            <w:vAlign w:val="center"/>
            <w:hideMark/>
          </w:tcPr>
          <w:p w14:paraId="703B648C"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Inner regional</w:t>
            </w:r>
          </w:p>
        </w:tc>
        <w:tc>
          <w:tcPr>
            <w:tcW w:w="1222" w:type="dxa"/>
            <w:tcBorders>
              <w:top w:val="single" w:sz="2" w:space="0" w:color="auto"/>
              <w:left w:val="single" w:sz="12" w:space="0" w:color="808080" w:themeColor="background1" w:themeShade="80"/>
              <w:bottom w:val="single" w:sz="2" w:space="0" w:color="auto"/>
            </w:tcBorders>
            <w:shd w:val="clear" w:color="auto" w:fill="D9D9D9" w:themeFill="background1" w:themeFillShade="D9"/>
            <w:noWrap/>
            <w:vAlign w:val="center"/>
            <w:hideMark/>
          </w:tcPr>
          <w:p w14:paraId="318D4912"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56.8</w:t>
            </w:r>
          </w:p>
        </w:tc>
        <w:tc>
          <w:tcPr>
            <w:tcW w:w="1223" w:type="dxa"/>
            <w:tcBorders>
              <w:top w:val="single" w:sz="2" w:space="0" w:color="auto"/>
              <w:bottom w:val="single" w:sz="2" w:space="0" w:color="auto"/>
            </w:tcBorders>
            <w:shd w:val="clear" w:color="auto" w:fill="D9D9D9" w:themeFill="background1" w:themeFillShade="D9"/>
            <w:noWrap/>
            <w:vAlign w:val="center"/>
            <w:hideMark/>
          </w:tcPr>
          <w:p w14:paraId="1438F4E9"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28.9</w:t>
            </w:r>
          </w:p>
        </w:tc>
        <w:tc>
          <w:tcPr>
            <w:tcW w:w="1222" w:type="dxa"/>
            <w:tcBorders>
              <w:top w:val="single" w:sz="2" w:space="0" w:color="auto"/>
              <w:bottom w:val="single" w:sz="2" w:space="0" w:color="auto"/>
            </w:tcBorders>
            <w:shd w:val="clear" w:color="auto" w:fill="D9D9D9" w:themeFill="background1" w:themeFillShade="D9"/>
            <w:noWrap/>
            <w:vAlign w:val="center"/>
            <w:hideMark/>
          </w:tcPr>
          <w:p w14:paraId="6818390D"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7.2</w:t>
            </w:r>
          </w:p>
        </w:tc>
        <w:tc>
          <w:tcPr>
            <w:tcW w:w="1223" w:type="dxa"/>
            <w:tcBorders>
              <w:top w:val="single" w:sz="2" w:space="0" w:color="auto"/>
              <w:bottom w:val="single" w:sz="2" w:space="0" w:color="auto"/>
            </w:tcBorders>
            <w:shd w:val="clear" w:color="auto" w:fill="D9D9D9" w:themeFill="background1" w:themeFillShade="D9"/>
            <w:noWrap/>
            <w:vAlign w:val="center"/>
            <w:hideMark/>
          </w:tcPr>
          <w:p w14:paraId="0451A096"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2.6</w:t>
            </w:r>
          </w:p>
        </w:tc>
        <w:tc>
          <w:tcPr>
            <w:tcW w:w="1222" w:type="dxa"/>
            <w:tcBorders>
              <w:top w:val="single" w:sz="2" w:space="0" w:color="auto"/>
              <w:bottom w:val="single" w:sz="2" w:space="0" w:color="auto"/>
              <w:right w:val="single" w:sz="12" w:space="0" w:color="808080" w:themeColor="background1" w:themeShade="80"/>
            </w:tcBorders>
            <w:shd w:val="clear" w:color="auto" w:fill="D9D9D9" w:themeFill="background1" w:themeFillShade="D9"/>
            <w:noWrap/>
            <w:vAlign w:val="center"/>
            <w:hideMark/>
          </w:tcPr>
          <w:p w14:paraId="4A8A4D71"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4.5</w:t>
            </w:r>
          </w:p>
        </w:tc>
        <w:tc>
          <w:tcPr>
            <w:tcW w:w="1223" w:type="dxa"/>
            <w:tcBorders>
              <w:top w:val="single" w:sz="2" w:space="0" w:color="auto"/>
              <w:left w:val="single" w:sz="12" w:space="0" w:color="808080" w:themeColor="background1" w:themeShade="80"/>
              <w:bottom w:val="single" w:sz="2" w:space="0" w:color="auto"/>
            </w:tcBorders>
            <w:shd w:val="clear" w:color="auto" w:fill="D9D9D9" w:themeFill="background1" w:themeFillShade="D9"/>
            <w:noWrap/>
            <w:vAlign w:val="center"/>
            <w:hideMark/>
          </w:tcPr>
          <w:p w14:paraId="36C9D5AC"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71.0</w:t>
            </w:r>
          </w:p>
        </w:tc>
        <w:tc>
          <w:tcPr>
            <w:tcW w:w="1222" w:type="dxa"/>
            <w:tcBorders>
              <w:top w:val="single" w:sz="2" w:space="0" w:color="auto"/>
              <w:bottom w:val="single" w:sz="2" w:space="0" w:color="auto"/>
            </w:tcBorders>
            <w:shd w:val="clear" w:color="auto" w:fill="D9D9D9" w:themeFill="background1" w:themeFillShade="D9"/>
            <w:noWrap/>
            <w:vAlign w:val="center"/>
            <w:hideMark/>
          </w:tcPr>
          <w:p w14:paraId="7816F75B"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23.8</w:t>
            </w:r>
          </w:p>
        </w:tc>
        <w:tc>
          <w:tcPr>
            <w:tcW w:w="1223" w:type="dxa"/>
            <w:tcBorders>
              <w:top w:val="single" w:sz="2" w:space="0" w:color="auto"/>
              <w:bottom w:val="single" w:sz="2" w:space="0" w:color="auto"/>
              <w:right w:val="nil"/>
            </w:tcBorders>
            <w:shd w:val="clear" w:color="auto" w:fill="D9D9D9" w:themeFill="background1" w:themeFillShade="D9"/>
            <w:noWrap/>
            <w:vAlign w:val="center"/>
            <w:hideMark/>
          </w:tcPr>
          <w:p w14:paraId="241C5007"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5.2</w:t>
            </w:r>
          </w:p>
        </w:tc>
      </w:tr>
      <w:tr w:rsidR="00561D6E" w:rsidRPr="00BF02CB" w14:paraId="2235FAC6" w14:textId="77777777" w:rsidTr="00C36529">
        <w:trPr>
          <w:trHeight w:val="20"/>
        </w:trPr>
        <w:tc>
          <w:tcPr>
            <w:tcW w:w="1243" w:type="dxa"/>
            <w:vMerge/>
            <w:tcBorders>
              <w:top w:val="nil"/>
              <w:left w:val="nil"/>
              <w:bottom w:val="single" w:sz="12" w:space="0" w:color="FFFFFF"/>
              <w:right w:val="nil"/>
            </w:tcBorders>
            <w:vAlign w:val="center"/>
            <w:hideMark/>
          </w:tcPr>
          <w:p w14:paraId="6C6F4F1F"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000000" w:fill="D9D9D9"/>
            <w:vAlign w:val="center"/>
            <w:hideMark/>
          </w:tcPr>
          <w:p w14:paraId="053B4E47"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Outer regional</w:t>
            </w:r>
          </w:p>
        </w:tc>
        <w:tc>
          <w:tcPr>
            <w:tcW w:w="1222" w:type="dxa"/>
            <w:tcBorders>
              <w:top w:val="single" w:sz="2" w:space="0" w:color="auto"/>
              <w:left w:val="single" w:sz="12" w:space="0" w:color="808080" w:themeColor="background1" w:themeShade="80"/>
              <w:bottom w:val="single" w:sz="2" w:space="0" w:color="auto"/>
            </w:tcBorders>
            <w:shd w:val="clear" w:color="auto" w:fill="D9D9D9" w:themeFill="background1" w:themeFillShade="D9"/>
            <w:noWrap/>
            <w:vAlign w:val="center"/>
            <w:hideMark/>
          </w:tcPr>
          <w:p w14:paraId="4F36B091"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54.7</w:t>
            </w:r>
          </w:p>
        </w:tc>
        <w:tc>
          <w:tcPr>
            <w:tcW w:w="1223" w:type="dxa"/>
            <w:tcBorders>
              <w:top w:val="single" w:sz="2" w:space="0" w:color="auto"/>
              <w:bottom w:val="single" w:sz="2" w:space="0" w:color="auto"/>
            </w:tcBorders>
            <w:shd w:val="clear" w:color="auto" w:fill="D9D9D9" w:themeFill="background1" w:themeFillShade="D9"/>
            <w:noWrap/>
            <w:vAlign w:val="center"/>
            <w:hideMark/>
          </w:tcPr>
          <w:p w14:paraId="00207C0D"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27.2</w:t>
            </w:r>
          </w:p>
        </w:tc>
        <w:tc>
          <w:tcPr>
            <w:tcW w:w="1222" w:type="dxa"/>
            <w:tcBorders>
              <w:top w:val="single" w:sz="2" w:space="0" w:color="auto"/>
              <w:bottom w:val="single" w:sz="2" w:space="0" w:color="auto"/>
            </w:tcBorders>
            <w:shd w:val="clear" w:color="auto" w:fill="D9D9D9" w:themeFill="background1" w:themeFillShade="D9"/>
            <w:noWrap/>
            <w:vAlign w:val="center"/>
            <w:hideMark/>
          </w:tcPr>
          <w:p w14:paraId="7943BC3C"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10.1</w:t>
            </w:r>
          </w:p>
        </w:tc>
        <w:tc>
          <w:tcPr>
            <w:tcW w:w="1223" w:type="dxa"/>
            <w:tcBorders>
              <w:top w:val="single" w:sz="2" w:space="0" w:color="auto"/>
              <w:bottom w:val="single" w:sz="2" w:space="0" w:color="auto"/>
            </w:tcBorders>
            <w:shd w:val="clear" w:color="auto" w:fill="D9D9D9" w:themeFill="background1" w:themeFillShade="D9"/>
            <w:noWrap/>
            <w:vAlign w:val="center"/>
            <w:hideMark/>
          </w:tcPr>
          <w:p w14:paraId="36994EDF"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2.7</w:t>
            </w:r>
          </w:p>
        </w:tc>
        <w:tc>
          <w:tcPr>
            <w:tcW w:w="1222" w:type="dxa"/>
            <w:tcBorders>
              <w:top w:val="single" w:sz="2" w:space="0" w:color="auto"/>
              <w:bottom w:val="single" w:sz="2" w:space="0" w:color="auto"/>
              <w:right w:val="single" w:sz="12" w:space="0" w:color="808080" w:themeColor="background1" w:themeShade="80"/>
            </w:tcBorders>
            <w:shd w:val="clear" w:color="auto" w:fill="D9D9D9" w:themeFill="background1" w:themeFillShade="D9"/>
            <w:noWrap/>
            <w:vAlign w:val="center"/>
            <w:hideMark/>
          </w:tcPr>
          <w:p w14:paraId="327399A7"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5.3</w:t>
            </w:r>
          </w:p>
        </w:tc>
        <w:tc>
          <w:tcPr>
            <w:tcW w:w="1223" w:type="dxa"/>
            <w:tcBorders>
              <w:top w:val="single" w:sz="2" w:space="0" w:color="auto"/>
              <w:left w:val="single" w:sz="12" w:space="0" w:color="808080" w:themeColor="background1" w:themeShade="80"/>
              <w:bottom w:val="single" w:sz="2" w:space="0" w:color="auto"/>
            </w:tcBorders>
            <w:shd w:val="clear" w:color="auto" w:fill="D9D9D9" w:themeFill="background1" w:themeFillShade="D9"/>
            <w:noWrap/>
            <w:vAlign w:val="center"/>
            <w:hideMark/>
          </w:tcPr>
          <w:p w14:paraId="17DA70F0"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70.6</w:t>
            </w:r>
          </w:p>
        </w:tc>
        <w:tc>
          <w:tcPr>
            <w:tcW w:w="1222" w:type="dxa"/>
            <w:tcBorders>
              <w:top w:val="single" w:sz="2" w:space="0" w:color="auto"/>
              <w:bottom w:val="single" w:sz="2" w:space="0" w:color="auto"/>
            </w:tcBorders>
            <w:shd w:val="clear" w:color="auto" w:fill="D9D9D9" w:themeFill="background1" w:themeFillShade="D9"/>
            <w:noWrap/>
            <w:vAlign w:val="center"/>
            <w:hideMark/>
          </w:tcPr>
          <w:p w14:paraId="322B75C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23.7</w:t>
            </w:r>
          </w:p>
        </w:tc>
        <w:tc>
          <w:tcPr>
            <w:tcW w:w="1223" w:type="dxa"/>
            <w:tcBorders>
              <w:top w:val="single" w:sz="2" w:space="0" w:color="auto"/>
              <w:bottom w:val="single" w:sz="2" w:space="0" w:color="auto"/>
              <w:right w:val="nil"/>
            </w:tcBorders>
            <w:shd w:val="clear" w:color="auto" w:fill="D9D9D9" w:themeFill="background1" w:themeFillShade="D9"/>
            <w:noWrap/>
            <w:vAlign w:val="center"/>
            <w:hideMark/>
          </w:tcPr>
          <w:p w14:paraId="48528E9D"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5.7</w:t>
            </w:r>
          </w:p>
        </w:tc>
      </w:tr>
      <w:tr w:rsidR="00561D6E" w:rsidRPr="00BF02CB" w14:paraId="67547DDA" w14:textId="77777777" w:rsidTr="00C36529">
        <w:trPr>
          <w:trHeight w:val="20"/>
        </w:trPr>
        <w:tc>
          <w:tcPr>
            <w:tcW w:w="1243" w:type="dxa"/>
            <w:vMerge/>
            <w:tcBorders>
              <w:top w:val="nil"/>
              <w:left w:val="nil"/>
              <w:bottom w:val="single" w:sz="12" w:space="0" w:color="FFFFFF"/>
              <w:right w:val="nil"/>
            </w:tcBorders>
            <w:vAlign w:val="center"/>
            <w:hideMark/>
          </w:tcPr>
          <w:p w14:paraId="0BE23A53"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000000" w:fill="D9D9D9"/>
            <w:vAlign w:val="center"/>
            <w:hideMark/>
          </w:tcPr>
          <w:p w14:paraId="00E44511"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Remote</w:t>
            </w:r>
          </w:p>
        </w:tc>
        <w:tc>
          <w:tcPr>
            <w:tcW w:w="1222" w:type="dxa"/>
            <w:tcBorders>
              <w:top w:val="single" w:sz="2" w:space="0" w:color="auto"/>
              <w:left w:val="single" w:sz="12" w:space="0" w:color="808080" w:themeColor="background1" w:themeShade="80"/>
              <w:bottom w:val="single" w:sz="2" w:space="0" w:color="auto"/>
            </w:tcBorders>
            <w:shd w:val="clear" w:color="auto" w:fill="D9D9D9" w:themeFill="background1" w:themeFillShade="D9"/>
            <w:noWrap/>
            <w:vAlign w:val="center"/>
            <w:hideMark/>
          </w:tcPr>
          <w:p w14:paraId="503A5885"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59.3</w:t>
            </w:r>
          </w:p>
        </w:tc>
        <w:tc>
          <w:tcPr>
            <w:tcW w:w="1223" w:type="dxa"/>
            <w:tcBorders>
              <w:top w:val="single" w:sz="2" w:space="0" w:color="auto"/>
              <w:bottom w:val="single" w:sz="2" w:space="0" w:color="auto"/>
            </w:tcBorders>
            <w:shd w:val="clear" w:color="auto" w:fill="D9D9D9" w:themeFill="background1" w:themeFillShade="D9"/>
            <w:noWrap/>
            <w:vAlign w:val="center"/>
            <w:hideMark/>
          </w:tcPr>
          <w:p w14:paraId="6962BAC2"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26.8</w:t>
            </w:r>
          </w:p>
        </w:tc>
        <w:tc>
          <w:tcPr>
            <w:tcW w:w="1222" w:type="dxa"/>
            <w:tcBorders>
              <w:top w:val="single" w:sz="2" w:space="0" w:color="auto"/>
              <w:bottom w:val="single" w:sz="2" w:space="0" w:color="auto"/>
            </w:tcBorders>
            <w:shd w:val="clear" w:color="auto" w:fill="D9D9D9" w:themeFill="background1" w:themeFillShade="D9"/>
            <w:noWrap/>
            <w:vAlign w:val="center"/>
            <w:hideMark/>
          </w:tcPr>
          <w:p w14:paraId="0BA3A4FB"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6.6</w:t>
            </w:r>
          </w:p>
        </w:tc>
        <w:tc>
          <w:tcPr>
            <w:tcW w:w="1223" w:type="dxa"/>
            <w:tcBorders>
              <w:top w:val="single" w:sz="2" w:space="0" w:color="auto"/>
              <w:bottom w:val="single" w:sz="2" w:space="0" w:color="auto"/>
            </w:tcBorders>
            <w:shd w:val="clear" w:color="auto" w:fill="D9D9D9" w:themeFill="background1" w:themeFillShade="D9"/>
            <w:noWrap/>
            <w:vAlign w:val="center"/>
            <w:hideMark/>
          </w:tcPr>
          <w:p w14:paraId="1FFCF85E"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3.5</w:t>
            </w:r>
          </w:p>
        </w:tc>
        <w:tc>
          <w:tcPr>
            <w:tcW w:w="1222" w:type="dxa"/>
            <w:tcBorders>
              <w:top w:val="single" w:sz="2" w:space="0" w:color="auto"/>
              <w:bottom w:val="single" w:sz="2" w:space="0" w:color="auto"/>
              <w:right w:val="single" w:sz="12" w:space="0" w:color="808080" w:themeColor="background1" w:themeShade="80"/>
            </w:tcBorders>
            <w:shd w:val="clear" w:color="auto" w:fill="D9D9D9" w:themeFill="background1" w:themeFillShade="D9"/>
            <w:noWrap/>
            <w:vAlign w:val="center"/>
            <w:hideMark/>
          </w:tcPr>
          <w:p w14:paraId="46D0F70E"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3.8</w:t>
            </w:r>
          </w:p>
        </w:tc>
        <w:tc>
          <w:tcPr>
            <w:tcW w:w="1223" w:type="dxa"/>
            <w:tcBorders>
              <w:top w:val="single" w:sz="2" w:space="0" w:color="auto"/>
              <w:left w:val="single" w:sz="12" w:space="0" w:color="808080" w:themeColor="background1" w:themeShade="80"/>
              <w:bottom w:val="single" w:sz="2" w:space="0" w:color="auto"/>
            </w:tcBorders>
            <w:shd w:val="clear" w:color="auto" w:fill="D9D9D9" w:themeFill="background1" w:themeFillShade="D9"/>
            <w:noWrap/>
            <w:vAlign w:val="center"/>
            <w:hideMark/>
          </w:tcPr>
          <w:p w14:paraId="59A2A3CF"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72.5</w:t>
            </w:r>
          </w:p>
        </w:tc>
        <w:tc>
          <w:tcPr>
            <w:tcW w:w="1222" w:type="dxa"/>
            <w:tcBorders>
              <w:top w:val="single" w:sz="2" w:space="0" w:color="auto"/>
              <w:bottom w:val="single" w:sz="2" w:space="0" w:color="auto"/>
            </w:tcBorders>
            <w:shd w:val="clear" w:color="auto" w:fill="D9D9D9" w:themeFill="background1" w:themeFillShade="D9"/>
            <w:noWrap/>
            <w:vAlign w:val="center"/>
            <w:hideMark/>
          </w:tcPr>
          <w:p w14:paraId="4F73203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24.5</w:t>
            </w:r>
          </w:p>
        </w:tc>
        <w:tc>
          <w:tcPr>
            <w:tcW w:w="1223" w:type="dxa"/>
            <w:tcBorders>
              <w:top w:val="single" w:sz="2" w:space="0" w:color="auto"/>
              <w:bottom w:val="single" w:sz="2" w:space="0" w:color="auto"/>
              <w:right w:val="nil"/>
            </w:tcBorders>
            <w:shd w:val="clear" w:color="auto" w:fill="D9D9D9" w:themeFill="background1" w:themeFillShade="D9"/>
            <w:noWrap/>
            <w:vAlign w:val="center"/>
            <w:hideMark/>
          </w:tcPr>
          <w:p w14:paraId="0EA83DB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3.0</w:t>
            </w:r>
          </w:p>
        </w:tc>
      </w:tr>
      <w:tr w:rsidR="00561D6E" w:rsidRPr="00BF02CB" w14:paraId="5EE8FFD3" w14:textId="77777777" w:rsidTr="00C36529">
        <w:trPr>
          <w:trHeight w:val="20"/>
        </w:trPr>
        <w:tc>
          <w:tcPr>
            <w:tcW w:w="1243" w:type="dxa"/>
            <w:vMerge/>
            <w:tcBorders>
              <w:top w:val="nil"/>
              <w:left w:val="nil"/>
              <w:bottom w:val="single" w:sz="12" w:space="0" w:color="FFFFFF"/>
              <w:right w:val="nil"/>
            </w:tcBorders>
            <w:vAlign w:val="center"/>
            <w:hideMark/>
          </w:tcPr>
          <w:p w14:paraId="2F6D155F"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12" w:space="0" w:color="808080" w:themeColor="background1" w:themeShade="80"/>
              <w:right w:val="single" w:sz="12" w:space="0" w:color="808080" w:themeColor="background1" w:themeShade="80"/>
            </w:tcBorders>
            <w:shd w:val="clear" w:color="000000" w:fill="D9D9D9"/>
            <w:vAlign w:val="center"/>
            <w:hideMark/>
          </w:tcPr>
          <w:p w14:paraId="06D9BD0D"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Very remote</w:t>
            </w:r>
          </w:p>
        </w:tc>
        <w:tc>
          <w:tcPr>
            <w:tcW w:w="1222" w:type="dxa"/>
            <w:tcBorders>
              <w:top w:val="single" w:sz="2" w:space="0" w:color="auto"/>
              <w:left w:val="single" w:sz="12" w:space="0" w:color="808080" w:themeColor="background1" w:themeShade="80"/>
              <w:bottom w:val="single" w:sz="12" w:space="0" w:color="808080" w:themeColor="background1" w:themeShade="80"/>
            </w:tcBorders>
            <w:shd w:val="clear" w:color="auto" w:fill="D9D9D9" w:themeFill="background1" w:themeFillShade="D9"/>
            <w:noWrap/>
            <w:vAlign w:val="center"/>
            <w:hideMark/>
          </w:tcPr>
          <w:p w14:paraId="6A363F89"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54.3</w:t>
            </w:r>
          </w:p>
        </w:tc>
        <w:tc>
          <w:tcPr>
            <w:tcW w:w="1223" w:type="dxa"/>
            <w:tcBorders>
              <w:top w:val="single" w:sz="2" w:space="0" w:color="auto"/>
              <w:bottom w:val="single" w:sz="12" w:space="0" w:color="808080" w:themeColor="background1" w:themeShade="80"/>
            </w:tcBorders>
            <w:shd w:val="clear" w:color="auto" w:fill="D9D9D9" w:themeFill="background1" w:themeFillShade="D9"/>
            <w:noWrap/>
            <w:vAlign w:val="center"/>
            <w:hideMark/>
          </w:tcPr>
          <w:p w14:paraId="3E30643B"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34.7</w:t>
            </w:r>
          </w:p>
        </w:tc>
        <w:tc>
          <w:tcPr>
            <w:tcW w:w="1222" w:type="dxa"/>
            <w:tcBorders>
              <w:top w:val="single" w:sz="2" w:space="0" w:color="auto"/>
              <w:bottom w:val="single" w:sz="12" w:space="0" w:color="808080" w:themeColor="background1" w:themeShade="80"/>
            </w:tcBorders>
            <w:shd w:val="clear" w:color="auto" w:fill="D9D9D9" w:themeFill="background1" w:themeFillShade="D9"/>
            <w:noWrap/>
            <w:vAlign w:val="center"/>
            <w:hideMark/>
          </w:tcPr>
          <w:p w14:paraId="6181EFC4"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6.5</w:t>
            </w:r>
          </w:p>
        </w:tc>
        <w:tc>
          <w:tcPr>
            <w:tcW w:w="1223" w:type="dxa"/>
            <w:tcBorders>
              <w:top w:val="single" w:sz="2" w:space="0" w:color="auto"/>
              <w:bottom w:val="single" w:sz="12" w:space="0" w:color="808080" w:themeColor="background1" w:themeShade="80"/>
            </w:tcBorders>
            <w:shd w:val="clear" w:color="auto" w:fill="D9D9D9" w:themeFill="background1" w:themeFillShade="D9"/>
            <w:noWrap/>
            <w:vAlign w:val="center"/>
            <w:hideMark/>
          </w:tcPr>
          <w:p w14:paraId="50D8253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1.7</w:t>
            </w:r>
          </w:p>
        </w:tc>
        <w:tc>
          <w:tcPr>
            <w:tcW w:w="1222" w:type="dxa"/>
            <w:tcBorders>
              <w:top w:val="single" w:sz="2" w:space="0" w:color="auto"/>
              <w:bottom w:val="single" w:sz="12" w:space="0" w:color="808080" w:themeColor="background1" w:themeShade="80"/>
              <w:right w:val="single" w:sz="12" w:space="0" w:color="808080" w:themeColor="background1" w:themeShade="80"/>
            </w:tcBorders>
            <w:shd w:val="clear" w:color="auto" w:fill="D9D9D9" w:themeFill="background1" w:themeFillShade="D9"/>
            <w:noWrap/>
            <w:vAlign w:val="center"/>
            <w:hideMark/>
          </w:tcPr>
          <w:p w14:paraId="0F18A83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2.7</w:t>
            </w:r>
          </w:p>
        </w:tc>
        <w:tc>
          <w:tcPr>
            <w:tcW w:w="1223" w:type="dxa"/>
            <w:tcBorders>
              <w:top w:val="single" w:sz="2" w:space="0" w:color="auto"/>
              <w:left w:val="single" w:sz="12" w:space="0" w:color="808080" w:themeColor="background1" w:themeShade="80"/>
              <w:bottom w:val="single" w:sz="12" w:space="0" w:color="808080" w:themeColor="background1" w:themeShade="80"/>
            </w:tcBorders>
            <w:shd w:val="clear" w:color="auto" w:fill="D9D9D9" w:themeFill="background1" w:themeFillShade="D9"/>
            <w:noWrap/>
            <w:vAlign w:val="center"/>
            <w:hideMark/>
          </w:tcPr>
          <w:p w14:paraId="3FFA1BC6"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65.8</w:t>
            </w:r>
          </w:p>
        </w:tc>
        <w:tc>
          <w:tcPr>
            <w:tcW w:w="1222" w:type="dxa"/>
            <w:tcBorders>
              <w:top w:val="single" w:sz="2" w:space="0" w:color="auto"/>
              <w:bottom w:val="single" w:sz="12" w:space="0" w:color="808080" w:themeColor="background1" w:themeShade="80"/>
            </w:tcBorders>
            <w:shd w:val="clear" w:color="auto" w:fill="D9D9D9" w:themeFill="background1" w:themeFillShade="D9"/>
            <w:noWrap/>
            <w:vAlign w:val="center"/>
            <w:hideMark/>
          </w:tcPr>
          <w:p w14:paraId="790853F1"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31.0</w:t>
            </w:r>
          </w:p>
        </w:tc>
        <w:tc>
          <w:tcPr>
            <w:tcW w:w="1223" w:type="dxa"/>
            <w:tcBorders>
              <w:top w:val="single" w:sz="2" w:space="0" w:color="auto"/>
              <w:bottom w:val="single" w:sz="12" w:space="0" w:color="808080" w:themeColor="background1" w:themeShade="80"/>
              <w:right w:val="nil"/>
            </w:tcBorders>
            <w:shd w:val="clear" w:color="auto" w:fill="D9D9D9" w:themeFill="background1" w:themeFillShade="D9"/>
            <w:noWrap/>
            <w:vAlign w:val="center"/>
            <w:hideMark/>
          </w:tcPr>
          <w:p w14:paraId="4F893CA9"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3.2</w:t>
            </w:r>
          </w:p>
        </w:tc>
      </w:tr>
      <w:tr w:rsidR="00561D6E" w:rsidRPr="00BF02CB" w14:paraId="11FA40B0" w14:textId="77777777" w:rsidTr="00C36529">
        <w:trPr>
          <w:trHeight w:val="20"/>
        </w:trPr>
        <w:tc>
          <w:tcPr>
            <w:tcW w:w="1243" w:type="dxa"/>
            <w:vMerge w:val="restart"/>
            <w:tcBorders>
              <w:top w:val="nil"/>
              <w:left w:val="nil"/>
              <w:bottom w:val="single" w:sz="12" w:space="0" w:color="FFFFFF"/>
              <w:right w:val="nil"/>
            </w:tcBorders>
            <w:shd w:val="clear" w:color="000000" w:fill="808080"/>
            <w:vAlign w:val="center"/>
            <w:hideMark/>
          </w:tcPr>
          <w:p w14:paraId="2BAB3917" w14:textId="77777777" w:rsidR="00561D6E" w:rsidRPr="00BF02CB" w:rsidRDefault="00561D6E" w:rsidP="00561D6E">
            <w:pPr>
              <w:spacing w:after="0"/>
              <w:rPr>
                <w:rFonts w:ascii="Arial" w:hAnsi="Arial" w:cs="Arial"/>
                <w:color w:val="FFFFFF"/>
                <w:sz w:val="18"/>
                <w:szCs w:val="18"/>
              </w:rPr>
            </w:pPr>
            <w:r w:rsidRPr="00BF02CB">
              <w:rPr>
                <w:rFonts w:ascii="Arial" w:hAnsi="Arial" w:cs="Arial"/>
                <w:color w:val="FFFFFF"/>
                <w:sz w:val="18"/>
                <w:szCs w:val="18"/>
              </w:rPr>
              <w:t>Public Hospital Peer Group</w:t>
            </w:r>
          </w:p>
        </w:tc>
        <w:tc>
          <w:tcPr>
            <w:tcW w:w="3734" w:type="dxa"/>
            <w:tcBorders>
              <w:top w:val="single" w:sz="12" w:space="0" w:color="808080" w:themeColor="background1" w:themeShade="80"/>
              <w:left w:val="nil"/>
              <w:bottom w:val="single" w:sz="2" w:space="0" w:color="auto"/>
              <w:right w:val="single" w:sz="12" w:space="0" w:color="808080" w:themeColor="background1" w:themeShade="80"/>
            </w:tcBorders>
            <w:shd w:val="clear" w:color="auto" w:fill="auto"/>
            <w:noWrap/>
            <w:vAlign w:val="center"/>
            <w:hideMark/>
          </w:tcPr>
          <w:p w14:paraId="62B9EF5C"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Principal referral</w:t>
            </w:r>
          </w:p>
        </w:tc>
        <w:tc>
          <w:tcPr>
            <w:tcW w:w="1222" w:type="dxa"/>
            <w:tcBorders>
              <w:top w:val="single" w:sz="12" w:space="0" w:color="808080" w:themeColor="background1" w:themeShade="80"/>
              <w:left w:val="single" w:sz="12" w:space="0" w:color="808080" w:themeColor="background1" w:themeShade="80"/>
              <w:bottom w:val="single" w:sz="2" w:space="0" w:color="auto"/>
            </w:tcBorders>
            <w:shd w:val="clear" w:color="auto" w:fill="auto"/>
            <w:noWrap/>
            <w:vAlign w:val="center"/>
            <w:hideMark/>
          </w:tcPr>
          <w:p w14:paraId="12208B9E"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54.2</w:t>
            </w:r>
          </w:p>
        </w:tc>
        <w:tc>
          <w:tcPr>
            <w:tcW w:w="1223" w:type="dxa"/>
            <w:tcBorders>
              <w:top w:val="single" w:sz="12" w:space="0" w:color="808080" w:themeColor="background1" w:themeShade="80"/>
              <w:bottom w:val="single" w:sz="2" w:space="0" w:color="auto"/>
            </w:tcBorders>
            <w:shd w:val="clear" w:color="auto" w:fill="auto"/>
            <w:noWrap/>
            <w:vAlign w:val="center"/>
            <w:hideMark/>
          </w:tcPr>
          <w:p w14:paraId="0598F52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20.4</w:t>
            </w:r>
          </w:p>
        </w:tc>
        <w:tc>
          <w:tcPr>
            <w:tcW w:w="1222" w:type="dxa"/>
            <w:tcBorders>
              <w:top w:val="single" w:sz="12" w:space="0" w:color="808080" w:themeColor="background1" w:themeShade="80"/>
              <w:bottom w:val="single" w:sz="2" w:space="0" w:color="auto"/>
            </w:tcBorders>
            <w:shd w:val="clear" w:color="auto" w:fill="auto"/>
            <w:noWrap/>
            <w:vAlign w:val="center"/>
            <w:hideMark/>
          </w:tcPr>
          <w:p w14:paraId="5801C151"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18.0</w:t>
            </w:r>
          </w:p>
        </w:tc>
        <w:tc>
          <w:tcPr>
            <w:tcW w:w="1223" w:type="dxa"/>
            <w:tcBorders>
              <w:top w:val="single" w:sz="12" w:space="0" w:color="808080" w:themeColor="background1" w:themeShade="80"/>
              <w:bottom w:val="single" w:sz="2" w:space="0" w:color="auto"/>
            </w:tcBorders>
            <w:shd w:val="clear" w:color="auto" w:fill="auto"/>
            <w:noWrap/>
            <w:vAlign w:val="center"/>
            <w:hideMark/>
          </w:tcPr>
          <w:p w14:paraId="56622CB2"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4.0</w:t>
            </w:r>
          </w:p>
        </w:tc>
        <w:tc>
          <w:tcPr>
            <w:tcW w:w="1222" w:type="dxa"/>
            <w:tcBorders>
              <w:top w:val="single" w:sz="12" w:space="0" w:color="808080" w:themeColor="background1" w:themeShade="80"/>
              <w:bottom w:val="single" w:sz="2" w:space="0" w:color="auto"/>
              <w:right w:val="single" w:sz="12" w:space="0" w:color="808080" w:themeColor="background1" w:themeShade="80"/>
            </w:tcBorders>
            <w:shd w:val="clear" w:color="auto" w:fill="auto"/>
            <w:noWrap/>
            <w:vAlign w:val="center"/>
            <w:hideMark/>
          </w:tcPr>
          <w:p w14:paraId="0F599490"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3.4</w:t>
            </w:r>
          </w:p>
        </w:tc>
        <w:tc>
          <w:tcPr>
            <w:tcW w:w="1223" w:type="dxa"/>
            <w:tcBorders>
              <w:top w:val="single" w:sz="12" w:space="0" w:color="808080" w:themeColor="background1" w:themeShade="80"/>
              <w:left w:val="single" w:sz="12" w:space="0" w:color="808080" w:themeColor="background1" w:themeShade="80"/>
              <w:bottom w:val="single" w:sz="2" w:space="0" w:color="auto"/>
            </w:tcBorders>
            <w:shd w:val="clear" w:color="auto" w:fill="auto"/>
            <w:noWrap/>
            <w:vAlign w:val="center"/>
            <w:hideMark/>
          </w:tcPr>
          <w:p w14:paraId="7AA5215D"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76.6</w:t>
            </w:r>
          </w:p>
        </w:tc>
        <w:tc>
          <w:tcPr>
            <w:tcW w:w="1222" w:type="dxa"/>
            <w:tcBorders>
              <w:top w:val="single" w:sz="12" w:space="0" w:color="808080" w:themeColor="background1" w:themeShade="80"/>
              <w:bottom w:val="single" w:sz="2" w:space="0" w:color="auto"/>
            </w:tcBorders>
            <w:shd w:val="clear" w:color="auto" w:fill="auto"/>
            <w:noWrap/>
            <w:vAlign w:val="center"/>
            <w:hideMark/>
          </w:tcPr>
          <w:p w14:paraId="2BFDF0CF"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19.4</w:t>
            </w:r>
          </w:p>
        </w:tc>
        <w:tc>
          <w:tcPr>
            <w:tcW w:w="1223" w:type="dxa"/>
            <w:tcBorders>
              <w:top w:val="single" w:sz="12" w:space="0" w:color="808080" w:themeColor="background1" w:themeShade="80"/>
              <w:bottom w:val="single" w:sz="2" w:space="0" w:color="auto"/>
              <w:right w:val="nil"/>
            </w:tcBorders>
            <w:shd w:val="clear" w:color="auto" w:fill="auto"/>
            <w:noWrap/>
            <w:vAlign w:val="center"/>
            <w:hideMark/>
          </w:tcPr>
          <w:p w14:paraId="480C1123"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4.0</w:t>
            </w:r>
          </w:p>
        </w:tc>
      </w:tr>
      <w:tr w:rsidR="00561D6E" w:rsidRPr="00BF02CB" w14:paraId="63F1A540" w14:textId="77777777" w:rsidTr="00C36529">
        <w:trPr>
          <w:trHeight w:val="20"/>
        </w:trPr>
        <w:tc>
          <w:tcPr>
            <w:tcW w:w="1243" w:type="dxa"/>
            <w:vMerge/>
            <w:tcBorders>
              <w:top w:val="nil"/>
              <w:left w:val="nil"/>
              <w:bottom w:val="single" w:sz="12" w:space="0" w:color="FFFFFF"/>
              <w:right w:val="nil"/>
            </w:tcBorders>
            <w:vAlign w:val="center"/>
            <w:hideMark/>
          </w:tcPr>
          <w:p w14:paraId="489052AA"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auto" w:fill="auto"/>
            <w:noWrap/>
            <w:vAlign w:val="center"/>
            <w:hideMark/>
          </w:tcPr>
          <w:p w14:paraId="63C01C79"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Public acute group A hospitals</w:t>
            </w:r>
          </w:p>
        </w:tc>
        <w:tc>
          <w:tcPr>
            <w:tcW w:w="1222"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5C112A31"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50.8</w:t>
            </w:r>
          </w:p>
        </w:tc>
        <w:tc>
          <w:tcPr>
            <w:tcW w:w="1223" w:type="dxa"/>
            <w:tcBorders>
              <w:top w:val="single" w:sz="2" w:space="0" w:color="auto"/>
              <w:bottom w:val="single" w:sz="2" w:space="0" w:color="auto"/>
            </w:tcBorders>
            <w:shd w:val="clear" w:color="auto" w:fill="auto"/>
            <w:noWrap/>
            <w:vAlign w:val="center"/>
            <w:hideMark/>
          </w:tcPr>
          <w:p w14:paraId="198C8AA5"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30.0</w:t>
            </w:r>
          </w:p>
        </w:tc>
        <w:tc>
          <w:tcPr>
            <w:tcW w:w="1222" w:type="dxa"/>
            <w:tcBorders>
              <w:top w:val="single" w:sz="2" w:space="0" w:color="auto"/>
              <w:bottom w:val="single" w:sz="2" w:space="0" w:color="auto"/>
            </w:tcBorders>
            <w:shd w:val="clear" w:color="auto" w:fill="auto"/>
            <w:noWrap/>
            <w:vAlign w:val="center"/>
            <w:hideMark/>
          </w:tcPr>
          <w:p w14:paraId="3FAFA48C"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13.0</w:t>
            </w:r>
          </w:p>
        </w:tc>
        <w:tc>
          <w:tcPr>
            <w:tcW w:w="1223" w:type="dxa"/>
            <w:tcBorders>
              <w:top w:val="single" w:sz="2" w:space="0" w:color="auto"/>
              <w:bottom w:val="single" w:sz="2" w:space="0" w:color="auto"/>
            </w:tcBorders>
            <w:shd w:val="clear" w:color="auto" w:fill="auto"/>
            <w:noWrap/>
            <w:vAlign w:val="center"/>
            <w:hideMark/>
          </w:tcPr>
          <w:p w14:paraId="50486913"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3.2</w:t>
            </w:r>
          </w:p>
        </w:tc>
        <w:tc>
          <w:tcPr>
            <w:tcW w:w="1222" w:type="dxa"/>
            <w:tcBorders>
              <w:top w:val="single" w:sz="2" w:space="0" w:color="auto"/>
              <w:bottom w:val="single" w:sz="2" w:space="0" w:color="auto"/>
              <w:right w:val="single" w:sz="12" w:space="0" w:color="808080" w:themeColor="background1" w:themeShade="80"/>
            </w:tcBorders>
            <w:shd w:val="clear" w:color="auto" w:fill="auto"/>
            <w:noWrap/>
            <w:vAlign w:val="center"/>
            <w:hideMark/>
          </w:tcPr>
          <w:p w14:paraId="04F3CC0E"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2.9</w:t>
            </w:r>
          </w:p>
        </w:tc>
        <w:tc>
          <w:tcPr>
            <w:tcW w:w="1223"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17E7F9DF"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71.8</w:t>
            </w:r>
          </w:p>
        </w:tc>
        <w:tc>
          <w:tcPr>
            <w:tcW w:w="1222" w:type="dxa"/>
            <w:tcBorders>
              <w:top w:val="single" w:sz="2" w:space="0" w:color="auto"/>
              <w:bottom w:val="single" w:sz="2" w:space="0" w:color="auto"/>
            </w:tcBorders>
            <w:shd w:val="clear" w:color="auto" w:fill="auto"/>
            <w:noWrap/>
            <w:vAlign w:val="center"/>
            <w:hideMark/>
          </w:tcPr>
          <w:p w14:paraId="3969B01C"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24.9</w:t>
            </w:r>
          </w:p>
        </w:tc>
        <w:tc>
          <w:tcPr>
            <w:tcW w:w="1223" w:type="dxa"/>
            <w:tcBorders>
              <w:top w:val="single" w:sz="2" w:space="0" w:color="auto"/>
              <w:bottom w:val="single" w:sz="2" w:space="0" w:color="auto"/>
              <w:right w:val="nil"/>
            </w:tcBorders>
            <w:shd w:val="clear" w:color="auto" w:fill="auto"/>
            <w:noWrap/>
            <w:vAlign w:val="center"/>
            <w:hideMark/>
          </w:tcPr>
          <w:p w14:paraId="269602AE"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3.3</w:t>
            </w:r>
          </w:p>
        </w:tc>
      </w:tr>
      <w:tr w:rsidR="00561D6E" w:rsidRPr="00BF02CB" w14:paraId="776E0580" w14:textId="77777777" w:rsidTr="00C36529">
        <w:trPr>
          <w:trHeight w:val="20"/>
        </w:trPr>
        <w:tc>
          <w:tcPr>
            <w:tcW w:w="1243" w:type="dxa"/>
            <w:vMerge/>
            <w:tcBorders>
              <w:top w:val="nil"/>
              <w:left w:val="nil"/>
              <w:bottom w:val="single" w:sz="12" w:space="0" w:color="FFFFFF"/>
              <w:right w:val="nil"/>
            </w:tcBorders>
            <w:vAlign w:val="center"/>
            <w:hideMark/>
          </w:tcPr>
          <w:p w14:paraId="485D7280"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auto" w:fill="auto"/>
            <w:noWrap/>
            <w:vAlign w:val="center"/>
            <w:hideMark/>
          </w:tcPr>
          <w:p w14:paraId="43FE61B4"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Public acute group B hospitals</w:t>
            </w:r>
          </w:p>
        </w:tc>
        <w:tc>
          <w:tcPr>
            <w:tcW w:w="1222"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10F721FE"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54.5</w:t>
            </w:r>
          </w:p>
        </w:tc>
        <w:tc>
          <w:tcPr>
            <w:tcW w:w="1223" w:type="dxa"/>
            <w:tcBorders>
              <w:top w:val="single" w:sz="2" w:space="0" w:color="auto"/>
              <w:bottom w:val="single" w:sz="2" w:space="0" w:color="auto"/>
            </w:tcBorders>
            <w:shd w:val="clear" w:color="auto" w:fill="auto"/>
            <w:noWrap/>
            <w:vAlign w:val="center"/>
            <w:hideMark/>
          </w:tcPr>
          <w:p w14:paraId="73DFBA74"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27.9</w:t>
            </w:r>
          </w:p>
        </w:tc>
        <w:tc>
          <w:tcPr>
            <w:tcW w:w="1222" w:type="dxa"/>
            <w:tcBorders>
              <w:top w:val="single" w:sz="2" w:space="0" w:color="auto"/>
              <w:bottom w:val="single" w:sz="2" w:space="0" w:color="auto"/>
            </w:tcBorders>
            <w:shd w:val="clear" w:color="auto" w:fill="auto"/>
            <w:noWrap/>
            <w:vAlign w:val="center"/>
            <w:hideMark/>
          </w:tcPr>
          <w:p w14:paraId="6900E24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10.3</w:t>
            </w:r>
          </w:p>
        </w:tc>
        <w:tc>
          <w:tcPr>
            <w:tcW w:w="1223" w:type="dxa"/>
            <w:tcBorders>
              <w:top w:val="single" w:sz="2" w:space="0" w:color="auto"/>
              <w:bottom w:val="single" w:sz="2" w:space="0" w:color="auto"/>
            </w:tcBorders>
            <w:shd w:val="clear" w:color="auto" w:fill="auto"/>
            <w:noWrap/>
            <w:vAlign w:val="center"/>
            <w:hideMark/>
          </w:tcPr>
          <w:p w14:paraId="61F5E4F5"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3.1</w:t>
            </w:r>
          </w:p>
        </w:tc>
        <w:tc>
          <w:tcPr>
            <w:tcW w:w="1222" w:type="dxa"/>
            <w:tcBorders>
              <w:top w:val="single" w:sz="2" w:space="0" w:color="auto"/>
              <w:bottom w:val="single" w:sz="2" w:space="0" w:color="auto"/>
              <w:right w:val="single" w:sz="12" w:space="0" w:color="808080" w:themeColor="background1" w:themeShade="80"/>
            </w:tcBorders>
            <w:shd w:val="clear" w:color="auto" w:fill="auto"/>
            <w:noWrap/>
            <w:vAlign w:val="center"/>
            <w:hideMark/>
          </w:tcPr>
          <w:p w14:paraId="315D6E0F"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4.3</w:t>
            </w:r>
          </w:p>
        </w:tc>
        <w:tc>
          <w:tcPr>
            <w:tcW w:w="1223"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6854143B"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73.6</w:t>
            </w:r>
          </w:p>
        </w:tc>
        <w:tc>
          <w:tcPr>
            <w:tcW w:w="1222" w:type="dxa"/>
            <w:tcBorders>
              <w:top w:val="single" w:sz="2" w:space="0" w:color="auto"/>
              <w:bottom w:val="single" w:sz="2" w:space="0" w:color="auto"/>
            </w:tcBorders>
            <w:shd w:val="clear" w:color="auto" w:fill="auto"/>
            <w:noWrap/>
            <w:vAlign w:val="center"/>
            <w:hideMark/>
          </w:tcPr>
          <w:p w14:paraId="7C991304"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21.8</w:t>
            </w:r>
          </w:p>
        </w:tc>
        <w:tc>
          <w:tcPr>
            <w:tcW w:w="1223" w:type="dxa"/>
            <w:tcBorders>
              <w:top w:val="single" w:sz="2" w:space="0" w:color="auto"/>
              <w:bottom w:val="single" w:sz="2" w:space="0" w:color="auto"/>
              <w:right w:val="nil"/>
            </w:tcBorders>
            <w:shd w:val="clear" w:color="auto" w:fill="auto"/>
            <w:noWrap/>
            <w:vAlign w:val="center"/>
            <w:hideMark/>
          </w:tcPr>
          <w:p w14:paraId="177B7CC3"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4.6</w:t>
            </w:r>
          </w:p>
        </w:tc>
      </w:tr>
      <w:tr w:rsidR="00561D6E" w:rsidRPr="00BF02CB" w14:paraId="30C584B2" w14:textId="77777777" w:rsidTr="00C36529">
        <w:trPr>
          <w:trHeight w:val="20"/>
        </w:trPr>
        <w:tc>
          <w:tcPr>
            <w:tcW w:w="1243" w:type="dxa"/>
            <w:vMerge/>
            <w:tcBorders>
              <w:top w:val="nil"/>
              <w:left w:val="nil"/>
              <w:bottom w:val="single" w:sz="12" w:space="0" w:color="FFFFFF"/>
              <w:right w:val="nil"/>
            </w:tcBorders>
            <w:vAlign w:val="center"/>
            <w:hideMark/>
          </w:tcPr>
          <w:p w14:paraId="52D5F656"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auto" w:fill="auto"/>
            <w:noWrap/>
            <w:vAlign w:val="center"/>
            <w:hideMark/>
          </w:tcPr>
          <w:p w14:paraId="75581E60"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Public acute group C hospitals</w:t>
            </w:r>
          </w:p>
        </w:tc>
        <w:tc>
          <w:tcPr>
            <w:tcW w:w="1222"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5092409C"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56.8</w:t>
            </w:r>
          </w:p>
        </w:tc>
        <w:tc>
          <w:tcPr>
            <w:tcW w:w="1223" w:type="dxa"/>
            <w:tcBorders>
              <w:top w:val="single" w:sz="2" w:space="0" w:color="auto"/>
              <w:bottom w:val="single" w:sz="2" w:space="0" w:color="auto"/>
            </w:tcBorders>
            <w:shd w:val="clear" w:color="auto" w:fill="auto"/>
            <w:noWrap/>
            <w:vAlign w:val="center"/>
            <w:hideMark/>
          </w:tcPr>
          <w:p w14:paraId="15C584B4"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30.3</w:t>
            </w:r>
          </w:p>
        </w:tc>
        <w:tc>
          <w:tcPr>
            <w:tcW w:w="1222" w:type="dxa"/>
            <w:tcBorders>
              <w:top w:val="single" w:sz="2" w:space="0" w:color="auto"/>
              <w:bottom w:val="single" w:sz="2" w:space="0" w:color="auto"/>
            </w:tcBorders>
            <w:shd w:val="clear" w:color="auto" w:fill="auto"/>
            <w:noWrap/>
            <w:vAlign w:val="center"/>
            <w:hideMark/>
          </w:tcPr>
          <w:p w14:paraId="5580B3AC"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7.1</w:t>
            </w:r>
          </w:p>
        </w:tc>
        <w:tc>
          <w:tcPr>
            <w:tcW w:w="1223" w:type="dxa"/>
            <w:tcBorders>
              <w:top w:val="single" w:sz="2" w:space="0" w:color="auto"/>
              <w:bottom w:val="single" w:sz="2" w:space="0" w:color="auto"/>
            </w:tcBorders>
            <w:shd w:val="clear" w:color="auto" w:fill="auto"/>
            <w:noWrap/>
            <w:vAlign w:val="center"/>
            <w:hideMark/>
          </w:tcPr>
          <w:p w14:paraId="4579B5DC"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1.9</w:t>
            </w:r>
          </w:p>
        </w:tc>
        <w:tc>
          <w:tcPr>
            <w:tcW w:w="1222" w:type="dxa"/>
            <w:tcBorders>
              <w:top w:val="single" w:sz="2" w:space="0" w:color="auto"/>
              <w:bottom w:val="single" w:sz="2" w:space="0" w:color="auto"/>
              <w:right w:val="single" w:sz="12" w:space="0" w:color="808080" w:themeColor="background1" w:themeShade="80"/>
            </w:tcBorders>
            <w:shd w:val="clear" w:color="auto" w:fill="auto"/>
            <w:noWrap/>
            <w:vAlign w:val="center"/>
            <w:hideMark/>
          </w:tcPr>
          <w:p w14:paraId="694293BC"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4.0</w:t>
            </w:r>
          </w:p>
        </w:tc>
        <w:tc>
          <w:tcPr>
            <w:tcW w:w="1223"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3A2A72D5"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71.4</w:t>
            </w:r>
          </w:p>
        </w:tc>
        <w:tc>
          <w:tcPr>
            <w:tcW w:w="1222" w:type="dxa"/>
            <w:tcBorders>
              <w:top w:val="single" w:sz="2" w:space="0" w:color="auto"/>
              <w:bottom w:val="single" w:sz="2" w:space="0" w:color="auto"/>
            </w:tcBorders>
            <w:shd w:val="clear" w:color="auto" w:fill="auto"/>
            <w:noWrap/>
            <w:vAlign w:val="center"/>
            <w:hideMark/>
          </w:tcPr>
          <w:p w14:paraId="09841F90"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23.7</w:t>
            </w:r>
          </w:p>
        </w:tc>
        <w:tc>
          <w:tcPr>
            <w:tcW w:w="1223" w:type="dxa"/>
            <w:tcBorders>
              <w:top w:val="single" w:sz="2" w:space="0" w:color="auto"/>
              <w:bottom w:val="single" w:sz="2" w:space="0" w:color="auto"/>
              <w:right w:val="nil"/>
            </w:tcBorders>
            <w:shd w:val="clear" w:color="auto" w:fill="auto"/>
            <w:noWrap/>
            <w:vAlign w:val="center"/>
            <w:hideMark/>
          </w:tcPr>
          <w:p w14:paraId="2CBB840C"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4.9</w:t>
            </w:r>
          </w:p>
        </w:tc>
      </w:tr>
      <w:tr w:rsidR="00561D6E" w:rsidRPr="00BF02CB" w14:paraId="100D38BF" w14:textId="77777777" w:rsidTr="00C36529">
        <w:trPr>
          <w:trHeight w:val="20"/>
        </w:trPr>
        <w:tc>
          <w:tcPr>
            <w:tcW w:w="1243" w:type="dxa"/>
            <w:vMerge/>
            <w:tcBorders>
              <w:top w:val="nil"/>
              <w:left w:val="nil"/>
              <w:bottom w:val="single" w:sz="12" w:space="0" w:color="FFFFFF"/>
              <w:right w:val="nil"/>
            </w:tcBorders>
            <w:vAlign w:val="center"/>
            <w:hideMark/>
          </w:tcPr>
          <w:p w14:paraId="24806D51"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auto" w:fill="auto"/>
            <w:noWrap/>
            <w:vAlign w:val="center"/>
            <w:hideMark/>
          </w:tcPr>
          <w:p w14:paraId="6DEE8F4B"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Public acute group D hospitals</w:t>
            </w:r>
          </w:p>
        </w:tc>
        <w:tc>
          <w:tcPr>
            <w:tcW w:w="1222"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73FC2C66"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44.9</w:t>
            </w:r>
          </w:p>
        </w:tc>
        <w:tc>
          <w:tcPr>
            <w:tcW w:w="1223" w:type="dxa"/>
            <w:tcBorders>
              <w:top w:val="single" w:sz="2" w:space="0" w:color="auto"/>
              <w:bottom w:val="single" w:sz="2" w:space="0" w:color="auto"/>
            </w:tcBorders>
            <w:shd w:val="clear" w:color="auto" w:fill="auto"/>
            <w:noWrap/>
            <w:vAlign w:val="center"/>
            <w:hideMark/>
          </w:tcPr>
          <w:p w14:paraId="2C404482"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40.9</w:t>
            </w:r>
          </w:p>
        </w:tc>
        <w:tc>
          <w:tcPr>
            <w:tcW w:w="1222" w:type="dxa"/>
            <w:tcBorders>
              <w:top w:val="single" w:sz="2" w:space="0" w:color="auto"/>
              <w:bottom w:val="single" w:sz="2" w:space="0" w:color="auto"/>
            </w:tcBorders>
            <w:shd w:val="clear" w:color="auto" w:fill="auto"/>
            <w:noWrap/>
            <w:vAlign w:val="center"/>
            <w:hideMark/>
          </w:tcPr>
          <w:p w14:paraId="38910804"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8.8</w:t>
            </w:r>
          </w:p>
        </w:tc>
        <w:tc>
          <w:tcPr>
            <w:tcW w:w="1223" w:type="dxa"/>
            <w:tcBorders>
              <w:top w:val="single" w:sz="2" w:space="0" w:color="auto"/>
              <w:bottom w:val="single" w:sz="2" w:space="0" w:color="auto"/>
            </w:tcBorders>
            <w:shd w:val="clear" w:color="auto" w:fill="auto"/>
            <w:noWrap/>
            <w:vAlign w:val="center"/>
            <w:hideMark/>
          </w:tcPr>
          <w:p w14:paraId="2EED64A9"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2.9</w:t>
            </w:r>
          </w:p>
        </w:tc>
        <w:tc>
          <w:tcPr>
            <w:tcW w:w="1222" w:type="dxa"/>
            <w:tcBorders>
              <w:top w:val="single" w:sz="2" w:space="0" w:color="auto"/>
              <w:bottom w:val="single" w:sz="2" w:space="0" w:color="auto"/>
              <w:right w:val="single" w:sz="12" w:space="0" w:color="808080" w:themeColor="background1" w:themeShade="80"/>
            </w:tcBorders>
            <w:shd w:val="clear" w:color="auto" w:fill="auto"/>
            <w:noWrap/>
            <w:vAlign w:val="center"/>
            <w:hideMark/>
          </w:tcPr>
          <w:p w14:paraId="643B6DC0"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2.6</w:t>
            </w:r>
          </w:p>
        </w:tc>
        <w:tc>
          <w:tcPr>
            <w:tcW w:w="1223"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56EE4E1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61.7</w:t>
            </w:r>
          </w:p>
        </w:tc>
        <w:tc>
          <w:tcPr>
            <w:tcW w:w="1222" w:type="dxa"/>
            <w:tcBorders>
              <w:top w:val="single" w:sz="2" w:space="0" w:color="auto"/>
              <w:bottom w:val="single" w:sz="2" w:space="0" w:color="auto"/>
            </w:tcBorders>
            <w:shd w:val="clear" w:color="auto" w:fill="auto"/>
            <w:noWrap/>
            <w:vAlign w:val="center"/>
            <w:hideMark/>
          </w:tcPr>
          <w:p w14:paraId="0F36C56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34.2</w:t>
            </w:r>
          </w:p>
        </w:tc>
        <w:tc>
          <w:tcPr>
            <w:tcW w:w="1223" w:type="dxa"/>
            <w:tcBorders>
              <w:top w:val="single" w:sz="2" w:space="0" w:color="auto"/>
              <w:bottom w:val="single" w:sz="2" w:space="0" w:color="auto"/>
              <w:right w:val="nil"/>
            </w:tcBorders>
            <w:shd w:val="clear" w:color="auto" w:fill="auto"/>
            <w:noWrap/>
            <w:vAlign w:val="center"/>
            <w:hideMark/>
          </w:tcPr>
          <w:p w14:paraId="43402D0E"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4.0</w:t>
            </w:r>
          </w:p>
        </w:tc>
      </w:tr>
      <w:tr w:rsidR="00561D6E" w:rsidRPr="00BF02CB" w14:paraId="4F9AE269" w14:textId="77777777" w:rsidTr="00C36529">
        <w:trPr>
          <w:trHeight w:val="20"/>
        </w:trPr>
        <w:tc>
          <w:tcPr>
            <w:tcW w:w="1243" w:type="dxa"/>
            <w:vMerge/>
            <w:tcBorders>
              <w:top w:val="nil"/>
              <w:left w:val="nil"/>
              <w:bottom w:val="single" w:sz="12" w:space="0" w:color="FFFFFF"/>
              <w:right w:val="nil"/>
            </w:tcBorders>
            <w:vAlign w:val="center"/>
            <w:hideMark/>
          </w:tcPr>
          <w:p w14:paraId="6646B5E0"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auto" w:fill="auto"/>
            <w:noWrap/>
            <w:vAlign w:val="center"/>
            <w:hideMark/>
          </w:tcPr>
          <w:p w14:paraId="41BC3EF2"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Other acute specialised hospitals</w:t>
            </w:r>
          </w:p>
        </w:tc>
        <w:tc>
          <w:tcPr>
            <w:tcW w:w="1222"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6DC7AB52"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84.4</w:t>
            </w:r>
          </w:p>
        </w:tc>
        <w:tc>
          <w:tcPr>
            <w:tcW w:w="1223" w:type="dxa"/>
            <w:tcBorders>
              <w:top w:val="single" w:sz="2" w:space="0" w:color="auto"/>
              <w:bottom w:val="single" w:sz="2" w:space="0" w:color="auto"/>
            </w:tcBorders>
            <w:shd w:val="clear" w:color="auto" w:fill="auto"/>
            <w:noWrap/>
            <w:vAlign w:val="center"/>
            <w:hideMark/>
          </w:tcPr>
          <w:p w14:paraId="200447B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10.4</w:t>
            </w:r>
          </w:p>
        </w:tc>
        <w:tc>
          <w:tcPr>
            <w:tcW w:w="1222" w:type="dxa"/>
            <w:tcBorders>
              <w:top w:val="single" w:sz="2" w:space="0" w:color="auto"/>
              <w:bottom w:val="single" w:sz="2" w:space="0" w:color="auto"/>
            </w:tcBorders>
            <w:shd w:val="clear" w:color="auto" w:fill="auto"/>
            <w:noWrap/>
            <w:vAlign w:val="center"/>
            <w:hideMark/>
          </w:tcPr>
          <w:p w14:paraId="5F406370"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0.0</w:t>
            </w:r>
          </w:p>
        </w:tc>
        <w:tc>
          <w:tcPr>
            <w:tcW w:w="1223" w:type="dxa"/>
            <w:tcBorders>
              <w:top w:val="single" w:sz="2" w:space="0" w:color="auto"/>
              <w:bottom w:val="single" w:sz="2" w:space="0" w:color="auto"/>
            </w:tcBorders>
            <w:shd w:val="clear" w:color="auto" w:fill="auto"/>
            <w:noWrap/>
            <w:vAlign w:val="center"/>
            <w:hideMark/>
          </w:tcPr>
          <w:p w14:paraId="4433BAB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1.3</w:t>
            </w:r>
          </w:p>
        </w:tc>
        <w:tc>
          <w:tcPr>
            <w:tcW w:w="1222" w:type="dxa"/>
            <w:tcBorders>
              <w:top w:val="single" w:sz="2" w:space="0" w:color="auto"/>
              <w:bottom w:val="single" w:sz="2" w:space="0" w:color="auto"/>
              <w:right w:val="single" w:sz="12" w:space="0" w:color="808080" w:themeColor="background1" w:themeShade="80"/>
            </w:tcBorders>
            <w:shd w:val="clear" w:color="auto" w:fill="auto"/>
            <w:noWrap/>
            <w:vAlign w:val="center"/>
            <w:hideMark/>
          </w:tcPr>
          <w:p w14:paraId="0F8F086D"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3.9</w:t>
            </w:r>
          </w:p>
        </w:tc>
        <w:tc>
          <w:tcPr>
            <w:tcW w:w="1223"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7D43006E"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85.7</w:t>
            </w:r>
          </w:p>
        </w:tc>
        <w:tc>
          <w:tcPr>
            <w:tcW w:w="1222" w:type="dxa"/>
            <w:tcBorders>
              <w:top w:val="single" w:sz="2" w:space="0" w:color="auto"/>
              <w:bottom w:val="single" w:sz="2" w:space="0" w:color="auto"/>
            </w:tcBorders>
            <w:shd w:val="clear" w:color="auto" w:fill="auto"/>
            <w:noWrap/>
            <w:vAlign w:val="center"/>
            <w:hideMark/>
          </w:tcPr>
          <w:p w14:paraId="0E747D11"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9.1</w:t>
            </w:r>
          </w:p>
        </w:tc>
        <w:tc>
          <w:tcPr>
            <w:tcW w:w="1223" w:type="dxa"/>
            <w:tcBorders>
              <w:top w:val="single" w:sz="2" w:space="0" w:color="auto"/>
              <w:bottom w:val="single" w:sz="2" w:space="0" w:color="auto"/>
              <w:right w:val="nil"/>
            </w:tcBorders>
            <w:shd w:val="clear" w:color="auto" w:fill="auto"/>
            <w:noWrap/>
            <w:vAlign w:val="center"/>
            <w:hideMark/>
          </w:tcPr>
          <w:p w14:paraId="25EEA774"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5.2</w:t>
            </w:r>
          </w:p>
        </w:tc>
      </w:tr>
      <w:tr w:rsidR="00561D6E" w:rsidRPr="00BF02CB" w14:paraId="3EE0405E" w14:textId="77777777" w:rsidTr="00C36529">
        <w:trPr>
          <w:trHeight w:val="20"/>
        </w:trPr>
        <w:tc>
          <w:tcPr>
            <w:tcW w:w="1243" w:type="dxa"/>
            <w:vMerge/>
            <w:tcBorders>
              <w:top w:val="nil"/>
              <w:left w:val="nil"/>
              <w:bottom w:val="single" w:sz="12" w:space="0" w:color="FFFFFF"/>
              <w:right w:val="nil"/>
            </w:tcBorders>
            <w:vAlign w:val="center"/>
            <w:hideMark/>
          </w:tcPr>
          <w:p w14:paraId="03ECA4C0"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auto" w:fill="auto"/>
            <w:noWrap/>
            <w:vAlign w:val="center"/>
            <w:hideMark/>
          </w:tcPr>
          <w:p w14:paraId="2878FB9F"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Children’s hospitals</w:t>
            </w:r>
          </w:p>
        </w:tc>
        <w:tc>
          <w:tcPr>
            <w:tcW w:w="1222"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4459BA22"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69.8</w:t>
            </w:r>
          </w:p>
        </w:tc>
        <w:tc>
          <w:tcPr>
            <w:tcW w:w="1223" w:type="dxa"/>
            <w:tcBorders>
              <w:top w:val="single" w:sz="2" w:space="0" w:color="auto"/>
              <w:bottom w:val="single" w:sz="2" w:space="0" w:color="auto"/>
            </w:tcBorders>
            <w:shd w:val="clear" w:color="auto" w:fill="auto"/>
            <w:noWrap/>
            <w:vAlign w:val="center"/>
            <w:hideMark/>
          </w:tcPr>
          <w:p w14:paraId="41468D1B"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10.6</w:t>
            </w:r>
          </w:p>
        </w:tc>
        <w:tc>
          <w:tcPr>
            <w:tcW w:w="1222" w:type="dxa"/>
            <w:tcBorders>
              <w:top w:val="single" w:sz="2" w:space="0" w:color="auto"/>
              <w:bottom w:val="single" w:sz="2" w:space="0" w:color="auto"/>
            </w:tcBorders>
            <w:shd w:val="clear" w:color="auto" w:fill="auto"/>
            <w:noWrap/>
            <w:vAlign w:val="center"/>
            <w:hideMark/>
          </w:tcPr>
          <w:p w14:paraId="4AA02E15"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9.5</w:t>
            </w:r>
          </w:p>
        </w:tc>
        <w:tc>
          <w:tcPr>
            <w:tcW w:w="1223" w:type="dxa"/>
            <w:tcBorders>
              <w:top w:val="single" w:sz="2" w:space="0" w:color="auto"/>
              <w:bottom w:val="single" w:sz="2" w:space="0" w:color="auto"/>
            </w:tcBorders>
            <w:shd w:val="clear" w:color="auto" w:fill="auto"/>
            <w:noWrap/>
            <w:vAlign w:val="center"/>
            <w:hideMark/>
          </w:tcPr>
          <w:p w14:paraId="7E14BD55"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6.7</w:t>
            </w:r>
          </w:p>
        </w:tc>
        <w:tc>
          <w:tcPr>
            <w:tcW w:w="1222" w:type="dxa"/>
            <w:tcBorders>
              <w:top w:val="single" w:sz="2" w:space="0" w:color="auto"/>
              <w:bottom w:val="single" w:sz="2" w:space="0" w:color="auto"/>
              <w:right w:val="single" w:sz="12" w:space="0" w:color="808080" w:themeColor="background1" w:themeShade="80"/>
            </w:tcBorders>
            <w:shd w:val="clear" w:color="auto" w:fill="auto"/>
            <w:noWrap/>
            <w:vAlign w:val="center"/>
            <w:hideMark/>
          </w:tcPr>
          <w:p w14:paraId="7CB060AF"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3.5</w:t>
            </w:r>
          </w:p>
        </w:tc>
        <w:tc>
          <w:tcPr>
            <w:tcW w:w="1223"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157A0EB1"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85.4</w:t>
            </w:r>
          </w:p>
        </w:tc>
        <w:tc>
          <w:tcPr>
            <w:tcW w:w="1222" w:type="dxa"/>
            <w:tcBorders>
              <w:top w:val="single" w:sz="2" w:space="0" w:color="auto"/>
              <w:bottom w:val="single" w:sz="2" w:space="0" w:color="auto"/>
            </w:tcBorders>
            <w:shd w:val="clear" w:color="auto" w:fill="auto"/>
            <w:noWrap/>
            <w:vAlign w:val="center"/>
            <w:hideMark/>
          </w:tcPr>
          <w:p w14:paraId="06924C2F"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11.7</w:t>
            </w:r>
          </w:p>
        </w:tc>
        <w:tc>
          <w:tcPr>
            <w:tcW w:w="1223" w:type="dxa"/>
            <w:tcBorders>
              <w:top w:val="single" w:sz="2" w:space="0" w:color="auto"/>
              <w:bottom w:val="single" w:sz="2" w:space="0" w:color="auto"/>
              <w:right w:val="nil"/>
            </w:tcBorders>
            <w:shd w:val="clear" w:color="auto" w:fill="auto"/>
            <w:noWrap/>
            <w:vAlign w:val="center"/>
            <w:hideMark/>
          </w:tcPr>
          <w:p w14:paraId="35815D2C"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2.9</w:t>
            </w:r>
          </w:p>
        </w:tc>
      </w:tr>
      <w:tr w:rsidR="00561D6E" w:rsidRPr="00BF02CB" w14:paraId="0755CE55" w14:textId="77777777" w:rsidTr="00C36529">
        <w:trPr>
          <w:trHeight w:val="20"/>
        </w:trPr>
        <w:tc>
          <w:tcPr>
            <w:tcW w:w="1243" w:type="dxa"/>
            <w:vMerge/>
            <w:tcBorders>
              <w:top w:val="nil"/>
              <w:left w:val="nil"/>
              <w:bottom w:val="single" w:sz="12" w:space="0" w:color="FFFFFF"/>
              <w:right w:val="nil"/>
            </w:tcBorders>
            <w:vAlign w:val="center"/>
            <w:hideMark/>
          </w:tcPr>
          <w:p w14:paraId="3C1238C1"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auto" w:fill="auto"/>
            <w:noWrap/>
            <w:vAlign w:val="center"/>
            <w:hideMark/>
          </w:tcPr>
          <w:p w14:paraId="22181F74"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Women’s hospitals</w:t>
            </w:r>
          </w:p>
        </w:tc>
        <w:tc>
          <w:tcPr>
            <w:tcW w:w="1222"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127B68BB"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85.4</w:t>
            </w:r>
          </w:p>
        </w:tc>
        <w:tc>
          <w:tcPr>
            <w:tcW w:w="1223" w:type="dxa"/>
            <w:tcBorders>
              <w:top w:val="single" w:sz="2" w:space="0" w:color="auto"/>
              <w:bottom w:val="single" w:sz="2" w:space="0" w:color="auto"/>
            </w:tcBorders>
            <w:shd w:val="clear" w:color="auto" w:fill="auto"/>
            <w:noWrap/>
            <w:vAlign w:val="center"/>
            <w:hideMark/>
          </w:tcPr>
          <w:p w14:paraId="236D7B44"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6.8</w:t>
            </w:r>
          </w:p>
        </w:tc>
        <w:tc>
          <w:tcPr>
            <w:tcW w:w="1222" w:type="dxa"/>
            <w:tcBorders>
              <w:top w:val="single" w:sz="2" w:space="0" w:color="auto"/>
              <w:bottom w:val="single" w:sz="2" w:space="0" w:color="auto"/>
            </w:tcBorders>
            <w:shd w:val="clear" w:color="auto" w:fill="auto"/>
            <w:noWrap/>
            <w:vAlign w:val="center"/>
            <w:hideMark/>
          </w:tcPr>
          <w:p w14:paraId="3A1EB56C"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1.0</w:t>
            </w:r>
          </w:p>
        </w:tc>
        <w:tc>
          <w:tcPr>
            <w:tcW w:w="1223" w:type="dxa"/>
            <w:tcBorders>
              <w:top w:val="single" w:sz="2" w:space="0" w:color="auto"/>
              <w:bottom w:val="single" w:sz="2" w:space="0" w:color="auto"/>
            </w:tcBorders>
            <w:shd w:val="clear" w:color="auto" w:fill="auto"/>
            <w:noWrap/>
            <w:vAlign w:val="center"/>
            <w:hideMark/>
          </w:tcPr>
          <w:p w14:paraId="4722C24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6.8</w:t>
            </w:r>
          </w:p>
        </w:tc>
        <w:tc>
          <w:tcPr>
            <w:tcW w:w="1222" w:type="dxa"/>
            <w:tcBorders>
              <w:top w:val="single" w:sz="2" w:space="0" w:color="auto"/>
              <w:bottom w:val="single" w:sz="2" w:space="0" w:color="auto"/>
              <w:right w:val="single" w:sz="12" w:space="0" w:color="808080" w:themeColor="background1" w:themeShade="80"/>
            </w:tcBorders>
            <w:shd w:val="clear" w:color="auto" w:fill="auto"/>
            <w:noWrap/>
            <w:vAlign w:val="center"/>
            <w:hideMark/>
          </w:tcPr>
          <w:p w14:paraId="1B841A07"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0.0</w:t>
            </w:r>
          </w:p>
        </w:tc>
        <w:tc>
          <w:tcPr>
            <w:tcW w:w="1223"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35E7382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91.2</w:t>
            </w:r>
          </w:p>
        </w:tc>
        <w:tc>
          <w:tcPr>
            <w:tcW w:w="1222" w:type="dxa"/>
            <w:tcBorders>
              <w:top w:val="single" w:sz="2" w:space="0" w:color="auto"/>
              <w:bottom w:val="single" w:sz="2" w:space="0" w:color="auto"/>
            </w:tcBorders>
            <w:shd w:val="clear" w:color="auto" w:fill="auto"/>
            <w:noWrap/>
            <w:vAlign w:val="center"/>
            <w:hideMark/>
          </w:tcPr>
          <w:p w14:paraId="026270E3"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7.5</w:t>
            </w:r>
          </w:p>
        </w:tc>
        <w:tc>
          <w:tcPr>
            <w:tcW w:w="1223" w:type="dxa"/>
            <w:tcBorders>
              <w:top w:val="single" w:sz="2" w:space="0" w:color="auto"/>
              <w:bottom w:val="single" w:sz="2" w:space="0" w:color="auto"/>
              <w:right w:val="nil"/>
            </w:tcBorders>
            <w:shd w:val="clear" w:color="auto" w:fill="auto"/>
            <w:noWrap/>
            <w:vAlign w:val="center"/>
            <w:hideMark/>
          </w:tcPr>
          <w:p w14:paraId="15916ED6"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1.4</w:t>
            </w:r>
          </w:p>
        </w:tc>
      </w:tr>
      <w:tr w:rsidR="00561D6E" w:rsidRPr="00BF02CB" w14:paraId="6B1A6C2A" w14:textId="77777777" w:rsidTr="00C36529">
        <w:trPr>
          <w:trHeight w:val="20"/>
        </w:trPr>
        <w:tc>
          <w:tcPr>
            <w:tcW w:w="1243" w:type="dxa"/>
            <w:vMerge/>
            <w:tcBorders>
              <w:top w:val="nil"/>
              <w:left w:val="nil"/>
              <w:bottom w:val="single" w:sz="12" w:space="0" w:color="FFFFFF"/>
              <w:right w:val="nil"/>
            </w:tcBorders>
            <w:vAlign w:val="center"/>
            <w:hideMark/>
          </w:tcPr>
          <w:p w14:paraId="01D93B0B"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auto" w:fill="auto"/>
            <w:noWrap/>
            <w:vAlign w:val="center"/>
            <w:hideMark/>
          </w:tcPr>
          <w:p w14:paraId="05BAD643"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Women’s and children’s hospitals</w:t>
            </w:r>
          </w:p>
        </w:tc>
        <w:tc>
          <w:tcPr>
            <w:tcW w:w="1222"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6BBA83D5"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69.6</w:t>
            </w:r>
          </w:p>
        </w:tc>
        <w:tc>
          <w:tcPr>
            <w:tcW w:w="1223" w:type="dxa"/>
            <w:tcBorders>
              <w:top w:val="single" w:sz="2" w:space="0" w:color="auto"/>
              <w:bottom w:val="single" w:sz="2" w:space="0" w:color="auto"/>
            </w:tcBorders>
            <w:shd w:val="clear" w:color="auto" w:fill="auto"/>
            <w:noWrap/>
            <w:vAlign w:val="center"/>
            <w:hideMark/>
          </w:tcPr>
          <w:p w14:paraId="6D607BC0"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5.8</w:t>
            </w:r>
          </w:p>
        </w:tc>
        <w:tc>
          <w:tcPr>
            <w:tcW w:w="1222" w:type="dxa"/>
            <w:tcBorders>
              <w:top w:val="single" w:sz="2" w:space="0" w:color="auto"/>
              <w:bottom w:val="single" w:sz="2" w:space="0" w:color="auto"/>
            </w:tcBorders>
            <w:shd w:val="clear" w:color="auto" w:fill="auto"/>
            <w:noWrap/>
            <w:vAlign w:val="center"/>
            <w:hideMark/>
          </w:tcPr>
          <w:p w14:paraId="29786FB6"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10.9</w:t>
            </w:r>
          </w:p>
        </w:tc>
        <w:tc>
          <w:tcPr>
            <w:tcW w:w="1223" w:type="dxa"/>
            <w:tcBorders>
              <w:top w:val="single" w:sz="2" w:space="0" w:color="auto"/>
              <w:bottom w:val="single" w:sz="2" w:space="0" w:color="auto"/>
            </w:tcBorders>
            <w:shd w:val="clear" w:color="auto" w:fill="auto"/>
            <w:noWrap/>
            <w:vAlign w:val="center"/>
            <w:hideMark/>
          </w:tcPr>
          <w:p w14:paraId="0C624F72"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13.0</w:t>
            </w:r>
          </w:p>
        </w:tc>
        <w:tc>
          <w:tcPr>
            <w:tcW w:w="1222" w:type="dxa"/>
            <w:tcBorders>
              <w:top w:val="single" w:sz="2" w:space="0" w:color="auto"/>
              <w:bottom w:val="single" w:sz="2" w:space="0" w:color="auto"/>
              <w:right w:val="single" w:sz="12" w:space="0" w:color="808080" w:themeColor="background1" w:themeShade="80"/>
            </w:tcBorders>
            <w:shd w:val="clear" w:color="auto" w:fill="auto"/>
            <w:noWrap/>
            <w:vAlign w:val="center"/>
            <w:hideMark/>
          </w:tcPr>
          <w:p w14:paraId="328E6FF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0.7</w:t>
            </w:r>
          </w:p>
        </w:tc>
        <w:tc>
          <w:tcPr>
            <w:tcW w:w="1223"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1D6AA011"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83.3</w:t>
            </w:r>
          </w:p>
        </w:tc>
        <w:tc>
          <w:tcPr>
            <w:tcW w:w="1222" w:type="dxa"/>
            <w:tcBorders>
              <w:top w:val="single" w:sz="2" w:space="0" w:color="auto"/>
              <w:bottom w:val="single" w:sz="2" w:space="0" w:color="auto"/>
            </w:tcBorders>
            <w:shd w:val="clear" w:color="auto" w:fill="auto"/>
            <w:noWrap/>
            <w:vAlign w:val="center"/>
            <w:hideMark/>
          </w:tcPr>
          <w:p w14:paraId="1E8B6247"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13.0</w:t>
            </w:r>
          </w:p>
        </w:tc>
        <w:tc>
          <w:tcPr>
            <w:tcW w:w="1223" w:type="dxa"/>
            <w:tcBorders>
              <w:top w:val="single" w:sz="2" w:space="0" w:color="auto"/>
              <w:bottom w:val="single" w:sz="2" w:space="0" w:color="auto"/>
              <w:right w:val="nil"/>
            </w:tcBorders>
            <w:shd w:val="clear" w:color="auto" w:fill="auto"/>
            <w:noWrap/>
            <w:vAlign w:val="center"/>
            <w:hideMark/>
          </w:tcPr>
          <w:p w14:paraId="6445F6D0"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3.6</w:t>
            </w:r>
          </w:p>
        </w:tc>
      </w:tr>
      <w:tr w:rsidR="00561D6E" w:rsidRPr="00BF02CB" w14:paraId="7A6BB55D" w14:textId="77777777" w:rsidTr="00C36529">
        <w:trPr>
          <w:trHeight w:val="20"/>
        </w:trPr>
        <w:tc>
          <w:tcPr>
            <w:tcW w:w="1243" w:type="dxa"/>
            <w:vMerge/>
            <w:tcBorders>
              <w:top w:val="nil"/>
              <w:left w:val="nil"/>
              <w:bottom w:val="single" w:sz="12" w:space="0" w:color="FFFFFF"/>
              <w:right w:val="nil"/>
            </w:tcBorders>
            <w:vAlign w:val="center"/>
            <w:hideMark/>
          </w:tcPr>
          <w:p w14:paraId="6FB488F5"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auto" w:fill="auto"/>
            <w:noWrap/>
            <w:vAlign w:val="center"/>
            <w:hideMark/>
          </w:tcPr>
          <w:p w14:paraId="7BF70906"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Mixed subacute and non-acute hospitals</w:t>
            </w:r>
          </w:p>
        </w:tc>
        <w:tc>
          <w:tcPr>
            <w:tcW w:w="1222"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4F222C48"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52.7</w:t>
            </w:r>
          </w:p>
        </w:tc>
        <w:tc>
          <w:tcPr>
            <w:tcW w:w="1223" w:type="dxa"/>
            <w:tcBorders>
              <w:top w:val="single" w:sz="2" w:space="0" w:color="auto"/>
              <w:bottom w:val="single" w:sz="2" w:space="0" w:color="auto"/>
            </w:tcBorders>
            <w:shd w:val="clear" w:color="auto" w:fill="auto"/>
            <w:noWrap/>
            <w:vAlign w:val="center"/>
            <w:hideMark/>
          </w:tcPr>
          <w:p w14:paraId="6D099ECB"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15.2</w:t>
            </w:r>
          </w:p>
        </w:tc>
        <w:tc>
          <w:tcPr>
            <w:tcW w:w="1222" w:type="dxa"/>
            <w:tcBorders>
              <w:top w:val="single" w:sz="2" w:space="0" w:color="auto"/>
              <w:bottom w:val="single" w:sz="2" w:space="0" w:color="auto"/>
            </w:tcBorders>
            <w:shd w:val="clear" w:color="auto" w:fill="auto"/>
            <w:noWrap/>
            <w:vAlign w:val="center"/>
            <w:hideMark/>
          </w:tcPr>
          <w:p w14:paraId="251DCD61"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17.3</w:t>
            </w:r>
          </w:p>
        </w:tc>
        <w:tc>
          <w:tcPr>
            <w:tcW w:w="1223" w:type="dxa"/>
            <w:tcBorders>
              <w:top w:val="single" w:sz="2" w:space="0" w:color="auto"/>
              <w:bottom w:val="single" w:sz="2" w:space="0" w:color="auto"/>
            </w:tcBorders>
            <w:shd w:val="clear" w:color="auto" w:fill="auto"/>
            <w:noWrap/>
            <w:vAlign w:val="center"/>
            <w:hideMark/>
          </w:tcPr>
          <w:p w14:paraId="035CD0FE"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8.6</w:t>
            </w:r>
          </w:p>
        </w:tc>
        <w:tc>
          <w:tcPr>
            <w:tcW w:w="1222" w:type="dxa"/>
            <w:tcBorders>
              <w:top w:val="single" w:sz="2" w:space="0" w:color="auto"/>
              <w:bottom w:val="single" w:sz="2" w:space="0" w:color="auto"/>
              <w:right w:val="single" w:sz="12" w:space="0" w:color="808080" w:themeColor="background1" w:themeShade="80"/>
            </w:tcBorders>
            <w:shd w:val="clear" w:color="auto" w:fill="auto"/>
            <w:noWrap/>
            <w:vAlign w:val="center"/>
            <w:hideMark/>
          </w:tcPr>
          <w:p w14:paraId="1ACA5015"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6.2</w:t>
            </w:r>
          </w:p>
        </w:tc>
        <w:tc>
          <w:tcPr>
            <w:tcW w:w="1223"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5E6EE4C2"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72.0</w:t>
            </w:r>
          </w:p>
        </w:tc>
        <w:tc>
          <w:tcPr>
            <w:tcW w:w="1222" w:type="dxa"/>
            <w:tcBorders>
              <w:top w:val="single" w:sz="2" w:space="0" w:color="auto"/>
              <w:bottom w:val="single" w:sz="2" w:space="0" w:color="auto"/>
            </w:tcBorders>
            <w:shd w:val="clear" w:color="auto" w:fill="auto"/>
            <w:noWrap/>
            <w:vAlign w:val="center"/>
            <w:hideMark/>
          </w:tcPr>
          <w:p w14:paraId="5F4AC9FB"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19.3</w:t>
            </w:r>
          </w:p>
        </w:tc>
        <w:tc>
          <w:tcPr>
            <w:tcW w:w="1223" w:type="dxa"/>
            <w:tcBorders>
              <w:top w:val="single" w:sz="2" w:space="0" w:color="auto"/>
              <w:bottom w:val="single" w:sz="2" w:space="0" w:color="auto"/>
              <w:right w:val="nil"/>
            </w:tcBorders>
            <w:shd w:val="clear" w:color="auto" w:fill="auto"/>
            <w:noWrap/>
            <w:vAlign w:val="center"/>
            <w:hideMark/>
          </w:tcPr>
          <w:p w14:paraId="5333846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8.6</w:t>
            </w:r>
          </w:p>
        </w:tc>
      </w:tr>
      <w:tr w:rsidR="00561D6E" w:rsidRPr="00BF02CB" w14:paraId="681D99D6" w14:textId="77777777" w:rsidTr="00C36529">
        <w:trPr>
          <w:trHeight w:val="20"/>
        </w:trPr>
        <w:tc>
          <w:tcPr>
            <w:tcW w:w="1243" w:type="dxa"/>
            <w:vMerge/>
            <w:tcBorders>
              <w:top w:val="nil"/>
              <w:left w:val="nil"/>
              <w:bottom w:val="single" w:sz="12" w:space="0" w:color="FFFFFF"/>
              <w:right w:val="nil"/>
            </w:tcBorders>
            <w:vAlign w:val="center"/>
            <w:hideMark/>
          </w:tcPr>
          <w:p w14:paraId="1119AF58"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auto" w:fill="auto"/>
            <w:noWrap/>
            <w:vAlign w:val="center"/>
            <w:hideMark/>
          </w:tcPr>
          <w:p w14:paraId="21686E81"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Rehabilitation and GEM</w:t>
            </w:r>
            <w:r w:rsidR="00DE3127">
              <w:rPr>
                <w:rFonts w:ascii="Arial" w:hAnsi="Arial" w:cs="Arial"/>
                <w:color w:val="000000"/>
                <w:sz w:val="16"/>
                <w:szCs w:val="16"/>
              </w:rPr>
              <w:t>*</w:t>
            </w:r>
            <w:r w:rsidRPr="00BF02CB">
              <w:rPr>
                <w:rFonts w:ascii="Arial" w:hAnsi="Arial" w:cs="Arial"/>
                <w:color w:val="000000"/>
                <w:sz w:val="16"/>
                <w:szCs w:val="16"/>
              </w:rPr>
              <w:t xml:space="preserve"> hospitals</w:t>
            </w:r>
          </w:p>
        </w:tc>
        <w:tc>
          <w:tcPr>
            <w:tcW w:w="1222"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3E6412CB"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53.2</w:t>
            </w:r>
          </w:p>
        </w:tc>
        <w:tc>
          <w:tcPr>
            <w:tcW w:w="1223" w:type="dxa"/>
            <w:tcBorders>
              <w:top w:val="single" w:sz="2" w:space="0" w:color="auto"/>
              <w:bottom w:val="single" w:sz="2" w:space="0" w:color="auto"/>
            </w:tcBorders>
            <w:shd w:val="clear" w:color="auto" w:fill="auto"/>
            <w:noWrap/>
            <w:vAlign w:val="center"/>
            <w:hideMark/>
          </w:tcPr>
          <w:p w14:paraId="2031DDF9"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9.7</w:t>
            </w:r>
          </w:p>
        </w:tc>
        <w:tc>
          <w:tcPr>
            <w:tcW w:w="1222" w:type="dxa"/>
            <w:tcBorders>
              <w:top w:val="single" w:sz="2" w:space="0" w:color="auto"/>
              <w:bottom w:val="single" w:sz="2" w:space="0" w:color="auto"/>
            </w:tcBorders>
            <w:shd w:val="clear" w:color="auto" w:fill="auto"/>
            <w:noWrap/>
            <w:vAlign w:val="center"/>
            <w:hideMark/>
          </w:tcPr>
          <w:p w14:paraId="341D6656"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25.0</w:t>
            </w:r>
          </w:p>
        </w:tc>
        <w:tc>
          <w:tcPr>
            <w:tcW w:w="1223" w:type="dxa"/>
            <w:tcBorders>
              <w:top w:val="single" w:sz="2" w:space="0" w:color="auto"/>
              <w:bottom w:val="single" w:sz="2" w:space="0" w:color="auto"/>
            </w:tcBorders>
            <w:shd w:val="clear" w:color="auto" w:fill="auto"/>
            <w:noWrap/>
            <w:vAlign w:val="center"/>
            <w:hideMark/>
          </w:tcPr>
          <w:p w14:paraId="66EBB2A7"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5.7</w:t>
            </w:r>
          </w:p>
        </w:tc>
        <w:tc>
          <w:tcPr>
            <w:tcW w:w="1222" w:type="dxa"/>
            <w:tcBorders>
              <w:top w:val="single" w:sz="2" w:space="0" w:color="auto"/>
              <w:bottom w:val="single" w:sz="2" w:space="0" w:color="auto"/>
              <w:right w:val="single" w:sz="12" w:space="0" w:color="808080" w:themeColor="background1" w:themeShade="80"/>
            </w:tcBorders>
            <w:shd w:val="clear" w:color="auto" w:fill="auto"/>
            <w:noWrap/>
            <w:vAlign w:val="center"/>
            <w:hideMark/>
          </w:tcPr>
          <w:p w14:paraId="7B31A075"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6.5</w:t>
            </w:r>
          </w:p>
        </w:tc>
        <w:tc>
          <w:tcPr>
            <w:tcW w:w="1223"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39E5A902"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79.0</w:t>
            </w:r>
          </w:p>
        </w:tc>
        <w:tc>
          <w:tcPr>
            <w:tcW w:w="1222" w:type="dxa"/>
            <w:tcBorders>
              <w:top w:val="single" w:sz="2" w:space="0" w:color="auto"/>
              <w:bottom w:val="single" w:sz="2" w:space="0" w:color="auto"/>
            </w:tcBorders>
            <w:shd w:val="clear" w:color="auto" w:fill="auto"/>
            <w:noWrap/>
            <w:vAlign w:val="center"/>
            <w:hideMark/>
          </w:tcPr>
          <w:p w14:paraId="3A9178FC"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11.3</w:t>
            </w:r>
          </w:p>
        </w:tc>
        <w:tc>
          <w:tcPr>
            <w:tcW w:w="1223" w:type="dxa"/>
            <w:tcBorders>
              <w:top w:val="single" w:sz="2" w:space="0" w:color="auto"/>
              <w:bottom w:val="single" w:sz="2" w:space="0" w:color="auto"/>
              <w:right w:val="nil"/>
            </w:tcBorders>
            <w:shd w:val="clear" w:color="auto" w:fill="auto"/>
            <w:noWrap/>
            <w:vAlign w:val="center"/>
            <w:hideMark/>
          </w:tcPr>
          <w:p w14:paraId="79DB2B6B"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9.7</w:t>
            </w:r>
          </w:p>
        </w:tc>
      </w:tr>
      <w:tr w:rsidR="00561D6E" w:rsidRPr="00BF02CB" w14:paraId="4D439909" w14:textId="77777777" w:rsidTr="00C36529">
        <w:trPr>
          <w:trHeight w:val="20"/>
        </w:trPr>
        <w:tc>
          <w:tcPr>
            <w:tcW w:w="1243" w:type="dxa"/>
            <w:vMerge/>
            <w:tcBorders>
              <w:top w:val="nil"/>
              <w:left w:val="nil"/>
              <w:bottom w:val="single" w:sz="12" w:space="0" w:color="FFFFFF"/>
              <w:right w:val="nil"/>
            </w:tcBorders>
            <w:vAlign w:val="center"/>
            <w:hideMark/>
          </w:tcPr>
          <w:p w14:paraId="52A38B38"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auto" w:fill="auto"/>
            <w:noWrap/>
            <w:vAlign w:val="center"/>
            <w:hideMark/>
          </w:tcPr>
          <w:p w14:paraId="6720D36F"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Very small hospitals</w:t>
            </w:r>
            <w:r w:rsidR="000F28CD" w:rsidRPr="00DE3127">
              <w:rPr>
                <w:rFonts w:ascii="Arial" w:hAnsi="Arial" w:cs="Arial"/>
                <w:color w:val="000000"/>
                <w:sz w:val="16"/>
                <w:szCs w:val="16"/>
                <w:vertAlign w:val="superscript"/>
              </w:rPr>
              <w:t>†</w:t>
            </w:r>
          </w:p>
        </w:tc>
        <w:tc>
          <w:tcPr>
            <w:tcW w:w="1222"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715C3F55"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w:t>
            </w:r>
          </w:p>
        </w:tc>
        <w:tc>
          <w:tcPr>
            <w:tcW w:w="1223" w:type="dxa"/>
            <w:tcBorders>
              <w:top w:val="single" w:sz="2" w:space="0" w:color="auto"/>
              <w:bottom w:val="single" w:sz="2" w:space="0" w:color="auto"/>
            </w:tcBorders>
            <w:shd w:val="clear" w:color="auto" w:fill="auto"/>
            <w:noWrap/>
            <w:vAlign w:val="center"/>
            <w:hideMark/>
          </w:tcPr>
          <w:p w14:paraId="7AF6A34D"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w:t>
            </w:r>
          </w:p>
        </w:tc>
        <w:tc>
          <w:tcPr>
            <w:tcW w:w="1222" w:type="dxa"/>
            <w:tcBorders>
              <w:top w:val="single" w:sz="2" w:space="0" w:color="auto"/>
              <w:bottom w:val="single" w:sz="2" w:space="0" w:color="auto"/>
            </w:tcBorders>
            <w:shd w:val="clear" w:color="auto" w:fill="auto"/>
            <w:noWrap/>
            <w:vAlign w:val="center"/>
            <w:hideMark/>
          </w:tcPr>
          <w:p w14:paraId="62E3B1E3"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w:t>
            </w:r>
          </w:p>
        </w:tc>
        <w:tc>
          <w:tcPr>
            <w:tcW w:w="1223" w:type="dxa"/>
            <w:tcBorders>
              <w:top w:val="single" w:sz="2" w:space="0" w:color="auto"/>
              <w:bottom w:val="single" w:sz="2" w:space="0" w:color="auto"/>
            </w:tcBorders>
            <w:shd w:val="clear" w:color="auto" w:fill="auto"/>
            <w:noWrap/>
            <w:vAlign w:val="center"/>
            <w:hideMark/>
          </w:tcPr>
          <w:p w14:paraId="542C477A"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w:t>
            </w:r>
          </w:p>
        </w:tc>
        <w:tc>
          <w:tcPr>
            <w:tcW w:w="1222" w:type="dxa"/>
            <w:tcBorders>
              <w:top w:val="single" w:sz="2" w:space="0" w:color="auto"/>
              <w:bottom w:val="single" w:sz="2" w:space="0" w:color="auto"/>
              <w:right w:val="single" w:sz="12" w:space="0" w:color="808080" w:themeColor="background1" w:themeShade="80"/>
            </w:tcBorders>
            <w:shd w:val="clear" w:color="auto" w:fill="auto"/>
            <w:noWrap/>
            <w:vAlign w:val="center"/>
            <w:hideMark/>
          </w:tcPr>
          <w:p w14:paraId="41BEF062"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w:t>
            </w:r>
          </w:p>
        </w:tc>
        <w:tc>
          <w:tcPr>
            <w:tcW w:w="1223"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5518AA01"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w:t>
            </w:r>
          </w:p>
        </w:tc>
        <w:tc>
          <w:tcPr>
            <w:tcW w:w="1222" w:type="dxa"/>
            <w:tcBorders>
              <w:top w:val="single" w:sz="2" w:space="0" w:color="auto"/>
              <w:bottom w:val="single" w:sz="2" w:space="0" w:color="auto"/>
            </w:tcBorders>
            <w:shd w:val="clear" w:color="auto" w:fill="auto"/>
            <w:noWrap/>
            <w:vAlign w:val="center"/>
            <w:hideMark/>
          </w:tcPr>
          <w:p w14:paraId="2E3ED05D"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w:t>
            </w:r>
          </w:p>
        </w:tc>
        <w:tc>
          <w:tcPr>
            <w:tcW w:w="1223" w:type="dxa"/>
            <w:tcBorders>
              <w:top w:val="single" w:sz="2" w:space="0" w:color="auto"/>
              <w:bottom w:val="single" w:sz="2" w:space="0" w:color="auto"/>
              <w:right w:val="nil"/>
            </w:tcBorders>
            <w:shd w:val="clear" w:color="auto" w:fill="auto"/>
            <w:noWrap/>
            <w:vAlign w:val="center"/>
            <w:hideMark/>
          </w:tcPr>
          <w:p w14:paraId="3ACC5E1F"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w:t>
            </w:r>
          </w:p>
        </w:tc>
      </w:tr>
      <w:tr w:rsidR="00561D6E" w:rsidRPr="00BF02CB" w14:paraId="2C161A57" w14:textId="77777777" w:rsidTr="00C36529">
        <w:trPr>
          <w:trHeight w:val="20"/>
        </w:trPr>
        <w:tc>
          <w:tcPr>
            <w:tcW w:w="1243" w:type="dxa"/>
            <w:vMerge/>
            <w:tcBorders>
              <w:top w:val="nil"/>
              <w:left w:val="nil"/>
              <w:bottom w:val="single" w:sz="12" w:space="0" w:color="FFFFFF"/>
              <w:right w:val="nil"/>
            </w:tcBorders>
            <w:vAlign w:val="center"/>
            <w:hideMark/>
          </w:tcPr>
          <w:p w14:paraId="3552DCF1"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auto" w:fill="auto"/>
            <w:noWrap/>
            <w:vAlign w:val="center"/>
            <w:hideMark/>
          </w:tcPr>
          <w:p w14:paraId="46F2C7E4"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Psychiatric hospitals</w:t>
            </w:r>
          </w:p>
        </w:tc>
        <w:tc>
          <w:tcPr>
            <w:tcW w:w="1222"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6AEB5476"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w:t>
            </w:r>
            <w:r>
              <w:rPr>
                <w:rFonts w:ascii="Arial" w:hAnsi="Arial" w:cs="Arial"/>
                <w:color w:val="000000"/>
                <w:sz w:val="16"/>
                <w:szCs w:val="16"/>
              </w:rPr>
              <w:t>8.1</w:t>
            </w:r>
          </w:p>
        </w:tc>
        <w:tc>
          <w:tcPr>
            <w:tcW w:w="1223" w:type="dxa"/>
            <w:tcBorders>
              <w:top w:val="single" w:sz="2" w:space="0" w:color="auto"/>
              <w:bottom w:val="single" w:sz="2" w:space="0" w:color="auto"/>
            </w:tcBorders>
            <w:shd w:val="clear" w:color="auto" w:fill="auto"/>
            <w:noWrap/>
            <w:vAlign w:val="center"/>
            <w:hideMark/>
          </w:tcPr>
          <w:p w14:paraId="61141C84"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26.8</w:t>
            </w:r>
          </w:p>
        </w:tc>
        <w:tc>
          <w:tcPr>
            <w:tcW w:w="1222" w:type="dxa"/>
            <w:tcBorders>
              <w:top w:val="single" w:sz="2" w:space="0" w:color="auto"/>
              <w:bottom w:val="single" w:sz="2" w:space="0" w:color="auto"/>
            </w:tcBorders>
            <w:shd w:val="clear" w:color="auto" w:fill="auto"/>
            <w:noWrap/>
            <w:vAlign w:val="center"/>
            <w:hideMark/>
          </w:tcPr>
          <w:p w14:paraId="5B96D249"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5.5</w:t>
            </w:r>
          </w:p>
        </w:tc>
        <w:tc>
          <w:tcPr>
            <w:tcW w:w="1223" w:type="dxa"/>
            <w:tcBorders>
              <w:top w:val="single" w:sz="2" w:space="0" w:color="auto"/>
              <w:bottom w:val="single" w:sz="2" w:space="0" w:color="auto"/>
            </w:tcBorders>
            <w:shd w:val="clear" w:color="auto" w:fill="auto"/>
            <w:noWrap/>
            <w:vAlign w:val="center"/>
            <w:hideMark/>
          </w:tcPr>
          <w:p w14:paraId="440E2EA9"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4.7</w:t>
            </w:r>
          </w:p>
        </w:tc>
        <w:tc>
          <w:tcPr>
            <w:tcW w:w="1222" w:type="dxa"/>
            <w:tcBorders>
              <w:top w:val="single" w:sz="2" w:space="0" w:color="auto"/>
              <w:bottom w:val="single" w:sz="2" w:space="0" w:color="auto"/>
              <w:right w:val="single" w:sz="12" w:space="0" w:color="808080" w:themeColor="background1" w:themeShade="80"/>
            </w:tcBorders>
            <w:shd w:val="clear" w:color="auto" w:fill="auto"/>
            <w:noWrap/>
            <w:vAlign w:val="center"/>
            <w:hideMark/>
          </w:tcPr>
          <w:p w14:paraId="6F20D1B3"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14.9</w:t>
            </w:r>
          </w:p>
        </w:tc>
        <w:tc>
          <w:tcPr>
            <w:tcW w:w="1223" w:type="dxa"/>
            <w:tcBorders>
              <w:top w:val="single" w:sz="2" w:space="0" w:color="auto"/>
              <w:left w:val="single" w:sz="12" w:space="0" w:color="808080" w:themeColor="background1" w:themeShade="80"/>
              <w:bottom w:val="single" w:sz="2" w:space="0" w:color="auto"/>
            </w:tcBorders>
            <w:shd w:val="clear" w:color="auto" w:fill="auto"/>
            <w:noWrap/>
            <w:vAlign w:val="center"/>
            <w:hideMark/>
          </w:tcPr>
          <w:p w14:paraId="5919A4BB"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60.4</w:t>
            </w:r>
          </w:p>
        </w:tc>
        <w:tc>
          <w:tcPr>
            <w:tcW w:w="1222" w:type="dxa"/>
            <w:tcBorders>
              <w:top w:val="single" w:sz="2" w:space="0" w:color="auto"/>
              <w:bottom w:val="single" w:sz="2" w:space="0" w:color="auto"/>
            </w:tcBorders>
            <w:shd w:val="clear" w:color="auto" w:fill="auto"/>
            <w:noWrap/>
            <w:vAlign w:val="center"/>
            <w:hideMark/>
          </w:tcPr>
          <w:p w14:paraId="47D17891"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22.1</w:t>
            </w:r>
          </w:p>
        </w:tc>
        <w:tc>
          <w:tcPr>
            <w:tcW w:w="1223" w:type="dxa"/>
            <w:tcBorders>
              <w:top w:val="single" w:sz="2" w:space="0" w:color="auto"/>
              <w:bottom w:val="single" w:sz="2" w:space="0" w:color="auto"/>
              <w:right w:val="nil"/>
            </w:tcBorders>
            <w:shd w:val="clear" w:color="auto" w:fill="auto"/>
            <w:noWrap/>
            <w:vAlign w:val="center"/>
            <w:hideMark/>
          </w:tcPr>
          <w:p w14:paraId="4A0B3C53"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17.5</w:t>
            </w:r>
          </w:p>
        </w:tc>
      </w:tr>
      <w:tr w:rsidR="00561D6E" w:rsidRPr="00BF02CB" w14:paraId="1803515B" w14:textId="77777777" w:rsidTr="00C36529">
        <w:trPr>
          <w:trHeight w:val="20"/>
        </w:trPr>
        <w:tc>
          <w:tcPr>
            <w:tcW w:w="1243" w:type="dxa"/>
            <w:vMerge/>
            <w:tcBorders>
              <w:top w:val="nil"/>
              <w:left w:val="nil"/>
              <w:bottom w:val="single" w:sz="12" w:space="0" w:color="FFFFFF"/>
              <w:right w:val="nil"/>
            </w:tcBorders>
            <w:vAlign w:val="center"/>
            <w:hideMark/>
          </w:tcPr>
          <w:p w14:paraId="66FD3B71"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12" w:space="0" w:color="808080" w:themeColor="background1" w:themeShade="80"/>
              <w:right w:val="single" w:sz="12" w:space="0" w:color="808080" w:themeColor="background1" w:themeShade="80"/>
            </w:tcBorders>
            <w:shd w:val="clear" w:color="auto" w:fill="auto"/>
            <w:noWrap/>
            <w:vAlign w:val="center"/>
            <w:hideMark/>
          </w:tcPr>
          <w:p w14:paraId="1BDE54F7" w14:textId="77777777" w:rsidR="00561D6E" w:rsidRPr="00BF02CB" w:rsidRDefault="00561D6E" w:rsidP="00561D6E">
            <w:pPr>
              <w:spacing w:after="0"/>
              <w:jc w:val="both"/>
              <w:rPr>
                <w:rFonts w:ascii="Arial" w:hAnsi="Arial" w:cs="Arial"/>
                <w:color w:val="000000"/>
                <w:sz w:val="16"/>
                <w:szCs w:val="16"/>
              </w:rPr>
            </w:pPr>
            <w:proofErr w:type="spellStart"/>
            <w:r w:rsidRPr="00BF02CB">
              <w:rPr>
                <w:rFonts w:ascii="Arial" w:hAnsi="Arial" w:cs="Arial"/>
                <w:color w:val="000000"/>
                <w:sz w:val="16"/>
                <w:szCs w:val="16"/>
              </w:rPr>
              <w:t>Unpeered</w:t>
            </w:r>
            <w:proofErr w:type="spellEnd"/>
            <w:r w:rsidRPr="00BF02CB">
              <w:rPr>
                <w:rFonts w:ascii="Arial" w:hAnsi="Arial" w:cs="Arial"/>
                <w:color w:val="000000"/>
                <w:sz w:val="16"/>
                <w:szCs w:val="16"/>
              </w:rPr>
              <w:t xml:space="preserve"> hospitals</w:t>
            </w:r>
          </w:p>
        </w:tc>
        <w:tc>
          <w:tcPr>
            <w:tcW w:w="1222" w:type="dxa"/>
            <w:tcBorders>
              <w:top w:val="single" w:sz="2" w:space="0" w:color="auto"/>
              <w:left w:val="single" w:sz="12" w:space="0" w:color="808080" w:themeColor="background1" w:themeShade="80"/>
              <w:bottom w:val="single" w:sz="12" w:space="0" w:color="808080" w:themeColor="background1" w:themeShade="80"/>
            </w:tcBorders>
            <w:shd w:val="clear" w:color="auto" w:fill="auto"/>
            <w:noWrap/>
            <w:vAlign w:val="center"/>
            <w:hideMark/>
          </w:tcPr>
          <w:p w14:paraId="3B6E4552"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22.5</w:t>
            </w:r>
          </w:p>
        </w:tc>
        <w:tc>
          <w:tcPr>
            <w:tcW w:w="1223" w:type="dxa"/>
            <w:tcBorders>
              <w:top w:val="single" w:sz="2" w:space="0" w:color="auto"/>
              <w:bottom w:val="single" w:sz="12" w:space="0" w:color="808080" w:themeColor="background1" w:themeShade="80"/>
            </w:tcBorders>
            <w:shd w:val="clear" w:color="auto" w:fill="auto"/>
            <w:noWrap/>
            <w:vAlign w:val="center"/>
            <w:hideMark/>
          </w:tcPr>
          <w:p w14:paraId="1066407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27.5</w:t>
            </w:r>
          </w:p>
        </w:tc>
        <w:tc>
          <w:tcPr>
            <w:tcW w:w="1222" w:type="dxa"/>
            <w:tcBorders>
              <w:top w:val="single" w:sz="2" w:space="0" w:color="auto"/>
              <w:bottom w:val="single" w:sz="12" w:space="0" w:color="808080" w:themeColor="background1" w:themeShade="80"/>
            </w:tcBorders>
            <w:shd w:val="clear" w:color="auto" w:fill="auto"/>
            <w:noWrap/>
            <w:vAlign w:val="center"/>
            <w:hideMark/>
          </w:tcPr>
          <w:p w14:paraId="3DC401B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27.5</w:t>
            </w:r>
          </w:p>
        </w:tc>
        <w:tc>
          <w:tcPr>
            <w:tcW w:w="1223" w:type="dxa"/>
            <w:tcBorders>
              <w:top w:val="single" w:sz="2" w:space="0" w:color="auto"/>
              <w:bottom w:val="single" w:sz="12" w:space="0" w:color="808080" w:themeColor="background1" w:themeShade="80"/>
            </w:tcBorders>
            <w:shd w:val="clear" w:color="auto" w:fill="auto"/>
            <w:noWrap/>
            <w:vAlign w:val="center"/>
            <w:hideMark/>
          </w:tcPr>
          <w:p w14:paraId="23831703"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15.0</w:t>
            </w:r>
          </w:p>
        </w:tc>
        <w:tc>
          <w:tcPr>
            <w:tcW w:w="1222" w:type="dxa"/>
            <w:tcBorders>
              <w:top w:val="single" w:sz="2" w:space="0" w:color="auto"/>
              <w:bottom w:val="single" w:sz="12" w:space="0" w:color="808080" w:themeColor="background1" w:themeShade="80"/>
              <w:right w:val="single" w:sz="12" w:space="0" w:color="808080" w:themeColor="background1" w:themeShade="80"/>
            </w:tcBorders>
            <w:shd w:val="clear" w:color="auto" w:fill="auto"/>
            <w:noWrap/>
            <w:vAlign w:val="center"/>
            <w:hideMark/>
          </w:tcPr>
          <w:p w14:paraId="77168AC7"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7.5</w:t>
            </w:r>
          </w:p>
        </w:tc>
        <w:tc>
          <w:tcPr>
            <w:tcW w:w="1223" w:type="dxa"/>
            <w:tcBorders>
              <w:top w:val="single" w:sz="2" w:space="0" w:color="auto"/>
              <w:left w:val="single" w:sz="12" w:space="0" w:color="808080" w:themeColor="background1" w:themeShade="80"/>
              <w:bottom w:val="single" w:sz="12" w:space="0" w:color="808080" w:themeColor="background1" w:themeShade="80"/>
            </w:tcBorders>
            <w:shd w:val="clear" w:color="auto" w:fill="auto"/>
            <w:noWrap/>
            <w:vAlign w:val="center"/>
            <w:hideMark/>
          </w:tcPr>
          <w:p w14:paraId="36D6F971"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65.0</w:t>
            </w:r>
          </w:p>
        </w:tc>
        <w:tc>
          <w:tcPr>
            <w:tcW w:w="1222" w:type="dxa"/>
            <w:tcBorders>
              <w:top w:val="single" w:sz="2" w:space="0" w:color="auto"/>
              <w:bottom w:val="single" w:sz="12" w:space="0" w:color="808080" w:themeColor="background1" w:themeShade="80"/>
            </w:tcBorders>
            <w:shd w:val="clear" w:color="auto" w:fill="auto"/>
            <w:noWrap/>
            <w:vAlign w:val="center"/>
            <w:hideMark/>
          </w:tcPr>
          <w:p w14:paraId="702C355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30.0</w:t>
            </w:r>
          </w:p>
        </w:tc>
        <w:tc>
          <w:tcPr>
            <w:tcW w:w="1223" w:type="dxa"/>
            <w:tcBorders>
              <w:top w:val="single" w:sz="2" w:space="0" w:color="auto"/>
              <w:bottom w:val="single" w:sz="12" w:space="0" w:color="808080" w:themeColor="background1" w:themeShade="80"/>
              <w:right w:val="nil"/>
            </w:tcBorders>
            <w:shd w:val="clear" w:color="auto" w:fill="auto"/>
            <w:noWrap/>
            <w:vAlign w:val="center"/>
            <w:hideMark/>
          </w:tcPr>
          <w:p w14:paraId="6B07743E"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5.0</w:t>
            </w:r>
          </w:p>
        </w:tc>
      </w:tr>
      <w:tr w:rsidR="00561D6E" w:rsidRPr="00BF02CB" w14:paraId="0F89B6BF" w14:textId="77777777" w:rsidTr="00C36529">
        <w:trPr>
          <w:trHeight w:val="20"/>
        </w:trPr>
        <w:tc>
          <w:tcPr>
            <w:tcW w:w="1243" w:type="dxa"/>
            <w:vMerge w:val="restart"/>
            <w:tcBorders>
              <w:top w:val="nil"/>
              <w:left w:val="nil"/>
              <w:bottom w:val="single" w:sz="12" w:space="0" w:color="FFFFFF"/>
              <w:right w:val="nil"/>
            </w:tcBorders>
            <w:shd w:val="clear" w:color="000000" w:fill="808080"/>
            <w:vAlign w:val="center"/>
            <w:hideMark/>
          </w:tcPr>
          <w:p w14:paraId="5254DA03" w14:textId="77777777" w:rsidR="00561D6E" w:rsidRPr="00BF02CB" w:rsidRDefault="00561D6E" w:rsidP="00561D6E">
            <w:pPr>
              <w:spacing w:after="0"/>
              <w:rPr>
                <w:rFonts w:ascii="Arial" w:hAnsi="Arial" w:cs="Arial"/>
                <w:color w:val="FFFFFF"/>
                <w:sz w:val="18"/>
                <w:szCs w:val="18"/>
              </w:rPr>
            </w:pPr>
            <w:r w:rsidRPr="00BF02CB">
              <w:rPr>
                <w:rFonts w:ascii="Arial" w:hAnsi="Arial" w:cs="Arial"/>
                <w:color w:val="FFFFFF"/>
                <w:sz w:val="18"/>
                <w:szCs w:val="18"/>
              </w:rPr>
              <w:t>Private Hospital Peer Group</w:t>
            </w:r>
          </w:p>
        </w:tc>
        <w:tc>
          <w:tcPr>
            <w:tcW w:w="3734" w:type="dxa"/>
            <w:tcBorders>
              <w:top w:val="single" w:sz="12" w:space="0" w:color="808080" w:themeColor="background1" w:themeShade="80"/>
              <w:left w:val="nil"/>
              <w:bottom w:val="single" w:sz="2" w:space="0" w:color="auto"/>
              <w:right w:val="single" w:sz="12" w:space="0" w:color="808080" w:themeColor="background1" w:themeShade="80"/>
            </w:tcBorders>
            <w:shd w:val="clear" w:color="000000" w:fill="D9D9D9"/>
            <w:noWrap/>
            <w:vAlign w:val="center"/>
            <w:hideMark/>
          </w:tcPr>
          <w:p w14:paraId="1C3C89A5"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Private acute group A hospitals</w:t>
            </w:r>
          </w:p>
        </w:tc>
        <w:tc>
          <w:tcPr>
            <w:tcW w:w="1222" w:type="dxa"/>
            <w:tcBorders>
              <w:top w:val="single" w:sz="12" w:space="0" w:color="808080" w:themeColor="background1" w:themeShade="80"/>
              <w:left w:val="single" w:sz="12" w:space="0" w:color="808080" w:themeColor="background1" w:themeShade="80"/>
              <w:bottom w:val="single" w:sz="2" w:space="0" w:color="auto"/>
            </w:tcBorders>
            <w:shd w:val="clear" w:color="auto" w:fill="D9D9D9" w:themeFill="background1" w:themeFillShade="D9"/>
            <w:noWrap/>
            <w:vAlign w:val="center"/>
            <w:hideMark/>
          </w:tcPr>
          <w:p w14:paraId="59794FA3"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45.4</w:t>
            </w:r>
          </w:p>
        </w:tc>
        <w:tc>
          <w:tcPr>
            <w:tcW w:w="1223" w:type="dxa"/>
            <w:tcBorders>
              <w:top w:val="single" w:sz="12" w:space="0" w:color="808080" w:themeColor="background1" w:themeShade="80"/>
              <w:bottom w:val="single" w:sz="2" w:space="0" w:color="auto"/>
            </w:tcBorders>
            <w:shd w:val="clear" w:color="auto" w:fill="D9D9D9" w:themeFill="background1" w:themeFillShade="D9"/>
            <w:noWrap/>
            <w:vAlign w:val="center"/>
            <w:hideMark/>
          </w:tcPr>
          <w:p w14:paraId="1DF1121C"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32.5</w:t>
            </w:r>
          </w:p>
        </w:tc>
        <w:tc>
          <w:tcPr>
            <w:tcW w:w="1222" w:type="dxa"/>
            <w:tcBorders>
              <w:top w:val="single" w:sz="12" w:space="0" w:color="808080" w:themeColor="background1" w:themeShade="80"/>
              <w:bottom w:val="single" w:sz="2" w:space="0" w:color="auto"/>
            </w:tcBorders>
            <w:shd w:val="clear" w:color="auto" w:fill="D9D9D9" w:themeFill="background1" w:themeFillShade="D9"/>
            <w:noWrap/>
            <w:vAlign w:val="center"/>
            <w:hideMark/>
          </w:tcPr>
          <w:p w14:paraId="4450733F"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12.0</w:t>
            </w:r>
          </w:p>
        </w:tc>
        <w:tc>
          <w:tcPr>
            <w:tcW w:w="1223" w:type="dxa"/>
            <w:tcBorders>
              <w:top w:val="single" w:sz="12" w:space="0" w:color="808080" w:themeColor="background1" w:themeShade="80"/>
              <w:bottom w:val="single" w:sz="2" w:space="0" w:color="auto"/>
            </w:tcBorders>
            <w:shd w:val="clear" w:color="auto" w:fill="D9D9D9" w:themeFill="background1" w:themeFillShade="D9"/>
            <w:noWrap/>
            <w:vAlign w:val="center"/>
            <w:hideMark/>
          </w:tcPr>
          <w:p w14:paraId="5D61FEC4"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2.5</w:t>
            </w:r>
          </w:p>
        </w:tc>
        <w:tc>
          <w:tcPr>
            <w:tcW w:w="1222" w:type="dxa"/>
            <w:tcBorders>
              <w:top w:val="single" w:sz="12" w:space="0" w:color="808080" w:themeColor="background1" w:themeShade="80"/>
              <w:bottom w:val="single" w:sz="2" w:space="0" w:color="auto"/>
              <w:right w:val="single" w:sz="12" w:space="0" w:color="808080" w:themeColor="background1" w:themeShade="80"/>
            </w:tcBorders>
            <w:shd w:val="clear" w:color="auto" w:fill="D9D9D9" w:themeFill="background1" w:themeFillShade="D9"/>
            <w:noWrap/>
            <w:vAlign w:val="center"/>
            <w:hideMark/>
          </w:tcPr>
          <w:p w14:paraId="13779EF7"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7.7</w:t>
            </w:r>
          </w:p>
        </w:tc>
        <w:tc>
          <w:tcPr>
            <w:tcW w:w="1223" w:type="dxa"/>
            <w:tcBorders>
              <w:top w:val="single" w:sz="12" w:space="0" w:color="808080" w:themeColor="background1" w:themeShade="80"/>
              <w:left w:val="single" w:sz="12" w:space="0" w:color="808080" w:themeColor="background1" w:themeShade="80"/>
              <w:bottom w:val="single" w:sz="2" w:space="0" w:color="auto"/>
            </w:tcBorders>
            <w:shd w:val="clear" w:color="auto" w:fill="D9D9D9" w:themeFill="background1" w:themeFillShade="D9"/>
            <w:noWrap/>
            <w:vAlign w:val="center"/>
            <w:hideMark/>
          </w:tcPr>
          <w:p w14:paraId="6F1A2393"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65.8</w:t>
            </w:r>
          </w:p>
        </w:tc>
        <w:tc>
          <w:tcPr>
            <w:tcW w:w="1222" w:type="dxa"/>
            <w:tcBorders>
              <w:top w:val="single" w:sz="12" w:space="0" w:color="808080" w:themeColor="background1" w:themeShade="80"/>
              <w:bottom w:val="single" w:sz="2" w:space="0" w:color="auto"/>
            </w:tcBorders>
            <w:shd w:val="clear" w:color="auto" w:fill="D9D9D9" w:themeFill="background1" w:themeFillShade="D9"/>
            <w:noWrap/>
            <w:vAlign w:val="center"/>
            <w:hideMark/>
          </w:tcPr>
          <w:p w14:paraId="58D3A0EF"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24.7</w:t>
            </w:r>
          </w:p>
        </w:tc>
        <w:tc>
          <w:tcPr>
            <w:tcW w:w="1223" w:type="dxa"/>
            <w:tcBorders>
              <w:top w:val="single" w:sz="12" w:space="0" w:color="808080" w:themeColor="background1" w:themeShade="80"/>
              <w:bottom w:val="single" w:sz="2" w:space="0" w:color="auto"/>
              <w:right w:val="nil"/>
            </w:tcBorders>
            <w:shd w:val="clear" w:color="auto" w:fill="D9D9D9" w:themeFill="background1" w:themeFillShade="D9"/>
            <w:noWrap/>
            <w:vAlign w:val="center"/>
            <w:hideMark/>
          </w:tcPr>
          <w:p w14:paraId="49D1C545"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9.5</w:t>
            </w:r>
          </w:p>
        </w:tc>
      </w:tr>
      <w:tr w:rsidR="00561D6E" w:rsidRPr="00BF02CB" w14:paraId="1203FD9D" w14:textId="77777777" w:rsidTr="00C36529">
        <w:trPr>
          <w:trHeight w:val="20"/>
        </w:trPr>
        <w:tc>
          <w:tcPr>
            <w:tcW w:w="1243" w:type="dxa"/>
            <w:vMerge/>
            <w:tcBorders>
              <w:top w:val="nil"/>
              <w:left w:val="nil"/>
              <w:bottom w:val="single" w:sz="12" w:space="0" w:color="FFFFFF"/>
              <w:right w:val="nil"/>
            </w:tcBorders>
            <w:vAlign w:val="center"/>
            <w:hideMark/>
          </w:tcPr>
          <w:p w14:paraId="31346639"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000000" w:fill="D9D9D9"/>
            <w:noWrap/>
            <w:vAlign w:val="center"/>
            <w:hideMark/>
          </w:tcPr>
          <w:p w14:paraId="42427252"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Private acute group B hospitals</w:t>
            </w:r>
          </w:p>
        </w:tc>
        <w:tc>
          <w:tcPr>
            <w:tcW w:w="1222" w:type="dxa"/>
            <w:tcBorders>
              <w:top w:val="single" w:sz="2" w:space="0" w:color="auto"/>
              <w:left w:val="single" w:sz="12" w:space="0" w:color="808080" w:themeColor="background1" w:themeShade="80"/>
              <w:bottom w:val="single" w:sz="2" w:space="0" w:color="auto"/>
            </w:tcBorders>
            <w:shd w:val="clear" w:color="auto" w:fill="D9D9D9" w:themeFill="background1" w:themeFillShade="D9"/>
            <w:noWrap/>
            <w:vAlign w:val="center"/>
            <w:hideMark/>
          </w:tcPr>
          <w:p w14:paraId="0A2896EC"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56.0</w:t>
            </w:r>
          </w:p>
        </w:tc>
        <w:tc>
          <w:tcPr>
            <w:tcW w:w="1223" w:type="dxa"/>
            <w:tcBorders>
              <w:top w:val="single" w:sz="2" w:space="0" w:color="auto"/>
              <w:bottom w:val="single" w:sz="2" w:space="0" w:color="auto"/>
            </w:tcBorders>
            <w:shd w:val="clear" w:color="auto" w:fill="D9D9D9" w:themeFill="background1" w:themeFillShade="D9"/>
            <w:noWrap/>
            <w:vAlign w:val="center"/>
            <w:hideMark/>
          </w:tcPr>
          <w:p w14:paraId="52329B1F"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29.8</w:t>
            </w:r>
          </w:p>
        </w:tc>
        <w:tc>
          <w:tcPr>
            <w:tcW w:w="1222" w:type="dxa"/>
            <w:tcBorders>
              <w:top w:val="single" w:sz="2" w:space="0" w:color="auto"/>
              <w:bottom w:val="single" w:sz="2" w:space="0" w:color="auto"/>
            </w:tcBorders>
            <w:shd w:val="clear" w:color="auto" w:fill="D9D9D9" w:themeFill="background1" w:themeFillShade="D9"/>
            <w:noWrap/>
            <w:vAlign w:val="center"/>
            <w:hideMark/>
          </w:tcPr>
          <w:p w14:paraId="7A75E7B9"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7.4</w:t>
            </w:r>
          </w:p>
        </w:tc>
        <w:tc>
          <w:tcPr>
            <w:tcW w:w="1223" w:type="dxa"/>
            <w:tcBorders>
              <w:top w:val="single" w:sz="2" w:space="0" w:color="auto"/>
              <w:bottom w:val="single" w:sz="2" w:space="0" w:color="auto"/>
            </w:tcBorders>
            <w:shd w:val="clear" w:color="auto" w:fill="D9D9D9" w:themeFill="background1" w:themeFillShade="D9"/>
            <w:noWrap/>
            <w:vAlign w:val="center"/>
            <w:hideMark/>
          </w:tcPr>
          <w:p w14:paraId="1847A0E4"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1.9</w:t>
            </w:r>
          </w:p>
        </w:tc>
        <w:tc>
          <w:tcPr>
            <w:tcW w:w="1222" w:type="dxa"/>
            <w:tcBorders>
              <w:top w:val="single" w:sz="2" w:space="0" w:color="auto"/>
              <w:bottom w:val="single" w:sz="2" w:space="0" w:color="auto"/>
              <w:right w:val="single" w:sz="12" w:space="0" w:color="808080" w:themeColor="background1" w:themeShade="80"/>
            </w:tcBorders>
            <w:shd w:val="clear" w:color="auto" w:fill="D9D9D9" w:themeFill="background1" w:themeFillShade="D9"/>
            <w:noWrap/>
            <w:vAlign w:val="center"/>
            <w:hideMark/>
          </w:tcPr>
          <w:p w14:paraId="0EF407E6"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4.9</w:t>
            </w:r>
          </w:p>
        </w:tc>
        <w:tc>
          <w:tcPr>
            <w:tcW w:w="1223" w:type="dxa"/>
            <w:tcBorders>
              <w:top w:val="single" w:sz="2" w:space="0" w:color="auto"/>
              <w:left w:val="single" w:sz="12" w:space="0" w:color="808080" w:themeColor="background1" w:themeShade="80"/>
              <w:bottom w:val="single" w:sz="2" w:space="0" w:color="auto"/>
            </w:tcBorders>
            <w:shd w:val="clear" w:color="auto" w:fill="D9D9D9" w:themeFill="background1" w:themeFillShade="D9"/>
            <w:noWrap/>
            <w:vAlign w:val="center"/>
            <w:hideMark/>
          </w:tcPr>
          <w:p w14:paraId="42DFB774"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67.7</w:t>
            </w:r>
          </w:p>
        </w:tc>
        <w:tc>
          <w:tcPr>
            <w:tcW w:w="1222" w:type="dxa"/>
            <w:tcBorders>
              <w:top w:val="single" w:sz="2" w:space="0" w:color="auto"/>
              <w:bottom w:val="single" w:sz="2" w:space="0" w:color="auto"/>
            </w:tcBorders>
            <w:shd w:val="clear" w:color="auto" w:fill="D9D9D9" w:themeFill="background1" w:themeFillShade="D9"/>
            <w:noWrap/>
            <w:vAlign w:val="center"/>
            <w:hideMark/>
          </w:tcPr>
          <w:p w14:paraId="1B8DC020"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26.4</w:t>
            </w:r>
          </w:p>
        </w:tc>
        <w:tc>
          <w:tcPr>
            <w:tcW w:w="1223" w:type="dxa"/>
            <w:tcBorders>
              <w:top w:val="single" w:sz="2" w:space="0" w:color="auto"/>
              <w:bottom w:val="single" w:sz="2" w:space="0" w:color="auto"/>
              <w:right w:val="nil"/>
            </w:tcBorders>
            <w:shd w:val="clear" w:color="auto" w:fill="D9D9D9" w:themeFill="background1" w:themeFillShade="D9"/>
            <w:noWrap/>
            <w:vAlign w:val="center"/>
            <w:hideMark/>
          </w:tcPr>
          <w:p w14:paraId="28103D14"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6.0</w:t>
            </w:r>
          </w:p>
        </w:tc>
      </w:tr>
      <w:tr w:rsidR="00561D6E" w:rsidRPr="00BF02CB" w14:paraId="1AF322F6" w14:textId="77777777" w:rsidTr="00C36529">
        <w:trPr>
          <w:trHeight w:val="20"/>
        </w:trPr>
        <w:tc>
          <w:tcPr>
            <w:tcW w:w="1243" w:type="dxa"/>
            <w:vMerge/>
            <w:tcBorders>
              <w:top w:val="nil"/>
              <w:left w:val="nil"/>
              <w:bottom w:val="single" w:sz="12" w:space="0" w:color="FFFFFF"/>
              <w:right w:val="nil"/>
            </w:tcBorders>
            <w:vAlign w:val="center"/>
            <w:hideMark/>
          </w:tcPr>
          <w:p w14:paraId="3E251F3E"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000000" w:fill="D9D9D9"/>
            <w:noWrap/>
            <w:vAlign w:val="center"/>
            <w:hideMark/>
          </w:tcPr>
          <w:p w14:paraId="312C51A2"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Private acute group C hospitals</w:t>
            </w:r>
          </w:p>
        </w:tc>
        <w:tc>
          <w:tcPr>
            <w:tcW w:w="1222" w:type="dxa"/>
            <w:tcBorders>
              <w:top w:val="single" w:sz="2" w:space="0" w:color="auto"/>
              <w:left w:val="single" w:sz="12" w:space="0" w:color="808080" w:themeColor="background1" w:themeShade="80"/>
              <w:bottom w:val="single" w:sz="2" w:space="0" w:color="auto"/>
            </w:tcBorders>
            <w:shd w:val="clear" w:color="auto" w:fill="D9D9D9" w:themeFill="background1" w:themeFillShade="D9"/>
            <w:noWrap/>
            <w:vAlign w:val="center"/>
            <w:hideMark/>
          </w:tcPr>
          <w:p w14:paraId="0C4491F7"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59.3</w:t>
            </w:r>
          </w:p>
        </w:tc>
        <w:tc>
          <w:tcPr>
            <w:tcW w:w="1223" w:type="dxa"/>
            <w:tcBorders>
              <w:top w:val="single" w:sz="2" w:space="0" w:color="auto"/>
              <w:bottom w:val="single" w:sz="2" w:space="0" w:color="auto"/>
            </w:tcBorders>
            <w:shd w:val="clear" w:color="auto" w:fill="D9D9D9" w:themeFill="background1" w:themeFillShade="D9"/>
            <w:noWrap/>
            <w:vAlign w:val="center"/>
            <w:hideMark/>
          </w:tcPr>
          <w:p w14:paraId="3DA0699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32.0</w:t>
            </w:r>
          </w:p>
        </w:tc>
        <w:tc>
          <w:tcPr>
            <w:tcW w:w="1222" w:type="dxa"/>
            <w:tcBorders>
              <w:top w:val="single" w:sz="2" w:space="0" w:color="auto"/>
              <w:bottom w:val="single" w:sz="2" w:space="0" w:color="auto"/>
            </w:tcBorders>
            <w:shd w:val="clear" w:color="auto" w:fill="D9D9D9" w:themeFill="background1" w:themeFillShade="D9"/>
            <w:noWrap/>
            <w:vAlign w:val="center"/>
            <w:hideMark/>
          </w:tcPr>
          <w:p w14:paraId="4E000D9D"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4.4</w:t>
            </w:r>
          </w:p>
        </w:tc>
        <w:tc>
          <w:tcPr>
            <w:tcW w:w="1223" w:type="dxa"/>
            <w:tcBorders>
              <w:top w:val="single" w:sz="2" w:space="0" w:color="auto"/>
              <w:bottom w:val="single" w:sz="2" w:space="0" w:color="auto"/>
            </w:tcBorders>
            <w:shd w:val="clear" w:color="auto" w:fill="D9D9D9" w:themeFill="background1" w:themeFillShade="D9"/>
            <w:noWrap/>
            <w:vAlign w:val="center"/>
            <w:hideMark/>
          </w:tcPr>
          <w:p w14:paraId="7317239D"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0.7</w:t>
            </w:r>
          </w:p>
        </w:tc>
        <w:tc>
          <w:tcPr>
            <w:tcW w:w="1222" w:type="dxa"/>
            <w:tcBorders>
              <w:top w:val="single" w:sz="2" w:space="0" w:color="auto"/>
              <w:bottom w:val="single" w:sz="2" w:space="0" w:color="auto"/>
              <w:right w:val="single" w:sz="12" w:space="0" w:color="808080" w:themeColor="background1" w:themeShade="80"/>
            </w:tcBorders>
            <w:shd w:val="clear" w:color="auto" w:fill="D9D9D9" w:themeFill="background1" w:themeFillShade="D9"/>
            <w:noWrap/>
            <w:vAlign w:val="center"/>
            <w:hideMark/>
          </w:tcPr>
          <w:p w14:paraId="59BE273C"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3.7</w:t>
            </w:r>
          </w:p>
        </w:tc>
        <w:tc>
          <w:tcPr>
            <w:tcW w:w="1223" w:type="dxa"/>
            <w:tcBorders>
              <w:top w:val="single" w:sz="2" w:space="0" w:color="auto"/>
              <w:left w:val="single" w:sz="12" w:space="0" w:color="808080" w:themeColor="background1" w:themeShade="80"/>
              <w:bottom w:val="single" w:sz="2" w:space="0" w:color="auto"/>
            </w:tcBorders>
            <w:shd w:val="clear" w:color="auto" w:fill="D9D9D9" w:themeFill="background1" w:themeFillShade="D9"/>
            <w:noWrap/>
            <w:vAlign w:val="center"/>
            <w:hideMark/>
          </w:tcPr>
          <w:p w14:paraId="6EF4038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69.2</w:t>
            </w:r>
          </w:p>
        </w:tc>
        <w:tc>
          <w:tcPr>
            <w:tcW w:w="1222" w:type="dxa"/>
            <w:tcBorders>
              <w:top w:val="single" w:sz="2" w:space="0" w:color="auto"/>
              <w:bottom w:val="single" w:sz="2" w:space="0" w:color="auto"/>
            </w:tcBorders>
            <w:shd w:val="clear" w:color="auto" w:fill="D9D9D9" w:themeFill="background1" w:themeFillShade="D9"/>
            <w:noWrap/>
            <w:vAlign w:val="center"/>
            <w:hideMark/>
          </w:tcPr>
          <w:p w14:paraId="22387756"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26.4</w:t>
            </w:r>
          </w:p>
        </w:tc>
        <w:tc>
          <w:tcPr>
            <w:tcW w:w="1223" w:type="dxa"/>
            <w:tcBorders>
              <w:top w:val="single" w:sz="2" w:space="0" w:color="auto"/>
              <w:bottom w:val="single" w:sz="2" w:space="0" w:color="auto"/>
              <w:right w:val="nil"/>
            </w:tcBorders>
            <w:shd w:val="clear" w:color="auto" w:fill="D9D9D9" w:themeFill="background1" w:themeFillShade="D9"/>
            <w:noWrap/>
            <w:vAlign w:val="center"/>
            <w:hideMark/>
          </w:tcPr>
          <w:p w14:paraId="6B46ECB1"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4.5</w:t>
            </w:r>
          </w:p>
        </w:tc>
      </w:tr>
      <w:tr w:rsidR="00561D6E" w:rsidRPr="00BF02CB" w14:paraId="2C2F85FB" w14:textId="77777777" w:rsidTr="00C36529">
        <w:trPr>
          <w:trHeight w:val="20"/>
        </w:trPr>
        <w:tc>
          <w:tcPr>
            <w:tcW w:w="1243" w:type="dxa"/>
            <w:vMerge/>
            <w:tcBorders>
              <w:top w:val="nil"/>
              <w:left w:val="nil"/>
              <w:bottom w:val="single" w:sz="12" w:space="0" w:color="FFFFFF"/>
              <w:right w:val="nil"/>
            </w:tcBorders>
            <w:vAlign w:val="center"/>
            <w:hideMark/>
          </w:tcPr>
          <w:p w14:paraId="7C90F721"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000000" w:fill="D9D9D9"/>
            <w:noWrap/>
            <w:vAlign w:val="center"/>
            <w:hideMark/>
          </w:tcPr>
          <w:p w14:paraId="60659CEE"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Private acute group D hospitals</w:t>
            </w:r>
          </w:p>
        </w:tc>
        <w:tc>
          <w:tcPr>
            <w:tcW w:w="1222" w:type="dxa"/>
            <w:tcBorders>
              <w:top w:val="single" w:sz="2" w:space="0" w:color="auto"/>
              <w:left w:val="single" w:sz="12" w:space="0" w:color="808080" w:themeColor="background1" w:themeShade="80"/>
              <w:bottom w:val="single" w:sz="2" w:space="0" w:color="auto"/>
            </w:tcBorders>
            <w:shd w:val="clear" w:color="auto" w:fill="D9D9D9" w:themeFill="background1" w:themeFillShade="D9"/>
            <w:noWrap/>
            <w:vAlign w:val="center"/>
            <w:hideMark/>
          </w:tcPr>
          <w:p w14:paraId="35423EB0"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57.6</w:t>
            </w:r>
          </w:p>
        </w:tc>
        <w:tc>
          <w:tcPr>
            <w:tcW w:w="1223" w:type="dxa"/>
            <w:tcBorders>
              <w:top w:val="single" w:sz="2" w:space="0" w:color="auto"/>
              <w:bottom w:val="single" w:sz="2" w:space="0" w:color="auto"/>
            </w:tcBorders>
            <w:shd w:val="clear" w:color="auto" w:fill="D9D9D9" w:themeFill="background1" w:themeFillShade="D9"/>
            <w:noWrap/>
            <w:vAlign w:val="center"/>
            <w:hideMark/>
          </w:tcPr>
          <w:p w14:paraId="496BB2D0"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32.7</w:t>
            </w:r>
          </w:p>
        </w:tc>
        <w:tc>
          <w:tcPr>
            <w:tcW w:w="1222" w:type="dxa"/>
            <w:tcBorders>
              <w:top w:val="single" w:sz="2" w:space="0" w:color="auto"/>
              <w:bottom w:val="single" w:sz="2" w:space="0" w:color="auto"/>
            </w:tcBorders>
            <w:shd w:val="clear" w:color="auto" w:fill="D9D9D9" w:themeFill="background1" w:themeFillShade="D9"/>
            <w:noWrap/>
            <w:vAlign w:val="center"/>
            <w:hideMark/>
          </w:tcPr>
          <w:p w14:paraId="43B7BD57"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4.8</w:t>
            </w:r>
          </w:p>
        </w:tc>
        <w:tc>
          <w:tcPr>
            <w:tcW w:w="1223" w:type="dxa"/>
            <w:tcBorders>
              <w:top w:val="single" w:sz="2" w:space="0" w:color="auto"/>
              <w:bottom w:val="single" w:sz="2" w:space="0" w:color="auto"/>
            </w:tcBorders>
            <w:shd w:val="clear" w:color="auto" w:fill="D9D9D9" w:themeFill="background1" w:themeFillShade="D9"/>
            <w:noWrap/>
            <w:vAlign w:val="center"/>
            <w:hideMark/>
          </w:tcPr>
          <w:p w14:paraId="7AE77C0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1.4</w:t>
            </w:r>
          </w:p>
        </w:tc>
        <w:tc>
          <w:tcPr>
            <w:tcW w:w="1222" w:type="dxa"/>
            <w:tcBorders>
              <w:top w:val="single" w:sz="2" w:space="0" w:color="auto"/>
              <w:bottom w:val="single" w:sz="2" w:space="0" w:color="auto"/>
              <w:right w:val="single" w:sz="12" w:space="0" w:color="808080" w:themeColor="background1" w:themeShade="80"/>
            </w:tcBorders>
            <w:shd w:val="clear" w:color="auto" w:fill="D9D9D9" w:themeFill="background1" w:themeFillShade="D9"/>
            <w:noWrap/>
            <w:vAlign w:val="center"/>
            <w:hideMark/>
          </w:tcPr>
          <w:p w14:paraId="1D8E3F69"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3.4</w:t>
            </w:r>
          </w:p>
        </w:tc>
        <w:tc>
          <w:tcPr>
            <w:tcW w:w="1223" w:type="dxa"/>
            <w:tcBorders>
              <w:top w:val="single" w:sz="2" w:space="0" w:color="auto"/>
              <w:left w:val="single" w:sz="12" w:space="0" w:color="808080" w:themeColor="background1" w:themeShade="80"/>
              <w:bottom w:val="single" w:sz="2" w:space="0" w:color="auto"/>
            </w:tcBorders>
            <w:shd w:val="clear" w:color="auto" w:fill="D9D9D9" w:themeFill="background1" w:themeFillShade="D9"/>
            <w:noWrap/>
            <w:vAlign w:val="center"/>
            <w:hideMark/>
          </w:tcPr>
          <w:p w14:paraId="75236666"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67.6</w:t>
            </w:r>
          </w:p>
        </w:tc>
        <w:tc>
          <w:tcPr>
            <w:tcW w:w="1222" w:type="dxa"/>
            <w:tcBorders>
              <w:top w:val="single" w:sz="2" w:space="0" w:color="auto"/>
              <w:bottom w:val="single" w:sz="2" w:space="0" w:color="auto"/>
            </w:tcBorders>
            <w:shd w:val="clear" w:color="auto" w:fill="D9D9D9" w:themeFill="background1" w:themeFillShade="D9"/>
            <w:noWrap/>
            <w:vAlign w:val="center"/>
            <w:hideMark/>
          </w:tcPr>
          <w:p w14:paraId="6A1C4D4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24.5</w:t>
            </w:r>
          </w:p>
        </w:tc>
        <w:tc>
          <w:tcPr>
            <w:tcW w:w="1223" w:type="dxa"/>
            <w:tcBorders>
              <w:top w:val="single" w:sz="2" w:space="0" w:color="auto"/>
              <w:bottom w:val="single" w:sz="2" w:space="0" w:color="auto"/>
              <w:right w:val="nil"/>
            </w:tcBorders>
            <w:shd w:val="clear" w:color="auto" w:fill="D9D9D9" w:themeFill="background1" w:themeFillShade="D9"/>
            <w:noWrap/>
            <w:vAlign w:val="center"/>
            <w:hideMark/>
          </w:tcPr>
          <w:p w14:paraId="5ACE01FF"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7.9</w:t>
            </w:r>
          </w:p>
        </w:tc>
      </w:tr>
      <w:tr w:rsidR="00561D6E" w:rsidRPr="00BF02CB" w14:paraId="1C273706" w14:textId="77777777" w:rsidTr="00C36529">
        <w:trPr>
          <w:trHeight w:val="20"/>
        </w:trPr>
        <w:tc>
          <w:tcPr>
            <w:tcW w:w="1243" w:type="dxa"/>
            <w:vMerge/>
            <w:tcBorders>
              <w:top w:val="nil"/>
              <w:left w:val="nil"/>
              <w:bottom w:val="single" w:sz="12" w:space="0" w:color="FFFFFF"/>
              <w:right w:val="nil"/>
            </w:tcBorders>
            <w:vAlign w:val="center"/>
            <w:hideMark/>
          </w:tcPr>
          <w:p w14:paraId="3633A8B4"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000000" w:fill="D9D9D9"/>
            <w:noWrap/>
            <w:vAlign w:val="center"/>
            <w:hideMark/>
          </w:tcPr>
          <w:p w14:paraId="76DBD5E8"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Other acute specialised hospitals</w:t>
            </w:r>
          </w:p>
        </w:tc>
        <w:tc>
          <w:tcPr>
            <w:tcW w:w="1222" w:type="dxa"/>
            <w:tcBorders>
              <w:top w:val="single" w:sz="2" w:space="0" w:color="auto"/>
              <w:left w:val="single" w:sz="12" w:space="0" w:color="808080" w:themeColor="background1" w:themeShade="80"/>
              <w:bottom w:val="single" w:sz="2" w:space="0" w:color="auto"/>
            </w:tcBorders>
            <w:shd w:val="clear" w:color="auto" w:fill="D9D9D9" w:themeFill="background1" w:themeFillShade="D9"/>
            <w:noWrap/>
            <w:vAlign w:val="center"/>
            <w:hideMark/>
          </w:tcPr>
          <w:p w14:paraId="6AAA2149"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82.8</w:t>
            </w:r>
          </w:p>
        </w:tc>
        <w:tc>
          <w:tcPr>
            <w:tcW w:w="1223" w:type="dxa"/>
            <w:tcBorders>
              <w:top w:val="single" w:sz="2" w:space="0" w:color="auto"/>
              <w:bottom w:val="single" w:sz="2" w:space="0" w:color="auto"/>
            </w:tcBorders>
            <w:shd w:val="clear" w:color="auto" w:fill="D9D9D9" w:themeFill="background1" w:themeFillShade="D9"/>
            <w:noWrap/>
            <w:vAlign w:val="center"/>
            <w:hideMark/>
          </w:tcPr>
          <w:p w14:paraId="1BCBDF0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12.6</w:t>
            </w:r>
          </w:p>
        </w:tc>
        <w:tc>
          <w:tcPr>
            <w:tcW w:w="1222" w:type="dxa"/>
            <w:tcBorders>
              <w:top w:val="single" w:sz="2" w:space="0" w:color="auto"/>
              <w:bottom w:val="single" w:sz="2" w:space="0" w:color="auto"/>
            </w:tcBorders>
            <w:shd w:val="clear" w:color="auto" w:fill="D9D9D9" w:themeFill="background1" w:themeFillShade="D9"/>
            <w:noWrap/>
            <w:vAlign w:val="center"/>
            <w:hideMark/>
          </w:tcPr>
          <w:p w14:paraId="77383D39"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2.3</w:t>
            </w:r>
          </w:p>
        </w:tc>
        <w:tc>
          <w:tcPr>
            <w:tcW w:w="1223" w:type="dxa"/>
            <w:tcBorders>
              <w:top w:val="single" w:sz="2" w:space="0" w:color="auto"/>
              <w:bottom w:val="single" w:sz="2" w:space="0" w:color="auto"/>
            </w:tcBorders>
            <w:shd w:val="clear" w:color="auto" w:fill="D9D9D9" w:themeFill="background1" w:themeFillShade="D9"/>
            <w:noWrap/>
            <w:vAlign w:val="center"/>
            <w:hideMark/>
          </w:tcPr>
          <w:p w14:paraId="4391B58F"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0.0</w:t>
            </w:r>
          </w:p>
        </w:tc>
        <w:tc>
          <w:tcPr>
            <w:tcW w:w="1222" w:type="dxa"/>
            <w:tcBorders>
              <w:top w:val="single" w:sz="2" w:space="0" w:color="auto"/>
              <w:bottom w:val="single" w:sz="2" w:space="0" w:color="auto"/>
              <w:right w:val="single" w:sz="12" w:space="0" w:color="808080" w:themeColor="background1" w:themeShade="80"/>
            </w:tcBorders>
            <w:shd w:val="clear" w:color="auto" w:fill="D9D9D9" w:themeFill="background1" w:themeFillShade="D9"/>
            <w:noWrap/>
            <w:vAlign w:val="center"/>
            <w:hideMark/>
          </w:tcPr>
          <w:p w14:paraId="47EF008C"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2.3</w:t>
            </w:r>
          </w:p>
        </w:tc>
        <w:tc>
          <w:tcPr>
            <w:tcW w:w="1223" w:type="dxa"/>
            <w:tcBorders>
              <w:top w:val="single" w:sz="2" w:space="0" w:color="auto"/>
              <w:left w:val="single" w:sz="12" w:space="0" w:color="808080" w:themeColor="background1" w:themeShade="80"/>
              <w:bottom w:val="single" w:sz="2" w:space="0" w:color="auto"/>
            </w:tcBorders>
            <w:shd w:val="clear" w:color="auto" w:fill="D9D9D9" w:themeFill="background1" w:themeFillShade="D9"/>
            <w:noWrap/>
            <w:vAlign w:val="center"/>
            <w:hideMark/>
          </w:tcPr>
          <w:p w14:paraId="36F4CD4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87.4</w:t>
            </w:r>
          </w:p>
        </w:tc>
        <w:tc>
          <w:tcPr>
            <w:tcW w:w="1222" w:type="dxa"/>
            <w:tcBorders>
              <w:top w:val="single" w:sz="2" w:space="0" w:color="auto"/>
              <w:bottom w:val="single" w:sz="2" w:space="0" w:color="auto"/>
            </w:tcBorders>
            <w:shd w:val="clear" w:color="auto" w:fill="D9D9D9" w:themeFill="background1" w:themeFillShade="D9"/>
            <w:noWrap/>
            <w:vAlign w:val="center"/>
            <w:hideMark/>
          </w:tcPr>
          <w:p w14:paraId="68741580"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10.3</w:t>
            </w:r>
          </w:p>
        </w:tc>
        <w:tc>
          <w:tcPr>
            <w:tcW w:w="1223" w:type="dxa"/>
            <w:tcBorders>
              <w:top w:val="single" w:sz="2" w:space="0" w:color="auto"/>
              <w:bottom w:val="single" w:sz="2" w:space="0" w:color="auto"/>
              <w:right w:val="nil"/>
            </w:tcBorders>
            <w:shd w:val="clear" w:color="auto" w:fill="D9D9D9" w:themeFill="background1" w:themeFillShade="D9"/>
            <w:noWrap/>
            <w:vAlign w:val="center"/>
            <w:hideMark/>
          </w:tcPr>
          <w:p w14:paraId="4869C13E"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2.3</w:t>
            </w:r>
          </w:p>
        </w:tc>
      </w:tr>
      <w:tr w:rsidR="00561D6E" w:rsidRPr="00BF02CB" w14:paraId="4AC74349" w14:textId="77777777" w:rsidTr="00C36529">
        <w:trPr>
          <w:trHeight w:val="20"/>
        </w:trPr>
        <w:tc>
          <w:tcPr>
            <w:tcW w:w="1243" w:type="dxa"/>
            <w:vMerge/>
            <w:tcBorders>
              <w:top w:val="nil"/>
              <w:left w:val="nil"/>
              <w:bottom w:val="single" w:sz="12" w:space="0" w:color="FFFFFF"/>
              <w:right w:val="nil"/>
            </w:tcBorders>
            <w:vAlign w:val="center"/>
            <w:hideMark/>
          </w:tcPr>
          <w:p w14:paraId="2776B04E"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2" w:space="0" w:color="auto"/>
              <w:right w:val="single" w:sz="12" w:space="0" w:color="808080" w:themeColor="background1" w:themeShade="80"/>
            </w:tcBorders>
            <w:shd w:val="clear" w:color="000000" w:fill="D9D9D9"/>
            <w:noWrap/>
            <w:vAlign w:val="center"/>
            <w:hideMark/>
          </w:tcPr>
          <w:p w14:paraId="0F5672FC"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Private rehabilitation hospitals</w:t>
            </w:r>
          </w:p>
        </w:tc>
        <w:tc>
          <w:tcPr>
            <w:tcW w:w="1222" w:type="dxa"/>
            <w:tcBorders>
              <w:top w:val="single" w:sz="2" w:space="0" w:color="auto"/>
              <w:left w:val="single" w:sz="12" w:space="0" w:color="808080" w:themeColor="background1" w:themeShade="80"/>
              <w:bottom w:val="single" w:sz="2" w:space="0" w:color="auto"/>
            </w:tcBorders>
            <w:shd w:val="clear" w:color="auto" w:fill="D9D9D9" w:themeFill="background1" w:themeFillShade="D9"/>
            <w:noWrap/>
            <w:vAlign w:val="center"/>
            <w:hideMark/>
          </w:tcPr>
          <w:p w14:paraId="0285EE70"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33.7</w:t>
            </w:r>
          </w:p>
        </w:tc>
        <w:tc>
          <w:tcPr>
            <w:tcW w:w="1223" w:type="dxa"/>
            <w:tcBorders>
              <w:top w:val="single" w:sz="2" w:space="0" w:color="auto"/>
              <w:bottom w:val="single" w:sz="2" w:space="0" w:color="auto"/>
            </w:tcBorders>
            <w:shd w:val="clear" w:color="auto" w:fill="D9D9D9" w:themeFill="background1" w:themeFillShade="D9"/>
            <w:noWrap/>
            <w:vAlign w:val="center"/>
            <w:hideMark/>
          </w:tcPr>
          <w:p w14:paraId="6718FDB3"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22.9</w:t>
            </w:r>
          </w:p>
        </w:tc>
        <w:tc>
          <w:tcPr>
            <w:tcW w:w="1222" w:type="dxa"/>
            <w:tcBorders>
              <w:top w:val="single" w:sz="2" w:space="0" w:color="auto"/>
              <w:bottom w:val="single" w:sz="2" w:space="0" w:color="auto"/>
            </w:tcBorders>
            <w:shd w:val="clear" w:color="auto" w:fill="D9D9D9" w:themeFill="background1" w:themeFillShade="D9"/>
            <w:noWrap/>
            <w:vAlign w:val="center"/>
            <w:hideMark/>
          </w:tcPr>
          <w:p w14:paraId="44C9B304"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31.2</w:t>
            </w:r>
          </w:p>
        </w:tc>
        <w:tc>
          <w:tcPr>
            <w:tcW w:w="1223" w:type="dxa"/>
            <w:tcBorders>
              <w:top w:val="single" w:sz="2" w:space="0" w:color="auto"/>
              <w:bottom w:val="single" w:sz="2" w:space="0" w:color="auto"/>
            </w:tcBorders>
            <w:shd w:val="clear" w:color="auto" w:fill="D9D9D9" w:themeFill="background1" w:themeFillShade="D9"/>
            <w:noWrap/>
            <w:vAlign w:val="center"/>
            <w:hideMark/>
          </w:tcPr>
          <w:p w14:paraId="08E57C05"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2.4</w:t>
            </w:r>
          </w:p>
        </w:tc>
        <w:tc>
          <w:tcPr>
            <w:tcW w:w="1222" w:type="dxa"/>
            <w:tcBorders>
              <w:top w:val="single" w:sz="2" w:space="0" w:color="auto"/>
              <w:bottom w:val="single" w:sz="2" w:space="0" w:color="auto"/>
              <w:right w:val="single" w:sz="12" w:space="0" w:color="808080" w:themeColor="background1" w:themeShade="80"/>
            </w:tcBorders>
            <w:shd w:val="clear" w:color="auto" w:fill="D9D9D9" w:themeFill="background1" w:themeFillShade="D9"/>
            <w:noWrap/>
            <w:vAlign w:val="center"/>
            <w:hideMark/>
          </w:tcPr>
          <w:p w14:paraId="66D37DF1"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9.8</w:t>
            </w:r>
          </w:p>
        </w:tc>
        <w:tc>
          <w:tcPr>
            <w:tcW w:w="1223" w:type="dxa"/>
            <w:tcBorders>
              <w:top w:val="single" w:sz="2" w:space="0" w:color="auto"/>
              <w:left w:val="single" w:sz="12" w:space="0" w:color="808080" w:themeColor="background1" w:themeShade="80"/>
              <w:bottom w:val="single" w:sz="2" w:space="0" w:color="auto"/>
            </w:tcBorders>
            <w:shd w:val="clear" w:color="auto" w:fill="D9D9D9" w:themeFill="background1" w:themeFillShade="D9"/>
            <w:noWrap/>
            <w:vAlign w:val="center"/>
            <w:hideMark/>
          </w:tcPr>
          <w:p w14:paraId="5A93743F"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74.2</w:t>
            </w:r>
          </w:p>
        </w:tc>
        <w:tc>
          <w:tcPr>
            <w:tcW w:w="1222" w:type="dxa"/>
            <w:tcBorders>
              <w:top w:val="single" w:sz="2" w:space="0" w:color="auto"/>
              <w:bottom w:val="single" w:sz="2" w:space="0" w:color="auto"/>
            </w:tcBorders>
            <w:shd w:val="clear" w:color="auto" w:fill="D9D9D9" w:themeFill="background1" w:themeFillShade="D9"/>
            <w:noWrap/>
            <w:vAlign w:val="center"/>
            <w:hideMark/>
          </w:tcPr>
          <w:p w14:paraId="65DF6BB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15.6</w:t>
            </w:r>
          </w:p>
        </w:tc>
        <w:tc>
          <w:tcPr>
            <w:tcW w:w="1223" w:type="dxa"/>
            <w:tcBorders>
              <w:top w:val="single" w:sz="2" w:space="0" w:color="auto"/>
              <w:bottom w:val="single" w:sz="2" w:space="0" w:color="auto"/>
              <w:right w:val="nil"/>
            </w:tcBorders>
            <w:shd w:val="clear" w:color="auto" w:fill="D9D9D9" w:themeFill="background1" w:themeFillShade="D9"/>
            <w:noWrap/>
            <w:vAlign w:val="center"/>
            <w:hideMark/>
          </w:tcPr>
          <w:p w14:paraId="4734AC6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10.2</w:t>
            </w:r>
          </w:p>
        </w:tc>
      </w:tr>
      <w:tr w:rsidR="00561D6E" w:rsidRPr="00BF02CB" w14:paraId="3942A3B1" w14:textId="77777777" w:rsidTr="00C36529">
        <w:trPr>
          <w:trHeight w:val="20"/>
        </w:trPr>
        <w:tc>
          <w:tcPr>
            <w:tcW w:w="1243" w:type="dxa"/>
            <w:vMerge/>
            <w:tcBorders>
              <w:top w:val="nil"/>
              <w:left w:val="nil"/>
              <w:bottom w:val="single" w:sz="12" w:space="0" w:color="FFFFFF"/>
              <w:right w:val="nil"/>
            </w:tcBorders>
            <w:vAlign w:val="center"/>
            <w:hideMark/>
          </w:tcPr>
          <w:p w14:paraId="596D2D1F"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12" w:space="0" w:color="808080" w:themeColor="background1" w:themeShade="80"/>
              <w:right w:val="single" w:sz="12" w:space="0" w:color="808080" w:themeColor="background1" w:themeShade="80"/>
            </w:tcBorders>
            <w:shd w:val="clear" w:color="000000" w:fill="D9D9D9"/>
            <w:noWrap/>
            <w:vAlign w:val="center"/>
            <w:hideMark/>
          </w:tcPr>
          <w:p w14:paraId="4C68E3CA" w14:textId="77777777" w:rsidR="00561D6E" w:rsidRPr="00BF02CB" w:rsidRDefault="00561D6E" w:rsidP="00DE3127">
            <w:pPr>
              <w:spacing w:after="0"/>
              <w:jc w:val="both"/>
              <w:rPr>
                <w:rFonts w:ascii="Arial" w:hAnsi="Arial" w:cs="Arial"/>
                <w:color w:val="000000"/>
                <w:sz w:val="16"/>
                <w:szCs w:val="16"/>
              </w:rPr>
            </w:pPr>
            <w:r w:rsidRPr="00BF02CB">
              <w:rPr>
                <w:rFonts w:ascii="Arial" w:hAnsi="Arial" w:cs="Arial"/>
                <w:color w:val="000000"/>
                <w:sz w:val="16"/>
                <w:szCs w:val="16"/>
              </w:rPr>
              <w:t>Private acute psychiatric hospitals</w:t>
            </w:r>
            <w:r w:rsidR="00DE3127" w:rsidRPr="00DE3127">
              <w:rPr>
                <w:rFonts w:ascii="Arial" w:hAnsi="Arial" w:cs="Arial"/>
                <w:color w:val="000000"/>
                <w:sz w:val="16"/>
                <w:szCs w:val="16"/>
                <w:vertAlign w:val="superscript"/>
              </w:rPr>
              <w:t>†</w:t>
            </w:r>
          </w:p>
        </w:tc>
        <w:tc>
          <w:tcPr>
            <w:tcW w:w="1222" w:type="dxa"/>
            <w:tcBorders>
              <w:top w:val="single" w:sz="2" w:space="0" w:color="auto"/>
              <w:left w:val="single" w:sz="12" w:space="0" w:color="808080" w:themeColor="background1" w:themeShade="80"/>
              <w:bottom w:val="single" w:sz="12" w:space="0" w:color="808080" w:themeColor="background1" w:themeShade="80"/>
            </w:tcBorders>
            <w:shd w:val="clear" w:color="auto" w:fill="D9D9D9" w:themeFill="background1" w:themeFillShade="D9"/>
            <w:noWrap/>
            <w:vAlign w:val="center"/>
            <w:hideMark/>
          </w:tcPr>
          <w:p w14:paraId="6EF79AF1"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w:t>
            </w:r>
          </w:p>
        </w:tc>
        <w:tc>
          <w:tcPr>
            <w:tcW w:w="1223" w:type="dxa"/>
            <w:tcBorders>
              <w:top w:val="single" w:sz="2" w:space="0" w:color="auto"/>
              <w:bottom w:val="single" w:sz="12" w:space="0" w:color="808080" w:themeColor="background1" w:themeShade="80"/>
            </w:tcBorders>
            <w:shd w:val="clear" w:color="auto" w:fill="D9D9D9" w:themeFill="background1" w:themeFillShade="D9"/>
            <w:noWrap/>
            <w:vAlign w:val="center"/>
            <w:hideMark/>
          </w:tcPr>
          <w:p w14:paraId="2BFFF23C"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w:t>
            </w:r>
          </w:p>
        </w:tc>
        <w:tc>
          <w:tcPr>
            <w:tcW w:w="1222" w:type="dxa"/>
            <w:tcBorders>
              <w:top w:val="single" w:sz="2" w:space="0" w:color="auto"/>
              <w:bottom w:val="single" w:sz="12" w:space="0" w:color="808080" w:themeColor="background1" w:themeShade="80"/>
            </w:tcBorders>
            <w:shd w:val="clear" w:color="auto" w:fill="D9D9D9" w:themeFill="background1" w:themeFillShade="D9"/>
            <w:noWrap/>
            <w:vAlign w:val="center"/>
            <w:hideMark/>
          </w:tcPr>
          <w:p w14:paraId="14FCA3D1"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w:t>
            </w:r>
          </w:p>
        </w:tc>
        <w:tc>
          <w:tcPr>
            <w:tcW w:w="1223" w:type="dxa"/>
            <w:tcBorders>
              <w:top w:val="single" w:sz="2" w:space="0" w:color="auto"/>
              <w:bottom w:val="single" w:sz="12" w:space="0" w:color="808080" w:themeColor="background1" w:themeShade="80"/>
            </w:tcBorders>
            <w:shd w:val="clear" w:color="auto" w:fill="D9D9D9" w:themeFill="background1" w:themeFillShade="D9"/>
            <w:noWrap/>
            <w:vAlign w:val="center"/>
            <w:hideMark/>
          </w:tcPr>
          <w:p w14:paraId="3B254F5C"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w:t>
            </w:r>
          </w:p>
        </w:tc>
        <w:tc>
          <w:tcPr>
            <w:tcW w:w="1222" w:type="dxa"/>
            <w:tcBorders>
              <w:top w:val="single" w:sz="2" w:space="0" w:color="auto"/>
              <w:bottom w:val="single" w:sz="12" w:space="0" w:color="808080" w:themeColor="background1" w:themeShade="80"/>
              <w:right w:val="single" w:sz="12" w:space="0" w:color="808080" w:themeColor="background1" w:themeShade="80"/>
            </w:tcBorders>
            <w:shd w:val="clear" w:color="auto" w:fill="D9D9D9" w:themeFill="background1" w:themeFillShade="D9"/>
            <w:noWrap/>
            <w:vAlign w:val="center"/>
            <w:hideMark/>
          </w:tcPr>
          <w:p w14:paraId="21624C5F"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w:t>
            </w:r>
          </w:p>
        </w:tc>
        <w:tc>
          <w:tcPr>
            <w:tcW w:w="1223" w:type="dxa"/>
            <w:tcBorders>
              <w:top w:val="single" w:sz="2" w:space="0" w:color="auto"/>
              <w:left w:val="single" w:sz="12" w:space="0" w:color="808080" w:themeColor="background1" w:themeShade="80"/>
              <w:bottom w:val="single" w:sz="12" w:space="0" w:color="808080" w:themeColor="background1" w:themeShade="80"/>
            </w:tcBorders>
            <w:shd w:val="clear" w:color="auto" w:fill="D9D9D9" w:themeFill="background1" w:themeFillShade="D9"/>
            <w:noWrap/>
            <w:vAlign w:val="center"/>
            <w:hideMark/>
          </w:tcPr>
          <w:p w14:paraId="5318AB15"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w:t>
            </w:r>
          </w:p>
        </w:tc>
        <w:tc>
          <w:tcPr>
            <w:tcW w:w="1222" w:type="dxa"/>
            <w:tcBorders>
              <w:top w:val="single" w:sz="2" w:space="0" w:color="auto"/>
              <w:bottom w:val="single" w:sz="12" w:space="0" w:color="808080" w:themeColor="background1" w:themeShade="80"/>
            </w:tcBorders>
            <w:shd w:val="clear" w:color="auto" w:fill="D9D9D9" w:themeFill="background1" w:themeFillShade="D9"/>
            <w:noWrap/>
            <w:vAlign w:val="center"/>
            <w:hideMark/>
          </w:tcPr>
          <w:p w14:paraId="746824E9"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w:t>
            </w:r>
          </w:p>
        </w:tc>
        <w:tc>
          <w:tcPr>
            <w:tcW w:w="1223" w:type="dxa"/>
            <w:tcBorders>
              <w:top w:val="single" w:sz="2" w:space="0" w:color="auto"/>
              <w:bottom w:val="single" w:sz="12" w:space="0" w:color="808080" w:themeColor="background1" w:themeShade="80"/>
              <w:right w:val="nil"/>
            </w:tcBorders>
            <w:shd w:val="clear" w:color="auto" w:fill="D9D9D9" w:themeFill="background1" w:themeFillShade="D9"/>
            <w:noWrap/>
            <w:vAlign w:val="center"/>
            <w:hideMark/>
          </w:tcPr>
          <w:p w14:paraId="5A5CE824"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w:t>
            </w:r>
          </w:p>
        </w:tc>
      </w:tr>
      <w:tr w:rsidR="00561D6E" w:rsidRPr="00BF02CB" w14:paraId="5C3993F5" w14:textId="77777777" w:rsidTr="00C36529">
        <w:trPr>
          <w:trHeight w:val="20"/>
        </w:trPr>
        <w:tc>
          <w:tcPr>
            <w:tcW w:w="1243" w:type="dxa"/>
            <w:vMerge w:val="restart"/>
            <w:tcBorders>
              <w:top w:val="nil"/>
              <w:left w:val="nil"/>
              <w:bottom w:val="single" w:sz="12" w:space="0" w:color="FFFFFF"/>
              <w:right w:val="nil"/>
            </w:tcBorders>
            <w:shd w:val="clear" w:color="000000" w:fill="808080"/>
            <w:vAlign w:val="center"/>
            <w:hideMark/>
          </w:tcPr>
          <w:p w14:paraId="4C8E8562" w14:textId="77777777" w:rsidR="00561D6E" w:rsidRPr="00BF02CB" w:rsidRDefault="00561D6E" w:rsidP="00561D6E">
            <w:pPr>
              <w:spacing w:after="0"/>
              <w:rPr>
                <w:rFonts w:ascii="Arial" w:hAnsi="Arial" w:cs="Arial"/>
                <w:color w:val="FFFFFF"/>
                <w:sz w:val="18"/>
                <w:szCs w:val="18"/>
              </w:rPr>
            </w:pPr>
            <w:r w:rsidRPr="00BF02CB">
              <w:rPr>
                <w:rFonts w:ascii="Arial" w:hAnsi="Arial" w:cs="Arial"/>
                <w:color w:val="FFFFFF"/>
                <w:sz w:val="18"/>
                <w:szCs w:val="18"/>
              </w:rPr>
              <w:t>Funding type</w:t>
            </w:r>
          </w:p>
        </w:tc>
        <w:tc>
          <w:tcPr>
            <w:tcW w:w="3734" w:type="dxa"/>
            <w:tcBorders>
              <w:top w:val="single" w:sz="12" w:space="0" w:color="808080" w:themeColor="background1" w:themeShade="80"/>
              <w:left w:val="nil"/>
              <w:bottom w:val="single" w:sz="2" w:space="0" w:color="auto"/>
              <w:right w:val="single" w:sz="12" w:space="0" w:color="808080" w:themeColor="background1" w:themeShade="80"/>
            </w:tcBorders>
            <w:shd w:val="clear" w:color="auto" w:fill="auto"/>
            <w:vAlign w:val="center"/>
            <w:hideMark/>
          </w:tcPr>
          <w:p w14:paraId="129FD067"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Public</w:t>
            </w:r>
          </w:p>
        </w:tc>
        <w:tc>
          <w:tcPr>
            <w:tcW w:w="1222" w:type="dxa"/>
            <w:tcBorders>
              <w:top w:val="single" w:sz="12" w:space="0" w:color="808080" w:themeColor="background1" w:themeShade="80"/>
              <w:left w:val="single" w:sz="12" w:space="0" w:color="808080" w:themeColor="background1" w:themeShade="80"/>
              <w:bottom w:val="single" w:sz="2" w:space="0" w:color="auto"/>
            </w:tcBorders>
            <w:shd w:val="clear" w:color="auto" w:fill="auto"/>
            <w:noWrap/>
            <w:vAlign w:val="center"/>
            <w:hideMark/>
          </w:tcPr>
          <w:p w14:paraId="180AC40E"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54.2</w:t>
            </w:r>
          </w:p>
        </w:tc>
        <w:tc>
          <w:tcPr>
            <w:tcW w:w="1223" w:type="dxa"/>
            <w:tcBorders>
              <w:top w:val="single" w:sz="12" w:space="0" w:color="808080" w:themeColor="background1" w:themeShade="80"/>
              <w:bottom w:val="single" w:sz="2" w:space="0" w:color="auto"/>
            </w:tcBorders>
            <w:shd w:val="clear" w:color="auto" w:fill="auto"/>
            <w:noWrap/>
            <w:vAlign w:val="center"/>
            <w:hideMark/>
          </w:tcPr>
          <w:p w14:paraId="70100F3F"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25.2</w:t>
            </w:r>
          </w:p>
        </w:tc>
        <w:tc>
          <w:tcPr>
            <w:tcW w:w="1222" w:type="dxa"/>
            <w:tcBorders>
              <w:top w:val="single" w:sz="12" w:space="0" w:color="808080" w:themeColor="background1" w:themeShade="80"/>
              <w:bottom w:val="single" w:sz="2" w:space="0" w:color="auto"/>
            </w:tcBorders>
            <w:shd w:val="clear" w:color="auto" w:fill="auto"/>
            <w:noWrap/>
            <w:vAlign w:val="center"/>
            <w:hideMark/>
          </w:tcPr>
          <w:p w14:paraId="3325CCA3"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13.5</w:t>
            </w:r>
          </w:p>
        </w:tc>
        <w:tc>
          <w:tcPr>
            <w:tcW w:w="1223" w:type="dxa"/>
            <w:tcBorders>
              <w:top w:val="single" w:sz="12" w:space="0" w:color="808080" w:themeColor="background1" w:themeShade="80"/>
              <w:bottom w:val="single" w:sz="2" w:space="0" w:color="auto"/>
            </w:tcBorders>
            <w:shd w:val="clear" w:color="auto" w:fill="auto"/>
            <w:noWrap/>
            <w:vAlign w:val="center"/>
            <w:hideMark/>
          </w:tcPr>
          <w:p w14:paraId="4C2860A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3.6</w:t>
            </w:r>
          </w:p>
        </w:tc>
        <w:tc>
          <w:tcPr>
            <w:tcW w:w="1222" w:type="dxa"/>
            <w:tcBorders>
              <w:top w:val="single" w:sz="12" w:space="0" w:color="808080" w:themeColor="background1" w:themeShade="80"/>
              <w:bottom w:val="single" w:sz="2" w:space="0" w:color="auto"/>
              <w:right w:val="single" w:sz="12" w:space="0" w:color="808080" w:themeColor="background1" w:themeShade="80"/>
            </w:tcBorders>
            <w:shd w:val="clear" w:color="auto" w:fill="auto"/>
            <w:noWrap/>
            <w:vAlign w:val="center"/>
            <w:hideMark/>
          </w:tcPr>
          <w:p w14:paraId="4410E5E5"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3.5</w:t>
            </w:r>
          </w:p>
        </w:tc>
        <w:tc>
          <w:tcPr>
            <w:tcW w:w="1223" w:type="dxa"/>
            <w:tcBorders>
              <w:top w:val="single" w:sz="12" w:space="0" w:color="808080" w:themeColor="background1" w:themeShade="80"/>
              <w:left w:val="single" w:sz="12" w:space="0" w:color="808080" w:themeColor="background1" w:themeShade="80"/>
              <w:bottom w:val="single" w:sz="2" w:space="0" w:color="auto"/>
            </w:tcBorders>
            <w:shd w:val="clear" w:color="auto" w:fill="auto"/>
            <w:noWrap/>
            <w:vAlign w:val="center"/>
            <w:hideMark/>
          </w:tcPr>
          <w:p w14:paraId="57506C5D"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74.0</w:t>
            </w:r>
          </w:p>
        </w:tc>
        <w:tc>
          <w:tcPr>
            <w:tcW w:w="1222" w:type="dxa"/>
            <w:tcBorders>
              <w:top w:val="single" w:sz="12" w:space="0" w:color="808080" w:themeColor="background1" w:themeShade="80"/>
              <w:bottom w:val="single" w:sz="2" w:space="0" w:color="auto"/>
            </w:tcBorders>
            <w:shd w:val="clear" w:color="auto" w:fill="auto"/>
            <w:noWrap/>
            <w:vAlign w:val="center"/>
            <w:hideMark/>
          </w:tcPr>
          <w:p w14:paraId="435A1463"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21.8</w:t>
            </w:r>
          </w:p>
        </w:tc>
        <w:tc>
          <w:tcPr>
            <w:tcW w:w="1223" w:type="dxa"/>
            <w:tcBorders>
              <w:top w:val="single" w:sz="12" w:space="0" w:color="808080" w:themeColor="background1" w:themeShade="80"/>
              <w:bottom w:val="single" w:sz="2" w:space="0" w:color="auto"/>
              <w:right w:val="nil"/>
            </w:tcBorders>
            <w:shd w:val="clear" w:color="auto" w:fill="auto"/>
            <w:noWrap/>
            <w:vAlign w:val="center"/>
            <w:hideMark/>
          </w:tcPr>
          <w:p w14:paraId="71CCE351"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4.2</w:t>
            </w:r>
          </w:p>
        </w:tc>
      </w:tr>
      <w:tr w:rsidR="00561D6E" w:rsidRPr="00BF02CB" w14:paraId="7AFEE951" w14:textId="77777777" w:rsidTr="00C36529">
        <w:trPr>
          <w:trHeight w:val="20"/>
        </w:trPr>
        <w:tc>
          <w:tcPr>
            <w:tcW w:w="1243" w:type="dxa"/>
            <w:vMerge/>
            <w:tcBorders>
              <w:top w:val="nil"/>
              <w:left w:val="nil"/>
              <w:bottom w:val="single" w:sz="12" w:space="0" w:color="FFFFFF"/>
              <w:right w:val="nil"/>
            </w:tcBorders>
            <w:vAlign w:val="center"/>
            <w:hideMark/>
          </w:tcPr>
          <w:p w14:paraId="27EE0FD2" w14:textId="77777777" w:rsidR="00561D6E" w:rsidRPr="00BF02CB" w:rsidRDefault="00561D6E" w:rsidP="00561D6E">
            <w:pPr>
              <w:spacing w:after="0"/>
              <w:rPr>
                <w:rFonts w:ascii="Arial" w:hAnsi="Arial" w:cs="Arial"/>
                <w:color w:val="FFFFFF"/>
                <w:sz w:val="18"/>
                <w:szCs w:val="18"/>
              </w:rPr>
            </w:pPr>
          </w:p>
        </w:tc>
        <w:tc>
          <w:tcPr>
            <w:tcW w:w="3734" w:type="dxa"/>
            <w:tcBorders>
              <w:top w:val="single" w:sz="2" w:space="0" w:color="auto"/>
              <w:left w:val="nil"/>
              <w:bottom w:val="single" w:sz="12" w:space="0" w:color="808080" w:themeColor="background1" w:themeShade="80"/>
              <w:right w:val="single" w:sz="12" w:space="0" w:color="808080" w:themeColor="background1" w:themeShade="80"/>
            </w:tcBorders>
            <w:shd w:val="clear" w:color="auto" w:fill="auto"/>
            <w:vAlign w:val="center"/>
            <w:hideMark/>
          </w:tcPr>
          <w:p w14:paraId="72E1C1C1" w14:textId="77777777" w:rsidR="00561D6E" w:rsidRPr="00BF02CB" w:rsidRDefault="00561D6E" w:rsidP="00561D6E">
            <w:pPr>
              <w:spacing w:after="0"/>
              <w:jc w:val="both"/>
              <w:rPr>
                <w:rFonts w:ascii="Arial" w:hAnsi="Arial" w:cs="Arial"/>
                <w:color w:val="000000"/>
                <w:sz w:val="16"/>
                <w:szCs w:val="16"/>
              </w:rPr>
            </w:pPr>
            <w:r w:rsidRPr="00BF02CB">
              <w:rPr>
                <w:rFonts w:ascii="Arial" w:hAnsi="Arial" w:cs="Arial"/>
                <w:color w:val="000000"/>
                <w:sz w:val="16"/>
                <w:szCs w:val="16"/>
              </w:rPr>
              <w:t>Private</w:t>
            </w:r>
          </w:p>
        </w:tc>
        <w:tc>
          <w:tcPr>
            <w:tcW w:w="1222" w:type="dxa"/>
            <w:tcBorders>
              <w:top w:val="single" w:sz="2" w:space="0" w:color="auto"/>
              <w:left w:val="single" w:sz="12" w:space="0" w:color="808080" w:themeColor="background1" w:themeShade="80"/>
              <w:bottom w:val="single" w:sz="12" w:space="0" w:color="808080" w:themeColor="background1" w:themeShade="80"/>
            </w:tcBorders>
            <w:shd w:val="clear" w:color="auto" w:fill="auto"/>
            <w:noWrap/>
            <w:vAlign w:val="center"/>
            <w:hideMark/>
          </w:tcPr>
          <w:p w14:paraId="59D2FA7B" w14:textId="77777777" w:rsidR="00561D6E" w:rsidRPr="00BF02CB" w:rsidRDefault="00561D6E" w:rsidP="00561D6E">
            <w:pPr>
              <w:spacing w:after="0"/>
              <w:jc w:val="center"/>
              <w:rPr>
                <w:rFonts w:ascii="Arial" w:hAnsi="Arial" w:cs="Arial"/>
                <w:color w:val="000000"/>
                <w:sz w:val="16"/>
                <w:szCs w:val="16"/>
              </w:rPr>
            </w:pPr>
            <w:r>
              <w:rPr>
                <w:rFonts w:ascii="Arial" w:hAnsi="Arial" w:cs="Arial"/>
                <w:color w:val="000000"/>
                <w:sz w:val="16"/>
                <w:szCs w:val="16"/>
              </w:rPr>
              <w:t>53.2</w:t>
            </w:r>
          </w:p>
        </w:tc>
        <w:tc>
          <w:tcPr>
            <w:tcW w:w="1223" w:type="dxa"/>
            <w:tcBorders>
              <w:top w:val="single" w:sz="2" w:space="0" w:color="auto"/>
              <w:bottom w:val="single" w:sz="12" w:space="0" w:color="808080" w:themeColor="background1" w:themeShade="80"/>
            </w:tcBorders>
            <w:shd w:val="clear" w:color="auto" w:fill="auto"/>
            <w:noWrap/>
            <w:vAlign w:val="center"/>
            <w:hideMark/>
          </w:tcPr>
          <w:p w14:paraId="0DE013C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30.9</w:t>
            </w:r>
          </w:p>
        </w:tc>
        <w:tc>
          <w:tcPr>
            <w:tcW w:w="1222" w:type="dxa"/>
            <w:tcBorders>
              <w:top w:val="single" w:sz="2" w:space="0" w:color="auto"/>
              <w:bottom w:val="single" w:sz="12" w:space="0" w:color="808080" w:themeColor="background1" w:themeShade="80"/>
            </w:tcBorders>
            <w:shd w:val="clear" w:color="auto" w:fill="auto"/>
            <w:noWrap/>
            <w:vAlign w:val="center"/>
            <w:hideMark/>
          </w:tcPr>
          <w:p w14:paraId="6863A3FD"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8.7</w:t>
            </w:r>
          </w:p>
        </w:tc>
        <w:tc>
          <w:tcPr>
            <w:tcW w:w="1223" w:type="dxa"/>
            <w:tcBorders>
              <w:top w:val="single" w:sz="2" w:space="0" w:color="auto"/>
              <w:bottom w:val="single" w:sz="12" w:space="0" w:color="808080" w:themeColor="background1" w:themeShade="80"/>
            </w:tcBorders>
            <w:shd w:val="clear" w:color="auto" w:fill="auto"/>
            <w:noWrap/>
            <w:vAlign w:val="center"/>
            <w:hideMark/>
          </w:tcPr>
          <w:p w14:paraId="519713ED"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1.8</w:t>
            </w:r>
          </w:p>
        </w:tc>
        <w:tc>
          <w:tcPr>
            <w:tcW w:w="1222" w:type="dxa"/>
            <w:tcBorders>
              <w:top w:val="single" w:sz="2" w:space="0" w:color="auto"/>
              <w:bottom w:val="single" w:sz="12" w:space="0" w:color="808080" w:themeColor="background1" w:themeShade="80"/>
              <w:right w:val="single" w:sz="12" w:space="0" w:color="808080" w:themeColor="background1" w:themeShade="80"/>
            </w:tcBorders>
            <w:shd w:val="clear" w:color="auto" w:fill="auto"/>
            <w:noWrap/>
            <w:vAlign w:val="center"/>
            <w:hideMark/>
          </w:tcPr>
          <w:p w14:paraId="2BE43DF8"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5.5</w:t>
            </w:r>
          </w:p>
        </w:tc>
        <w:tc>
          <w:tcPr>
            <w:tcW w:w="1223" w:type="dxa"/>
            <w:tcBorders>
              <w:top w:val="single" w:sz="2" w:space="0" w:color="auto"/>
              <w:left w:val="single" w:sz="12" w:space="0" w:color="808080" w:themeColor="background1" w:themeShade="80"/>
              <w:bottom w:val="single" w:sz="12" w:space="0" w:color="808080" w:themeColor="background1" w:themeShade="80"/>
            </w:tcBorders>
            <w:shd w:val="clear" w:color="auto" w:fill="auto"/>
            <w:noWrap/>
            <w:vAlign w:val="center"/>
            <w:hideMark/>
          </w:tcPr>
          <w:p w14:paraId="6E2A28E2"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68.1</w:t>
            </w:r>
          </w:p>
        </w:tc>
        <w:tc>
          <w:tcPr>
            <w:tcW w:w="1222" w:type="dxa"/>
            <w:tcBorders>
              <w:top w:val="single" w:sz="2" w:space="0" w:color="auto"/>
              <w:bottom w:val="single" w:sz="12" w:space="0" w:color="808080" w:themeColor="background1" w:themeShade="80"/>
            </w:tcBorders>
            <w:shd w:val="clear" w:color="auto" w:fill="auto"/>
            <w:noWrap/>
            <w:vAlign w:val="center"/>
            <w:hideMark/>
          </w:tcPr>
          <w:p w14:paraId="626F657A"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24.8</w:t>
            </w:r>
          </w:p>
        </w:tc>
        <w:tc>
          <w:tcPr>
            <w:tcW w:w="1223" w:type="dxa"/>
            <w:tcBorders>
              <w:top w:val="single" w:sz="2" w:space="0" w:color="auto"/>
              <w:bottom w:val="single" w:sz="12" w:space="0" w:color="808080" w:themeColor="background1" w:themeShade="80"/>
              <w:right w:val="nil"/>
            </w:tcBorders>
            <w:shd w:val="clear" w:color="auto" w:fill="auto"/>
            <w:noWrap/>
            <w:vAlign w:val="center"/>
            <w:hideMark/>
          </w:tcPr>
          <w:p w14:paraId="6694F16E" w14:textId="77777777" w:rsidR="00561D6E" w:rsidRPr="00BF02CB" w:rsidRDefault="00561D6E" w:rsidP="00561D6E">
            <w:pPr>
              <w:spacing w:after="0"/>
              <w:jc w:val="center"/>
              <w:rPr>
                <w:rFonts w:ascii="Arial" w:hAnsi="Arial" w:cs="Arial"/>
                <w:color w:val="000000"/>
                <w:sz w:val="16"/>
                <w:szCs w:val="16"/>
              </w:rPr>
            </w:pPr>
            <w:r w:rsidRPr="00BF02CB">
              <w:rPr>
                <w:rFonts w:ascii="Arial" w:hAnsi="Arial" w:cs="Arial"/>
                <w:color w:val="000000"/>
                <w:sz w:val="16"/>
                <w:szCs w:val="16"/>
              </w:rPr>
              <w:t>7.1</w:t>
            </w:r>
          </w:p>
        </w:tc>
      </w:tr>
      <w:tr w:rsidR="00561D6E" w:rsidRPr="00BF02CB" w14:paraId="5FFF0D40" w14:textId="77777777" w:rsidTr="00C36529">
        <w:trPr>
          <w:trHeight w:val="196"/>
        </w:trPr>
        <w:tc>
          <w:tcPr>
            <w:tcW w:w="4977" w:type="dxa"/>
            <w:gridSpan w:val="2"/>
            <w:tcBorders>
              <w:top w:val="single" w:sz="2" w:space="0" w:color="auto"/>
              <w:left w:val="nil"/>
              <w:bottom w:val="single" w:sz="12" w:space="0" w:color="808080" w:themeColor="background1" w:themeShade="80"/>
              <w:right w:val="single" w:sz="12" w:space="0" w:color="808080" w:themeColor="background1" w:themeShade="80"/>
            </w:tcBorders>
            <w:shd w:val="clear" w:color="000000" w:fill="808080"/>
            <w:vAlign w:val="center"/>
            <w:hideMark/>
          </w:tcPr>
          <w:p w14:paraId="2049B8E5" w14:textId="77777777" w:rsidR="00561D6E" w:rsidRPr="00BF02CB" w:rsidRDefault="00561D6E" w:rsidP="00561D6E">
            <w:pPr>
              <w:spacing w:after="0"/>
              <w:jc w:val="both"/>
              <w:rPr>
                <w:rFonts w:ascii="Arial" w:hAnsi="Arial" w:cs="Arial"/>
                <w:color w:val="FFFFFF"/>
                <w:sz w:val="18"/>
                <w:szCs w:val="18"/>
              </w:rPr>
            </w:pPr>
            <w:r w:rsidRPr="00BF02CB">
              <w:rPr>
                <w:rFonts w:ascii="Arial" w:hAnsi="Arial" w:cs="Arial"/>
                <w:color w:val="FFFFFF"/>
                <w:sz w:val="18"/>
                <w:szCs w:val="18"/>
              </w:rPr>
              <w:t>Combined national result</w:t>
            </w:r>
          </w:p>
        </w:tc>
        <w:tc>
          <w:tcPr>
            <w:tcW w:w="1222" w:type="dxa"/>
            <w:tcBorders>
              <w:top w:val="single" w:sz="12" w:space="0" w:color="808080" w:themeColor="background1" w:themeShade="80"/>
              <w:left w:val="single" w:sz="12" w:space="0" w:color="808080" w:themeColor="background1" w:themeShade="80"/>
              <w:bottom w:val="single" w:sz="12" w:space="0" w:color="808080" w:themeColor="background1" w:themeShade="80"/>
            </w:tcBorders>
            <w:shd w:val="clear" w:color="auto" w:fill="808080" w:themeFill="background1" w:themeFillShade="80"/>
            <w:noWrap/>
            <w:vAlign w:val="center"/>
            <w:hideMark/>
          </w:tcPr>
          <w:p w14:paraId="4746F565" w14:textId="77777777" w:rsidR="00561D6E" w:rsidRPr="00266FF0" w:rsidRDefault="00561D6E" w:rsidP="00561D6E">
            <w:pPr>
              <w:spacing w:after="0"/>
              <w:jc w:val="center"/>
              <w:rPr>
                <w:rFonts w:ascii="Arial" w:hAnsi="Arial" w:cs="Arial"/>
                <w:b/>
                <w:bCs/>
                <w:color w:val="FFFFFF" w:themeColor="background1"/>
                <w:sz w:val="16"/>
                <w:szCs w:val="16"/>
              </w:rPr>
            </w:pPr>
            <w:r w:rsidRPr="00266FF0">
              <w:rPr>
                <w:rFonts w:ascii="Arial" w:hAnsi="Arial" w:cs="Arial"/>
                <w:b/>
                <w:bCs/>
                <w:color w:val="FFFFFF" w:themeColor="background1"/>
                <w:sz w:val="16"/>
                <w:szCs w:val="16"/>
              </w:rPr>
              <w:t>54.0</w:t>
            </w:r>
          </w:p>
        </w:tc>
        <w:tc>
          <w:tcPr>
            <w:tcW w:w="1223" w:type="dxa"/>
            <w:tcBorders>
              <w:top w:val="single" w:sz="12" w:space="0" w:color="808080" w:themeColor="background1" w:themeShade="80"/>
              <w:bottom w:val="single" w:sz="12" w:space="0" w:color="808080" w:themeColor="background1" w:themeShade="80"/>
            </w:tcBorders>
            <w:shd w:val="clear" w:color="auto" w:fill="808080" w:themeFill="background1" w:themeFillShade="80"/>
            <w:noWrap/>
            <w:vAlign w:val="center"/>
            <w:hideMark/>
          </w:tcPr>
          <w:p w14:paraId="0840F31E" w14:textId="77777777" w:rsidR="00561D6E" w:rsidRPr="00266FF0" w:rsidRDefault="00561D6E" w:rsidP="00561D6E">
            <w:pPr>
              <w:spacing w:after="0"/>
              <w:jc w:val="center"/>
              <w:rPr>
                <w:rFonts w:ascii="Arial" w:hAnsi="Arial" w:cs="Arial"/>
                <w:b/>
                <w:bCs/>
                <w:color w:val="FFFFFF" w:themeColor="background1"/>
                <w:sz w:val="16"/>
                <w:szCs w:val="16"/>
              </w:rPr>
            </w:pPr>
            <w:r w:rsidRPr="00266FF0">
              <w:rPr>
                <w:rFonts w:ascii="Arial" w:hAnsi="Arial" w:cs="Arial"/>
                <w:b/>
                <w:bCs/>
                <w:color w:val="FFFFFF" w:themeColor="background1"/>
                <w:sz w:val="16"/>
                <w:szCs w:val="16"/>
              </w:rPr>
              <w:t>26.2</w:t>
            </w:r>
          </w:p>
        </w:tc>
        <w:tc>
          <w:tcPr>
            <w:tcW w:w="1222" w:type="dxa"/>
            <w:tcBorders>
              <w:top w:val="single" w:sz="12" w:space="0" w:color="808080" w:themeColor="background1" w:themeShade="80"/>
              <w:bottom w:val="single" w:sz="12" w:space="0" w:color="808080" w:themeColor="background1" w:themeShade="80"/>
            </w:tcBorders>
            <w:shd w:val="clear" w:color="auto" w:fill="808080" w:themeFill="background1" w:themeFillShade="80"/>
            <w:noWrap/>
            <w:vAlign w:val="center"/>
            <w:hideMark/>
          </w:tcPr>
          <w:p w14:paraId="3EBB8E0E" w14:textId="77777777" w:rsidR="00561D6E" w:rsidRPr="00266FF0" w:rsidRDefault="00561D6E" w:rsidP="00561D6E">
            <w:pPr>
              <w:spacing w:after="0"/>
              <w:jc w:val="center"/>
              <w:rPr>
                <w:rFonts w:ascii="Arial" w:hAnsi="Arial" w:cs="Arial"/>
                <w:b/>
                <w:bCs/>
                <w:color w:val="FFFFFF" w:themeColor="background1"/>
                <w:sz w:val="16"/>
                <w:szCs w:val="16"/>
              </w:rPr>
            </w:pPr>
            <w:r w:rsidRPr="00266FF0">
              <w:rPr>
                <w:rFonts w:ascii="Arial" w:hAnsi="Arial" w:cs="Arial"/>
                <w:b/>
                <w:bCs/>
                <w:color w:val="FFFFFF" w:themeColor="background1"/>
                <w:sz w:val="16"/>
                <w:szCs w:val="16"/>
              </w:rPr>
              <w:t>12.6</w:t>
            </w:r>
          </w:p>
        </w:tc>
        <w:tc>
          <w:tcPr>
            <w:tcW w:w="1223" w:type="dxa"/>
            <w:tcBorders>
              <w:top w:val="single" w:sz="12" w:space="0" w:color="808080" w:themeColor="background1" w:themeShade="80"/>
              <w:bottom w:val="single" w:sz="12" w:space="0" w:color="808080" w:themeColor="background1" w:themeShade="80"/>
            </w:tcBorders>
            <w:shd w:val="clear" w:color="auto" w:fill="808080" w:themeFill="background1" w:themeFillShade="80"/>
            <w:noWrap/>
            <w:vAlign w:val="center"/>
            <w:hideMark/>
          </w:tcPr>
          <w:p w14:paraId="3C4585DA" w14:textId="77777777" w:rsidR="00561D6E" w:rsidRPr="00266FF0" w:rsidRDefault="00561D6E" w:rsidP="00561D6E">
            <w:pPr>
              <w:spacing w:after="0"/>
              <w:jc w:val="center"/>
              <w:rPr>
                <w:rFonts w:ascii="Arial" w:hAnsi="Arial" w:cs="Arial"/>
                <w:b/>
                <w:bCs/>
                <w:color w:val="FFFFFF" w:themeColor="background1"/>
                <w:sz w:val="16"/>
                <w:szCs w:val="16"/>
              </w:rPr>
            </w:pPr>
            <w:r w:rsidRPr="00266FF0">
              <w:rPr>
                <w:rFonts w:ascii="Arial" w:hAnsi="Arial" w:cs="Arial"/>
                <w:b/>
                <w:bCs/>
                <w:color w:val="FFFFFF" w:themeColor="background1"/>
                <w:sz w:val="16"/>
                <w:szCs w:val="16"/>
              </w:rPr>
              <w:t>3.3</w:t>
            </w:r>
          </w:p>
        </w:tc>
        <w:tc>
          <w:tcPr>
            <w:tcW w:w="1222" w:type="dxa"/>
            <w:tcBorders>
              <w:top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808080" w:themeFill="background1" w:themeFillShade="80"/>
            <w:noWrap/>
            <w:vAlign w:val="center"/>
            <w:hideMark/>
          </w:tcPr>
          <w:p w14:paraId="522CE312" w14:textId="77777777" w:rsidR="00561D6E" w:rsidRPr="00266FF0" w:rsidRDefault="00561D6E" w:rsidP="00561D6E">
            <w:pPr>
              <w:spacing w:after="0"/>
              <w:jc w:val="center"/>
              <w:rPr>
                <w:rFonts w:ascii="Arial" w:hAnsi="Arial" w:cs="Arial"/>
                <w:b/>
                <w:bCs/>
                <w:color w:val="FFFFFF" w:themeColor="background1"/>
                <w:sz w:val="16"/>
                <w:szCs w:val="16"/>
              </w:rPr>
            </w:pPr>
            <w:r w:rsidRPr="00266FF0">
              <w:rPr>
                <w:rFonts w:ascii="Arial" w:hAnsi="Arial" w:cs="Arial"/>
                <w:b/>
                <w:bCs/>
                <w:color w:val="FFFFFF" w:themeColor="background1"/>
                <w:sz w:val="16"/>
                <w:szCs w:val="16"/>
              </w:rPr>
              <w:t>3.9</w:t>
            </w:r>
          </w:p>
        </w:tc>
        <w:tc>
          <w:tcPr>
            <w:tcW w:w="1223" w:type="dxa"/>
            <w:tcBorders>
              <w:top w:val="single" w:sz="12" w:space="0" w:color="808080" w:themeColor="background1" w:themeShade="80"/>
              <w:left w:val="single" w:sz="12" w:space="0" w:color="808080" w:themeColor="background1" w:themeShade="80"/>
              <w:bottom w:val="single" w:sz="12" w:space="0" w:color="808080" w:themeColor="background1" w:themeShade="80"/>
            </w:tcBorders>
            <w:shd w:val="clear" w:color="auto" w:fill="808080" w:themeFill="background1" w:themeFillShade="80"/>
            <w:noWrap/>
            <w:vAlign w:val="center"/>
            <w:hideMark/>
          </w:tcPr>
          <w:p w14:paraId="1F101271" w14:textId="77777777" w:rsidR="00561D6E" w:rsidRPr="00266FF0" w:rsidRDefault="00561D6E" w:rsidP="00561D6E">
            <w:pPr>
              <w:spacing w:after="0"/>
              <w:jc w:val="center"/>
              <w:rPr>
                <w:rFonts w:ascii="Arial" w:hAnsi="Arial" w:cs="Arial"/>
                <w:b/>
                <w:bCs/>
                <w:color w:val="FFFFFF" w:themeColor="background1"/>
                <w:sz w:val="16"/>
                <w:szCs w:val="16"/>
              </w:rPr>
            </w:pPr>
            <w:r w:rsidRPr="00266FF0">
              <w:rPr>
                <w:rFonts w:ascii="Arial" w:hAnsi="Arial" w:cs="Arial"/>
                <w:b/>
                <w:bCs/>
                <w:color w:val="FFFFFF" w:themeColor="background1"/>
                <w:sz w:val="16"/>
                <w:szCs w:val="16"/>
              </w:rPr>
              <w:t>72.9</w:t>
            </w:r>
          </w:p>
        </w:tc>
        <w:tc>
          <w:tcPr>
            <w:tcW w:w="1222" w:type="dxa"/>
            <w:tcBorders>
              <w:top w:val="single" w:sz="12" w:space="0" w:color="808080" w:themeColor="background1" w:themeShade="80"/>
              <w:bottom w:val="single" w:sz="12" w:space="0" w:color="808080" w:themeColor="background1" w:themeShade="80"/>
            </w:tcBorders>
            <w:shd w:val="clear" w:color="auto" w:fill="808080" w:themeFill="background1" w:themeFillShade="80"/>
            <w:noWrap/>
            <w:vAlign w:val="center"/>
            <w:hideMark/>
          </w:tcPr>
          <w:p w14:paraId="46A037EA" w14:textId="77777777" w:rsidR="00561D6E" w:rsidRPr="00266FF0" w:rsidRDefault="00561D6E" w:rsidP="00561D6E">
            <w:pPr>
              <w:spacing w:after="0"/>
              <w:jc w:val="center"/>
              <w:rPr>
                <w:rFonts w:ascii="Arial" w:hAnsi="Arial" w:cs="Arial"/>
                <w:b/>
                <w:bCs/>
                <w:color w:val="FFFFFF" w:themeColor="background1"/>
                <w:sz w:val="16"/>
                <w:szCs w:val="16"/>
              </w:rPr>
            </w:pPr>
            <w:r w:rsidRPr="00266FF0">
              <w:rPr>
                <w:rFonts w:ascii="Arial" w:hAnsi="Arial" w:cs="Arial"/>
                <w:b/>
                <w:bCs/>
                <w:color w:val="FFFFFF" w:themeColor="background1"/>
                <w:sz w:val="16"/>
                <w:szCs w:val="16"/>
              </w:rPr>
              <w:t>22.4</w:t>
            </w:r>
          </w:p>
        </w:tc>
        <w:tc>
          <w:tcPr>
            <w:tcW w:w="1223" w:type="dxa"/>
            <w:tcBorders>
              <w:top w:val="single" w:sz="12" w:space="0" w:color="808080" w:themeColor="background1" w:themeShade="80"/>
              <w:bottom w:val="single" w:sz="12" w:space="0" w:color="808080" w:themeColor="background1" w:themeShade="80"/>
              <w:right w:val="nil"/>
            </w:tcBorders>
            <w:shd w:val="clear" w:color="auto" w:fill="808080" w:themeFill="background1" w:themeFillShade="80"/>
            <w:noWrap/>
            <w:vAlign w:val="center"/>
            <w:hideMark/>
          </w:tcPr>
          <w:p w14:paraId="0B8DF510" w14:textId="77777777" w:rsidR="00561D6E" w:rsidRPr="00266FF0" w:rsidRDefault="00561D6E" w:rsidP="00561D6E">
            <w:pPr>
              <w:spacing w:after="0"/>
              <w:jc w:val="center"/>
              <w:rPr>
                <w:rFonts w:ascii="Arial" w:hAnsi="Arial" w:cs="Arial"/>
                <w:b/>
                <w:bCs/>
                <w:color w:val="FFFFFF" w:themeColor="background1"/>
                <w:sz w:val="16"/>
                <w:szCs w:val="16"/>
              </w:rPr>
            </w:pPr>
            <w:r w:rsidRPr="00266FF0">
              <w:rPr>
                <w:rFonts w:ascii="Arial" w:hAnsi="Arial" w:cs="Arial"/>
                <w:b/>
                <w:bCs/>
                <w:color w:val="FFFFFF" w:themeColor="background1"/>
                <w:sz w:val="16"/>
                <w:szCs w:val="16"/>
              </w:rPr>
              <w:t>4.7</w:t>
            </w:r>
          </w:p>
        </w:tc>
      </w:tr>
    </w:tbl>
    <w:p w14:paraId="56AC310E" w14:textId="77777777" w:rsidR="00561D6E" w:rsidRDefault="00561D6E" w:rsidP="00561D6E">
      <w:pPr>
        <w:pStyle w:val="Captions"/>
        <w:spacing w:before="0" w:after="0"/>
      </w:pPr>
      <w:r w:rsidRPr="00EF4616">
        <w:t>*GEM - geriatric evaluation and management</w:t>
      </w:r>
    </w:p>
    <w:p w14:paraId="26E2DA00" w14:textId="77777777" w:rsidR="00DE3127" w:rsidRPr="00EF4616" w:rsidRDefault="00DE3127" w:rsidP="00561D6E">
      <w:pPr>
        <w:pStyle w:val="Captions"/>
        <w:spacing w:before="0" w:after="0"/>
      </w:pPr>
      <w:r w:rsidRPr="00DE3127">
        <w:t>†</w:t>
      </w:r>
      <w:r>
        <w:t xml:space="preserve"> </w:t>
      </w:r>
      <w:r w:rsidRPr="00DE3127">
        <w:t>Results are not displayed if there are fewer than 30 prescriptions</w:t>
      </w:r>
    </w:p>
    <w:p w14:paraId="67D20BC3" w14:textId="77777777" w:rsidR="003F2ADD" w:rsidRDefault="003F2ADD">
      <w:pPr>
        <w:spacing w:after="80"/>
        <w:sectPr w:rsidR="003F2ADD" w:rsidSect="00C36529">
          <w:pgSz w:w="16838" w:h="11906" w:orient="landscape" w:code="9"/>
          <w:pgMar w:top="1134" w:right="1134" w:bottom="1134" w:left="1134" w:header="709" w:footer="248" w:gutter="0"/>
          <w:cols w:space="708"/>
          <w:docGrid w:linePitch="360"/>
        </w:sectPr>
      </w:pPr>
    </w:p>
    <w:p w14:paraId="001A28E9" w14:textId="5E33EA08" w:rsidR="00D92032" w:rsidRDefault="00D92032" w:rsidP="00D92032">
      <w:pPr>
        <w:pStyle w:val="Heading2"/>
      </w:pPr>
      <w:r>
        <w:lastRenderedPageBreak/>
        <w:t>Key performance indicators</w:t>
      </w:r>
      <w:r w:rsidR="00FB3B01">
        <w:t>: 2017</w:t>
      </w:r>
    </w:p>
    <w:p w14:paraId="06A029CC" w14:textId="77777777" w:rsidR="00D92032" w:rsidRDefault="00D92032" w:rsidP="00D92032">
      <w:pPr>
        <w:pStyle w:val="Heading3"/>
      </w:pPr>
      <w:r>
        <w:t>Documentation of indication</w:t>
      </w:r>
    </w:p>
    <w:p w14:paraId="49701E99" w14:textId="4DB7A137" w:rsidR="00233539" w:rsidRDefault="00233539" w:rsidP="00233539">
      <w:r>
        <w:t xml:space="preserve">The overall </w:t>
      </w:r>
      <w:r w:rsidR="003F2C57">
        <w:t xml:space="preserve">rate for </w:t>
      </w:r>
      <w:r>
        <w:t xml:space="preserve">documentation </w:t>
      </w:r>
      <w:r w:rsidR="00FB3B01">
        <w:t xml:space="preserve">of </w:t>
      </w:r>
      <w:r w:rsidR="00FB3B01" w:rsidRPr="00FB3B01">
        <w:t xml:space="preserve">indication </w:t>
      </w:r>
      <w:r>
        <w:t>in hospitals was 77.7%</w:t>
      </w:r>
      <w:r w:rsidR="00E15DCC">
        <w:t xml:space="preserve"> </w:t>
      </w:r>
      <w:r w:rsidR="00FB3B01">
        <w:t>in 2017</w:t>
      </w:r>
      <w:r w:rsidR="00E15DCC">
        <w:t xml:space="preserve"> (Table 3)</w:t>
      </w:r>
      <w:r>
        <w:t xml:space="preserve">. In private hospitals, the documentation rate </w:t>
      </w:r>
      <w:r w:rsidR="00FB3B01">
        <w:t xml:space="preserve">was </w:t>
      </w:r>
      <w:r>
        <w:t>lower than in public</w:t>
      </w:r>
      <w:r w:rsidR="00FB3B01">
        <w:t xml:space="preserve"> facilities. The rates were 67.3% and </w:t>
      </w:r>
      <w:r w:rsidR="00E25C6C">
        <w:t>80.1%</w:t>
      </w:r>
      <w:r>
        <w:t xml:space="preserve"> respectively.</w:t>
      </w:r>
      <w:r w:rsidR="00A91CDF">
        <w:t xml:space="preserve"> </w:t>
      </w:r>
      <w:r w:rsidR="00BA34CE">
        <w:t xml:space="preserve">These </w:t>
      </w:r>
      <w:r w:rsidR="00FB3B01">
        <w:t>rates are</w:t>
      </w:r>
      <w:r w:rsidR="00BA34CE">
        <w:t xml:space="preserve"> below the best-practice target of 95%</w:t>
      </w:r>
      <w:r w:rsidR="00FB3B01">
        <w:t xml:space="preserve"> as t</w:t>
      </w:r>
      <w:r w:rsidR="007A582D">
        <w:t>hey have been in previous years. H</w:t>
      </w:r>
      <w:r w:rsidR="00BA34CE">
        <w:t>owever</w:t>
      </w:r>
      <w:r w:rsidR="00FB3B01">
        <w:t>,</w:t>
      </w:r>
      <w:r w:rsidR="00BA34CE">
        <w:t xml:space="preserve"> the specialised hospitals, such as rehabilitation and </w:t>
      </w:r>
      <w:r w:rsidR="007A582D">
        <w:t>geriatric evaluation and management (</w:t>
      </w:r>
      <w:r w:rsidR="00BA34CE">
        <w:t>GEM</w:t>
      </w:r>
      <w:r w:rsidR="007A582D">
        <w:t>)</w:t>
      </w:r>
      <w:r w:rsidR="00BA34CE">
        <w:t xml:space="preserve"> hospitals</w:t>
      </w:r>
      <w:r w:rsidR="00FB3B01">
        <w:t xml:space="preserve"> and</w:t>
      </w:r>
      <w:r w:rsidR="00BA34CE">
        <w:t xml:space="preserve"> women’s and children’s hospitals, are close to achieving this target. </w:t>
      </w:r>
    </w:p>
    <w:p w14:paraId="6D52B13A" w14:textId="77777777" w:rsidR="00D92032" w:rsidRDefault="00D92032" w:rsidP="00D92032">
      <w:pPr>
        <w:pStyle w:val="Heading3"/>
      </w:pPr>
      <w:r>
        <w:t>Documentation of review or stop date</w:t>
      </w:r>
    </w:p>
    <w:p w14:paraId="1865E95F" w14:textId="175ABC99" w:rsidR="001E388E" w:rsidRDefault="001E388E" w:rsidP="001E388E">
      <w:r>
        <w:t xml:space="preserve">In 2015, </w:t>
      </w:r>
      <w:r w:rsidRPr="00340CA0">
        <w:t xml:space="preserve">documentation of a review or stop date was </w:t>
      </w:r>
      <w:r w:rsidR="00C361F2">
        <w:t>introduced</w:t>
      </w:r>
      <w:r w:rsidR="00C361F2" w:rsidRPr="00340CA0">
        <w:t xml:space="preserve"> </w:t>
      </w:r>
      <w:r>
        <w:t xml:space="preserve">in the NAPS </w:t>
      </w:r>
      <w:r w:rsidRPr="00340CA0">
        <w:t xml:space="preserve">as a </w:t>
      </w:r>
      <w:r>
        <w:t>quality indicator. As there wa</w:t>
      </w:r>
      <w:r w:rsidRPr="00340CA0">
        <w:t>s no published best-practice target for review or stop date documentation</w:t>
      </w:r>
      <w:r>
        <w:t>,</w:t>
      </w:r>
      <w:r w:rsidRPr="00D73989">
        <w:t xml:space="preserve"> </w:t>
      </w:r>
      <w:r w:rsidRPr="00340CA0">
        <w:t xml:space="preserve">the decision was made to apply </w:t>
      </w:r>
      <w:r>
        <w:t>a</w:t>
      </w:r>
      <w:r w:rsidRPr="00340CA0">
        <w:t xml:space="preserve"> target of 95</w:t>
      </w:r>
      <w:r>
        <w:t>%</w:t>
      </w:r>
      <w:r w:rsidRPr="00340CA0">
        <w:t xml:space="preserve"> in line with </w:t>
      </w:r>
      <w:r>
        <w:t xml:space="preserve">the </w:t>
      </w:r>
      <w:r w:rsidRPr="00340CA0">
        <w:t xml:space="preserve">other </w:t>
      </w:r>
      <w:r>
        <w:t>NAPS key quality indicators</w:t>
      </w:r>
      <w:r w:rsidRPr="00340CA0">
        <w:t>.</w:t>
      </w:r>
      <w:r>
        <w:t xml:space="preserve"> </w:t>
      </w:r>
      <w:r w:rsidR="00AB0BA8">
        <w:t>In 2017</w:t>
      </w:r>
      <w:r w:rsidRPr="00340CA0">
        <w:t xml:space="preserve">, </w:t>
      </w:r>
      <w:r w:rsidR="00AB0BA8">
        <w:t>40.5</w:t>
      </w:r>
      <w:r w:rsidRPr="00340CA0">
        <w:t>% of all</w:t>
      </w:r>
      <w:r>
        <w:t xml:space="preserve"> audited</w:t>
      </w:r>
      <w:r w:rsidRPr="00340CA0">
        <w:t xml:space="preserve"> antimicrobial prescriptions </w:t>
      </w:r>
      <w:r w:rsidR="00FB3B01">
        <w:t xml:space="preserve">submitted for the Hospital NAPS </w:t>
      </w:r>
      <w:r w:rsidRPr="00340CA0">
        <w:t>had a document</w:t>
      </w:r>
      <w:r w:rsidR="00BC21A2">
        <w:t>ed review or stop date</w:t>
      </w:r>
      <w:r w:rsidR="00561D6E">
        <w:t xml:space="preserve"> (Table 3</w:t>
      </w:r>
      <w:r w:rsidRPr="00340CA0">
        <w:t>).</w:t>
      </w:r>
      <w:r w:rsidR="00393EDB">
        <w:t xml:space="preserve"> </w:t>
      </w:r>
      <w:r w:rsidRPr="00340CA0">
        <w:t xml:space="preserve">Private hospitals </w:t>
      </w:r>
      <w:r w:rsidR="00E15DCC">
        <w:t xml:space="preserve">(n = 86) </w:t>
      </w:r>
      <w:r w:rsidRPr="00340CA0">
        <w:t>performed better than publi</w:t>
      </w:r>
      <w:r>
        <w:t>c hospitals</w:t>
      </w:r>
      <w:r w:rsidR="00E15DCC">
        <w:t xml:space="preserve"> (n = 228)</w:t>
      </w:r>
      <w:r>
        <w:t xml:space="preserve"> for this</w:t>
      </w:r>
      <w:r w:rsidRPr="00340CA0">
        <w:t xml:space="preserve"> indicator</w:t>
      </w:r>
      <w:r w:rsidR="00FB3B01">
        <w:t>,</w:t>
      </w:r>
      <w:r w:rsidRPr="00340CA0">
        <w:t xml:space="preserve"> with a documentation rate of </w:t>
      </w:r>
      <w:r w:rsidR="00AB0BA8">
        <w:t xml:space="preserve">57.2% </w:t>
      </w:r>
      <w:r w:rsidR="00FB3B01">
        <w:t xml:space="preserve">compared with </w:t>
      </w:r>
      <w:r w:rsidR="00AB0BA8">
        <w:t>36.8</w:t>
      </w:r>
      <w:r w:rsidRPr="00340CA0">
        <w:t>%.</w:t>
      </w:r>
      <w:r w:rsidR="00B977B2">
        <w:t xml:space="preserve"> Women’s and children’s hospitals performed well for this indicator. </w:t>
      </w:r>
      <w:r w:rsidRPr="00340CA0">
        <w:t xml:space="preserve">  </w:t>
      </w:r>
    </w:p>
    <w:p w14:paraId="18B69930" w14:textId="77777777" w:rsidR="00D92032" w:rsidRDefault="00D92032" w:rsidP="00D92032">
      <w:pPr>
        <w:pStyle w:val="Heading3"/>
      </w:pPr>
      <w:r>
        <w:t>Surgical prophylaxis greater than 24 hours</w:t>
      </w:r>
    </w:p>
    <w:p w14:paraId="301F7857" w14:textId="112CBDA1" w:rsidR="000C573F" w:rsidRDefault="000C573F" w:rsidP="00817C9E">
      <w:r>
        <w:t>The rate of surgical prophylaxis that is prescribed for longer than 24 hours varies widely between hospital peer groups</w:t>
      </w:r>
      <w:r w:rsidR="00561D6E">
        <w:t xml:space="preserve"> (Table 3</w:t>
      </w:r>
      <w:r>
        <w:t>).</w:t>
      </w:r>
      <w:r w:rsidR="008C34FA">
        <w:t xml:space="preserve"> </w:t>
      </w:r>
      <w:r w:rsidR="00FB3B01">
        <w:t>In 2017, o</w:t>
      </w:r>
      <w:r w:rsidR="008C34FA">
        <w:t>n average, 30.5% of antimicrobial prophylaxis prescriptions extend</w:t>
      </w:r>
      <w:r w:rsidR="00FB3B01">
        <w:t>ed</w:t>
      </w:r>
      <w:r w:rsidR="008C34FA">
        <w:t xml:space="preserve"> 24 hours beyond the time of surgery, with hospitals reporting rates that range</w:t>
      </w:r>
      <w:r w:rsidR="00FB3B01">
        <w:t>d</w:t>
      </w:r>
      <w:r w:rsidR="008C34FA">
        <w:t xml:space="preserve"> from 0% to 100%. </w:t>
      </w:r>
      <w:r w:rsidR="0020332F">
        <w:t>For this key performance indicator</w:t>
      </w:r>
      <w:r w:rsidR="00FB3B01">
        <w:t>,</w:t>
      </w:r>
      <w:r w:rsidR="0020332F">
        <w:t xml:space="preserve"> p</w:t>
      </w:r>
      <w:r w:rsidR="008C34FA">
        <w:t>rivate hospitals perform</w:t>
      </w:r>
      <w:r w:rsidR="00DE3127">
        <w:t>ed better than</w:t>
      </w:r>
      <w:r w:rsidR="008C34FA">
        <w:t xml:space="preserve"> </w:t>
      </w:r>
      <w:r w:rsidR="0020332F">
        <w:t>public facilities</w:t>
      </w:r>
      <w:r w:rsidR="00FB3B01">
        <w:t>. Only</w:t>
      </w:r>
      <w:r w:rsidR="008C34FA">
        <w:t xml:space="preserve"> </w:t>
      </w:r>
      <w:r w:rsidR="0020332F">
        <w:t>26.5% of surgical prophylaxis extend</w:t>
      </w:r>
      <w:r w:rsidR="00FB3B01">
        <w:t>ed</w:t>
      </w:r>
      <w:r w:rsidR="0020332F">
        <w:t xml:space="preserve"> beyond 24 hours</w:t>
      </w:r>
      <w:r w:rsidR="00FB3B01">
        <w:t xml:space="preserve"> in private hospital contributors</w:t>
      </w:r>
      <w:r w:rsidR="0020332F">
        <w:t>, compared to 36.4%</w:t>
      </w:r>
      <w:r w:rsidR="00FB3B01">
        <w:t xml:space="preserve"> in public hospitals</w:t>
      </w:r>
      <w:r w:rsidR="0020332F">
        <w:t>.</w:t>
      </w:r>
      <w:r w:rsidR="001E57DD">
        <w:t xml:space="preserve"> This </w:t>
      </w:r>
      <w:r w:rsidR="00FB3B01">
        <w:t xml:space="preserve">may be </w:t>
      </w:r>
      <w:r w:rsidR="001E57DD">
        <w:t>a reflection of the difference in case-mix between public and private hospitals. Private hospitals are more likely to treat patients electively</w:t>
      </w:r>
      <w:r w:rsidR="00FB3B01">
        <w:t>,</w:t>
      </w:r>
      <w:r w:rsidR="001E57DD">
        <w:t xml:space="preserve"> whereas public hospitals care for a higher percentage of patients requiring unplanned or complex surgeries.</w:t>
      </w:r>
      <w:r w:rsidR="00175448">
        <w:t xml:space="preserve"> </w:t>
      </w:r>
      <w:r w:rsidR="0041334D" w:rsidRPr="0041334D">
        <w:t>In women’s hospitals only 15.8% of surgical prophylaxis extended beyond 24 hours.</w:t>
      </w:r>
      <w:r w:rsidR="0041334D">
        <w:t xml:space="preserve"> </w:t>
      </w:r>
      <w:r w:rsidR="00175448">
        <w:t xml:space="preserve">Of the states and territories, South Australia had the lowest rate of surgical prophylaxis extending beyond 24 hours at 18.3%. </w:t>
      </w:r>
      <w:r w:rsidR="001E57DD">
        <w:t xml:space="preserve"> </w:t>
      </w:r>
    </w:p>
    <w:p w14:paraId="42587A65" w14:textId="77777777" w:rsidR="004854B9" w:rsidRDefault="004854B9" w:rsidP="004854B9">
      <w:pPr>
        <w:pStyle w:val="Heading3"/>
      </w:pPr>
      <w:r>
        <w:t>Non-compliance with guidelines</w:t>
      </w:r>
    </w:p>
    <w:p w14:paraId="575C57E5" w14:textId="453FEEE2" w:rsidR="00CD1754" w:rsidRDefault="00273F96" w:rsidP="00CD1754">
      <w:r>
        <w:t>Table 4</w:t>
      </w:r>
      <w:r w:rsidR="00170E5F">
        <w:t xml:space="preserve"> shows that</w:t>
      </w:r>
      <w:r w:rsidR="009874D0">
        <w:t xml:space="preserve"> 26.2% of all prescriptions were assessed as being non-compliant with eit</w:t>
      </w:r>
      <w:r w:rsidR="001E6CF4">
        <w:t xml:space="preserve">her the </w:t>
      </w:r>
      <w:r w:rsidR="001E6CF4" w:rsidRPr="00A5193B">
        <w:rPr>
          <w:i/>
        </w:rPr>
        <w:t>Therapeutic Guideline</w:t>
      </w:r>
      <w:r w:rsidR="001E6CF4" w:rsidRPr="00A96EC6">
        <w:rPr>
          <w:i/>
        </w:rPr>
        <w:t>s</w:t>
      </w:r>
      <w:r w:rsidR="00341021" w:rsidRPr="00A96EC6">
        <w:rPr>
          <w:vertAlign w:val="superscript"/>
        </w:rPr>
        <w:t>9</w:t>
      </w:r>
      <w:r w:rsidR="009874D0">
        <w:t xml:space="preserve"> or locally endorsed guidelines.</w:t>
      </w:r>
      <w:r w:rsidR="006273CD">
        <w:t xml:space="preserve"> Public hospitals had a lower rate of non-compliance than privat</w:t>
      </w:r>
      <w:r w:rsidR="00E25C6C">
        <w:t xml:space="preserve">e hospitals, 25.2% </w:t>
      </w:r>
      <w:r w:rsidR="00FB3B01">
        <w:t>and</w:t>
      </w:r>
      <w:r w:rsidR="00E25C6C">
        <w:t xml:space="preserve"> 30.9%</w:t>
      </w:r>
      <w:r w:rsidR="006273CD">
        <w:t xml:space="preserve"> respectively. </w:t>
      </w:r>
      <w:r w:rsidR="001E6CF4">
        <w:t>Hospitals located in major cities ha</w:t>
      </w:r>
      <w:r w:rsidR="00917BBE">
        <w:t>d</w:t>
      </w:r>
      <w:r w:rsidR="001E6CF4">
        <w:t xml:space="preserve"> the lowest </w:t>
      </w:r>
      <w:r w:rsidR="00FB3B01">
        <w:t xml:space="preserve">rate of non-compliance with </w:t>
      </w:r>
      <w:r w:rsidR="001E6CF4">
        <w:t>guideline</w:t>
      </w:r>
      <w:r w:rsidR="00FB3B01">
        <w:t>s</w:t>
      </w:r>
      <w:r w:rsidR="001E6CF4">
        <w:t xml:space="preserve"> (23.6%)</w:t>
      </w:r>
      <w:proofErr w:type="gramStart"/>
      <w:r w:rsidR="002E181A">
        <w:t>.</w:t>
      </w:r>
      <w:r w:rsidR="00FB3B01">
        <w:t>.</w:t>
      </w:r>
      <w:proofErr w:type="gramEnd"/>
      <w:r w:rsidR="00FB3B01">
        <w:t xml:space="preserve"> In 2017, h</w:t>
      </w:r>
      <w:r w:rsidR="001E6CF4">
        <w:t>ospitals in regional and remote locations</w:t>
      </w:r>
      <w:r w:rsidR="00D966A2">
        <w:t xml:space="preserve"> ha</w:t>
      </w:r>
      <w:r w:rsidR="00917BBE">
        <w:t>d</w:t>
      </w:r>
      <w:r w:rsidR="00D966A2">
        <w:t xml:space="preserve"> rates </w:t>
      </w:r>
      <w:r w:rsidR="00FB3B01">
        <w:t xml:space="preserve">of non-compliance with guidelines ranging from </w:t>
      </w:r>
      <w:r w:rsidR="001E6CF4">
        <w:t>26.8</w:t>
      </w:r>
      <w:r w:rsidR="00D966A2">
        <w:t>%</w:t>
      </w:r>
      <w:r w:rsidR="001E6CF4">
        <w:t xml:space="preserve"> </w:t>
      </w:r>
      <w:r w:rsidR="00D966A2">
        <w:t>to</w:t>
      </w:r>
      <w:r w:rsidR="001E6CF4">
        <w:t xml:space="preserve"> 34.</w:t>
      </w:r>
      <w:r w:rsidR="00D966A2">
        <w:t>7%</w:t>
      </w:r>
      <w:r w:rsidR="001E6CF4">
        <w:t xml:space="preserve">. </w:t>
      </w:r>
      <w:r w:rsidR="007638DA">
        <w:t xml:space="preserve">There were also differences based on hospital peer group. </w:t>
      </w:r>
      <w:r w:rsidR="00B977B2">
        <w:t>Specialist hospitals (</w:t>
      </w:r>
      <w:r w:rsidR="00BC21A2">
        <w:t xml:space="preserve">for example, </w:t>
      </w:r>
      <w:r w:rsidR="0041334D">
        <w:t>w</w:t>
      </w:r>
      <w:r w:rsidR="00B977B2">
        <w:t>omen’s and children’s hospitals)</w:t>
      </w:r>
      <w:r w:rsidR="006273CD">
        <w:t xml:space="preserve"> tend</w:t>
      </w:r>
      <w:r w:rsidR="00170E5F">
        <w:t>ed</w:t>
      </w:r>
      <w:r w:rsidR="006273CD">
        <w:t xml:space="preserve"> to have lower rates of </w:t>
      </w:r>
      <w:r w:rsidR="00170E5F">
        <w:t xml:space="preserve">non-compliance </w:t>
      </w:r>
      <w:r w:rsidR="007638DA">
        <w:t xml:space="preserve">with guidelines </w:t>
      </w:r>
      <w:r w:rsidR="00170E5F">
        <w:t>compared to general hospitals. As has been noted in previous years</w:t>
      </w:r>
      <w:r w:rsidR="00CD1754">
        <w:t>,</w:t>
      </w:r>
      <w:r w:rsidR="00170E5F">
        <w:t xml:space="preserve"> there </w:t>
      </w:r>
      <w:r w:rsidR="0041334D">
        <w:t>wa</w:t>
      </w:r>
      <w:r w:rsidR="00170E5F">
        <w:t>s wide variation among peer groups</w:t>
      </w:r>
      <w:r w:rsidR="007638DA">
        <w:t xml:space="preserve"> in 2017</w:t>
      </w:r>
      <w:r w:rsidR="00917BBE">
        <w:t>,</w:t>
      </w:r>
      <w:r w:rsidR="006273CD">
        <w:t xml:space="preserve"> </w:t>
      </w:r>
      <w:r w:rsidR="001E6CF4">
        <w:t xml:space="preserve">with non-compliance </w:t>
      </w:r>
      <w:r w:rsidR="007638DA">
        <w:t xml:space="preserve">with guidelines </w:t>
      </w:r>
      <w:r w:rsidR="001E6CF4">
        <w:t>ranging from 5.8% to 40.9%.</w:t>
      </w:r>
    </w:p>
    <w:p w14:paraId="0CA4D8EA" w14:textId="77777777" w:rsidR="00D92032" w:rsidRDefault="00D92032" w:rsidP="00CD1754">
      <w:pPr>
        <w:pStyle w:val="Heading3"/>
      </w:pPr>
      <w:r>
        <w:t>Inappropriateness</w:t>
      </w:r>
    </w:p>
    <w:p w14:paraId="62E3F0A1" w14:textId="77777777" w:rsidR="00C36529" w:rsidRDefault="007A582D" w:rsidP="00CD1754">
      <w:r>
        <w:t>Overall</w:t>
      </w:r>
      <w:r w:rsidR="008A261E">
        <w:t>, 22.4% of prescriptions were ass</w:t>
      </w:r>
      <w:r w:rsidR="00273F96">
        <w:t>essed as inappropriate (Table 4</w:t>
      </w:r>
      <w:r w:rsidR="008A261E">
        <w:t>).</w:t>
      </w:r>
      <w:r w:rsidR="00135096">
        <w:t xml:space="preserve"> </w:t>
      </w:r>
      <w:r w:rsidR="007638DA">
        <w:t xml:space="preserve">Whilst </w:t>
      </w:r>
      <w:r w:rsidR="00F7191B">
        <w:t>private hospitals report</w:t>
      </w:r>
      <w:r w:rsidR="00917BBE">
        <w:t>ed</w:t>
      </w:r>
      <w:r w:rsidR="008A261E">
        <w:t xml:space="preserve"> a slightly</w:t>
      </w:r>
      <w:r w:rsidR="00F7191B">
        <w:t xml:space="preserve"> higher </w:t>
      </w:r>
      <w:r w:rsidR="007638DA">
        <w:t xml:space="preserve">rate of </w:t>
      </w:r>
      <w:r w:rsidR="00F7191B">
        <w:t>in</w:t>
      </w:r>
      <w:r w:rsidR="008A261E">
        <w:t>appropriate</w:t>
      </w:r>
      <w:r w:rsidR="007638DA">
        <w:t xml:space="preserve"> prescribing </w:t>
      </w:r>
      <w:r w:rsidR="008A261E">
        <w:t>(24.8%) compa</w:t>
      </w:r>
      <w:r w:rsidR="00F7191B">
        <w:t>red to public hospitals (21.8%), the difference between these rates has been steadily reducing since 2015. Rates of inappropriateness vary considerably between peer groups</w:t>
      </w:r>
      <w:r w:rsidR="007638DA">
        <w:t xml:space="preserve">. </w:t>
      </w:r>
    </w:p>
    <w:p w14:paraId="2B2251FD" w14:textId="5D9345AD" w:rsidR="00CD1754" w:rsidRDefault="007638DA" w:rsidP="00CD1754">
      <w:r>
        <w:lastRenderedPageBreak/>
        <w:t>S</w:t>
      </w:r>
      <w:r w:rsidR="00F7191B">
        <w:t>pecialist hospitals</w:t>
      </w:r>
      <w:r w:rsidR="00724939">
        <w:t xml:space="preserve"> (for example</w:t>
      </w:r>
      <w:r w:rsidR="00B977B2">
        <w:t xml:space="preserve"> </w:t>
      </w:r>
      <w:r w:rsidR="0041334D">
        <w:t>w</w:t>
      </w:r>
      <w:r w:rsidR="00B977B2">
        <w:t>omen’s and children’s hospitals)</w:t>
      </w:r>
      <w:r w:rsidR="00F7191B">
        <w:t xml:space="preserve"> had a lower percentage of inappropriate prescribing compared with general hospitals</w:t>
      </w:r>
      <w:r>
        <w:t xml:space="preserve"> in 2017</w:t>
      </w:r>
      <w:r w:rsidR="00F7191B">
        <w:t>.</w:t>
      </w:r>
    </w:p>
    <w:p w14:paraId="5EB02D9A" w14:textId="030AB690" w:rsidR="00F43535" w:rsidRDefault="00273F96" w:rsidP="00CD1754">
      <w:r>
        <w:t>Table 5</w:t>
      </w:r>
      <w:r w:rsidR="00CD7B43">
        <w:t xml:space="preserve"> shows a breakdown of the most common reasons for prescriptions being assessed as inappropriate. </w:t>
      </w:r>
      <w:r w:rsidR="00E62246">
        <w:t>The documentation of these fields is optional</w:t>
      </w:r>
      <w:r w:rsidR="007638DA">
        <w:t>,</w:t>
      </w:r>
      <w:r w:rsidR="00E62246">
        <w:t xml:space="preserve"> </w:t>
      </w:r>
      <w:r w:rsidR="0052391B">
        <w:t xml:space="preserve">and </w:t>
      </w:r>
      <w:r w:rsidR="00F43535">
        <w:t xml:space="preserve">analysis of </w:t>
      </w:r>
      <w:r w:rsidR="007638DA">
        <w:t xml:space="preserve">2017 </w:t>
      </w:r>
      <w:r w:rsidR="00F43535">
        <w:t xml:space="preserve">Hospital NAPS data has shown that they </w:t>
      </w:r>
      <w:r w:rsidR="0052391B">
        <w:t>are not specified for a significant percentage of prescriptions</w:t>
      </w:r>
      <w:r w:rsidR="00E62246">
        <w:t xml:space="preserve">. </w:t>
      </w:r>
      <w:r w:rsidR="00F43535">
        <w:t xml:space="preserve">From 2019, the documentation of these fields will become mandatory </w:t>
      </w:r>
      <w:r w:rsidR="00724939">
        <w:t xml:space="preserve">for the Hospital NAPS </w:t>
      </w:r>
      <w:r w:rsidR="00F43535">
        <w:t>to improve the quality of the data collected.</w:t>
      </w:r>
      <w:r w:rsidR="0052391B">
        <w:t xml:space="preserve"> </w:t>
      </w:r>
    </w:p>
    <w:p w14:paraId="27D24CDB" w14:textId="5F7B767B" w:rsidR="00CD7B43" w:rsidRDefault="00CD7B43" w:rsidP="00CD1754">
      <w:r>
        <w:t>The</w:t>
      </w:r>
      <w:r w:rsidR="00F43535">
        <w:t xml:space="preserve"> most common reasons for prescriptions being assessed as inappropriate</w:t>
      </w:r>
      <w:r>
        <w:t xml:space="preserve"> include spectrum too broad (21.9%), incorrect d</w:t>
      </w:r>
      <w:r w:rsidR="001805CD">
        <w:t>ose or frequency</w:t>
      </w:r>
      <w:r>
        <w:t xml:space="preserve"> (20.1%), and antimicrobial not required (17.5%). </w:t>
      </w:r>
      <w:r w:rsidR="002467A0">
        <w:t>Between</w:t>
      </w:r>
      <w:r>
        <w:t xml:space="preserve"> 2</w:t>
      </w:r>
      <w:r w:rsidR="002467A0">
        <w:t>015 and 2016</w:t>
      </w:r>
      <w:r>
        <w:t xml:space="preserve">, the </w:t>
      </w:r>
      <w:r w:rsidR="000D74A7">
        <w:t xml:space="preserve">proportion </w:t>
      </w:r>
      <w:r>
        <w:t xml:space="preserve">of prescriptions assessed as having </w:t>
      </w:r>
      <w:r w:rsidR="002467A0">
        <w:t xml:space="preserve">an incorrect duration rose from 17.8% to 20.3%. </w:t>
      </w:r>
      <w:r w:rsidR="00084C10">
        <w:t>In 2017, this figure dropped to 16.5%.</w:t>
      </w:r>
    </w:p>
    <w:p w14:paraId="49DB3437" w14:textId="4732A72C" w:rsidR="00084C10" w:rsidRDefault="00084C10" w:rsidP="00084C10">
      <w:pPr>
        <w:pStyle w:val="FigureTitle"/>
      </w:pPr>
      <w:r w:rsidRPr="00340CA0">
        <w:t xml:space="preserve">Table </w:t>
      </w:r>
      <w:r w:rsidR="00273F96">
        <w:t>5</w:t>
      </w:r>
      <w:r w:rsidR="00557374">
        <w:t xml:space="preserve">: </w:t>
      </w:r>
      <w:r w:rsidRPr="00340CA0">
        <w:t xml:space="preserve">Reasons for a </w:t>
      </w:r>
      <w:r w:rsidR="00E15DCC">
        <w:t xml:space="preserve">reported </w:t>
      </w:r>
      <w:r w:rsidRPr="00340CA0">
        <w:t>prescription being assessed as inappropriate</w:t>
      </w:r>
      <w:r w:rsidR="00934FC7">
        <w:t>,</w:t>
      </w:r>
      <w:r w:rsidR="00917BBE">
        <w:t xml:space="preserve"> Hospital NAPS contributors</w:t>
      </w:r>
      <w:r>
        <w:t>, 2017</w:t>
      </w:r>
    </w:p>
    <w:tbl>
      <w:tblPr>
        <w:tblW w:w="9654" w:type="dxa"/>
        <w:tblInd w:w="93" w:type="dxa"/>
        <w:tblLayout w:type="fixed"/>
        <w:tblLook w:val="04A0" w:firstRow="1" w:lastRow="0" w:firstColumn="1" w:lastColumn="0" w:noHBand="0" w:noVBand="1"/>
      </w:tblPr>
      <w:tblGrid>
        <w:gridCol w:w="2567"/>
        <w:gridCol w:w="2362"/>
        <w:gridCol w:w="2362"/>
        <w:gridCol w:w="2363"/>
      </w:tblGrid>
      <w:tr w:rsidR="00BF02CB" w:rsidRPr="00BF02CB" w14:paraId="3B237847" w14:textId="77777777" w:rsidTr="00C36529">
        <w:trPr>
          <w:trHeight w:val="293"/>
        </w:trPr>
        <w:tc>
          <w:tcPr>
            <w:tcW w:w="2567" w:type="dxa"/>
            <w:tcBorders>
              <w:top w:val="nil"/>
              <w:left w:val="nil"/>
              <w:bottom w:val="single" w:sz="8" w:space="0" w:color="auto"/>
              <w:right w:val="nil"/>
            </w:tcBorders>
            <w:shd w:val="clear" w:color="000000" w:fill="808080"/>
            <w:noWrap/>
            <w:vAlign w:val="center"/>
            <w:hideMark/>
          </w:tcPr>
          <w:p w14:paraId="796F06D5" w14:textId="77777777" w:rsidR="00BF02CB" w:rsidRPr="00BF02CB" w:rsidRDefault="00BF02CB" w:rsidP="00BF02CB">
            <w:pPr>
              <w:spacing w:after="0"/>
              <w:rPr>
                <w:rFonts w:ascii="Arial" w:hAnsi="Arial" w:cs="Arial"/>
                <w:b/>
                <w:bCs/>
                <w:color w:val="FFFFFF"/>
                <w:sz w:val="20"/>
                <w:szCs w:val="20"/>
              </w:rPr>
            </w:pPr>
            <w:r w:rsidRPr="00BF02CB">
              <w:rPr>
                <w:rFonts w:ascii="Arial" w:hAnsi="Arial" w:cs="Arial"/>
                <w:b/>
                <w:bCs/>
                <w:color w:val="FFFFFF"/>
                <w:sz w:val="20"/>
                <w:szCs w:val="20"/>
              </w:rPr>
              <w:t>Reason</w:t>
            </w:r>
          </w:p>
        </w:tc>
        <w:tc>
          <w:tcPr>
            <w:tcW w:w="2362" w:type="dxa"/>
            <w:tcBorders>
              <w:top w:val="nil"/>
              <w:left w:val="nil"/>
              <w:bottom w:val="single" w:sz="8" w:space="0" w:color="auto"/>
              <w:right w:val="nil"/>
            </w:tcBorders>
            <w:shd w:val="clear" w:color="000000" w:fill="808080"/>
            <w:noWrap/>
            <w:vAlign w:val="center"/>
            <w:hideMark/>
          </w:tcPr>
          <w:p w14:paraId="336605F3" w14:textId="77777777" w:rsidR="00BF02CB" w:rsidRPr="00BF02CB" w:rsidRDefault="00BF02CB" w:rsidP="001805CD">
            <w:pPr>
              <w:spacing w:after="0"/>
              <w:jc w:val="center"/>
              <w:rPr>
                <w:rFonts w:ascii="Arial" w:hAnsi="Arial" w:cs="Arial"/>
                <w:color w:val="FFFFFF"/>
                <w:sz w:val="18"/>
                <w:szCs w:val="18"/>
              </w:rPr>
            </w:pPr>
            <w:r w:rsidRPr="00BF02CB">
              <w:rPr>
                <w:rFonts w:ascii="Arial" w:hAnsi="Arial" w:cs="Arial"/>
                <w:color w:val="FFFFFF"/>
                <w:sz w:val="18"/>
                <w:szCs w:val="18"/>
              </w:rPr>
              <w:t>Yes (%)</w:t>
            </w:r>
          </w:p>
        </w:tc>
        <w:tc>
          <w:tcPr>
            <w:tcW w:w="2362" w:type="dxa"/>
            <w:tcBorders>
              <w:top w:val="nil"/>
              <w:left w:val="nil"/>
              <w:bottom w:val="single" w:sz="8" w:space="0" w:color="auto"/>
              <w:right w:val="nil"/>
            </w:tcBorders>
            <w:shd w:val="clear" w:color="000000" w:fill="808080"/>
            <w:noWrap/>
            <w:vAlign w:val="center"/>
            <w:hideMark/>
          </w:tcPr>
          <w:p w14:paraId="6BFF1CC2" w14:textId="77777777" w:rsidR="00BF02CB" w:rsidRPr="00BF02CB" w:rsidRDefault="00BF02CB" w:rsidP="001805CD">
            <w:pPr>
              <w:spacing w:after="0"/>
              <w:jc w:val="center"/>
              <w:rPr>
                <w:rFonts w:ascii="Arial" w:hAnsi="Arial" w:cs="Arial"/>
                <w:color w:val="FFFFFF"/>
                <w:sz w:val="18"/>
                <w:szCs w:val="18"/>
              </w:rPr>
            </w:pPr>
            <w:r w:rsidRPr="00BF02CB">
              <w:rPr>
                <w:rFonts w:ascii="Arial" w:hAnsi="Arial" w:cs="Arial"/>
                <w:color w:val="FFFFFF"/>
                <w:sz w:val="18"/>
                <w:szCs w:val="18"/>
              </w:rPr>
              <w:t>No (%)</w:t>
            </w:r>
          </w:p>
        </w:tc>
        <w:tc>
          <w:tcPr>
            <w:tcW w:w="2363" w:type="dxa"/>
            <w:tcBorders>
              <w:top w:val="nil"/>
              <w:left w:val="nil"/>
              <w:bottom w:val="single" w:sz="8" w:space="0" w:color="auto"/>
              <w:right w:val="nil"/>
            </w:tcBorders>
            <w:shd w:val="clear" w:color="000000" w:fill="808080"/>
            <w:noWrap/>
            <w:vAlign w:val="center"/>
            <w:hideMark/>
          </w:tcPr>
          <w:p w14:paraId="34FF2461" w14:textId="77777777" w:rsidR="00BF02CB" w:rsidRPr="00BF02CB" w:rsidRDefault="00BF02CB" w:rsidP="001805CD">
            <w:pPr>
              <w:spacing w:after="0"/>
              <w:jc w:val="center"/>
              <w:rPr>
                <w:rFonts w:ascii="Arial" w:hAnsi="Arial" w:cs="Arial"/>
                <w:color w:val="FFFFFF"/>
                <w:sz w:val="18"/>
                <w:szCs w:val="18"/>
              </w:rPr>
            </w:pPr>
            <w:r w:rsidRPr="00BF02CB">
              <w:rPr>
                <w:rFonts w:ascii="Arial" w:hAnsi="Arial" w:cs="Arial"/>
                <w:color w:val="FFFFFF"/>
                <w:sz w:val="18"/>
                <w:szCs w:val="18"/>
              </w:rPr>
              <w:t>Not specified (%)</w:t>
            </w:r>
          </w:p>
        </w:tc>
      </w:tr>
      <w:tr w:rsidR="00BF02CB" w:rsidRPr="00BF02CB" w14:paraId="32A01119" w14:textId="77777777" w:rsidTr="00C36529">
        <w:trPr>
          <w:trHeight w:val="293"/>
        </w:trPr>
        <w:tc>
          <w:tcPr>
            <w:tcW w:w="2567" w:type="dxa"/>
            <w:tcBorders>
              <w:top w:val="nil"/>
              <w:left w:val="nil"/>
              <w:bottom w:val="single" w:sz="8" w:space="0" w:color="808080"/>
              <w:right w:val="nil"/>
            </w:tcBorders>
            <w:shd w:val="clear" w:color="auto" w:fill="auto"/>
            <w:noWrap/>
            <w:vAlign w:val="center"/>
            <w:hideMark/>
          </w:tcPr>
          <w:p w14:paraId="5ACA09DE" w14:textId="77777777" w:rsidR="00BF02CB" w:rsidRPr="00BF02CB" w:rsidRDefault="00BF02CB" w:rsidP="00BF02CB">
            <w:pPr>
              <w:spacing w:after="0"/>
              <w:rPr>
                <w:rFonts w:ascii="Arial" w:hAnsi="Arial" w:cs="Arial"/>
                <w:color w:val="000000"/>
                <w:sz w:val="16"/>
                <w:szCs w:val="16"/>
              </w:rPr>
            </w:pPr>
            <w:r w:rsidRPr="00BF02CB">
              <w:rPr>
                <w:rFonts w:ascii="Arial" w:hAnsi="Arial" w:cs="Arial"/>
                <w:color w:val="000000"/>
                <w:sz w:val="16"/>
                <w:szCs w:val="16"/>
              </w:rPr>
              <w:t>Spectrum too broad</w:t>
            </w:r>
          </w:p>
        </w:tc>
        <w:tc>
          <w:tcPr>
            <w:tcW w:w="2362" w:type="dxa"/>
            <w:tcBorders>
              <w:top w:val="nil"/>
              <w:left w:val="nil"/>
              <w:bottom w:val="nil"/>
              <w:right w:val="nil"/>
            </w:tcBorders>
            <w:shd w:val="clear" w:color="auto" w:fill="auto"/>
            <w:noWrap/>
            <w:vAlign w:val="center"/>
            <w:hideMark/>
          </w:tcPr>
          <w:p w14:paraId="13E96DD5"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21.9%</w:t>
            </w:r>
          </w:p>
        </w:tc>
        <w:tc>
          <w:tcPr>
            <w:tcW w:w="2362" w:type="dxa"/>
            <w:tcBorders>
              <w:top w:val="nil"/>
              <w:left w:val="nil"/>
              <w:bottom w:val="nil"/>
              <w:right w:val="nil"/>
            </w:tcBorders>
            <w:shd w:val="clear" w:color="auto" w:fill="auto"/>
            <w:noWrap/>
            <w:vAlign w:val="center"/>
            <w:hideMark/>
          </w:tcPr>
          <w:p w14:paraId="7D27323B"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46.3%</w:t>
            </w:r>
          </w:p>
        </w:tc>
        <w:tc>
          <w:tcPr>
            <w:tcW w:w="2363" w:type="dxa"/>
            <w:tcBorders>
              <w:top w:val="nil"/>
              <w:left w:val="nil"/>
              <w:bottom w:val="nil"/>
              <w:right w:val="nil"/>
            </w:tcBorders>
            <w:shd w:val="clear" w:color="auto" w:fill="auto"/>
            <w:noWrap/>
            <w:vAlign w:val="center"/>
            <w:hideMark/>
          </w:tcPr>
          <w:p w14:paraId="63BF07EE"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31.8%</w:t>
            </w:r>
          </w:p>
        </w:tc>
      </w:tr>
      <w:tr w:rsidR="00BF02CB" w:rsidRPr="00BF02CB" w14:paraId="03B3080D" w14:textId="77777777" w:rsidTr="00C36529">
        <w:trPr>
          <w:trHeight w:val="293"/>
        </w:trPr>
        <w:tc>
          <w:tcPr>
            <w:tcW w:w="2567" w:type="dxa"/>
            <w:tcBorders>
              <w:top w:val="nil"/>
              <w:left w:val="nil"/>
              <w:bottom w:val="single" w:sz="8" w:space="0" w:color="808080"/>
              <w:right w:val="nil"/>
            </w:tcBorders>
            <w:shd w:val="clear" w:color="auto" w:fill="auto"/>
            <w:noWrap/>
            <w:vAlign w:val="center"/>
            <w:hideMark/>
          </w:tcPr>
          <w:p w14:paraId="41BCCB8A" w14:textId="77777777" w:rsidR="00BF02CB" w:rsidRPr="00BF02CB" w:rsidRDefault="00BF02CB" w:rsidP="00BF02CB">
            <w:pPr>
              <w:spacing w:after="0"/>
              <w:rPr>
                <w:rFonts w:ascii="Arial" w:hAnsi="Arial" w:cs="Arial"/>
                <w:color w:val="000000"/>
                <w:sz w:val="16"/>
                <w:szCs w:val="16"/>
              </w:rPr>
            </w:pPr>
            <w:r w:rsidRPr="00BF02CB">
              <w:rPr>
                <w:rFonts w:ascii="Arial" w:hAnsi="Arial" w:cs="Arial"/>
                <w:color w:val="000000"/>
                <w:sz w:val="16"/>
                <w:szCs w:val="16"/>
              </w:rPr>
              <w:t>Incorrect dose or frequency</w:t>
            </w:r>
          </w:p>
        </w:tc>
        <w:tc>
          <w:tcPr>
            <w:tcW w:w="2362" w:type="dxa"/>
            <w:tcBorders>
              <w:top w:val="nil"/>
              <w:left w:val="nil"/>
              <w:bottom w:val="nil"/>
              <w:right w:val="nil"/>
            </w:tcBorders>
            <w:shd w:val="clear" w:color="auto" w:fill="auto"/>
            <w:noWrap/>
            <w:vAlign w:val="center"/>
            <w:hideMark/>
          </w:tcPr>
          <w:p w14:paraId="02D956B6"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20.1%</w:t>
            </w:r>
          </w:p>
        </w:tc>
        <w:tc>
          <w:tcPr>
            <w:tcW w:w="2362" w:type="dxa"/>
            <w:tcBorders>
              <w:top w:val="nil"/>
              <w:left w:val="nil"/>
              <w:bottom w:val="nil"/>
              <w:right w:val="nil"/>
            </w:tcBorders>
            <w:shd w:val="clear" w:color="auto" w:fill="auto"/>
            <w:noWrap/>
            <w:vAlign w:val="center"/>
            <w:hideMark/>
          </w:tcPr>
          <w:p w14:paraId="66E034F8"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50.9%</w:t>
            </w:r>
          </w:p>
        </w:tc>
        <w:tc>
          <w:tcPr>
            <w:tcW w:w="2363" w:type="dxa"/>
            <w:tcBorders>
              <w:top w:val="nil"/>
              <w:left w:val="nil"/>
              <w:bottom w:val="nil"/>
              <w:right w:val="nil"/>
            </w:tcBorders>
            <w:shd w:val="clear" w:color="auto" w:fill="auto"/>
            <w:noWrap/>
            <w:vAlign w:val="center"/>
            <w:hideMark/>
          </w:tcPr>
          <w:p w14:paraId="425CF86B"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29.0%</w:t>
            </w:r>
          </w:p>
        </w:tc>
      </w:tr>
      <w:tr w:rsidR="00BF02CB" w:rsidRPr="00BF02CB" w14:paraId="2EFA3CD8" w14:textId="77777777" w:rsidTr="00C36529">
        <w:trPr>
          <w:trHeight w:val="293"/>
        </w:trPr>
        <w:tc>
          <w:tcPr>
            <w:tcW w:w="2567" w:type="dxa"/>
            <w:tcBorders>
              <w:top w:val="nil"/>
              <w:left w:val="nil"/>
              <w:bottom w:val="single" w:sz="8" w:space="0" w:color="808080"/>
              <w:right w:val="nil"/>
            </w:tcBorders>
            <w:shd w:val="clear" w:color="auto" w:fill="auto"/>
            <w:noWrap/>
            <w:vAlign w:val="center"/>
            <w:hideMark/>
          </w:tcPr>
          <w:p w14:paraId="064892C6" w14:textId="77777777" w:rsidR="00BF02CB" w:rsidRPr="00BF02CB" w:rsidRDefault="00BF02CB" w:rsidP="00BF02CB">
            <w:pPr>
              <w:spacing w:after="0"/>
              <w:rPr>
                <w:rFonts w:ascii="Arial" w:hAnsi="Arial" w:cs="Arial"/>
                <w:color w:val="000000"/>
                <w:sz w:val="16"/>
                <w:szCs w:val="16"/>
              </w:rPr>
            </w:pPr>
            <w:r w:rsidRPr="00BF02CB">
              <w:rPr>
                <w:rFonts w:ascii="Arial" w:hAnsi="Arial" w:cs="Arial"/>
                <w:color w:val="000000"/>
                <w:sz w:val="16"/>
                <w:szCs w:val="16"/>
              </w:rPr>
              <w:t>Antimicrobial not required</w:t>
            </w:r>
          </w:p>
        </w:tc>
        <w:tc>
          <w:tcPr>
            <w:tcW w:w="2362" w:type="dxa"/>
            <w:tcBorders>
              <w:top w:val="nil"/>
              <w:left w:val="nil"/>
              <w:bottom w:val="nil"/>
              <w:right w:val="nil"/>
            </w:tcBorders>
            <w:shd w:val="clear" w:color="auto" w:fill="auto"/>
            <w:noWrap/>
            <w:vAlign w:val="center"/>
            <w:hideMark/>
          </w:tcPr>
          <w:p w14:paraId="29336450"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17.5%</w:t>
            </w:r>
          </w:p>
        </w:tc>
        <w:tc>
          <w:tcPr>
            <w:tcW w:w="2362" w:type="dxa"/>
            <w:tcBorders>
              <w:top w:val="nil"/>
              <w:left w:val="nil"/>
              <w:bottom w:val="nil"/>
              <w:right w:val="nil"/>
            </w:tcBorders>
            <w:shd w:val="clear" w:color="auto" w:fill="auto"/>
            <w:noWrap/>
            <w:vAlign w:val="center"/>
            <w:hideMark/>
          </w:tcPr>
          <w:p w14:paraId="339C1540"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49.8%</w:t>
            </w:r>
          </w:p>
        </w:tc>
        <w:tc>
          <w:tcPr>
            <w:tcW w:w="2363" w:type="dxa"/>
            <w:tcBorders>
              <w:top w:val="nil"/>
              <w:left w:val="nil"/>
              <w:bottom w:val="nil"/>
              <w:right w:val="nil"/>
            </w:tcBorders>
            <w:shd w:val="clear" w:color="auto" w:fill="auto"/>
            <w:noWrap/>
            <w:vAlign w:val="center"/>
            <w:hideMark/>
          </w:tcPr>
          <w:p w14:paraId="05E7F6F8"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32.7%</w:t>
            </w:r>
          </w:p>
        </w:tc>
      </w:tr>
      <w:tr w:rsidR="00BF02CB" w:rsidRPr="00BF02CB" w14:paraId="7CCAC493" w14:textId="77777777" w:rsidTr="00C36529">
        <w:trPr>
          <w:trHeight w:val="293"/>
        </w:trPr>
        <w:tc>
          <w:tcPr>
            <w:tcW w:w="2567" w:type="dxa"/>
            <w:tcBorders>
              <w:top w:val="nil"/>
              <w:left w:val="nil"/>
              <w:bottom w:val="single" w:sz="8" w:space="0" w:color="808080"/>
              <w:right w:val="nil"/>
            </w:tcBorders>
            <w:shd w:val="clear" w:color="auto" w:fill="auto"/>
            <w:noWrap/>
            <w:vAlign w:val="center"/>
            <w:hideMark/>
          </w:tcPr>
          <w:p w14:paraId="50FCFF83" w14:textId="77777777" w:rsidR="00BF02CB" w:rsidRPr="00BF02CB" w:rsidRDefault="00BF02CB" w:rsidP="00BF02CB">
            <w:pPr>
              <w:spacing w:after="0"/>
              <w:rPr>
                <w:rFonts w:ascii="Arial" w:hAnsi="Arial" w:cs="Arial"/>
                <w:color w:val="000000"/>
                <w:sz w:val="16"/>
                <w:szCs w:val="16"/>
              </w:rPr>
            </w:pPr>
            <w:r w:rsidRPr="00BF02CB">
              <w:rPr>
                <w:rFonts w:ascii="Arial" w:hAnsi="Arial" w:cs="Arial"/>
                <w:color w:val="000000"/>
                <w:sz w:val="16"/>
                <w:szCs w:val="16"/>
              </w:rPr>
              <w:t>Incorrect duration</w:t>
            </w:r>
          </w:p>
        </w:tc>
        <w:tc>
          <w:tcPr>
            <w:tcW w:w="2362" w:type="dxa"/>
            <w:tcBorders>
              <w:top w:val="nil"/>
              <w:left w:val="nil"/>
              <w:bottom w:val="nil"/>
              <w:right w:val="nil"/>
            </w:tcBorders>
            <w:shd w:val="clear" w:color="auto" w:fill="auto"/>
            <w:noWrap/>
            <w:vAlign w:val="center"/>
            <w:hideMark/>
          </w:tcPr>
          <w:p w14:paraId="14E324A7"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16.5%</w:t>
            </w:r>
          </w:p>
        </w:tc>
        <w:tc>
          <w:tcPr>
            <w:tcW w:w="2362" w:type="dxa"/>
            <w:tcBorders>
              <w:top w:val="nil"/>
              <w:left w:val="nil"/>
              <w:bottom w:val="nil"/>
              <w:right w:val="nil"/>
            </w:tcBorders>
            <w:shd w:val="clear" w:color="auto" w:fill="auto"/>
            <w:noWrap/>
            <w:vAlign w:val="center"/>
            <w:hideMark/>
          </w:tcPr>
          <w:p w14:paraId="6901C8E6"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51.0%</w:t>
            </w:r>
          </w:p>
        </w:tc>
        <w:tc>
          <w:tcPr>
            <w:tcW w:w="2363" w:type="dxa"/>
            <w:tcBorders>
              <w:top w:val="nil"/>
              <w:left w:val="nil"/>
              <w:bottom w:val="nil"/>
              <w:right w:val="nil"/>
            </w:tcBorders>
            <w:shd w:val="clear" w:color="auto" w:fill="auto"/>
            <w:noWrap/>
            <w:vAlign w:val="center"/>
            <w:hideMark/>
          </w:tcPr>
          <w:p w14:paraId="0484FC2C"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32.5%</w:t>
            </w:r>
          </w:p>
        </w:tc>
      </w:tr>
      <w:tr w:rsidR="00BF02CB" w:rsidRPr="00BF02CB" w14:paraId="0582D93C" w14:textId="77777777" w:rsidTr="00C36529">
        <w:trPr>
          <w:trHeight w:val="293"/>
        </w:trPr>
        <w:tc>
          <w:tcPr>
            <w:tcW w:w="2567" w:type="dxa"/>
            <w:tcBorders>
              <w:top w:val="nil"/>
              <w:left w:val="nil"/>
              <w:bottom w:val="single" w:sz="8" w:space="0" w:color="808080"/>
              <w:right w:val="nil"/>
            </w:tcBorders>
            <w:shd w:val="clear" w:color="auto" w:fill="auto"/>
            <w:noWrap/>
            <w:vAlign w:val="center"/>
            <w:hideMark/>
          </w:tcPr>
          <w:p w14:paraId="09E43C22" w14:textId="77777777" w:rsidR="00BF02CB" w:rsidRPr="00BF02CB" w:rsidRDefault="00BF02CB" w:rsidP="00BF02CB">
            <w:pPr>
              <w:spacing w:after="0"/>
              <w:rPr>
                <w:rFonts w:ascii="Arial" w:hAnsi="Arial" w:cs="Arial"/>
                <w:color w:val="000000"/>
                <w:sz w:val="16"/>
                <w:szCs w:val="16"/>
              </w:rPr>
            </w:pPr>
            <w:r w:rsidRPr="00BF02CB">
              <w:rPr>
                <w:rFonts w:ascii="Arial" w:hAnsi="Arial" w:cs="Arial"/>
                <w:color w:val="000000"/>
                <w:sz w:val="16"/>
                <w:szCs w:val="16"/>
              </w:rPr>
              <w:t>Spectrum too narrow</w:t>
            </w:r>
          </w:p>
        </w:tc>
        <w:tc>
          <w:tcPr>
            <w:tcW w:w="2362" w:type="dxa"/>
            <w:tcBorders>
              <w:top w:val="nil"/>
              <w:left w:val="nil"/>
              <w:bottom w:val="nil"/>
              <w:right w:val="nil"/>
            </w:tcBorders>
            <w:shd w:val="clear" w:color="auto" w:fill="auto"/>
            <w:noWrap/>
            <w:vAlign w:val="center"/>
            <w:hideMark/>
          </w:tcPr>
          <w:p w14:paraId="13E39A3A"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6.6%</w:t>
            </w:r>
          </w:p>
        </w:tc>
        <w:tc>
          <w:tcPr>
            <w:tcW w:w="2362" w:type="dxa"/>
            <w:tcBorders>
              <w:top w:val="nil"/>
              <w:left w:val="nil"/>
              <w:bottom w:val="nil"/>
              <w:right w:val="nil"/>
            </w:tcBorders>
            <w:shd w:val="clear" w:color="auto" w:fill="auto"/>
            <w:noWrap/>
            <w:vAlign w:val="center"/>
            <w:hideMark/>
          </w:tcPr>
          <w:p w14:paraId="1DA06D8D"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58.8%</w:t>
            </w:r>
          </w:p>
        </w:tc>
        <w:tc>
          <w:tcPr>
            <w:tcW w:w="2363" w:type="dxa"/>
            <w:tcBorders>
              <w:top w:val="nil"/>
              <w:left w:val="nil"/>
              <w:bottom w:val="nil"/>
              <w:right w:val="nil"/>
            </w:tcBorders>
            <w:shd w:val="clear" w:color="auto" w:fill="auto"/>
            <w:noWrap/>
            <w:vAlign w:val="center"/>
            <w:hideMark/>
          </w:tcPr>
          <w:p w14:paraId="2E9782D4"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34.6%</w:t>
            </w:r>
          </w:p>
        </w:tc>
      </w:tr>
      <w:tr w:rsidR="00BF02CB" w:rsidRPr="00BF02CB" w14:paraId="789BBA27" w14:textId="77777777" w:rsidTr="00C36529">
        <w:trPr>
          <w:trHeight w:val="293"/>
        </w:trPr>
        <w:tc>
          <w:tcPr>
            <w:tcW w:w="2567" w:type="dxa"/>
            <w:tcBorders>
              <w:top w:val="nil"/>
              <w:left w:val="nil"/>
              <w:bottom w:val="single" w:sz="12" w:space="0" w:color="808080"/>
              <w:right w:val="nil"/>
            </w:tcBorders>
            <w:shd w:val="clear" w:color="auto" w:fill="auto"/>
            <w:noWrap/>
            <w:vAlign w:val="center"/>
            <w:hideMark/>
          </w:tcPr>
          <w:p w14:paraId="07D47A96" w14:textId="77777777" w:rsidR="00BF02CB" w:rsidRPr="00BF02CB" w:rsidRDefault="00BF02CB" w:rsidP="00BF02CB">
            <w:pPr>
              <w:spacing w:after="0"/>
              <w:rPr>
                <w:rFonts w:ascii="Arial" w:hAnsi="Arial" w:cs="Arial"/>
                <w:color w:val="000000"/>
                <w:sz w:val="16"/>
                <w:szCs w:val="16"/>
              </w:rPr>
            </w:pPr>
            <w:r w:rsidRPr="00BF02CB">
              <w:rPr>
                <w:rFonts w:ascii="Arial" w:hAnsi="Arial" w:cs="Arial"/>
                <w:color w:val="000000"/>
                <w:sz w:val="16"/>
                <w:szCs w:val="16"/>
              </w:rPr>
              <w:t>Incorrect route</w:t>
            </w:r>
          </w:p>
        </w:tc>
        <w:tc>
          <w:tcPr>
            <w:tcW w:w="2362" w:type="dxa"/>
            <w:tcBorders>
              <w:top w:val="nil"/>
              <w:left w:val="nil"/>
              <w:bottom w:val="nil"/>
              <w:right w:val="nil"/>
            </w:tcBorders>
            <w:shd w:val="clear" w:color="auto" w:fill="auto"/>
            <w:noWrap/>
            <w:vAlign w:val="center"/>
            <w:hideMark/>
          </w:tcPr>
          <w:p w14:paraId="7D6F9146"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5.2%</w:t>
            </w:r>
          </w:p>
        </w:tc>
        <w:tc>
          <w:tcPr>
            <w:tcW w:w="2362" w:type="dxa"/>
            <w:tcBorders>
              <w:top w:val="nil"/>
              <w:left w:val="nil"/>
              <w:bottom w:val="nil"/>
              <w:right w:val="nil"/>
            </w:tcBorders>
            <w:shd w:val="clear" w:color="auto" w:fill="auto"/>
            <w:noWrap/>
            <w:vAlign w:val="center"/>
            <w:hideMark/>
          </w:tcPr>
          <w:p w14:paraId="3C2520E4"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60.6%</w:t>
            </w:r>
          </w:p>
        </w:tc>
        <w:tc>
          <w:tcPr>
            <w:tcW w:w="2363" w:type="dxa"/>
            <w:tcBorders>
              <w:top w:val="nil"/>
              <w:left w:val="nil"/>
              <w:bottom w:val="nil"/>
              <w:right w:val="nil"/>
            </w:tcBorders>
            <w:shd w:val="clear" w:color="auto" w:fill="auto"/>
            <w:noWrap/>
            <w:vAlign w:val="center"/>
            <w:hideMark/>
          </w:tcPr>
          <w:p w14:paraId="776BAB68" w14:textId="77777777" w:rsidR="00BF02CB" w:rsidRPr="00BF02CB" w:rsidRDefault="00BF02CB" w:rsidP="00BF02CB">
            <w:pPr>
              <w:spacing w:after="0"/>
              <w:jc w:val="center"/>
              <w:rPr>
                <w:rFonts w:ascii="Arial" w:hAnsi="Arial" w:cs="Arial"/>
                <w:color w:val="000000"/>
                <w:sz w:val="16"/>
                <w:szCs w:val="16"/>
              </w:rPr>
            </w:pPr>
            <w:r w:rsidRPr="00BF02CB">
              <w:rPr>
                <w:rFonts w:ascii="Arial" w:hAnsi="Arial" w:cs="Arial"/>
                <w:color w:val="000000"/>
                <w:sz w:val="16"/>
                <w:szCs w:val="16"/>
              </w:rPr>
              <w:t>34.3%</w:t>
            </w:r>
          </w:p>
        </w:tc>
      </w:tr>
      <w:tr w:rsidR="00BF02CB" w:rsidRPr="00BF02CB" w14:paraId="648FEB0C" w14:textId="77777777" w:rsidTr="00C36529">
        <w:trPr>
          <w:trHeight w:val="293"/>
        </w:trPr>
        <w:tc>
          <w:tcPr>
            <w:tcW w:w="2567" w:type="dxa"/>
            <w:tcBorders>
              <w:top w:val="nil"/>
              <w:left w:val="nil"/>
              <w:bottom w:val="nil"/>
              <w:right w:val="nil"/>
            </w:tcBorders>
            <w:shd w:val="clear" w:color="auto" w:fill="auto"/>
            <w:noWrap/>
            <w:vAlign w:val="bottom"/>
            <w:hideMark/>
          </w:tcPr>
          <w:p w14:paraId="0941504D" w14:textId="77777777" w:rsidR="00BF02CB" w:rsidRPr="00BF02CB" w:rsidRDefault="00BF02CB" w:rsidP="00BF02CB">
            <w:pPr>
              <w:spacing w:after="0"/>
              <w:rPr>
                <w:rFonts w:ascii="Arial" w:hAnsi="Arial" w:cs="Arial"/>
                <w:i/>
                <w:iCs/>
                <w:color w:val="000000"/>
                <w:sz w:val="16"/>
                <w:szCs w:val="16"/>
              </w:rPr>
            </w:pPr>
            <w:r w:rsidRPr="00BF02CB">
              <w:rPr>
                <w:rFonts w:ascii="Arial" w:hAnsi="Arial" w:cs="Arial"/>
                <w:i/>
                <w:iCs/>
                <w:color w:val="000000"/>
                <w:sz w:val="16"/>
                <w:szCs w:val="16"/>
              </w:rPr>
              <w:t>n = 5</w:t>
            </w:r>
            <w:r w:rsidR="001805CD">
              <w:rPr>
                <w:rFonts w:ascii="Arial" w:hAnsi="Arial" w:cs="Arial"/>
                <w:i/>
                <w:iCs/>
                <w:color w:val="000000"/>
                <w:sz w:val="16"/>
                <w:szCs w:val="16"/>
              </w:rPr>
              <w:t>,</w:t>
            </w:r>
            <w:r w:rsidRPr="00BF02CB">
              <w:rPr>
                <w:rFonts w:ascii="Arial" w:hAnsi="Arial" w:cs="Arial"/>
                <w:i/>
                <w:iCs/>
                <w:color w:val="000000"/>
                <w:sz w:val="16"/>
                <w:szCs w:val="16"/>
              </w:rPr>
              <w:t>864</w:t>
            </w:r>
          </w:p>
        </w:tc>
        <w:tc>
          <w:tcPr>
            <w:tcW w:w="2362" w:type="dxa"/>
            <w:tcBorders>
              <w:top w:val="nil"/>
              <w:left w:val="nil"/>
              <w:bottom w:val="nil"/>
              <w:right w:val="nil"/>
            </w:tcBorders>
            <w:shd w:val="clear" w:color="auto" w:fill="auto"/>
            <w:noWrap/>
            <w:vAlign w:val="bottom"/>
            <w:hideMark/>
          </w:tcPr>
          <w:p w14:paraId="29B23D44" w14:textId="77777777" w:rsidR="00BF02CB" w:rsidRPr="00BF02CB" w:rsidRDefault="00BF02CB" w:rsidP="00BF02CB">
            <w:pPr>
              <w:spacing w:after="0"/>
              <w:rPr>
                <w:rFonts w:ascii="Calibri" w:hAnsi="Calibri"/>
                <w:color w:val="000000"/>
              </w:rPr>
            </w:pPr>
          </w:p>
        </w:tc>
        <w:tc>
          <w:tcPr>
            <w:tcW w:w="2362" w:type="dxa"/>
            <w:tcBorders>
              <w:top w:val="nil"/>
              <w:left w:val="nil"/>
              <w:bottom w:val="nil"/>
              <w:right w:val="nil"/>
            </w:tcBorders>
            <w:shd w:val="clear" w:color="auto" w:fill="auto"/>
            <w:noWrap/>
            <w:vAlign w:val="bottom"/>
            <w:hideMark/>
          </w:tcPr>
          <w:p w14:paraId="35E52262" w14:textId="77777777" w:rsidR="00BF02CB" w:rsidRPr="00BF02CB" w:rsidRDefault="00BF02CB" w:rsidP="00BF02CB">
            <w:pPr>
              <w:spacing w:after="0"/>
              <w:rPr>
                <w:rFonts w:ascii="Calibri" w:hAnsi="Calibri"/>
                <w:color w:val="000000"/>
              </w:rPr>
            </w:pPr>
          </w:p>
        </w:tc>
        <w:tc>
          <w:tcPr>
            <w:tcW w:w="2363" w:type="dxa"/>
            <w:tcBorders>
              <w:top w:val="nil"/>
              <w:left w:val="nil"/>
              <w:bottom w:val="nil"/>
              <w:right w:val="nil"/>
            </w:tcBorders>
            <w:shd w:val="clear" w:color="auto" w:fill="auto"/>
            <w:noWrap/>
            <w:vAlign w:val="bottom"/>
            <w:hideMark/>
          </w:tcPr>
          <w:p w14:paraId="3264EAC9" w14:textId="77777777" w:rsidR="00BF02CB" w:rsidRPr="00BF02CB" w:rsidRDefault="00BF02CB" w:rsidP="00BF02CB">
            <w:pPr>
              <w:spacing w:after="0"/>
              <w:rPr>
                <w:rFonts w:ascii="Calibri" w:hAnsi="Calibri"/>
                <w:color w:val="000000"/>
              </w:rPr>
            </w:pPr>
          </w:p>
        </w:tc>
      </w:tr>
    </w:tbl>
    <w:p w14:paraId="003916E3" w14:textId="77777777" w:rsidR="00BF02CB" w:rsidRPr="00340CA0" w:rsidRDefault="00BF02CB" w:rsidP="00084C10">
      <w:pPr>
        <w:pStyle w:val="FigureTitle"/>
      </w:pPr>
    </w:p>
    <w:p w14:paraId="292FA8AE" w14:textId="60888704" w:rsidR="00084C10" w:rsidRDefault="008846F6" w:rsidP="00084C10">
      <w:r>
        <w:t>V</w:t>
      </w:r>
      <w:r w:rsidR="00084C10">
        <w:t>ery few prescriptions</w:t>
      </w:r>
      <w:r w:rsidR="00934FC7">
        <w:t>,</w:t>
      </w:r>
      <w:r w:rsidR="00084C10">
        <w:t xml:space="preserve"> </w:t>
      </w:r>
      <w:r>
        <w:t>of those that were assessed (n = 26,227)</w:t>
      </w:r>
      <w:r w:rsidR="00934FC7">
        <w:t>,</w:t>
      </w:r>
      <w:r>
        <w:t xml:space="preserve"> </w:t>
      </w:r>
      <w:r w:rsidR="00084C10">
        <w:t>were identified as having a microbiology mismatch</w:t>
      </w:r>
      <w:r w:rsidR="00084C10" w:rsidRPr="00340CA0">
        <w:t xml:space="preserve"> </w:t>
      </w:r>
      <w:r w:rsidR="00084C10">
        <w:t>(1.5</w:t>
      </w:r>
      <w:r w:rsidR="00084C10" w:rsidRPr="00340CA0">
        <w:t>%</w:t>
      </w:r>
      <w:r w:rsidR="00084C10">
        <w:t>)</w:t>
      </w:r>
      <w:r w:rsidR="00084C10" w:rsidRPr="00340CA0">
        <w:t xml:space="preserve"> </w:t>
      </w:r>
      <w:r w:rsidR="00084C10">
        <w:t>or allergy mismatc</w:t>
      </w:r>
      <w:r w:rsidR="00485253">
        <w:t>h</w:t>
      </w:r>
      <w:r w:rsidR="00084C10" w:rsidRPr="00340CA0">
        <w:t xml:space="preserve"> </w:t>
      </w:r>
      <w:r w:rsidR="00E25C6C">
        <w:t>(</w:t>
      </w:r>
      <w:r w:rsidR="00084C10" w:rsidRPr="00340CA0">
        <w:t>0.5%</w:t>
      </w:r>
      <w:r w:rsidR="00E25C6C">
        <w:t>)</w:t>
      </w:r>
      <w:r w:rsidR="00084C10" w:rsidRPr="00340CA0">
        <w:t xml:space="preserve">. The targets for these rates </w:t>
      </w:r>
      <w:r w:rsidR="007638DA">
        <w:t>are</w:t>
      </w:r>
      <w:r w:rsidR="00084C10" w:rsidRPr="00340CA0">
        <w:t xml:space="preserve"> 0%.</w:t>
      </w:r>
      <w:r>
        <w:t xml:space="preserve"> </w:t>
      </w:r>
      <w:r w:rsidR="00C12687">
        <w:t xml:space="preserve">These low rates of mismatch are impressive and have improved over time. </w:t>
      </w:r>
    </w:p>
    <w:p w14:paraId="26434008" w14:textId="77777777" w:rsidR="00084C10" w:rsidRDefault="00084C10" w:rsidP="00CD1754"/>
    <w:p w14:paraId="7CFC4446" w14:textId="77777777" w:rsidR="0035148B" w:rsidRDefault="0035148B">
      <w:pPr>
        <w:spacing w:after="80"/>
        <w:rPr>
          <w:rFonts w:cs="Arial"/>
          <w:b/>
          <w:bCs/>
          <w:iCs/>
          <w:color w:val="1178A2"/>
          <w:kern w:val="28"/>
          <w:sz w:val="28"/>
          <w:szCs w:val="26"/>
        </w:rPr>
      </w:pPr>
      <w:r>
        <w:br w:type="page"/>
      </w:r>
    </w:p>
    <w:p w14:paraId="74D43BAB" w14:textId="0FAB37AC" w:rsidR="00D825AF" w:rsidRDefault="002E181A" w:rsidP="00D825AF">
      <w:pPr>
        <w:pStyle w:val="Heading3"/>
      </w:pPr>
      <w:r>
        <w:lastRenderedPageBreak/>
        <w:t>Comparison of Hospital NAPS and Surgical NAPS</w:t>
      </w:r>
    </w:p>
    <w:p w14:paraId="695F4761" w14:textId="2C91FFBF" w:rsidR="002E181A" w:rsidRDefault="002E181A" w:rsidP="002E181A">
      <w:pPr>
        <w:autoSpaceDE w:val="0"/>
        <w:autoSpaceDN w:val="0"/>
        <w:adjustRightInd w:val="0"/>
        <w:spacing w:after="0"/>
        <w:rPr>
          <w:rFonts w:ascii="Segoe UI" w:hAnsi="Segoe UI" w:cs="Segoe UI"/>
          <w:color w:val="000000"/>
        </w:rPr>
      </w:pPr>
      <w:r>
        <w:rPr>
          <w:rFonts w:ascii="Segoe UI" w:hAnsi="Segoe UI" w:cs="Segoe UI"/>
          <w:color w:val="000000"/>
        </w:rPr>
        <w:t xml:space="preserve">Data collected as part of the Hospital NAPS have consistently shown that antimicrobial prescribing for surgical episodes has poor rates of guideline compliance and appropriateness. The Surgical NAPS was introduced in 2016 to allow clinicians to examine these prescriptions in more depth and target this area in future quality improvement activities, supported by detailed audit data. </w:t>
      </w:r>
    </w:p>
    <w:p w14:paraId="0742350D" w14:textId="77777777" w:rsidR="002E181A" w:rsidRDefault="002E181A" w:rsidP="002E181A">
      <w:pPr>
        <w:autoSpaceDE w:val="0"/>
        <w:autoSpaceDN w:val="0"/>
        <w:adjustRightInd w:val="0"/>
        <w:spacing w:after="0"/>
        <w:rPr>
          <w:rFonts w:ascii="Segoe UI" w:hAnsi="Segoe UI" w:cs="Segoe UI"/>
          <w:sz w:val="21"/>
          <w:szCs w:val="21"/>
        </w:rPr>
      </w:pPr>
      <w:r>
        <w:rPr>
          <w:rFonts w:ascii="Segoe UI" w:hAnsi="Segoe UI" w:cs="Segoe UI"/>
          <w:color w:val="000000"/>
        </w:rPr>
        <w:t xml:space="preserve">Participation in the NAPS is voluntary, with hospitals choosing to participate according to local requirements. Hospitals may choose not to participate every year or to alternate between the different types of surveys available. </w:t>
      </w:r>
    </w:p>
    <w:p w14:paraId="47C58CCB" w14:textId="77777777" w:rsidR="002E181A" w:rsidRDefault="002E181A" w:rsidP="006A44CE"/>
    <w:p w14:paraId="3B58CFF4" w14:textId="72EE7FC1" w:rsidR="0035148B" w:rsidRPr="006A44CE" w:rsidRDefault="00665196" w:rsidP="006A44CE">
      <w:r>
        <w:t xml:space="preserve">An analysis of </w:t>
      </w:r>
      <w:r w:rsidR="001C6663">
        <w:t xml:space="preserve">Surgical NAPS data </w:t>
      </w:r>
      <w:r w:rsidR="00724939">
        <w:t>is</w:t>
      </w:r>
      <w:r w:rsidR="001C6663">
        <w:t xml:space="preserve"> not included in this </w:t>
      </w:r>
      <w:proofErr w:type="gramStart"/>
      <w:r w:rsidR="001C6663">
        <w:t>report</w:t>
      </w:r>
      <w:r>
        <w:t>,</w:t>
      </w:r>
      <w:proofErr w:type="gramEnd"/>
      <w:r>
        <w:t xml:space="preserve"> however participation </w:t>
      </w:r>
      <w:r w:rsidR="00724939">
        <w:t>in that survey is</w:t>
      </w:r>
      <w:r>
        <w:t xml:space="preserve"> shown in </w:t>
      </w:r>
      <w:r w:rsidR="00E71D43">
        <w:t>F</w:t>
      </w:r>
      <w:r w:rsidR="00D825AF">
        <w:t xml:space="preserve">igure </w:t>
      </w:r>
      <w:r w:rsidR="002A31D0">
        <w:t>3</w:t>
      </w:r>
      <w:r w:rsidR="008222E6">
        <w:t xml:space="preserve"> and </w:t>
      </w:r>
      <w:r w:rsidR="00E71D43">
        <w:t>F</w:t>
      </w:r>
      <w:r w:rsidR="008222E6">
        <w:t xml:space="preserve">igure </w:t>
      </w:r>
      <w:r w:rsidR="002A31D0">
        <w:t>4</w:t>
      </w:r>
      <w:r>
        <w:t>.</w:t>
      </w:r>
    </w:p>
    <w:p w14:paraId="592E9D71" w14:textId="7F62A68F" w:rsidR="00D825AF" w:rsidRDefault="00D825AF" w:rsidP="00D825AF">
      <w:pPr>
        <w:pStyle w:val="FigureTitle"/>
      </w:pPr>
      <w:r w:rsidRPr="002D154E">
        <w:t xml:space="preserve">Figure </w:t>
      </w:r>
      <w:r w:rsidR="002A31D0">
        <w:t>3</w:t>
      </w:r>
      <w:r w:rsidR="00557374">
        <w:t xml:space="preserve">: </w:t>
      </w:r>
      <w:r w:rsidR="00752DB4">
        <w:t>Number of hospitals p</w:t>
      </w:r>
      <w:r>
        <w:t>articipat</w:t>
      </w:r>
      <w:r w:rsidR="004924F9">
        <w:t>ing</w:t>
      </w:r>
      <w:r>
        <w:t xml:space="preserve"> in the Hospital</w:t>
      </w:r>
      <w:r w:rsidR="00781001">
        <w:t xml:space="preserve"> NAPS</w:t>
      </w:r>
      <w:r>
        <w:t xml:space="preserve"> and Surgical NAPS</w:t>
      </w:r>
      <w:r w:rsidR="005403FB">
        <w:t xml:space="preserve"> by survey type</w:t>
      </w:r>
      <w:r>
        <w:t>, 2017</w:t>
      </w:r>
    </w:p>
    <w:p w14:paraId="6C5AD975" w14:textId="0438134F" w:rsidR="00D825AF" w:rsidRDefault="00D825AF" w:rsidP="00D825AF">
      <w:pPr>
        <w:pStyle w:val="FigureTitle"/>
      </w:pPr>
    </w:p>
    <w:p w14:paraId="74553C6F" w14:textId="52180A64" w:rsidR="00D825AF" w:rsidRDefault="00D825AF" w:rsidP="00D825AF">
      <w:pPr>
        <w:pStyle w:val="FigureTitle"/>
      </w:pPr>
      <w:r>
        <w:rPr>
          <w:noProof/>
        </w:rPr>
        <mc:AlternateContent>
          <mc:Choice Requires="wps">
            <w:drawing>
              <wp:anchor distT="0" distB="0" distL="114300" distR="114300" simplePos="0" relativeHeight="251666432" behindDoc="0" locked="0" layoutInCell="1" allowOverlap="1" wp14:anchorId="6FBB332F" wp14:editId="7F5375B1">
                <wp:simplePos x="0" y="0"/>
                <wp:positionH relativeFrom="column">
                  <wp:posOffset>3173730</wp:posOffset>
                </wp:positionH>
                <wp:positionV relativeFrom="paragraph">
                  <wp:posOffset>1572895</wp:posOffset>
                </wp:positionV>
                <wp:extent cx="464820" cy="259715"/>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464820"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928ED" w14:textId="77777777" w:rsidR="0038649A" w:rsidRPr="00415DE4" w:rsidRDefault="0038649A" w:rsidP="00D825AF">
                            <w:pPr>
                              <w:jc w:val="center"/>
                              <w:rPr>
                                <w:sz w:val="24"/>
                              </w:rPr>
                            </w:pPr>
                            <w:r>
                              <w:rPr>
                                <w:sz w:val="24"/>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249.9pt;margin-top:123.85pt;width:36.6pt;height:2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" filled="f" stroked="f" strokeweight=".5pt">
                <v:textbox>
                  <w:txbxContent>
                    <w:p w14:paraId="4E1928ED" w14:textId="77777777" w:rsidR="0038649A" w:rsidRPr="00415DE4" w:rsidRDefault="0038649A" w:rsidP="00D825AF">
                      <w:pPr>
                        <w:jc w:val="center"/>
                        <w:rPr>
                          <w:sz w:val="24"/>
                        </w:rPr>
                      </w:pPr>
                      <w:r>
                        <w:rPr>
                          <w:sz w:val="24"/>
                        </w:rPr>
                        <w:t>29</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5CBE92A" wp14:editId="5ABCCBE5">
                <wp:simplePos x="0" y="0"/>
                <wp:positionH relativeFrom="column">
                  <wp:posOffset>1295904</wp:posOffset>
                </wp:positionH>
                <wp:positionV relativeFrom="paragraph">
                  <wp:posOffset>1578610</wp:posOffset>
                </wp:positionV>
                <wp:extent cx="464820" cy="259715"/>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464820"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05418" w14:textId="77777777" w:rsidR="0038649A" w:rsidRPr="00415DE4" w:rsidRDefault="0038649A" w:rsidP="00D825AF">
                            <w:pPr>
                              <w:jc w:val="center"/>
                              <w:rPr>
                                <w:sz w:val="24"/>
                              </w:rPr>
                            </w:pPr>
                            <w:r w:rsidRPr="00415DE4">
                              <w:rPr>
                                <w:sz w:val="24"/>
                              </w:rPr>
                              <w:t>2</w:t>
                            </w:r>
                            <w:r>
                              <w:rPr>
                                <w:sz w:val="24"/>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102.05pt;margin-top:124.3pt;width:36.6pt;height:2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" filled="f" stroked="f" strokeweight=".5pt">
                <v:textbox>
                  <w:txbxContent>
                    <w:p w14:paraId="69205418" w14:textId="77777777" w:rsidR="0038649A" w:rsidRPr="00415DE4" w:rsidRDefault="0038649A" w:rsidP="00D825AF">
                      <w:pPr>
                        <w:jc w:val="center"/>
                        <w:rPr>
                          <w:sz w:val="24"/>
                        </w:rPr>
                      </w:pPr>
                      <w:r w:rsidRPr="00415DE4">
                        <w:rPr>
                          <w:sz w:val="24"/>
                        </w:rPr>
                        <w:t>2</w:t>
                      </w:r>
                      <w:r>
                        <w:rPr>
                          <w:sz w:val="24"/>
                        </w:rPr>
                        <w:t>37</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7E6EFA7" wp14:editId="11849CE2">
                <wp:simplePos x="0" y="0"/>
                <wp:positionH relativeFrom="column">
                  <wp:posOffset>2261235</wp:posOffset>
                </wp:positionH>
                <wp:positionV relativeFrom="paragraph">
                  <wp:posOffset>1113527</wp:posOffset>
                </wp:positionV>
                <wp:extent cx="441435" cy="29166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41435" cy="291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FFB47E" w14:textId="77777777" w:rsidR="0038649A" w:rsidRDefault="0038649A" w:rsidP="00D825AF">
                            <w:pPr>
                              <w:jc w:val="center"/>
                            </w:pPr>
                            <w: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29" type="#_x0000_t202" style="position:absolute;margin-left:178.05pt;margin-top:87.7pt;width:34.75pt;height:22.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" filled="f" stroked="f" strokeweight=".5pt">
                <v:textbox>
                  <w:txbxContent>
                    <w:p w14:paraId="78FFB47E" w14:textId="77777777" w:rsidR="0038649A" w:rsidRDefault="0038649A" w:rsidP="00D825AF">
                      <w:pPr>
                        <w:jc w:val="center"/>
                      </w:pPr>
                      <w:r>
                        <w:t>77</w:t>
                      </w:r>
                    </w:p>
                  </w:txbxContent>
                </v:textbox>
              </v:shape>
            </w:pict>
          </mc:Fallback>
        </mc:AlternateContent>
      </w:r>
      <w:r>
        <w:rPr>
          <w:noProof/>
        </w:rPr>
        <w:drawing>
          <wp:inline distT="0" distB="0" distL="0" distR="0" wp14:anchorId="27833AF5" wp14:editId="70798CF6">
            <wp:extent cx="4958255" cy="2498835"/>
            <wp:effectExtent l="0" t="0" r="0" b="1587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4FC73ED" w14:textId="77777777" w:rsidR="00D825AF" w:rsidRDefault="00D825AF" w:rsidP="00D825AF">
      <w:pPr>
        <w:pStyle w:val="FigureTitle"/>
      </w:pPr>
      <w:r>
        <w:rPr>
          <w:noProof/>
        </w:rPr>
        <mc:AlternateContent>
          <mc:Choice Requires="wps">
            <w:drawing>
              <wp:anchor distT="0" distB="0" distL="114300" distR="114300" simplePos="0" relativeHeight="251669504" behindDoc="0" locked="0" layoutInCell="1" allowOverlap="1" wp14:anchorId="0221AFE8" wp14:editId="6166188B">
                <wp:simplePos x="0" y="0"/>
                <wp:positionH relativeFrom="column">
                  <wp:posOffset>3067948</wp:posOffset>
                </wp:positionH>
                <wp:positionV relativeFrom="paragraph">
                  <wp:posOffset>4445</wp:posOffset>
                </wp:positionV>
                <wp:extent cx="732790" cy="29146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3279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864F3" w14:textId="77777777" w:rsidR="0038649A" w:rsidRDefault="0038649A" w:rsidP="00D825AF">
                            <w:r w:rsidRPr="007A3EC3">
                              <w:rPr>
                                <w:i/>
                              </w:rPr>
                              <w:t>n</w:t>
                            </w:r>
                            <w:r>
                              <w:t xml:space="preserve"> = 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0" type="#_x0000_t202" style="position:absolute;margin-left:241.55pt;margin-top:.35pt;width:57.7pt;height:22.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" filled="f" stroked="f" strokeweight=".5pt">
                <v:textbox>
                  <w:txbxContent>
                    <w:p w14:paraId="44D864F3" w14:textId="77777777" w:rsidR="0038649A" w:rsidRDefault="0038649A" w:rsidP="00D825AF">
                      <w:r w:rsidRPr="007A3EC3">
                        <w:rPr>
                          <w:i/>
                        </w:rPr>
                        <w:t>n</w:t>
                      </w:r>
                      <w:r>
                        <w:t xml:space="preserve"> = 106</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4C86E5B" wp14:editId="383E6C14">
                <wp:simplePos x="0" y="0"/>
                <wp:positionH relativeFrom="column">
                  <wp:posOffset>1176392</wp:posOffset>
                </wp:positionH>
                <wp:positionV relativeFrom="paragraph">
                  <wp:posOffset>7620</wp:posOffset>
                </wp:positionV>
                <wp:extent cx="732790" cy="29146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3279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EC188" w14:textId="77777777" w:rsidR="0038649A" w:rsidRDefault="0038649A" w:rsidP="00D825AF">
                            <w:r w:rsidRPr="007A3EC3">
                              <w:rPr>
                                <w:i/>
                              </w:rPr>
                              <w:t>n</w:t>
                            </w:r>
                            <w:r>
                              <w:t xml:space="preserve"> = 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1" type="#_x0000_t202" style="position:absolute;margin-left:92.65pt;margin-top:.6pt;width:57.7pt;height:22.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" filled="f" stroked="f" strokeweight=".5pt">
                <v:textbox>
                  <w:txbxContent>
                    <w:p w14:paraId="359EC188" w14:textId="77777777" w:rsidR="0038649A" w:rsidRDefault="0038649A" w:rsidP="00D825AF">
                      <w:r w:rsidRPr="007A3EC3">
                        <w:rPr>
                          <w:i/>
                        </w:rPr>
                        <w:t>n</w:t>
                      </w:r>
                      <w:r>
                        <w:t xml:space="preserve"> = 314</w:t>
                      </w:r>
                    </w:p>
                  </w:txbxContent>
                </v:textbox>
              </v:shape>
            </w:pict>
          </mc:Fallback>
        </mc:AlternateContent>
      </w:r>
    </w:p>
    <w:p w14:paraId="63F7F97A" w14:textId="77777777" w:rsidR="00D825AF" w:rsidRDefault="00D825AF" w:rsidP="00D825AF">
      <w:pPr>
        <w:pStyle w:val="FigureTitle"/>
      </w:pPr>
    </w:p>
    <w:p w14:paraId="77C4C789" w14:textId="0B906869" w:rsidR="00B046C1" w:rsidRDefault="00151FA3" w:rsidP="00D825AF">
      <w:r>
        <w:t>To examine the impact of the introduction of the Surgical NAPS on Hospital NAPS participation, f</w:t>
      </w:r>
      <w:r w:rsidR="00BD09B3">
        <w:t xml:space="preserve">urther analysis was undertaken. </w:t>
      </w:r>
      <w:r w:rsidR="00D825AF">
        <w:t>Th</w:t>
      </w:r>
      <w:r w:rsidR="00E15E99">
        <w:t>e</w:t>
      </w:r>
      <w:r w:rsidR="00D825AF">
        <w:t xml:space="preserve"> increase </w:t>
      </w:r>
      <w:r w:rsidR="00E15E99">
        <w:t xml:space="preserve">in Surgical NAPS participation </w:t>
      </w:r>
      <w:r w:rsidR="00D825AF">
        <w:t xml:space="preserve">does not appear to have </w:t>
      </w:r>
      <w:r w:rsidR="00A06EE5">
        <w:t>had a major impact on</w:t>
      </w:r>
      <w:r w:rsidR="00D825AF">
        <w:t xml:space="preserve"> Hospital NAPS participation rates</w:t>
      </w:r>
      <w:r w:rsidR="001D7143">
        <w:t>.</w:t>
      </w:r>
      <w:r w:rsidR="00D825AF">
        <w:t xml:space="preserve"> </w:t>
      </w:r>
      <w:r w:rsidR="00B046C1">
        <w:t>Hospital NAPS participation decreased slightly between 2016 and 2017 in both public</w:t>
      </w:r>
      <w:r w:rsidR="002F2363">
        <w:t xml:space="preserve"> (2.6%)</w:t>
      </w:r>
      <w:r w:rsidR="00B046C1">
        <w:t xml:space="preserve"> and private sectors</w:t>
      </w:r>
      <w:r w:rsidR="002F2363">
        <w:t xml:space="preserve"> (5.5%)</w:t>
      </w:r>
      <w:r w:rsidR="00B046C1">
        <w:t xml:space="preserve">. </w:t>
      </w:r>
      <w:r w:rsidR="000A3C27">
        <w:t>P</w:t>
      </w:r>
      <w:r w:rsidR="00B046C1">
        <w:t>articipation in Surgical NAPS increased between 2016 and 2017 in both public</w:t>
      </w:r>
      <w:r w:rsidR="002F2363">
        <w:t xml:space="preserve"> (9.8%)</w:t>
      </w:r>
      <w:r w:rsidR="00B046C1">
        <w:t xml:space="preserve"> and private</w:t>
      </w:r>
      <w:r w:rsidR="002F2363">
        <w:t xml:space="preserve"> (38.9%)</w:t>
      </w:r>
      <w:r w:rsidR="00B046C1">
        <w:t xml:space="preserve"> sectors</w:t>
      </w:r>
      <w:r w:rsidR="000A3C27">
        <w:t>,</w:t>
      </w:r>
      <w:r w:rsidR="00B046C1">
        <w:t xml:space="preserve"> </w:t>
      </w:r>
      <w:r w:rsidR="000A3C27">
        <w:t>t</w:t>
      </w:r>
      <w:r w:rsidR="00B046C1">
        <w:t xml:space="preserve">his </w:t>
      </w:r>
      <w:r w:rsidR="002F2363">
        <w:t xml:space="preserve">increase </w:t>
      </w:r>
      <w:r w:rsidR="00B046C1">
        <w:t>was more p</w:t>
      </w:r>
      <w:r w:rsidR="00BD09B3">
        <w:t>ronounced in the private sector</w:t>
      </w:r>
      <w:r w:rsidR="002F2363">
        <w:t xml:space="preserve"> (Figure </w:t>
      </w:r>
      <w:r w:rsidR="002A31D0">
        <w:t>4</w:t>
      </w:r>
      <w:r w:rsidR="002F2363">
        <w:t xml:space="preserve">). </w:t>
      </w:r>
    </w:p>
    <w:p w14:paraId="7023509C" w14:textId="2A290941" w:rsidR="00C36529" w:rsidRDefault="00C36529">
      <w:pPr>
        <w:spacing w:after="80"/>
      </w:pPr>
      <w:r>
        <w:br w:type="page"/>
      </w:r>
    </w:p>
    <w:p w14:paraId="792D7DB1" w14:textId="1FFB2095" w:rsidR="00D825AF" w:rsidRDefault="00D825AF" w:rsidP="00557374">
      <w:pPr>
        <w:pStyle w:val="FigureTitle"/>
        <w:spacing w:after="120"/>
      </w:pPr>
      <w:r w:rsidRPr="002D154E">
        <w:lastRenderedPageBreak/>
        <w:t xml:space="preserve">Figure </w:t>
      </w:r>
      <w:r w:rsidR="002A31D0">
        <w:t>4</w:t>
      </w:r>
      <w:r w:rsidR="00557374">
        <w:t xml:space="preserve">: </w:t>
      </w:r>
      <w:r>
        <w:t>Total public and private hospital participation in the Hospital NAPS an</w:t>
      </w:r>
      <w:r w:rsidR="00C74A2E">
        <w:t>d/or the Surgical NAPS, 2016–</w:t>
      </w:r>
      <w:r>
        <w:t>2017</w:t>
      </w:r>
    </w:p>
    <w:p w14:paraId="78027A4B" w14:textId="5B1629F5" w:rsidR="00557374" w:rsidRDefault="00557374" w:rsidP="00557374">
      <w:pPr>
        <w:pStyle w:val="FigureTitle"/>
        <w:spacing w:after="120"/>
      </w:pPr>
    </w:p>
    <w:p w14:paraId="613BDC9F" w14:textId="7C54875F" w:rsidR="00D825AF" w:rsidRDefault="00ED1B43" w:rsidP="00D825AF">
      <w:pPr>
        <w:pStyle w:val="FigureTitle"/>
      </w:pPr>
      <w:r>
        <w:rPr>
          <w:noProof/>
        </w:rPr>
        <mc:AlternateContent>
          <mc:Choice Requires="wps">
            <w:drawing>
              <wp:anchor distT="0" distB="0" distL="114300" distR="114300" simplePos="0" relativeHeight="251671552" behindDoc="0" locked="0" layoutInCell="1" allowOverlap="1" wp14:anchorId="11AFA7B2" wp14:editId="71486CB6">
                <wp:simplePos x="0" y="0"/>
                <wp:positionH relativeFrom="column">
                  <wp:posOffset>823595</wp:posOffset>
                </wp:positionH>
                <wp:positionV relativeFrom="paragraph">
                  <wp:posOffset>98848</wp:posOffset>
                </wp:positionV>
                <wp:extent cx="438150" cy="224287"/>
                <wp:effectExtent l="0" t="0" r="635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4287"/>
                        </a:xfrm>
                        <a:prstGeom prst="rect">
                          <a:avLst/>
                        </a:prstGeom>
                        <a:solidFill>
                          <a:srgbClr val="FFFFFF"/>
                        </a:solidFill>
                        <a:ln w="9525">
                          <a:noFill/>
                          <a:miter lim="800000"/>
                          <a:headEnd/>
                          <a:tailEnd/>
                        </a:ln>
                      </wps:spPr>
                      <wps:txbx>
                        <w:txbxContent>
                          <w:p w14:paraId="2A4DCB0D" w14:textId="54E19FA7" w:rsidR="0038649A" w:rsidRPr="00ED1B43" w:rsidRDefault="0038649A">
                            <w:pPr>
                              <w:rPr>
                                <w:sz w:val="20"/>
                                <w:szCs w:val="20"/>
                              </w:rPr>
                            </w:pPr>
                            <w:r w:rsidRPr="00ED1B43">
                              <w:rPr>
                                <w:sz w:val="20"/>
                                <w:szCs w:val="20"/>
                              </w:rPr>
                              <w:t>325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4.85pt;margin-top:7.8pt;width:34.5pt;height:1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VUJAIAACM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" stroked="f">
                <v:textbox>
                  <w:txbxContent>
                    <w:p w14:paraId="2A4DCB0D" w14:textId="54E19FA7" w:rsidR="0038649A" w:rsidRPr="00ED1B43" w:rsidRDefault="0038649A">
                      <w:pPr>
                        <w:rPr>
                          <w:sz w:val="20"/>
                          <w:szCs w:val="20"/>
                        </w:rPr>
                      </w:pPr>
                      <w:r w:rsidRPr="00ED1B43">
                        <w:rPr>
                          <w:sz w:val="20"/>
                          <w:szCs w:val="20"/>
                        </w:rPr>
                        <w:t>325</w:t>
                      </w:r>
                    </w:p>
                  </w:txbxContent>
                </v:textbox>
              </v:shape>
            </w:pict>
          </mc:Fallback>
        </mc:AlternateContent>
      </w:r>
      <w:r w:rsidR="00D825AF">
        <w:rPr>
          <w:noProof/>
        </w:rPr>
        <w:drawing>
          <wp:inline distT="0" distB="0" distL="0" distR="0" wp14:anchorId="089AA7A5" wp14:editId="0E6E8938">
            <wp:extent cx="6262370" cy="4919133"/>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1F027EA" w14:textId="77777777" w:rsidR="00D92032" w:rsidRPr="00455FDE" w:rsidRDefault="00D92032" w:rsidP="00D92032">
      <w:pPr>
        <w:pStyle w:val="Heading3"/>
      </w:pPr>
      <w:r w:rsidRPr="00455FDE">
        <w:t>Five-year comparison of Hospital NAPS key performance indicators</w:t>
      </w:r>
    </w:p>
    <w:p w14:paraId="65380D3A" w14:textId="68B0F234" w:rsidR="00D60D25" w:rsidRDefault="005A48A2" w:rsidP="0051267A">
      <w:r w:rsidRPr="00455FDE">
        <w:t xml:space="preserve">In previous Hospital NAPS reports, the ability to compare data across years has been limited as the type and </w:t>
      </w:r>
      <w:r w:rsidR="00455FDE" w:rsidRPr="00455FDE">
        <w:t>numbers</w:t>
      </w:r>
      <w:r w:rsidRPr="00455FDE">
        <w:t xml:space="preserve"> of hospitals </w:t>
      </w:r>
      <w:r w:rsidR="00CC3A6C" w:rsidRPr="00455FDE">
        <w:t xml:space="preserve">that </w:t>
      </w:r>
      <w:r w:rsidRPr="00455FDE">
        <w:t>participat</w:t>
      </w:r>
      <w:r w:rsidR="00CC3A6C" w:rsidRPr="00455FDE">
        <w:t>e</w:t>
      </w:r>
      <w:r w:rsidRPr="00455FDE">
        <w:t xml:space="preserve"> var</w:t>
      </w:r>
      <w:r w:rsidR="00A06EE5" w:rsidRPr="00455FDE">
        <w:t>y</w:t>
      </w:r>
      <w:r w:rsidRPr="00455FDE">
        <w:t xml:space="preserve"> from year to year. </w:t>
      </w:r>
      <w:r w:rsidR="00473DE6" w:rsidRPr="00455FDE">
        <w:t xml:space="preserve">Over the course of five years, </w:t>
      </w:r>
      <w:r w:rsidR="00CC3A6C" w:rsidRPr="00455FDE">
        <w:t xml:space="preserve">more than 100,000 prescriptions have been captured for </w:t>
      </w:r>
      <w:r w:rsidR="00473DE6" w:rsidRPr="00455FDE">
        <w:t>t</w:t>
      </w:r>
      <w:r w:rsidR="0034265E" w:rsidRPr="00455FDE">
        <w:t>he Hospital NAPS database</w:t>
      </w:r>
      <w:r w:rsidR="00CC3A6C" w:rsidRPr="00455FDE">
        <w:t>,</w:t>
      </w:r>
      <w:r w:rsidR="0034265E" w:rsidRPr="00455FDE">
        <w:t xml:space="preserve"> </w:t>
      </w:r>
      <w:r w:rsidR="00473DE6" w:rsidRPr="00455FDE">
        <w:t xml:space="preserve">and </w:t>
      </w:r>
      <w:r w:rsidR="001B1666" w:rsidRPr="00455FDE">
        <w:t>it is now possible to perform more in-depth analys</w:t>
      </w:r>
      <w:r w:rsidR="00CC3A6C" w:rsidRPr="00455FDE">
        <w:t>e</w:t>
      </w:r>
      <w:r w:rsidR="001B1666" w:rsidRPr="00455FDE">
        <w:t>s</w:t>
      </w:r>
      <w:r w:rsidR="00273F96" w:rsidRPr="00455FDE">
        <w:t>. Table</w:t>
      </w:r>
      <w:r w:rsidR="002E3511" w:rsidRPr="00455FDE">
        <w:t>s</w:t>
      </w:r>
      <w:r w:rsidR="00603A69" w:rsidRPr="00455FDE">
        <w:t xml:space="preserve"> 6 and 7</w:t>
      </w:r>
      <w:r w:rsidR="001B1666" w:rsidRPr="00455FDE">
        <w:t xml:space="preserve"> </w:t>
      </w:r>
      <w:r w:rsidR="00FA51E5" w:rsidRPr="00455FDE">
        <w:t xml:space="preserve">summarise the Hospital NAPS key performance indicators </w:t>
      </w:r>
      <w:r w:rsidR="001B1666" w:rsidRPr="00455FDE">
        <w:t>over</w:t>
      </w:r>
      <w:r w:rsidR="00FA51E5" w:rsidRPr="00455FDE">
        <w:t xml:space="preserve"> this period</w:t>
      </w:r>
      <w:r w:rsidR="001B1666" w:rsidRPr="00455FDE">
        <w:t>.</w:t>
      </w:r>
      <w:r w:rsidR="004C7B9B">
        <w:t xml:space="preserve"> </w:t>
      </w:r>
    </w:p>
    <w:p w14:paraId="32606661" w14:textId="093A28F0" w:rsidR="005A48A2" w:rsidRDefault="005A48A2" w:rsidP="0051267A">
      <w:r>
        <w:t>Documentation of the antimicrobial indication in the medical notes has continued to improve, particularly from 2015 onwards</w:t>
      </w:r>
      <w:r w:rsidR="0034265E">
        <w:t>. In 2016 the</w:t>
      </w:r>
      <w:r w:rsidR="00C247AD">
        <w:t xml:space="preserve"> </w:t>
      </w:r>
      <w:r w:rsidR="0034265E">
        <w:t>documentation rate was 75.6%</w:t>
      </w:r>
      <w:r>
        <w:t xml:space="preserve"> and </w:t>
      </w:r>
      <w:r w:rsidR="00CC3A6C">
        <w:t xml:space="preserve">it was </w:t>
      </w:r>
      <w:r>
        <w:t>77.7%</w:t>
      </w:r>
      <w:r w:rsidR="00917BBE">
        <w:t xml:space="preserve"> in 2017</w:t>
      </w:r>
      <w:r>
        <w:t>.</w:t>
      </w:r>
      <w:r w:rsidR="0034265E">
        <w:t xml:space="preserve"> As more health service organisations adopt electronic medical records it is anticipated this will continue to improve. </w:t>
      </w:r>
      <w:r w:rsidR="001D7FD7">
        <w:t>Electronic medication management (EMM) improves the legibility of prescription orders</w:t>
      </w:r>
      <w:r w:rsidR="00A7246E">
        <w:t>.</w:t>
      </w:r>
      <w:r w:rsidR="001D7FD7">
        <w:t xml:space="preserve"> Some EMM sites have </w:t>
      </w:r>
      <w:r w:rsidR="00A7246E">
        <w:t>configured</w:t>
      </w:r>
      <w:r w:rsidR="001D7FD7">
        <w:t xml:space="preserve"> their system with a mandatory indication field. These developments have improved </w:t>
      </w:r>
      <w:r w:rsidR="00E62349">
        <w:t>analysis of antimicrobial prescriptions</w:t>
      </w:r>
      <w:r w:rsidR="001D7FD7">
        <w:t xml:space="preserve"> by </w:t>
      </w:r>
      <w:r w:rsidR="00E62349">
        <w:t xml:space="preserve">assessors. </w:t>
      </w:r>
      <w:r>
        <w:t xml:space="preserve">The percentage of prescriptions with a review or stop date documented has also </w:t>
      </w:r>
      <w:r w:rsidR="00CD30DA">
        <w:t>continued to trend upwards</w:t>
      </w:r>
      <w:r w:rsidR="00C247AD">
        <w:t>, from 35.5% in 2015</w:t>
      </w:r>
      <w:r w:rsidR="00CD30DA">
        <w:t xml:space="preserve"> to 40.5%</w:t>
      </w:r>
      <w:r w:rsidR="00917BBE">
        <w:t xml:space="preserve"> in 2017</w:t>
      </w:r>
      <w:r w:rsidR="005C5E02">
        <w:t xml:space="preserve"> (Table 7)</w:t>
      </w:r>
      <w:r w:rsidR="00CD30DA">
        <w:t xml:space="preserve">. </w:t>
      </w:r>
    </w:p>
    <w:p w14:paraId="53EA2985" w14:textId="50870168" w:rsidR="006C3D14" w:rsidRDefault="00160897" w:rsidP="005507AF">
      <w:r>
        <w:t>The percentage</w:t>
      </w:r>
      <w:r w:rsidRPr="00340CA0">
        <w:t xml:space="preserve"> of surgical antibiotic prophylaxis prescriptions prescribed for greater than 24 hours </w:t>
      </w:r>
      <w:r w:rsidR="00FA51E5">
        <w:t>has</w:t>
      </w:r>
      <w:r w:rsidR="004C7B9B">
        <w:t xml:space="preserve"> </w:t>
      </w:r>
      <w:r w:rsidR="000C15A9">
        <w:t>decreased</w:t>
      </w:r>
      <w:r w:rsidR="004C7B9B">
        <w:t xml:space="preserve"> over time</w:t>
      </w:r>
      <w:r>
        <w:t xml:space="preserve">. </w:t>
      </w:r>
      <w:r w:rsidR="00770A6C">
        <w:t xml:space="preserve">The </w:t>
      </w:r>
      <w:r w:rsidR="00906ECD">
        <w:t>best practice target</w:t>
      </w:r>
      <w:r w:rsidR="00770A6C">
        <w:t xml:space="preserve"> is </w:t>
      </w:r>
      <w:r w:rsidR="002E181A">
        <w:t xml:space="preserve">less than </w:t>
      </w:r>
      <w:r w:rsidR="00770A6C">
        <w:t xml:space="preserve">5%. </w:t>
      </w:r>
      <w:r w:rsidR="004E16D2">
        <w:t xml:space="preserve">In the 2017 Hospital NAPS </w:t>
      </w:r>
      <w:r w:rsidR="00770A6C">
        <w:t xml:space="preserve">the rate </w:t>
      </w:r>
      <w:r w:rsidR="004E16D2">
        <w:t xml:space="preserve">was 30.5%, </w:t>
      </w:r>
      <w:r w:rsidR="00770A6C">
        <w:t xml:space="preserve">which is </w:t>
      </w:r>
      <w:r w:rsidR="004E16D2">
        <w:t>a slight decrease from 31.1% in 2016</w:t>
      </w:r>
      <w:r w:rsidR="005C5E02">
        <w:t xml:space="preserve"> (Table 7)</w:t>
      </w:r>
      <w:r w:rsidR="004E16D2">
        <w:t xml:space="preserve">. </w:t>
      </w:r>
      <w:r w:rsidR="00C247AD">
        <w:t xml:space="preserve">There was an improvement in </w:t>
      </w:r>
      <w:r w:rsidR="00D32B6E">
        <w:t xml:space="preserve">this </w:t>
      </w:r>
      <w:r w:rsidR="00455FDE">
        <w:t xml:space="preserve">aspect of </w:t>
      </w:r>
      <w:r w:rsidR="00D32B6E">
        <w:t xml:space="preserve">prescribing in </w:t>
      </w:r>
      <w:r w:rsidR="00C247AD">
        <w:t>private hospitals</w:t>
      </w:r>
      <w:r w:rsidR="00455FDE">
        <w:t>,</w:t>
      </w:r>
      <w:r w:rsidR="00C247AD">
        <w:t xml:space="preserve"> from 29.5% in 2016 to 26.5% in 2017. There was a reduction in this aspect of appropriateness of prescribing in public hospitals</w:t>
      </w:r>
      <w:r w:rsidR="00CC3A6C">
        <w:t xml:space="preserve"> over the same period,</w:t>
      </w:r>
      <w:r w:rsidR="00C247AD">
        <w:t xml:space="preserve"> from 33.3% of facilities reporting surgical prophylaxis greater than 24 hours </w:t>
      </w:r>
      <w:r w:rsidR="00C247AD">
        <w:lastRenderedPageBreak/>
        <w:t>in 2016 to 36.4% in 2017.</w:t>
      </w:r>
      <w:r w:rsidR="000B65B3">
        <w:t xml:space="preserve"> </w:t>
      </w:r>
      <w:r w:rsidR="006C3D14">
        <w:t>In 2017, 26.2</w:t>
      </w:r>
      <w:r w:rsidR="002374A5">
        <w:t xml:space="preserve">% of prescriptions were reported as being non-compliant with either local guidelines or the </w:t>
      </w:r>
      <w:r w:rsidR="002374A5" w:rsidRPr="00A5193B">
        <w:rPr>
          <w:i/>
        </w:rPr>
        <w:t>Therapeutic Guidelines</w:t>
      </w:r>
      <w:r w:rsidR="006C3D14">
        <w:t xml:space="preserve">. While this is a slight improvement </w:t>
      </w:r>
      <w:r w:rsidR="00770A6C">
        <w:t xml:space="preserve">compared to </w:t>
      </w:r>
      <w:r w:rsidR="006C3D14">
        <w:t>the 2016 rate of 27.3%, there has been no improvement in this indicator over time</w:t>
      </w:r>
      <w:r w:rsidR="005C5E02">
        <w:t xml:space="preserve"> (Table 6)</w:t>
      </w:r>
      <w:r w:rsidR="002374A5">
        <w:t>.</w:t>
      </w:r>
      <w:r w:rsidR="006C3D14">
        <w:t xml:space="preserve"> </w:t>
      </w:r>
      <w:r w:rsidR="002374A5">
        <w:t xml:space="preserve"> </w:t>
      </w:r>
    </w:p>
    <w:p w14:paraId="5E208AF1" w14:textId="7969BA69" w:rsidR="00906ECD" w:rsidRPr="00ED50FD" w:rsidRDefault="00906ECD" w:rsidP="00906ECD">
      <w:pPr>
        <w:rPr>
          <w:rFonts w:ascii="Arial" w:hAnsi="Arial" w:cs="Arial"/>
        </w:rPr>
      </w:pPr>
      <w:r w:rsidRPr="00ED50FD">
        <w:rPr>
          <w:rFonts w:ascii="Arial" w:hAnsi="Arial" w:cs="Arial"/>
        </w:rPr>
        <w:t>Prescriptions that are compliant with guidelines or directed therapy can still be assessed as inappropriate, because standard clinical guidelines may not meet the treatment needs of certain patient subgroups. Common clinical scenarios could include a prescription that follows guidelines</w:t>
      </w:r>
      <w:r w:rsidR="00455FDE">
        <w:rPr>
          <w:rFonts w:ascii="Arial" w:hAnsi="Arial" w:cs="Arial"/>
        </w:rPr>
        <w:t>,</w:t>
      </w:r>
      <w:r w:rsidRPr="00ED50FD">
        <w:rPr>
          <w:rFonts w:ascii="Arial" w:hAnsi="Arial" w:cs="Arial"/>
        </w:rPr>
        <w:t xml:space="preserve"> but has not taken into account a patient’s documented medical or travel history. Another scenario may be a prescription that is directed therapy</w:t>
      </w:r>
      <w:r w:rsidR="00455FDE">
        <w:rPr>
          <w:rFonts w:ascii="Arial" w:hAnsi="Arial" w:cs="Arial"/>
        </w:rPr>
        <w:t>,</w:t>
      </w:r>
      <w:r w:rsidRPr="00ED50FD">
        <w:rPr>
          <w:rFonts w:ascii="Arial" w:hAnsi="Arial" w:cs="Arial"/>
        </w:rPr>
        <w:t xml:space="preserve"> as it is informed by a microbiology result</w:t>
      </w:r>
      <w:r w:rsidR="00455FDE">
        <w:rPr>
          <w:rFonts w:ascii="Arial" w:hAnsi="Arial" w:cs="Arial"/>
        </w:rPr>
        <w:t>,</w:t>
      </w:r>
      <w:r w:rsidRPr="00ED50FD">
        <w:rPr>
          <w:rFonts w:ascii="Arial" w:hAnsi="Arial" w:cs="Arial"/>
        </w:rPr>
        <w:t xml:space="preserve"> but the prescriber could have chosen a narrower spectrum antimicrobial. Equally, a prescriber may sometimes for valid reasons, select a treatment for a patient that is not guideline compl</w:t>
      </w:r>
      <w:r w:rsidR="000A3C27">
        <w:rPr>
          <w:rFonts w:ascii="Arial" w:hAnsi="Arial" w:cs="Arial"/>
        </w:rPr>
        <w:t>i</w:t>
      </w:r>
      <w:r w:rsidRPr="00ED50FD">
        <w:rPr>
          <w:rFonts w:ascii="Arial" w:hAnsi="Arial" w:cs="Arial"/>
        </w:rPr>
        <w:t>ant but still clinically justifiable</w:t>
      </w:r>
      <w:r w:rsidR="00455FDE">
        <w:rPr>
          <w:rFonts w:ascii="Arial" w:hAnsi="Arial" w:cs="Arial"/>
        </w:rPr>
        <w:t>, and</w:t>
      </w:r>
      <w:r w:rsidRPr="00ED50FD">
        <w:rPr>
          <w:rFonts w:ascii="Arial" w:hAnsi="Arial" w:cs="Arial"/>
        </w:rPr>
        <w:t xml:space="preserve"> this would be assessed as appropriate.    </w:t>
      </w:r>
    </w:p>
    <w:p w14:paraId="5947B46C" w14:textId="5C0CA737" w:rsidR="00C12642" w:rsidRDefault="00CC3A6C" w:rsidP="005507AF">
      <w:r>
        <w:t xml:space="preserve">Appropriateness of prescribing overall </w:t>
      </w:r>
      <w:r w:rsidR="002374A5">
        <w:t xml:space="preserve">has </w:t>
      </w:r>
      <w:r w:rsidR="006C3D14">
        <w:t xml:space="preserve">also </w:t>
      </w:r>
      <w:r w:rsidR="002374A5">
        <w:t>remained fairly consistent</w:t>
      </w:r>
      <w:r w:rsidR="006C3D14">
        <w:t xml:space="preserve"> over the 5 years of the Hospital NAPS</w:t>
      </w:r>
      <w:r w:rsidR="00917BBE">
        <w:t>,</w:t>
      </w:r>
      <w:r w:rsidR="002374A5">
        <w:t xml:space="preserve"> </w:t>
      </w:r>
      <w:r>
        <w:t xml:space="preserve">at approximately </w:t>
      </w:r>
      <w:r w:rsidR="002374A5">
        <w:t>7</w:t>
      </w:r>
      <w:r w:rsidR="00906ECD">
        <w:t>2</w:t>
      </w:r>
      <w:r w:rsidR="002374A5">
        <w:t>%</w:t>
      </w:r>
      <w:r w:rsidR="00770A6C">
        <w:t xml:space="preserve"> (</w:t>
      </w:r>
      <w:r w:rsidR="00465A75">
        <w:t xml:space="preserve">Table </w:t>
      </w:r>
      <w:r w:rsidR="002A31D0">
        <w:t>6</w:t>
      </w:r>
      <w:r w:rsidR="00770A6C">
        <w:t>)</w:t>
      </w:r>
      <w:r w:rsidR="0035148B">
        <w:t>.</w:t>
      </w:r>
    </w:p>
    <w:p w14:paraId="2EE17CA9" w14:textId="5A3A2E37" w:rsidR="00C12642" w:rsidRPr="00340CA0" w:rsidRDefault="00C12642" w:rsidP="00557374">
      <w:pPr>
        <w:pStyle w:val="FigureTitle"/>
        <w:spacing w:after="120"/>
      </w:pPr>
      <w:r>
        <w:t xml:space="preserve">Table </w:t>
      </w:r>
      <w:r w:rsidR="002A31D0">
        <w:t>6</w:t>
      </w:r>
      <w:r w:rsidR="00557374">
        <w:t xml:space="preserve">: </w:t>
      </w:r>
      <w:r>
        <w:t xml:space="preserve">Hospital NAPS compliance with guidelines and </w:t>
      </w:r>
      <w:r w:rsidR="00FE3043">
        <w:t xml:space="preserve">prescription </w:t>
      </w:r>
      <w:r>
        <w:t>appropriateness</w:t>
      </w:r>
      <w:r w:rsidRPr="00340CA0">
        <w:t>, 2013</w:t>
      </w:r>
      <w:r w:rsidR="00C74A2E">
        <w:t>–</w:t>
      </w:r>
      <w:r w:rsidRPr="00340CA0">
        <w:t>201</w:t>
      </w:r>
      <w:r>
        <w:t xml:space="preserve">7 </w:t>
      </w:r>
    </w:p>
    <w:tbl>
      <w:tblPr>
        <w:tblW w:w="9889" w:type="dxa"/>
        <w:tblLayout w:type="fixed"/>
        <w:tblLook w:val="04A0" w:firstRow="1" w:lastRow="0" w:firstColumn="1" w:lastColumn="0" w:noHBand="0" w:noVBand="1"/>
      </w:tblPr>
      <w:tblGrid>
        <w:gridCol w:w="1709"/>
        <w:gridCol w:w="3525"/>
        <w:gridCol w:w="931"/>
        <w:gridCol w:w="931"/>
        <w:gridCol w:w="931"/>
        <w:gridCol w:w="931"/>
        <w:gridCol w:w="931"/>
      </w:tblGrid>
      <w:tr w:rsidR="00C12642" w:rsidRPr="00A645FB" w14:paraId="56755F25" w14:textId="77777777" w:rsidTr="00C36529">
        <w:trPr>
          <w:trHeight w:val="437"/>
        </w:trPr>
        <w:tc>
          <w:tcPr>
            <w:tcW w:w="4786" w:type="dxa"/>
            <w:gridSpan w:val="2"/>
            <w:vMerge w:val="restart"/>
            <w:tcBorders>
              <w:top w:val="single" w:sz="12" w:space="0" w:color="808080"/>
              <w:left w:val="nil"/>
              <w:bottom w:val="single" w:sz="8" w:space="0" w:color="FFFFFF"/>
              <w:right w:val="nil"/>
            </w:tcBorders>
            <w:shd w:val="clear" w:color="000000" w:fill="808080"/>
            <w:vAlign w:val="center"/>
            <w:hideMark/>
          </w:tcPr>
          <w:p w14:paraId="1B7828AD" w14:textId="77777777" w:rsidR="00C12642" w:rsidRPr="00A645FB" w:rsidRDefault="00C12642" w:rsidP="00007541">
            <w:pPr>
              <w:spacing w:after="0"/>
              <w:rPr>
                <w:rFonts w:ascii="Arial" w:hAnsi="Arial" w:cs="Arial"/>
                <w:b/>
                <w:bCs/>
                <w:color w:val="FFFFFF"/>
                <w:sz w:val="20"/>
                <w:szCs w:val="20"/>
              </w:rPr>
            </w:pPr>
            <w:r w:rsidRPr="00A645FB">
              <w:rPr>
                <w:rFonts w:ascii="Arial" w:hAnsi="Arial" w:cs="Arial"/>
                <w:b/>
                <w:bCs/>
                <w:color w:val="FFFFFF"/>
                <w:sz w:val="20"/>
                <w:szCs w:val="20"/>
              </w:rPr>
              <w:t>Key indicator</w:t>
            </w:r>
          </w:p>
        </w:tc>
        <w:tc>
          <w:tcPr>
            <w:tcW w:w="851" w:type="dxa"/>
            <w:gridSpan w:val="5"/>
            <w:tcBorders>
              <w:top w:val="nil"/>
              <w:left w:val="nil"/>
              <w:bottom w:val="nil"/>
              <w:right w:val="single" w:sz="8" w:space="0" w:color="FFFFFF"/>
            </w:tcBorders>
            <w:shd w:val="clear" w:color="000000" w:fill="808080"/>
            <w:vAlign w:val="center"/>
            <w:hideMark/>
          </w:tcPr>
          <w:p w14:paraId="6BBD410C" w14:textId="45BA48BF" w:rsidR="00C12642" w:rsidRPr="00A645FB" w:rsidRDefault="00C12642" w:rsidP="00007541">
            <w:pPr>
              <w:spacing w:after="0"/>
              <w:jc w:val="center"/>
              <w:rPr>
                <w:rFonts w:ascii="Arial" w:hAnsi="Arial" w:cs="Arial"/>
                <w:b/>
                <w:bCs/>
                <w:color w:val="FFFFFF"/>
                <w:sz w:val="18"/>
                <w:szCs w:val="18"/>
              </w:rPr>
            </w:pPr>
            <w:r w:rsidRPr="00A645FB">
              <w:rPr>
                <w:rFonts w:ascii="Arial" w:hAnsi="Arial" w:cs="Arial"/>
                <w:b/>
                <w:bCs/>
                <w:color w:val="FFFFFF"/>
                <w:sz w:val="18"/>
                <w:szCs w:val="18"/>
              </w:rPr>
              <w:t>Percentage of total prescriptions</w:t>
            </w:r>
            <w:r w:rsidR="00752DB4">
              <w:rPr>
                <w:rFonts w:ascii="Arial" w:hAnsi="Arial" w:cs="Arial"/>
                <w:b/>
                <w:bCs/>
                <w:color w:val="FFFFFF"/>
                <w:sz w:val="18"/>
                <w:szCs w:val="18"/>
              </w:rPr>
              <w:t xml:space="preserve"> (%)</w:t>
            </w:r>
          </w:p>
        </w:tc>
      </w:tr>
      <w:tr w:rsidR="00C12642" w:rsidRPr="00A645FB" w14:paraId="50E410A5" w14:textId="77777777" w:rsidTr="00C36529">
        <w:trPr>
          <w:trHeight w:val="437"/>
        </w:trPr>
        <w:tc>
          <w:tcPr>
            <w:tcW w:w="4786" w:type="dxa"/>
            <w:gridSpan w:val="2"/>
            <w:vMerge/>
            <w:tcBorders>
              <w:top w:val="single" w:sz="12" w:space="0" w:color="808080"/>
              <w:left w:val="nil"/>
              <w:bottom w:val="single" w:sz="8" w:space="0" w:color="FFFFFF"/>
              <w:right w:val="nil"/>
            </w:tcBorders>
            <w:vAlign w:val="center"/>
            <w:hideMark/>
          </w:tcPr>
          <w:p w14:paraId="6FCFFCF5" w14:textId="77777777" w:rsidR="00C12642" w:rsidRPr="00A645FB" w:rsidRDefault="00C12642" w:rsidP="00007541">
            <w:pPr>
              <w:spacing w:after="0"/>
              <w:rPr>
                <w:rFonts w:ascii="Arial" w:hAnsi="Arial" w:cs="Arial"/>
                <w:b/>
                <w:bCs/>
                <w:color w:val="FFFFFF"/>
                <w:sz w:val="20"/>
                <w:szCs w:val="20"/>
              </w:rPr>
            </w:pPr>
          </w:p>
        </w:tc>
        <w:tc>
          <w:tcPr>
            <w:tcW w:w="851" w:type="dxa"/>
            <w:tcBorders>
              <w:top w:val="nil"/>
              <w:left w:val="nil"/>
              <w:bottom w:val="single" w:sz="8" w:space="0" w:color="808080"/>
              <w:right w:val="nil"/>
            </w:tcBorders>
            <w:shd w:val="clear" w:color="000000" w:fill="808080"/>
            <w:vAlign w:val="center"/>
            <w:hideMark/>
          </w:tcPr>
          <w:p w14:paraId="19284023" w14:textId="77777777" w:rsidR="00C12642" w:rsidRPr="00A645FB" w:rsidRDefault="00C12642" w:rsidP="00007541">
            <w:pPr>
              <w:spacing w:after="0"/>
              <w:jc w:val="center"/>
              <w:rPr>
                <w:rFonts w:ascii="Arial" w:hAnsi="Arial" w:cs="Arial"/>
                <w:color w:val="FFFFFF"/>
                <w:sz w:val="18"/>
                <w:szCs w:val="18"/>
              </w:rPr>
            </w:pPr>
            <w:r w:rsidRPr="00A645FB">
              <w:rPr>
                <w:rFonts w:ascii="Arial" w:hAnsi="Arial" w:cs="Arial"/>
                <w:color w:val="FFFFFF"/>
                <w:sz w:val="18"/>
                <w:szCs w:val="18"/>
              </w:rPr>
              <w:t>2013</w:t>
            </w:r>
          </w:p>
        </w:tc>
        <w:tc>
          <w:tcPr>
            <w:tcW w:w="851" w:type="dxa"/>
            <w:tcBorders>
              <w:top w:val="nil"/>
              <w:left w:val="nil"/>
              <w:bottom w:val="single" w:sz="8" w:space="0" w:color="808080"/>
              <w:right w:val="nil"/>
            </w:tcBorders>
            <w:shd w:val="clear" w:color="000000" w:fill="808080"/>
            <w:vAlign w:val="center"/>
            <w:hideMark/>
          </w:tcPr>
          <w:p w14:paraId="38313F61" w14:textId="77777777" w:rsidR="00C12642" w:rsidRPr="00A645FB" w:rsidRDefault="00C12642" w:rsidP="00007541">
            <w:pPr>
              <w:spacing w:after="0"/>
              <w:jc w:val="center"/>
              <w:rPr>
                <w:rFonts w:ascii="Arial" w:hAnsi="Arial" w:cs="Arial"/>
                <w:color w:val="FFFFFF"/>
                <w:sz w:val="18"/>
                <w:szCs w:val="18"/>
              </w:rPr>
            </w:pPr>
            <w:r w:rsidRPr="00A645FB">
              <w:rPr>
                <w:rFonts w:ascii="Arial" w:hAnsi="Arial" w:cs="Arial"/>
                <w:color w:val="FFFFFF"/>
                <w:sz w:val="18"/>
                <w:szCs w:val="18"/>
              </w:rPr>
              <w:t>2014</w:t>
            </w:r>
          </w:p>
        </w:tc>
        <w:tc>
          <w:tcPr>
            <w:tcW w:w="851" w:type="dxa"/>
            <w:tcBorders>
              <w:top w:val="nil"/>
              <w:left w:val="nil"/>
              <w:bottom w:val="single" w:sz="8" w:space="0" w:color="808080"/>
              <w:right w:val="nil"/>
            </w:tcBorders>
            <w:shd w:val="clear" w:color="000000" w:fill="808080"/>
            <w:vAlign w:val="center"/>
            <w:hideMark/>
          </w:tcPr>
          <w:p w14:paraId="54593CB6" w14:textId="77777777" w:rsidR="00C12642" w:rsidRPr="00A645FB" w:rsidRDefault="00C12642" w:rsidP="00007541">
            <w:pPr>
              <w:spacing w:after="0"/>
              <w:jc w:val="center"/>
              <w:rPr>
                <w:rFonts w:ascii="Arial" w:hAnsi="Arial" w:cs="Arial"/>
                <w:color w:val="FFFFFF"/>
                <w:sz w:val="18"/>
                <w:szCs w:val="18"/>
              </w:rPr>
            </w:pPr>
            <w:r w:rsidRPr="00A645FB">
              <w:rPr>
                <w:rFonts w:ascii="Arial" w:hAnsi="Arial" w:cs="Arial"/>
                <w:color w:val="FFFFFF"/>
                <w:sz w:val="18"/>
                <w:szCs w:val="18"/>
              </w:rPr>
              <w:t>2015</w:t>
            </w:r>
          </w:p>
        </w:tc>
        <w:tc>
          <w:tcPr>
            <w:tcW w:w="851" w:type="dxa"/>
            <w:tcBorders>
              <w:top w:val="nil"/>
              <w:left w:val="nil"/>
              <w:bottom w:val="single" w:sz="8" w:space="0" w:color="808080"/>
              <w:right w:val="nil"/>
            </w:tcBorders>
            <w:shd w:val="clear" w:color="000000" w:fill="808080"/>
            <w:vAlign w:val="center"/>
            <w:hideMark/>
          </w:tcPr>
          <w:p w14:paraId="7E7AEF1A" w14:textId="77777777" w:rsidR="00C12642" w:rsidRPr="00A645FB" w:rsidRDefault="00C12642" w:rsidP="00007541">
            <w:pPr>
              <w:spacing w:after="0"/>
              <w:jc w:val="center"/>
              <w:rPr>
                <w:rFonts w:ascii="Arial" w:hAnsi="Arial" w:cs="Arial"/>
                <w:color w:val="FFFFFF"/>
                <w:sz w:val="18"/>
                <w:szCs w:val="18"/>
              </w:rPr>
            </w:pPr>
            <w:r w:rsidRPr="00A645FB">
              <w:rPr>
                <w:rFonts w:ascii="Arial" w:hAnsi="Arial" w:cs="Arial"/>
                <w:color w:val="FFFFFF"/>
                <w:sz w:val="18"/>
                <w:szCs w:val="18"/>
              </w:rPr>
              <w:t>2016</w:t>
            </w:r>
          </w:p>
        </w:tc>
        <w:tc>
          <w:tcPr>
            <w:tcW w:w="851" w:type="dxa"/>
            <w:tcBorders>
              <w:top w:val="nil"/>
              <w:left w:val="nil"/>
              <w:bottom w:val="single" w:sz="8" w:space="0" w:color="808080"/>
              <w:right w:val="single" w:sz="8" w:space="0" w:color="FFFFFF"/>
            </w:tcBorders>
            <w:shd w:val="clear" w:color="000000" w:fill="808080"/>
            <w:vAlign w:val="center"/>
            <w:hideMark/>
          </w:tcPr>
          <w:p w14:paraId="4D33A23E" w14:textId="77777777" w:rsidR="00C12642" w:rsidRPr="00A645FB" w:rsidRDefault="00C12642" w:rsidP="00007541">
            <w:pPr>
              <w:spacing w:after="0"/>
              <w:jc w:val="center"/>
              <w:rPr>
                <w:rFonts w:ascii="Arial" w:hAnsi="Arial" w:cs="Arial"/>
                <w:color w:val="FFFFFF"/>
                <w:sz w:val="18"/>
                <w:szCs w:val="18"/>
              </w:rPr>
            </w:pPr>
            <w:r w:rsidRPr="00A645FB">
              <w:rPr>
                <w:rFonts w:ascii="Arial" w:hAnsi="Arial" w:cs="Arial"/>
                <w:color w:val="FFFFFF"/>
                <w:sz w:val="18"/>
                <w:szCs w:val="18"/>
              </w:rPr>
              <w:t>2017</w:t>
            </w:r>
          </w:p>
        </w:tc>
      </w:tr>
      <w:tr w:rsidR="00C12642" w:rsidRPr="00A645FB" w14:paraId="15EC3B96" w14:textId="77777777" w:rsidTr="00C36529">
        <w:trPr>
          <w:trHeight w:val="333"/>
        </w:trPr>
        <w:tc>
          <w:tcPr>
            <w:tcW w:w="1563" w:type="dxa"/>
            <w:vMerge w:val="restart"/>
            <w:tcBorders>
              <w:top w:val="single" w:sz="8" w:space="0" w:color="FFFFFF"/>
              <w:left w:val="nil"/>
              <w:bottom w:val="single" w:sz="8" w:space="0" w:color="FFFFFF"/>
              <w:right w:val="nil"/>
            </w:tcBorders>
            <w:shd w:val="clear" w:color="000000" w:fill="808080"/>
            <w:vAlign w:val="center"/>
            <w:hideMark/>
          </w:tcPr>
          <w:p w14:paraId="585F67E6" w14:textId="77777777" w:rsidR="00C12642" w:rsidRPr="00A645FB" w:rsidRDefault="00C12642" w:rsidP="00007541">
            <w:pPr>
              <w:spacing w:after="0"/>
              <w:rPr>
                <w:rFonts w:ascii="Arial" w:hAnsi="Arial" w:cs="Arial"/>
                <w:color w:val="FFFFFF"/>
                <w:sz w:val="18"/>
                <w:szCs w:val="18"/>
              </w:rPr>
            </w:pPr>
            <w:r w:rsidRPr="00A645FB">
              <w:rPr>
                <w:rFonts w:ascii="Arial" w:hAnsi="Arial" w:cs="Arial"/>
                <w:color w:val="FFFFFF"/>
                <w:sz w:val="18"/>
                <w:szCs w:val="18"/>
              </w:rPr>
              <w:t>Compliance with guidelines</w:t>
            </w:r>
          </w:p>
        </w:tc>
        <w:tc>
          <w:tcPr>
            <w:tcW w:w="3223" w:type="dxa"/>
            <w:vMerge w:val="restart"/>
            <w:tcBorders>
              <w:top w:val="single" w:sz="12" w:space="0" w:color="808080"/>
              <w:left w:val="nil"/>
              <w:bottom w:val="single" w:sz="8" w:space="0" w:color="808080"/>
              <w:right w:val="nil"/>
            </w:tcBorders>
            <w:shd w:val="clear" w:color="auto" w:fill="auto"/>
            <w:vAlign w:val="center"/>
            <w:hideMark/>
          </w:tcPr>
          <w:p w14:paraId="5F21DA37" w14:textId="77777777" w:rsidR="00C12642" w:rsidRPr="00A645FB" w:rsidRDefault="00C12642" w:rsidP="00007541">
            <w:pPr>
              <w:spacing w:after="0"/>
              <w:rPr>
                <w:rFonts w:ascii="Arial" w:hAnsi="Arial" w:cs="Arial"/>
                <w:color w:val="000000"/>
                <w:sz w:val="16"/>
                <w:szCs w:val="16"/>
              </w:rPr>
            </w:pPr>
            <w:r w:rsidRPr="00A645FB">
              <w:rPr>
                <w:rFonts w:ascii="Arial" w:hAnsi="Arial" w:cs="Arial"/>
                <w:color w:val="000000"/>
                <w:sz w:val="16"/>
                <w:szCs w:val="16"/>
              </w:rPr>
              <w:t xml:space="preserve">Compliant with </w:t>
            </w:r>
            <w:r w:rsidRPr="00A645FB">
              <w:rPr>
                <w:rFonts w:ascii="Arial" w:hAnsi="Arial" w:cs="Arial"/>
                <w:i/>
                <w:iCs/>
                <w:color w:val="000000"/>
                <w:sz w:val="16"/>
                <w:szCs w:val="16"/>
              </w:rPr>
              <w:t>Therapeutic Guidelines</w:t>
            </w:r>
            <w:r w:rsidRPr="00A645FB">
              <w:rPr>
                <w:rFonts w:ascii="Arial" w:hAnsi="Arial" w:cs="Arial"/>
                <w:color w:val="000000"/>
                <w:sz w:val="16"/>
                <w:szCs w:val="16"/>
              </w:rPr>
              <w:t xml:space="preserve"> or local guidelines</w:t>
            </w:r>
          </w:p>
        </w:tc>
        <w:tc>
          <w:tcPr>
            <w:tcW w:w="851" w:type="dxa"/>
            <w:vMerge w:val="restart"/>
            <w:tcBorders>
              <w:top w:val="nil"/>
              <w:left w:val="nil"/>
              <w:bottom w:val="single" w:sz="8" w:space="0" w:color="808080"/>
              <w:right w:val="nil"/>
            </w:tcBorders>
            <w:shd w:val="clear" w:color="auto" w:fill="auto"/>
            <w:vAlign w:val="center"/>
          </w:tcPr>
          <w:p w14:paraId="30BD4CE5"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59.7</w:t>
            </w:r>
          </w:p>
        </w:tc>
        <w:tc>
          <w:tcPr>
            <w:tcW w:w="851" w:type="dxa"/>
            <w:vMerge w:val="restart"/>
            <w:tcBorders>
              <w:top w:val="nil"/>
              <w:left w:val="nil"/>
              <w:bottom w:val="single" w:sz="8" w:space="0" w:color="808080"/>
              <w:right w:val="nil"/>
            </w:tcBorders>
            <w:shd w:val="clear" w:color="auto" w:fill="auto"/>
            <w:vAlign w:val="center"/>
          </w:tcPr>
          <w:p w14:paraId="693BA9A8"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56.2</w:t>
            </w:r>
          </w:p>
        </w:tc>
        <w:tc>
          <w:tcPr>
            <w:tcW w:w="851" w:type="dxa"/>
            <w:vMerge w:val="restart"/>
            <w:tcBorders>
              <w:top w:val="nil"/>
              <w:left w:val="nil"/>
              <w:bottom w:val="single" w:sz="8" w:space="0" w:color="808080"/>
              <w:right w:val="nil"/>
            </w:tcBorders>
            <w:shd w:val="clear" w:color="auto" w:fill="auto"/>
            <w:vAlign w:val="center"/>
          </w:tcPr>
          <w:p w14:paraId="30E88246"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55.9</w:t>
            </w:r>
          </w:p>
        </w:tc>
        <w:tc>
          <w:tcPr>
            <w:tcW w:w="851" w:type="dxa"/>
            <w:vMerge w:val="restart"/>
            <w:tcBorders>
              <w:top w:val="nil"/>
              <w:left w:val="nil"/>
              <w:bottom w:val="single" w:sz="8" w:space="0" w:color="808080"/>
              <w:right w:val="nil"/>
            </w:tcBorders>
            <w:shd w:val="clear" w:color="auto" w:fill="auto"/>
            <w:vAlign w:val="center"/>
          </w:tcPr>
          <w:p w14:paraId="62DA9503"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51.5</w:t>
            </w:r>
          </w:p>
        </w:tc>
        <w:tc>
          <w:tcPr>
            <w:tcW w:w="851" w:type="dxa"/>
            <w:vMerge w:val="restart"/>
            <w:tcBorders>
              <w:top w:val="nil"/>
              <w:left w:val="nil"/>
              <w:bottom w:val="single" w:sz="8" w:space="0" w:color="808080"/>
              <w:right w:val="single" w:sz="8" w:space="0" w:color="808080"/>
            </w:tcBorders>
            <w:shd w:val="clear" w:color="auto" w:fill="auto"/>
            <w:vAlign w:val="center"/>
          </w:tcPr>
          <w:p w14:paraId="76938F45"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54.0</w:t>
            </w:r>
          </w:p>
        </w:tc>
      </w:tr>
      <w:tr w:rsidR="00C12642" w:rsidRPr="00A645FB" w14:paraId="5582D842" w14:textId="77777777" w:rsidTr="00C36529">
        <w:trPr>
          <w:trHeight w:val="333"/>
        </w:trPr>
        <w:tc>
          <w:tcPr>
            <w:tcW w:w="1563" w:type="dxa"/>
            <w:vMerge/>
            <w:tcBorders>
              <w:top w:val="single" w:sz="8" w:space="0" w:color="FFFFFF"/>
              <w:left w:val="nil"/>
              <w:bottom w:val="single" w:sz="8" w:space="0" w:color="FFFFFF"/>
              <w:right w:val="nil"/>
            </w:tcBorders>
            <w:vAlign w:val="center"/>
            <w:hideMark/>
          </w:tcPr>
          <w:p w14:paraId="22B6A42A" w14:textId="77777777" w:rsidR="00C12642" w:rsidRPr="00A645FB" w:rsidRDefault="00C12642" w:rsidP="00007541">
            <w:pPr>
              <w:spacing w:after="0"/>
              <w:rPr>
                <w:rFonts w:ascii="Arial" w:hAnsi="Arial" w:cs="Arial"/>
                <w:color w:val="FFFFFF"/>
                <w:sz w:val="18"/>
                <w:szCs w:val="18"/>
              </w:rPr>
            </w:pPr>
          </w:p>
        </w:tc>
        <w:tc>
          <w:tcPr>
            <w:tcW w:w="3223" w:type="dxa"/>
            <w:vMerge/>
            <w:tcBorders>
              <w:top w:val="single" w:sz="12" w:space="0" w:color="808080"/>
              <w:left w:val="nil"/>
              <w:bottom w:val="single" w:sz="8" w:space="0" w:color="808080"/>
              <w:right w:val="nil"/>
            </w:tcBorders>
            <w:shd w:val="clear" w:color="auto" w:fill="auto"/>
            <w:vAlign w:val="center"/>
            <w:hideMark/>
          </w:tcPr>
          <w:p w14:paraId="53C49B59" w14:textId="77777777" w:rsidR="00C12642" w:rsidRPr="00A645FB" w:rsidRDefault="00C12642" w:rsidP="00007541">
            <w:pPr>
              <w:spacing w:after="0"/>
              <w:rPr>
                <w:rFonts w:ascii="Arial" w:hAnsi="Arial" w:cs="Arial"/>
                <w:color w:val="000000"/>
                <w:sz w:val="16"/>
                <w:szCs w:val="16"/>
              </w:rPr>
            </w:pPr>
          </w:p>
        </w:tc>
        <w:tc>
          <w:tcPr>
            <w:tcW w:w="851" w:type="dxa"/>
            <w:vMerge/>
            <w:tcBorders>
              <w:top w:val="nil"/>
              <w:left w:val="nil"/>
              <w:bottom w:val="single" w:sz="8" w:space="0" w:color="808080"/>
              <w:right w:val="nil"/>
            </w:tcBorders>
            <w:shd w:val="clear" w:color="auto" w:fill="auto"/>
            <w:vAlign w:val="center"/>
          </w:tcPr>
          <w:p w14:paraId="38889919" w14:textId="77777777" w:rsidR="00C12642" w:rsidRPr="00200FF6" w:rsidRDefault="00C12642" w:rsidP="00007541">
            <w:pPr>
              <w:spacing w:after="0"/>
              <w:rPr>
                <w:rFonts w:ascii="Arial" w:hAnsi="Arial" w:cs="Arial"/>
                <w:color w:val="000000"/>
                <w:sz w:val="16"/>
                <w:szCs w:val="16"/>
              </w:rPr>
            </w:pPr>
          </w:p>
        </w:tc>
        <w:tc>
          <w:tcPr>
            <w:tcW w:w="851" w:type="dxa"/>
            <w:vMerge/>
            <w:tcBorders>
              <w:top w:val="nil"/>
              <w:left w:val="nil"/>
              <w:bottom w:val="single" w:sz="8" w:space="0" w:color="808080"/>
              <w:right w:val="nil"/>
            </w:tcBorders>
            <w:shd w:val="clear" w:color="auto" w:fill="auto"/>
            <w:vAlign w:val="center"/>
          </w:tcPr>
          <w:p w14:paraId="6B661FE8" w14:textId="77777777" w:rsidR="00C12642" w:rsidRPr="00200FF6" w:rsidRDefault="00C12642" w:rsidP="00007541">
            <w:pPr>
              <w:spacing w:after="0"/>
              <w:rPr>
                <w:rFonts w:ascii="Arial" w:hAnsi="Arial" w:cs="Arial"/>
                <w:color w:val="000000"/>
                <w:sz w:val="16"/>
                <w:szCs w:val="16"/>
              </w:rPr>
            </w:pPr>
          </w:p>
        </w:tc>
        <w:tc>
          <w:tcPr>
            <w:tcW w:w="851" w:type="dxa"/>
            <w:vMerge/>
            <w:tcBorders>
              <w:top w:val="nil"/>
              <w:left w:val="nil"/>
              <w:bottom w:val="single" w:sz="8" w:space="0" w:color="808080"/>
              <w:right w:val="nil"/>
            </w:tcBorders>
            <w:shd w:val="clear" w:color="auto" w:fill="auto"/>
            <w:vAlign w:val="center"/>
          </w:tcPr>
          <w:p w14:paraId="47E30097" w14:textId="77777777" w:rsidR="00C12642" w:rsidRPr="00200FF6" w:rsidRDefault="00C12642" w:rsidP="00007541">
            <w:pPr>
              <w:spacing w:after="0"/>
              <w:rPr>
                <w:rFonts w:ascii="Arial" w:hAnsi="Arial" w:cs="Arial"/>
                <w:color w:val="000000"/>
                <w:sz w:val="16"/>
                <w:szCs w:val="16"/>
              </w:rPr>
            </w:pPr>
          </w:p>
        </w:tc>
        <w:tc>
          <w:tcPr>
            <w:tcW w:w="851" w:type="dxa"/>
            <w:vMerge/>
            <w:tcBorders>
              <w:top w:val="nil"/>
              <w:left w:val="nil"/>
              <w:bottom w:val="single" w:sz="8" w:space="0" w:color="808080"/>
              <w:right w:val="nil"/>
            </w:tcBorders>
            <w:shd w:val="clear" w:color="auto" w:fill="auto"/>
            <w:vAlign w:val="center"/>
          </w:tcPr>
          <w:p w14:paraId="6A9A7DB0" w14:textId="77777777" w:rsidR="00C12642" w:rsidRPr="00200FF6" w:rsidRDefault="00C12642" w:rsidP="00007541">
            <w:pPr>
              <w:spacing w:after="0"/>
              <w:rPr>
                <w:rFonts w:ascii="Arial" w:hAnsi="Arial" w:cs="Arial"/>
                <w:color w:val="000000"/>
                <w:sz w:val="16"/>
                <w:szCs w:val="16"/>
              </w:rPr>
            </w:pPr>
          </w:p>
        </w:tc>
        <w:tc>
          <w:tcPr>
            <w:tcW w:w="851" w:type="dxa"/>
            <w:vMerge/>
            <w:tcBorders>
              <w:top w:val="nil"/>
              <w:left w:val="nil"/>
              <w:bottom w:val="single" w:sz="8" w:space="0" w:color="808080"/>
              <w:right w:val="single" w:sz="8" w:space="0" w:color="808080"/>
            </w:tcBorders>
            <w:shd w:val="clear" w:color="auto" w:fill="auto"/>
            <w:vAlign w:val="center"/>
          </w:tcPr>
          <w:p w14:paraId="43D4CB2A" w14:textId="77777777" w:rsidR="00C12642" w:rsidRPr="00200FF6" w:rsidRDefault="00C12642" w:rsidP="00007541">
            <w:pPr>
              <w:spacing w:after="0"/>
              <w:rPr>
                <w:rFonts w:ascii="Arial" w:hAnsi="Arial" w:cs="Arial"/>
                <w:color w:val="000000"/>
                <w:sz w:val="16"/>
                <w:szCs w:val="16"/>
              </w:rPr>
            </w:pPr>
          </w:p>
        </w:tc>
      </w:tr>
      <w:tr w:rsidR="00C12642" w:rsidRPr="00A645FB" w14:paraId="702C7C16" w14:textId="77777777" w:rsidTr="00C36529">
        <w:trPr>
          <w:trHeight w:val="333"/>
        </w:trPr>
        <w:tc>
          <w:tcPr>
            <w:tcW w:w="1563" w:type="dxa"/>
            <w:vMerge/>
            <w:tcBorders>
              <w:top w:val="single" w:sz="8" w:space="0" w:color="FFFFFF"/>
              <w:left w:val="nil"/>
              <w:bottom w:val="single" w:sz="8" w:space="0" w:color="FFFFFF"/>
              <w:right w:val="nil"/>
            </w:tcBorders>
            <w:vAlign w:val="center"/>
            <w:hideMark/>
          </w:tcPr>
          <w:p w14:paraId="17AF3931" w14:textId="77777777" w:rsidR="00C12642" w:rsidRPr="00A645FB" w:rsidRDefault="00C12642" w:rsidP="00007541">
            <w:pPr>
              <w:spacing w:after="0"/>
              <w:rPr>
                <w:rFonts w:ascii="Arial" w:hAnsi="Arial" w:cs="Arial"/>
                <w:color w:val="FFFFFF"/>
                <w:sz w:val="18"/>
                <w:szCs w:val="18"/>
              </w:rPr>
            </w:pPr>
          </w:p>
        </w:tc>
        <w:tc>
          <w:tcPr>
            <w:tcW w:w="3223" w:type="dxa"/>
            <w:vMerge w:val="restart"/>
            <w:tcBorders>
              <w:top w:val="nil"/>
              <w:left w:val="nil"/>
              <w:bottom w:val="single" w:sz="8" w:space="0" w:color="808080"/>
              <w:right w:val="nil"/>
            </w:tcBorders>
            <w:shd w:val="clear" w:color="auto" w:fill="auto"/>
            <w:vAlign w:val="center"/>
            <w:hideMark/>
          </w:tcPr>
          <w:p w14:paraId="3831BEC7" w14:textId="77777777" w:rsidR="00C12642" w:rsidRPr="00A645FB" w:rsidRDefault="00C12642" w:rsidP="00007541">
            <w:pPr>
              <w:spacing w:after="0"/>
              <w:rPr>
                <w:rFonts w:ascii="Arial" w:hAnsi="Arial" w:cs="Arial"/>
                <w:color w:val="000000"/>
                <w:sz w:val="16"/>
                <w:szCs w:val="16"/>
              </w:rPr>
            </w:pPr>
            <w:r>
              <w:rPr>
                <w:rFonts w:ascii="Arial" w:hAnsi="Arial" w:cs="Arial"/>
                <w:color w:val="000000"/>
                <w:sz w:val="16"/>
                <w:szCs w:val="16"/>
              </w:rPr>
              <w:t>Non-</w:t>
            </w:r>
            <w:r w:rsidRPr="00A645FB">
              <w:rPr>
                <w:rFonts w:ascii="Arial" w:hAnsi="Arial" w:cs="Arial"/>
                <w:color w:val="000000"/>
                <w:sz w:val="16"/>
                <w:szCs w:val="16"/>
              </w:rPr>
              <w:t>compliant</w:t>
            </w:r>
          </w:p>
        </w:tc>
        <w:tc>
          <w:tcPr>
            <w:tcW w:w="851" w:type="dxa"/>
            <w:vMerge w:val="restart"/>
            <w:tcBorders>
              <w:top w:val="nil"/>
              <w:left w:val="nil"/>
              <w:bottom w:val="single" w:sz="8" w:space="0" w:color="808080"/>
              <w:right w:val="nil"/>
            </w:tcBorders>
            <w:shd w:val="clear" w:color="auto" w:fill="auto"/>
            <w:vAlign w:val="center"/>
          </w:tcPr>
          <w:p w14:paraId="6770B80D"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23.0</w:t>
            </w:r>
          </w:p>
        </w:tc>
        <w:tc>
          <w:tcPr>
            <w:tcW w:w="851" w:type="dxa"/>
            <w:vMerge w:val="restart"/>
            <w:tcBorders>
              <w:top w:val="nil"/>
              <w:left w:val="nil"/>
              <w:bottom w:val="single" w:sz="8" w:space="0" w:color="808080"/>
              <w:right w:val="nil"/>
            </w:tcBorders>
            <w:shd w:val="clear" w:color="auto" w:fill="auto"/>
            <w:vAlign w:val="center"/>
          </w:tcPr>
          <w:p w14:paraId="6A51A9CE"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24.3</w:t>
            </w:r>
          </w:p>
        </w:tc>
        <w:tc>
          <w:tcPr>
            <w:tcW w:w="851" w:type="dxa"/>
            <w:vMerge w:val="restart"/>
            <w:tcBorders>
              <w:top w:val="nil"/>
              <w:left w:val="nil"/>
              <w:bottom w:val="single" w:sz="8" w:space="0" w:color="808080"/>
              <w:right w:val="nil"/>
            </w:tcBorders>
            <w:shd w:val="clear" w:color="auto" w:fill="auto"/>
            <w:vAlign w:val="center"/>
          </w:tcPr>
          <w:p w14:paraId="59EC30EE"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23.3</w:t>
            </w:r>
          </w:p>
        </w:tc>
        <w:tc>
          <w:tcPr>
            <w:tcW w:w="851" w:type="dxa"/>
            <w:vMerge w:val="restart"/>
            <w:tcBorders>
              <w:top w:val="nil"/>
              <w:left w:val="nil"/>
              <w:bottom w:val="single" w:sz="8" w:space="0" w:color="808080"/>
              <w:right w:val="nil"/>
            </w:tcBorders>
            <w:shd w:val="clear" w:color="auto" w:fill="auto"/>
            <w:vAlign w:val="center"/>
          </w:tcPr>
          <w:p w14:paraId="551E0648"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27.3</w:t>
            </w:r>
          </w:p>
        </w:tc>
        <w:tc>
          <w:tcPr>
            <w:tcW w:w="851" w:type="dxa"/>
            <w:vMerge w:val="restart"/>
            <w:tcBorders>
              <w:top w:val="nil"/>
              <w:left w:val="nil"/>
              <w:bottom w:val="single" w:sz="8" w:space="0" w:color="808080"/>
              <w:right w:val="single" w:sz="8" w:space="0" w:color="808080"/>
            </w:tcBorders>
            <w:shd w:val="clear" w:color="auto" w:fill="auto"/>
            <w:vAlign w:val="center"/>
          </w:tcPr>
          <w:p w14:paraId="7BE3E09A"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26.2</w:t>
            </w:r>
          </w:p>
        </w:tc>
      </w:tr>
      <w:tr w:rsidR="00C12642" w:rsidRPr="00A645FB" w14:paraId="0A7E20C5" w14:textId="77777777" w:rsidTr="00C36529">
        <w:trPr>
          <w:trHeight w:val="333"/>
        </w:trPr>
        <w:tc>
          <w:tcPr>
            <w:tcW w:w="1563" w:type="dxa"/>
            <w:vMerge/>
            <w:tcBorders>
              <w:top w:val="single" w:sz="8" w:space="0" w:color="FFFFFF"/>
              <w:left w:val="nil"/>
              <w:bottom w:val="single" w:sz="8" w:space="0" w:color="FFFFFF"/>
              <w:right w:val="nil"/>
            </w:tcBorders>
            <w:vAlign w:val="center"/>
            <w:hideMark/>
          </w:tcPr>
          <w:p w14:paraId="75A159D7" w14:textId="77777777" w:rsidR="00C12642" w:rsidRPr="00A645FB" w:rsidRDefault="00C12642" w:rsidP="00007541">
            <w:pPr>
              <w:spacing w:after="0"/>
              <w:rPr>
                <w:rFonts w:ascii="Arial" w:hAnsi="Arial" w:cs="Arial"/>
                <w:color w:val="FFFFFF"/>
                <w:sz w:val="18"/>
                <w:szCs w:val="18"/>
              </w:rPr>
            </w:pPr>
          </w:p>
        </w:tc>
        <w:tc>
          <w:tcPr>
            <w:tcW w:w="3223" w:type="dxa"/>
            <w:vMerge/>
            <w:tcBorders>
              <w:top w:val="nil"/>
              <w:left w:val="nil"/>
              <w:bottom w:val="single" w:sz="8" w:space="0" w:color="808080"/>
              <w:right w:val="nil"/>
            </w:tcBorders>
            <w:shd w:val="clear" w:color="auto" w:fill="auto"/>
            <w:vAlign w:val="center"/>
            <w:hideMark/>
          </w:tcPr>
          <w:p w14:paraId="4A008511" w14:textId="77777777" w:rsidR="00C12642" w:rsidRPr="00A645FB" w:rsidRDefault="00C12642" w:rsidP="00007541">
            <w:pPr>
              <w:spacing w:after="0"/>
              <w:rPr>
                <w:rFonts w:ascii="Arial" w:hAnsi="Arial" w:cs="Arial"/>
                <w:color w:val="000000"/>
                <w:sz w:val="16"/>
                <w:szCs w:val="16"/>
              </w:rPr>
            </w:pPr>
          </w:p>
        </w:tc>
        <w:tc>
          <w:tcPr>
            <w:tcW w:w="851" w:type="dxa"/>
            <w:vMerge/>
            <w:tcBorders>
              <w:top w:val="nil"/>
              <w:left w:val="nil"/>
              <w:bottom w:val="single" w:sz="8" w:space="0" w:color="808080"/>
              <w:right w:val="nil"/>
            </w:tcBorders>
            <w:shd w:val="clear" w:color="auto" w:fill="auto"/>
            <w:vAlign w:val="center"/>
          </w:tcPr>
          <w:p w14:paraId="10FDAFAD" w14:textId="77777777" w:rsidR="00C12642" w:rsidRPr="00200FF6" w:rsidRDefault="00C12642" w:rsidP="00007541">
            <w:pPr>
              <w:spacing w:after="0"/>
              <w:rPr>
                <w:rFonts w:ascii="Arial" w:hAnsi="Arial" w:cs="Arial"/>
                <w:color w:val="000000"/>
                <w:sz w:val="16"/>
                <w:szCs w:val="16"/>
              </w:rPr>
            </w:pPr>
          </w:p>
        </w:tc>
        <w:tc>
          <w:tcPr>
            <w:tcW w:w="851" w:type="dxa"/>
            <w:vMerge/>
            <w:tcBorders>
              <w:top w:val="nil"/>
              <w:left w:val="nil"/>
              <w:bottom w:val="single" w:sz="8" w:space="0" w:color="808080"/>
              <w:right w:val="nil"/>
            </w:tcBorders>
            <w:shd w:val="clear" w:color="auto" w:fill="auto"/>
            <w:vAlign w:val="center"/>
          </w:tcPr>
          <w:p w14:paraId="6F4932CC" w14:textId="77777777" w:rsidR="00C12642" w:rsidRPr="00200FF6" w:rsidRDefault="00C12642" w:rsidP="00007541">
            <w:pPr>
              <w:spacing w:after="0"/>
              <w:rPr>
                <w:rFonts w:ascii="Arial" w:hAnsi="Arial" w:cs="Arial"/>
                <w:color w:val="000000"/>
                <w:sz w:val="16"/>
                <w:szCs w:val="16"/>
              </w:rPr>
            </w:pPr>
          </w:p>
        </w:tc>
        <w:tc>
          <w:tcPr>
            <w:tcW w:w="851" w:type="dxa"/>
            <w:vMerge/>
            <w:tcBorders>
              <w:top w:val="nil"/>
              <w:left w:val="nil"/>
              <w:bottom w:val="single" w:sz="8" w:space="0" w:color="808080"/>
              <w:right w:val="nil"/>
            </w:tcBorders>
            <w:shd w:val="clear" w:color="auto" w:fill="auto"/>
            <w:vAlign w:val="center"/>
          </w:tcPr>
          <w:p w14:paraId="662EA9BA" w14:textId="77777777" w:rsidR="00C12642" w:rsidRPr="00200FF6" w:rsidRDefault="00C12642" w:rsidP="00007541">
            <w:pPr>
              <w:spacing w:after="0"/>
              <w:rPr>
                <w:rFonts w:ascii="Arial" w:hAnsi="Arial" w:cs="Arial"/>
                <w:color w:val="000000"/>
                <w:sz w:val="16"/>
                <w:szCs w:val="16"/>
              </w:rPr>
            </w:pPr>
          </w:p>
        </w:tc>
        <w:tc>
          <w:tcPr>
            <w:tcW w:w="851" w:type="dxa"/>
            <w:vMerge/>
            <w:tcBorders>
              <w:top w:val="nil"/>
              <w:left w:val="nil"/>
              <w:bottom w:val="single" w:sz="8" w:space="0" w:color="808080"/>
              <w:right w:val="nil"/>
            </w:tcBorders>
            <w:shd w:val="clear" w:color="auto" w:fill="auto"/>
            <w:vAlign w:val="center"/>
          </w:tcPr>
          <w:p w14:paraId="27323AE2" w14:textId="77777777" w:rsidR="00C12642" w:rsidRPr="00200FF6" w:rsidRDefault="00C12642" w:rsidP="00007541">
            <w:pPr>
              <w:spacing w:after="0"/>
              <w:rPr>
                <w:rFonts w:ascii="Arial" w:hAnsi="Arial" w:cs="Arial"/>
                <w:color w:val="000000"/>
                <w:sz w:val="16"/>
                <w:szCs w:val="16"/>
              </w:rPr>
            </w:pPr>
          </w:p>
        </w:tc>
        <w:tc>
          <w:tcPr>
            <w:tcW w:w="851" w:type="dxa"/>
            <w:vMerge/>
            <w:tcBorders>
              <w:top w:val="nil"/>
              <w:left w:val="nil"/>
              <w:bottom w:val="single" w:sz="8" w:space="0" w:color="808080"/>
              <w:right w:val="single" w:sz="8" w:space="0" w:color="808080"/>
            </w:tcBorders>
            <w:shd w:val="clear" w:color="auto" w:fill="auto"/>
            <w:vAlign w:val="center"/>
          </w:tcPr>
          <w:p w14:paraId="4D09C2AC" w14:textId="77777777" w:rsidR="00C12642" w:rsidRPr="00200FF6" w:rsidRDefault="00C12642" w:rsidP="00007541">
            <w:pPr>
              <w:spacing w:after="0"/>
              <w:rPr>
                <w:rFonts w:ascii="Arial" w:hAnsi="Arial" w:cs="Arial"/>
                <w:color w:val="000000"/>
                <w:sz w:val="16"/>
                <w:szCs w:val="16"/>
              </w:rPr>
            </w:pPr>
          </w:p>
        </w:tc>
      </w:tr>
      <w:tr w:rsidR="00C12642" w:rsidRPr="00A645FB" w14:paraId="5DE41BD8" w14:textId="77777777" w:rsidTr="00C36529">
        <w:trPr>
          <w:trHeight w:val="454"/>
        </w:trPr>
        <w:tc>
          <w:tcPr>
            <w:tcW w:w="1563" w:type="dxa"/>
            <w:vMerge/>
            <w:tcBorders>
              <w:top w:val="single" w:sz="8" w:space="0" w:color="FFFFFF"/>
              <w:left w:val="nil"/>
              <w:bottom w:val="single" w:sz="8" w:space="0" w:color="FFFFFF"/>
              <w:right w:val="nil"/>
            </w:tcBorders>
            <w:vAlign w:val="center"/>
            <w:hideMark/>
          </w:tcPr>
          <w:p w14:paraId="23BBE8B4" w14:textId="77777777" w:rsidR="00C12642" w:rsidRPr="00A645FB" w:rsidRDefault="00C12642" w:rsidP="00007541">
            <w:pPr>
              <w:spacing w:after="0"/>
              <w:rPr>
                <w:rFonts w:ascii="Arial" w:hAnsi="Arial" w:cs="Arial"/>
                <w:color w:val="FFFFFF"/>
                <w:sz w:val="18"/>
                <w:szCs w:val="18"/>
              </w:rPr>
            </w:pPr>
          </w:p>
        </w:tc>
        <w:tc>
          <w:tcPr>
            <w:tcW w:w="3223" w:type="dxa"/>
            <w:tcBorders>
              <w:top w:val="nil"/>
              <w:left w:val="nil"/>
              <w:bottom w:val="single" w:sz="8" w:space="0" w:color="808080"/>
              <w:right w:val="nil"/>
            </w:tcBorders>
            <w:shd w:val="clear" w:color="auto" w:fill="auto"/>
            <w:vAlign w:val="center"/>
            <w:hideMark/>
          </w:tcPr>
          <w:p w14:paraId="7ADB11A3" w14:textId="77777777" w:rsidR="00C12642" w:rsidRPr="00A645FB" w:rsidRDefault="00C12642" w:rsidP="00007541">
            <w:pPr>
              <w:spacing w:after="0"/>
              <w:rPr>
                <w:rFonts w:ascii="Arial" w:hAnsi="Arial" w:cs="Arial"/>
                <w:color w:val="000000"/>
                <w:sz w:val="16"/>
                <w:szCs w:val="16"/>
              </w:rPr>
            </w:pPr>
            <w:r w:rsidRPr="00A645FB">
              <w:rPr>
                <w:rFonts w:ascii="Arial" w:hAnsi="Arial" w:cs="Arial"/>
                <w:color w:val="000000"/>
                <w:sz w:val="16"/>
                <w:szCs w:val="16"/>
              </w:rPr>
              <w:t>Directed therapy</w:t>
            </w:r>
          </w:p>
        </w:tc>
        <w:tc>
          <w:tcPr>
            <w:tcW w:w="851" w:type="dxa"/>
            <w:tcBorders>
              <w:top w:val="nil"/>
              <w:left w:val="nil"/>
              <w:bottom w:val="single" w:sz="8" w:space="0" w:color="808080"/>
              <w:right w:val="nil"/>
            </w:tcBorders>
            <w:shd w:val="clear" w:color="auto" w:fill="auto"/>
            <w:vAlign w:val="center"/>
            <w:hideMark/>
          </w:tcPr>
          <w:p w14:paraId="414088A9" w14:textId="77777777" w:rsidR="00C12642" w:rsidRPr="00200FF6" w:rsidRDefault="00C12642" w:rsidP="00007541">
            <w:pPr>
              <w:spacing w:after="0"/>
              <w:jc w:val="center"/>
              <w:rPr>
                <w:rFonts w:ascii="Arial" w:hAnsi="Arial" w:cs="Arial"/>
                <w:color w:val="000000"/>
                <w:sz w:val="16"/>
                <w:szCs w:val="16"/>
              </w:rPr>
            </w:pPr>
            <w:proofErr w:type="spellStart"/>
            <w:r w:rsidRPr="00200FF6">
              <w:rPr>
                <w:rFonts w:ascii="Arial" w:hAnsi="Arial" w:cs="Arial"/>
                <w:color w:val="000000"/>
                <w:sz w:val="16"/>
                <w:szCs w:val="16"/>
              </w:rPr>
              <w:t>na</w:t>
            </w:r>
            <w:proofErr w:type="spellEnd"/>
          </w:p>
        </w:tc>
        <w:tc>
          <w:tcPr>
            <w:tcW w:w="851" w:type="dxa"/>
            <w:tcBorders>
              <w:top w:val="nil"/>
              <w:left w:val="nil"/>
              <w:bottom w:val="single" w:sz="8" w:space="0" w:color="808080"/>
              <w:right w:val="nil"/>
            </w:tcBorders>
            <w:shd w:val="clear" w:color="auto" w:fill="auto"/>
            <w:vAlign w:val="center"/>
            <w:hideMark/>
          </w:tcPr>
          <w:p w14:paraId="63C78B57"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10.4</w:t>
            </w:r>
          </w:p>
        </w:tc>
        <w:tc>
          <w:tcPr>
            <w:tcW w:w="851" w:type="dxa"/>
            <w:tcBorders>
              <w:top w:val="nil"/>
              <w:left w:val="nil"/>
              <w:bottom w:val="single" w:sz="8" w:space="0" w:color="808080"/>
              <w:right w:val="nil"/>
            </w:tcBorders>
            <w:shd w:val="clear" w:color="auto" w:fill="auto"/>
            <w:vAlign w:val="center"/>
            <w:hideMark/>
          </w:tcPr>
          <w:p w14:paraId="79398189"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12.4</w:t>
            </w:r>
          </w:p>
        </w:tc>
        <w:tc>
          <w:tcPr>
            <w:tcW w:w="851" w:type="dxa"/>
            <w:tcBorders>
              <w:top w:val="nil"/>
              <w:left w:val="nil"/>
              <w:bottom w:val="single" w:sz="8" w:space="0" w:color="808080"/>
              <w:right w:val="nil"/>
            </w:tcBorders>
            <w:shd w:val="clear" w:color="auto" w:fill="auto"/>
            <w:vAlign w:val="center"/>
            <w:hideMark/>
          </w:tcPr>
          <w:p w14:paraId="2E2B6B6B"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12.8</w:t>
            </w:r>
          </w:p>
        </w:tc>
        <w:tc>
          <w:tcPr>
            <w:tcW w:w="851" w:type="dxa"/>
            <w:tcBorders>
              <w:top w:val="nil"/>
              <w:left w:val="nil"/>
              <w:bottom w:val="single" w:sz="8" w:space="0" w:color="808080"/>
              <w:right w:val="single" w:sz="8" w:space="0" w:color="808080"/>
            </w:tcBorders>
            <w:shd w:val="clear" w:color="auto" w:fill="auto"/>
            <w:vAlign w:val="center"/>
            <w:hideMark/>
          </w:tcPr>
          <w:p w14:paraId="52C4AB15"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12.6</w:t>
            </w:r>
          </w:p>
        </w:tc>
      </w:tr>
      <w:tr w:rsidR="00C12642" w:rsidRPr="00A645FB" w14:paraId="45DC9A57" w14:textId="77777777" w:rsidTr="00C36529">
        <w:trPr>
          <w:trHeight w:val="454"/>
        </w:trPr>
        <w:tc>
          <w:tcPr>
            <w:tcW w:w="1563" w:type="dxa"/>
            <w:vMerge/>
            <w:tcBorders>
              <w:top w:val="single" w:sz="8" w:space="0" w:color="FFFFFF"/>
              <w:left w:val="nil"/>
              <w:bottom w:val="single" w:sz="8" w:space="0" w:color="FFFFFF"/>
              <w:right w:val="nil"/>
            </w:tcBorders>
            <w:vAlign w:val="center"/>
            <w:hideMark/>
          </w:tcPr>
          <w:p w14:paraId="130D17CC" w14:textId="77777777" w:rsidR="00C12642" w:rsidRPr="00A645FB" w:rsidRDefault="00C12642" w:rsidP="00007541">
            <w:pPr>
              <w:spacing w:after="0"/>
              <w:rPr>
                <w:rFonts w:ascii="Arial" w:hAnsi="Arial" w:cs="Arial"/>
                <w:color w:val="FFFFFF"/>
                <w:sz w:val="18"/>
                <w:szCs w:val="18"/>
              </w:rPr>
            </w:pPr>
          </w:p>
        </w:tc>
        <w:tc>
          <w:tcPr>
            <w:tcW w:w="3223" w:type="dxa"/>
            <w:tcBorders>
              <w:top w:val="nil"/>
              <w:left w:val="nil"/>
              <w:bottom w:val="single" w:sz="8" w:space="0" w:color="808080"/>
              <w:right w:val="nil"/>
            </w:tcBorders>
            <w:shd w:val="clear" w:color="auto" w:fill="auto"/>
            <w:vAlign w:val="center"/>
            <w:hideMark/>
          </w:tcPr>
          <w:p w14:paraId="785696EB" w14:textId="77777777" w:rsidR="00C12642" w:rsidRPr="00A645FB" w:rsidRDefault="00C12642" w:rsidP="00007541">
            <w:pPr>
              <w:spacing w:after="0"/>
              <w:rPr>
                <w:rFonts w:ascii="Arial" w:hAnsi="Arial" w:cs="Arial"/>
                <w:color w:val="000000"/>
                <w:sz w:val="16"/>
                <w:szCs w:val="16"/>
              </w:rPr>
            </w:pPr>
            <w:r w:rsidRPr="00A645FB">
              <w:rPr>
                <w:rFonts w:ascii="Arial" w:hAnsi="Arial" w:cs="Arial"/>
                <w:color w:val="000000"/>
                <w:sz w:val="16"/>
                <w:szCs w:val="16"/>
              </w:rPr>
              <w:t>No guideline available</w:t>
            </w:r>
          </w:p>
        </w:tc>
        <w:tc>
          <w:tcPr>
            <w:tcW w:w="851" w:type="dxa"/>
            <w:tcBorders>
              <w:top w:val="nil"/>
              <w:left w:val="nil"/>
              <w:bottom w:val="single" w:sz="8" w:space="0" w:color="808080"/>
              <w:right w:val="nil"/>
            </w:tcBorders>
            <w:shd w:val="clear" w:color="auto" w:fill="auto"/>
            <w:vAlign w:val="center"/>
            <w:hideMark/>
          </w:tcPr>
          <w:p w14:paraId="2CE89CD9"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11.0</w:t>
            </w:r>
          </w:p>
        </w:tc>
        <w:tc>
          <w:tcPr>
            <w:tcW w:w="851" w:type="dxa"/>
            <w:tcBorders>
              <w:top w:val="nil"/>
              <w:left w:val="nil"/>
              <w:bottom w:val="single" w:sz="8" w:space="0" w:color="808080"/>
              <w:right w:val="nil"/>
            </w:tcBorders>
            <w:shd w:val="clear" w:color="auto" w:fill="auto"/>
            <w:vAlign w:val="center"/>
            <w:hideMark/>
          </w:tcPr>
          <w:p w14:paraId="72D604D3"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4.6</w:t>
            </w:r>
          </w:p>
        </w:tc>
        <w:tc>
          <w:tcPr>
            <w:tcW w:w="851" w:type="dxa"/>
            <w:tcBorders>
              <w:top w:val="nil"/>
              <w:left w:val="nil"/>
              <w:bottom w:val="single" w:sz="8" w:space="0" w:color="808080"/>
              <w:right w:val="nil"/>
            </w:tcBorders>
            <w:shd w:val="clear" w:color="auto" w:fill="auto"/>
            <w:vAlign w:val="center"/>
            <w:hideMark/>
          </w:tcPr>
          <w:p w14:paraId="1784043F"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3.8</w:t>
            </w:r>
          </w:p>
        </w:tc>
        <w:tc>
          <w:tcPr>
            <w:tcW w:w="851" w:type="dxa"/>
            <w:tcBorders>
              <w:top w:val="nil"/>
              <w:left w:val="nil"/>
              <w:bottom w:val="single" w:sz="8" w:space="0" w:color="808080"/>
              <w:right w:val="nil"/>
            </w:tcBorders>
            <w:shd w:val="clear" w:color="auto" w:fill="auto"/>
            <w:vAlign w:val="center"/>
            <w:hideMark/>
          </w:tcPr>
          <w:p w14:paraId="3EA3A673"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4.0</w:t>
            </w:r>
          </w:p>
        </w:tc>
        <w:tc>
          <w:tcPr>
            <w:tcW w:w="851" w:type="dxa"/>
            <w:tcBorders>
              <w:top w:val="nil"/>
              <w:left w:val="nil"/>
              <w:bottom w:val="single" w:sz="8" w:space="0" w:color="808080"/>
              <w:right w:val="single" w:sz="8" w:space="0" w:color="808080"/>
            </w:tcBorders>
            <w:shd w:val="clear" w:color="auto" w:fill="auto"/>
            <w:vAlign w:val="center"/>
            <w:hideMark/>
          </w:tcPr>
          <w:p w14:paraId="27356125"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3.3</w:t>
            </w:r>
          </w:p>
        </w:tc>
      </w:tr>
      <w:tr w:rsidR="00C12642" w:rsidRPr="00A645FB" w14:paraId="134A6D4A" w14:textId="77777777" w:rsidTr="00C36529">
        <w:trPr>
          <w:trHeight w:val="454"/>
        </w:trPr>
        <w:tc>
          <w:tcPr>
            <w:tcW w:w="1563" w:type="dxa"/>
            <w:vMerge/>
            <w:tcBorders>
              <w:top w:val="single" w:sz="8" w:space="0" w:color="FFFFFF"/>
              <w:left w:val="nil"/>
              <w:bottom w:val="single" w:sz="8" w:space="0" w:color="FFFFFF"/>
              <w:right w:val="nil"/>
            </w:tcBorders>
            <w:vAlign w:val="center"/>
            <w:hideMark/>
          </w:tcPr>
          <w:p w14:paraId="3B19C38A" w14:textId="77777777" w:rsidR="00C12642" w:rsidRPr="00A645FB" w:rsidRDefault="00C12642" w:rsidP="00007541">
            <w:pPr>
              <w:spacing w:after="0"/>
              <w:rPr>
                <w:rFonts w:ascii="Arial" w:hAnsi="Arial" w:cs="Arial"/>
                <w:color w:val="FFFFFF"/>
                <w:sz w:val="18"/>
                <w:szCs w:val="18"/>
              </w:rPr>
            </w:pPr>
          </w:p>
        </w:tc>
        <w:tc>
          <w:tcPr>
            <w:tcW w:w="3223" w:type="dxa"/>
            <w:tcBorders>
              <w:top w:val="nil"/>
              <w:left w:val="nil"/>
              <w:bottom w:val="single" w:sz="4" w:space="0" w:color="808080" w:themeColor="background1" w:themeShade="80"/>
              <w:right w:val="nil"/>
            </w:tcBorders>
            <w:shd w:val="clear" w:color="auto" w:fill="auto"/>
            <w:vAlign w:val="center"/>
            <w:hideMark/>
          </w:tcPr>
          <w:p w14:paraId="666F46FE" w14:textId="77777777" w:rsidR="00C12642" w:rsidRPr="00A645FB" w:rsidRDefault="00C12642" w:rsidP="00007541">
            <w:pPr>
              <w:spacing w:after="0"/>
              <w:rPr>
                <w:rFonts w:ascii="Arial" w:hAnsi="Arial" w:cs="Arial"/>
                <w:color w:val="000000"/>
                <w:sz w:val="16"/>
                <w:szCs w:val="16"/>
              </w:rPr>
            </w:pPr>
            <w:r w:rsidRPr="00A645FB">
              <w:rPr>
                <w:rFonts w:ascii="Arial" w:hAnsi="Arial" w:cs="Arial"/>
                <w:color w:val="000000"/>
                <w:sz w:val="16"/>
                <w:szCs w:val="16"/>
              </w:rPr>
              <w:t>Not assessable</w:t>
            </w:r>
          </w:p>
        </w:tc>
        <w:tc>
          <w:tcPr>
            <w:tcW w:w="851" w:type="dxa"/>
            <w:tcBorders>
              <w:top w:val="nil"/>
              <w:left w:val="nil"/>
              <w:bottom w:val="single" w:sz="4" w:space="0" w:color="808080" w:themeColor="background1" w:themeShade="80"/>
              <w:right w:val="nil"/>
            </w:tcBorders>
            <w:shd w:val="clear" w:color="auto" w:fill="auto"/>
            <w:vAlign w:val="center"/>
            <w:hideMark/>
          </w:tcPr>
          <w:p w14:paraId="56037183"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6.3</w:t>
            </w:r>
          </w:p>
        </w:tc>
        <w:tc>
          <w:tcPr>
            <w:tcW w:w="851" w:type="dxa"/>
            <w:tcBorders>
              <w:top w:val="nil"/>
              <w:left w:val="nil"/>
              <w:bottom w:val="single" w:sz="4" w:space="0" w:color="808080" w:themeColor="background1" w:themeShade="80"/>
              <w:right w:val="nil"/>
            </w:tcBorders>
            <w:shd w:val="clear" w:color="auto" w:fill="auto"/>
            <w:vAlign w:val="center"/>
            <w:hideMark/>
          </w:tcPr>
          <w:p w14:paraId="5D26965D"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4.5</w:t>
            </w:r>
          </w:p>
        </w:tc>
        <w:tc>
          <w:tcPr>
            <w:tcW w:w="851" w:type="dxa"/>
            <w:tcBorders>
              <w:top w:val="nil"/>
              <w:left w:val="nil"/>
              <w:bottom w:val="single" w:sz="4" w:space="0" w:color="808080" w:themeColor="background1" w:themeShade="80"/>
              <w:right w:val="nil"/>
            </w:tcBorders>
            <w:shd w:val="clear" w:color="auto" w:fill="auto"/>
            <w:vAlign w:val="center"/>
            <w:hideMark/>
          </w:tcPr>
          <w:p w14:paraId="2C635D94"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4.7</w:t>
            </w:r>
          </w:p>
        </w:tc>
        <w:tc>
          <w:tcPr>
            <w:tcW w:w="851" w:type="dxa"/>
            <w:tcBorders>
              <w:top w:val="nil"/>
              <w:left w:val="nil"/>
              <w:bottom w:val="single" w:sz="4" w:space="0" w:color="808080" w:themeColor="background1" w:themeShade="80"/>
              <w:right w:val="nil"/>
            </w:tcBorders>
            <w:shd w:val="clear" w:color="auto" w:fill="auto"/>
            <w:vAlign w:val="center"/>
            <w:hideMark/>
          </w:tcPr>
          <w:p w14:paraId="7B09D0E7"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4.4</w:t>
            </w:r>
          </w:p>
        </w:tc>
        <w:tc>
          <w:tcPr>
            <w:tcW w:w="851" w:type="dxa"/>
            <w:tcBorders>
              <w:top w:val="nil"/>
              <w:left w:val="nil"/>
              <w:bottom w:val="single" w:sz="4" w:space="0" w:color="808080" w:themeColor="background1" w:themeShade="80"/>
              <w:right w:val="single" w:sz="8" w:space="0" w:color="808080"/>
            </w:tcBorders>
            <w:shd w:val="clear" w:color="auto" w:fill="auto"/>
            <w:vAlign w:val="center"/>
            <w:hideMark/>
          </w:tcPr>
          <w:p w14:paraId="42A01B77"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3.9</w:t>
            </w:r>
          </w:p>
        </w:tc>
      </w:tr>
      <w:tr w:rsidR="00C12642" w:rsidRPr="00A645FB" w14:paraId="6E4BA8F8" w14:textId="77777777" w:rsidTr="00C36529">
        <w:trPr>
          <w:trHeight w:val="464"/>
        </w:trPr>
        <w:tc>
          <w:tcPr>
            <w:tcW w:w="1563" w:type="dxa"/>
            <w:vMerge w:val="restart"/>
            <w:tcBorders>
              <w:top w:val="nil"/>
              <w:left w:val="nil"/>
              <w:bottom w:val="single" w:sz="8" w:space="0" w:color="808080"/>
              <w:right w:val="nil"/>
            </w:tcBorders>
            <w:shd w:val="clear" w:color="000000" w:fill="808080"/>
            <w:vAlign w:val="center"/>
            <w:hideMark/>
          </w:tcPr>
          <w:p w14:paraId="294F672E" w14:textId="77777777" w:rsidR="00C12642" w:rsidRPr="00A645FB" w:rsidRDefault="00C12642" w:rsidP="00007541">
            <w:pPr>
              <w:spacing w:after="0"/>
              <w:rPr>
                <w:rFonts w:ascii="Arial" w:hAnsi="Arial" w:cs="Arial"/>
                <w:color w:val="FFFFFF"/>
                <w:sz w:val="18"/>
                <w:szCs w:val="18"/>
              </w:rPr>
            </w:pPr>
            <w:r w:rsidRPr="00A645FB">
              <w:rPr>
                <w:rFonts w:ascii="Arial" w:hAnsi="Arial" w:cs="Arial"/>
                <w:color w:val="FFFFFF"/>
                <w:sz w:val="18"/>
                <w:szCs w:val="18"/>
              </w:rPr>
              <w:t>Appropriateness</w:t>
            </w:r>
          </w:p>
        </w:tc>
        <w:tc>
          <w:tcPr>
            <w:tcW w:w="3223" w:type="dxa"/>
            <w:tcBorders>
              <w:top w:val="single" w:sz="12" w:space="0" w:color="808080" w:themeColor="background1" w:themeShade="80"/>
              <w:left w:val="nil"/>
              <w:bottom w:val="single" w:sz="8" w:space="0" w:color="808080"/>
              <w:right w:val="nil"/>
            </w:tcBorders>
            <w:shd w:val="clear" w:color="auto" w:fill="D9D9D9" w:themeFill="background1" w:themeFillShade="D9"/>
            <w:vAlign w:val="center"/>
            <w:hideMark/>
          </w:tcPr>
          <w:p w14:paraId="66362B7F" w14:textId="77777777" w:rsidR="00C12642" w:rsidRDefault="00C12642" w:rsidP="00007541">
            <w:pPr>
              <w:spacing w:after="0"/>
              <w:rPr>
                <w:rFonts w:ascii="Arial" w:hAnsi="Arial" w:cs="Arial"/>
                <w:color w:val="000000"/>
                <w:sz w:val="16"/>
                <w:szCs w:val="16"/>
              </w:rPr>
            </w:pPr>
            <w:r w:rsidRPr="00A645FB">
              <w:rPr>
                <w:rFonts w:ascii="Arial" w:hAnsi="Arial" w:cs="Arial"/>
                <w:color w:val="000000"/>
                <w:sz w:val="16"/>
                <w:szCs w:val="16"/>
              </w:rPr>
              <w:t xml:space="preserve">Appropriate </w:t>
            </w:r>
          </w:p>
          <w:p w14:paraId="472F9488" w14:textId="77777777" w:rsidR="00C12642" w:rsidRPr="00A645FB" w:rsidRDefault="00C12642" w:rsidP="00007541">
            <w:pPr>
              <w:spacing w:after="0"/>
              <w:rPr>
                <w:rFonts w:ascii="Arial" w:hAnsi="Arial" w:cs="Arial"/>
                <w:color w:val="000000"/>
                <w:sz w:val="16"/>
                <w:szCs w:val="16"/>
              </w:rPr>
            </w:pPr>
            <w:r w:rsidRPr="00A645FB">
              <w:rPr>
                <w:rFonts w:ascii="Arial" w:hAnsi="Arial" w:cs="Arial"/>
                <w:color w:val="000000"/>
                <w:sz w:val="16"/>
                <w:szCs w:val="16"/>
              </w:rPr>
              <w:t>(optimal and adequate)</w:t>
            </w:r>
          </w:p>
        </w:tc>
        <w:tc>
          <w:tcPr>
            <w:tcW w:w="851" w:type="dxa"/>
            <w:tcBorders>
              <w:top w:val="single" w:sz="12" w:space="0" w:color="808080" w:themeColor="background1" w:themeShade="80"/>
              <w:left w:val="nil"/>
              <w:bottom w:val="single" w:sz="8" w:space="0" w:color="808080"/>
              <w:right w:val="nil"/>
            </w:tcBorders>
            <w:shd w:val="clear" w:color="auto" w:fill="D9D9D9" w:themeFill="background1" w:themeFillShade="D9"/>
            <w:vAlign w:val="center"/>
          </w:tcPr>
          <w:p w14:paraId="076206BE"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70.8</w:t>
            </w:r>
          </w:p>
        </w:tc>
        <w:tc>
          <w:tcPr>
            <w:tcW w:w="851" w:type="dxa"/>
            <w:tcBorders>
              <w:top w:val="single" w:sz="12" w:space="0" w:color="808080" w:themeColor="background1" w:themeShade="80"/>
              <w:left w:val="nil"/>
              <w:bottom w:val="single" w:sz="8" w:space="0" w:color="808080"/>
              <w:right w:val="nil"/>
            </w:tcBorders>
            <w:shd w:val="clear" w:color="auto" w:fill="D9D9D9" w:themeFill="background1" w:themeFillShade="D9"/>
            <w:vAlign w:val="center"/>
          </w:tcPr>
          <w:p w14:paraId="56A958A0"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72.3</w:t>
            </w:r>
          </w:p>
        </w:tc>
        <w:tc>
          <w:tcPr>
            <w:tcW w:w="851" w:type="dxa"/>
            <w:tcBorders>
              <w:top w:val="single" w:sz="12" w:space="0" w:color="808080" w:themeColor="background1" w:themeShade="80"/>
              <w:left w:val="nil"/>
              <w:bottom w:val="single" w:sz="8" w:space="0" w:color="808080"/>
              <w:right w:val="nil"/>
            </w:tcBorders>
            <w:shd w:val="clear" w:color="auto" w:fill="D9D9D9" w:themeFill="background1" w:themeFillShade="D9"/>
            <w:vAlign w:val="center"/>
          </w:tcPr>
          <w:p w14:paraId="39B9D568"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73.2</w:t>
            </w:r>
          </w:p>
        </w:tc>
        <w:tc>
          <w:tcPr>
            <w:tcW w:w="851" w:type="dxa"/>
            <w:tcBorders>
              <w:top w:val="single" w:sz="12" w:space="0" w:color="808080" w:themeColor="background1" w:themeShade="80"/>
              <w:left w:val="nil"/>
              <w:bottom w:val="single" w:sz="8" w:space="0" w:color="808080"/>
              <w:right w:val="nil"/>
            </w:tcBorders>
            <w:shd w:val="clear" w:color="auto" w:fill="D9D9D9" w:themeFill="background1" w:themeFillShade="D9"/>
            <w:vAlign w:val="center"/>
          </w:tcPr>
          <w:p w14:paraId="293CC41C"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72.1</w:t>
            </w:r>
          </w:p>
        </w:tc>
        <w:tc>
          <w:tcPr>
            <w:tcW w:w="851" w:type="dxa"/>
            <w:tcBorders>
              <w:top w:val="single" w:sz="12" w:space="0" w:color="808080" w:themeColor="background1" w:themeShade="80"/>
              <w:left w:val="nil"/>
              <w:bottom w:val="single" w:sz="8" w:space="0" w:color="808080"/>
              <w:right w:val="single" w:sz="8" w:space="0" w:color="808080"/>
            </w:tcBorders>
            <w:shd w:val="clear" w:color="auto" w:fill="D9D9D9" w:themeFill="background1" w:themeFillShade="D9"/>
            <w:vAlign w:val="center"/>
          </w:tcPr>
          <w:p w14:paraId="1B3C2B09"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72.9</w:t>
            </w:r>
          </w:p>
        </w:tc>
      </w:tr>
      <w:tr w:rsidR="00C12642" w:rsidRPr="00A645FB" w14:paraId="4ACAB845" w14:textId="77777777" w:rsidTr="00C36529">
        <w:trPr>
          <w:trHeight w:val="454"/>
        </w:trPr>
        <w:tc>
          <w:tcPr>
            <w:tcW w:w="1563" w:type="dxa"/>
            <w:vMerge/>
            <w:tcBorders>
              <w:top w:val="nil"/>
              <w:left w:val="nil"/>
              <w:bottom w:val="single" w:sz="8" w:space="0" w:color="808080"/>
              <w:right w:val="nil"/>
            </w:tcBorders>
            <w:vAlign w:val="center"/>
            <w:hideMark/>
          </w:tcPr>
          <w:p w14:paraId="679E34D7" w14:textId="77777777" w:rsidR="00C12642" w:rsidRPr="00A645FB" w:rsidRDefault="00C12642" w:rsidP="00007541">
            <w:pPr>
              <w:spacing w:after="0"/>
              <w:rPr>
                <w:rFonts w:ascii="Arial" w:hAnsi="Arial" w:cs="Arial"/>
                <w:color w:val="FFFFFF"/>
                <w:sz w:val="18"/>
                <w:szCs w:val="18"/>
              </w:rPr>
            </w:pPr>
          </w:p>
        </w:tc>
        <w:tc>
          <w:tcPr>
            <w:tcW w:w="3223" w:type="dxa"/>
            <w:tcBorders>
              <w:top w:val="single" w:sz="2" w:space="0" w:color="000000" w:themeColor="text1"/>
              <w:left w:val="nil"/>
              <w:bottom w:val="single" w:sz="8" w:space="0" w:color="808080"/>
              <w:right w:val="nil"/>
            </w:tcBorders>
            <w:shd w:val="clear" w:color="auto" w:fill="D9D9D9" w:themeFill="background1" w:themeFillShade="D9"/>
            <w:vAlign w:val="center"/>
            <w:hideMark/>
          </w:tcPr>
          <w:p w14:paraId="3B5E1AF6" w14:textId="77777777" w:rsidR="00C12642" w:rsidRDefault="00C12642" w:rsidP="00007541">
            <w:pPr>
              <w:spacing w:after="0"/>
              <w:rPr>
                <w:rFonts w:ascii="Arial" w:hAnsi="Arial" w:cs="Arial"/>
                <w:color w:val="000000"/>
                <w:sz w:val="16"/>
                <w:szCs w:val="16"/>
              </w:rPr>
            </w:pPr>
            <w:r w:rsidRPr="00A645FB">
              <w:rPr>
                <w:rFonts w:ascii="Arial" w:hAnsi="Arial" w:cs="Arial"/>
                <w:color w:val="000000"/>
                <w:sz w:val="16"/>
                <w:szCs w:val="16"/>
              </w:rPr>
              <w:t xml:space="preserve">Inappropriate </w:t>
            </w:r>
          </w:p>
          <w:p w14:paraId="243D16B3" w14:textId="77777777" w:rsidR="00C12642" w:rsidRPr="00A645FB" w:rsidRDefault="00C12642" w:rsidP="00007541">
            <w:pPr>
              <w:spacing w:after="0"/>
              <w:rPr>
                <w:rFonts w:ascii="Arial" w:hAnsi="Arial" w:cs="Arial"/>
                <w:color w:val="000000"/>
                <w:sz w:val="16"/>
                <w:szCs w:val="16"/>
              </w:rPr>
            </w:pPr>
            <w:r w:rsidRPr="00A645FB">
              <w:rPr>
                <w:rFonts w:ascii="Arial" w:hAnsi="Arial" w:cs="Arial"/>
                <w:color w:val="000000"/>
                <w:sz w:val="16"/>
                <w:szCs w:val="16"/>
              </w:rPr>
              <w:t>(suboptimal and inadequate)</w:t>
            </w:r>
          </w:p>
        </w:tc>
        <w:tc>
          <w:tcPr>
            <w:tcW w:w="851" w:type="dxa"/>
            <w:tcBorders>
              <w:top w:val="single" w:sz="2" w:space="0" w:color="000000" w:themeColor="text1"/>
              <w:left w:val="nil"/>
              <w:bottom w:val="single" w:sz="8" w:space="0" w:color="808080"/>
              <w:right w:val="nil"/>
            </w:tcBorders>
            <w:shd w:val="clear" w:color="auto" w:fill="D9D9D9" w:themeFill="background1" w:themeFillShade="D9"/>
            <w:vAlign w:val="center"/>
          </w:tcPr>
          <w:p w14:paraId="569CA7DE"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22.9</w:t>
            </w:r>
          </w:p>
        </w:tc>
        <w:tc>
          <w:tcPr>
            <w:tcW w:w="851" w:type="dxa"/>
            <w:tcBorders>
              <w:top w:val="single" w:sz="2" w:space="0" w:color="000000" w:themeColor="text1"/>
              <w:left w:val="nil"/>
              <w:bottom w:val="single" w:sz="8" w:space="0" w:color="808080"/>
              <w:right w:val="nil"/>
            </w:tcBorders>
            <w:shd w:val="clear" w:color="auto" w:fill="D9D9D9" w:themeFill="background1" w:themeFillShade="D9"/>
            <w:vAlign w:val="center"/>
          </w:tcPr>
          <w:p w14:paraId="52E0DD7E"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23.0</w:t>
            </w:r>
          </w:p>
        </w:tc>
        <w:tc>
          <w:tcPr>
            <w:tcW w:w="851" w:type="dxa"/>
            <w:tcBorders>
              <w:top w:val="single" w:sz="2" w:space="0" w:color="000000" w:themeColor="text1"/>
              <w:left w:val="nil"/>
              <w:bottom w:val="single" w:sz="8" w:space="0" w:color="808080"/>
              <w:right w:val="nil"/>
            </w:tcBorders>
            <w:shd w:val="clear" w:color="auto" w:fill="D9D9D9" w:themeFill="background1" w:themeFillShade="D9"/>
            <w:vAlign w:val="center"/>
          </w:tcPr>
          <w:p w14:paraId="179E0F8E"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21.9</w:t>
            </w:r>
          </w:p>
        </w:tc>
        <w:tc>
          <w:tcPr>
            <w:tcW w:w="851" w:type="dxa"/>
            <w:tcBorders>
              <w:top w:val="single" w:sz="2" w:space="0" w:color="000000" w:themeColor="text1"/>
              <w:left w:val="nil"/>
              <w:bottom w:val="single" w:sz="8" w:space="0" w:color="808080"/>
              <w:right w:val="nil"/>
            </w:tcBorders>
            <w:shd w:val="clear" w:color="auto" w:fill="D9D9D9" w:themeFill="background1" w:themeFillShade="D9"/>
            <w:vAlign w:val="center"/>
          </w:tcPr>
          <w:p w14:paraId="25C779D4"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22.6</w:t>
            </w:r>
          </w:p>
        </w:tc>
        <w:tc>
          <w:tcPr>
            <w:tcW w:w="851" w:type="dxa"/>
            <w:tcBorders>
              <w:top w:val="single" w:sz="2" w:space="0" w:color="000000" w:themeColor="text1"/>
              <w:left w:val="nil"/>
              <w:bottom w:val="single" w:sz="8" w:space="0" w:color="808080"/>
              <w:right w:val="single" w:sz="8" w:space="0" w:color="808080"/>
            </w:tcBorders>
            <w:shd w:val="clear" w:color="auto" w:fill="D9D9D9" w:themeFill="background1" w:themeFillShade="D9"/>
            <w:vAlign w:val="center"/>
          </w:tcPr>
          <w:p w14:paraId="7099792D"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22.4</w:t>
            </w:r>
          </w:p>
        </w:tc>
      </w:tr>
      <w:tr w:rsidR="00C12642" w:rsidRPr="00A645FB" w14:paraId="13058F36" w14:textId="77777777" w:rsidTr="00C36529">
        <w:trPr>
          <w:trHeight w:val="454"/>
        </w:trPr>
        <w:tc>
          <w:tcPr>
            <w:tcW w:w="1563" w:type="dxa"/>
            <w:vMerge/>
            <w:tcBorders>
              <w:top w:val="nil"/>
              <w:left w:val="nil"/>
              <w:bottom w:val="single" w:sz="8" w:space="0" w:color="808080"/>
              <w:right w:val="nil"/>
            </w:tcBorders>
            <w:vAlign w:val="center"/>
            <w:hideMark/>
          </w:tcPr>
          <w:p w14:paraId="5E0C11E5" w14:textId="77777777" w:rsidR="00C12642" w:rsidRPr="00A645FB" w:rsidRDefault="00C12642" w:rsidP="00007541">
            <w:pPr>
              <w:spacing w:after="0"/>
              <w:rPr>
                <w:rFonts w:ascii="Arial" w:hAnsi="Arial" w:cs="Arial"/>
                <w:color w:val="FFFFFF"/>
                <w:sz w:val="18"/>
                <w:szCs w:val="18"/>
              </w:rPr>
            </w:pPr>
          </w:p>
        </w:tc>
        <w:tc>
          <w:tcPr>
            <w:tcW w:w="3223" w:type="dxa"/>
            <w:tcBorders>
              <w:top w:val="single" w:sz="2" w:space="0" w:color="000000" w:themeColor="text1"/>
              <w:left w:val="nil"/>
              <w:bottom w:val="single" w:sz="8" w:space="0" w:color="808080"/>
              <w:right w:val="nil"/>
            </w:tcBorders>
            <w:shd w:val="clear" w:color="auto" w:fill="D9D9D9" w:themeFill="background1" w:themeFillShade="D9"/>
            <w:vAlign w:val="center"/>
            <w:hideMark/>
          </w:tcPr>
          <w:p w14:paraId="10176E70" w14:textId="77777777" w:rsidR="00C12642" w:rsidRPr="00A645FB" w:rsidRDefault="00C12642" w:rsidP="00007541">
            <w:pPr>
              <w:spacing w:after="0"/>
              <w:rPr>
                <w:rFonts w:ascii="Arial" w:hAnsi="Arial" w:cs="Arial"/>
                <w:color w:val="000000"/>
                <w:sz w:val="16"/>
                <w:szCs w:val="16"/>
              </w:rPr>
            </w:pPr>
            <w:r w:rsidRPr="00A645FB">
              <w:rPr>
                <w:rFonts w:ascii="Arial" w:hAnsi="Arial" w:cs="Arial"/>
                <w:color w:val="000000"/>
                <w:sz w:val="16"/>
                <w:szCs w:val="16"/>
              </w:rPr>
              <w:t>Not assessable</w:t>
            </w:r>
          </w:p>
        </w:tc>
        <w:tc>
          <w:tcPr>
            <w:tcW w:w="851" w:type="dxa"/>
            <w:tcBorders>
              <w:top w:val="single" w:sz="2" w:space="0" w:color="000000" w:themeColor="text1"/>
              <w:left w:val="nil"/>
              <w:bottom w:val="single" w:sz="8" w:space="0" w:color="808080"/>
              <w:right w:val="nil"/>
            </w:tcBorders>
            <w:shd w:val="clear" w:color="auto" w:fill="D9D9D9" w:themeFill="background1" w:themeFillShade="D9"/>
            <w:vAlign w:val="center"/>
            <w:hideMark/>
          </w:tcPr>
          <w:p w14:paraId="6DF475E8"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6.3</w:t>
            </w:r>
          </w:p>
        </w:tc>
        <w:tc>
          <w:tcPr>
            <w:tcW w:w="851" w:type="dxa"/>
            <w:tcBorders>
              <w:top w:val="single" w:sz="2" w:space="0" w:color="000000" w:themeColor="text1"/>
              <w:left w:val="nil"/>
              <w:bottom w:val="single" w:sz="8" w:space="0" w:color="808080"/>
              <w:right w:val="nil"/>
            </w:tcBorders>
            <w:shd w:val="clear" w:color="auto" w:fill="D9D9D9" w:themeFill="background1" w:themeFillShade="D9"/>
            <w:vAlign w:val="center"/>
            <w:hideMark/>
          </w:tcPr>
          <w:p w14:paraId="565C4076"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4.7</w:t>
            </w:r>
          </w:p>
        </w:tc>
        <w:tc>
          <w:tcPr>
            <w:tcW w:w="851" w:type="dxa"/>
            <w:tcBorders>
              <w:top w:val="single" w:sz="2" w:space="0" w:color="000000" w:themeColor="text1"/>
              <w:left w:val="nil"/>
              <w:bottom w:val="single" w:sz="8" w:space="0" w:color="808080"/>
              <w:right w:val="nil"/>
            </w:tcBorders>
            <w:shd w:val="clear" w:color="auto" w:fill="D9D9D9" w:themeFill="background1" w:themeFillShade="D9"/>
            <w:vAlign w:val="center"/>
            <w:hideMark/>
          </w:tcPr>
          <w:p w14:paraId="2C21E063"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5.0</w:t>
            </w:r>
          </w:p>
        </w:tc>
        <w:tc>
          <w:tcPr>
            <w:tcW w:w="851" w:type="dxa"/>
            <w:tcBorders>
              <w:top w:val="single" w:sz="2" w:space="0" w:color="000000" w:themeColor="text1"/>
              <w:left w:val="nil"/>
              <w:bottom w:val="single" w:sz="8" w:space="0" w:color="808080"/>
              <w:right w:val="nil"/>
            </w:tcBorders>
            <w:shd w:val="clear" w:color="auto" w:fill="D9D9D9" w:themeFill="background1" w:themeFillShade="D9"/>
            <w:vAlign w:val="center"/>
            <w:hideMark/>
          </w:tcPr>
          <w:p w14:paraId="2AA9F08F"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5.3</w:t>
            </w:r>
          </w:p>
        </w:tc>
        <w:tc>
          <w:tcPr>
            <w:tcW w:w="851" w:type="dxa"/>
            <w:tcBorders>
              <w:top w:val="single" w:sz="2" w:space="0" w:color="000000" w:themeColor="text1"/>
              <w:left w:val="nil"/>
              <w:bottom w:val="single" w:sz="8" w:space="0" w:color="808080"/>
              <w:right w:val="single" w:sz="8" w:space="0" w:color="808080"/>
            </w:tcBorders>
            <w:shd w:val="clear" w:color="auto" w:fill="D9D9D9" w:themeFill="background1" w:themeFillShade="D9"/>
            <w:vAlign w:val="center"/>
            <w:hideMark/>
          </w:tcPr>
          <w:p w14:paraId="547E7970" w14:textId="77777777" w:rsidR="00C12642" w:rsidRPr="00200FF6" w:rsidRDefault="00C12642" w:rsidP="00007541">
            <w:pPr>
              <w:spacing w:after="0"/>
              <w:jc w:val="center"/>
              <w:rPr>
                <w:rFonts w:ascii="Arial" w:hAnsi="Arial" w:cs="Arial"/>
                <w:color w:val="000000"/>
                <w:sz w:val="16"/>
                <w:szCs w:val="16"/>
              </w:rPr>
            </w:pPr>
            <w:r w:rsidRPr="00200FF6">
              <w:rPr>
                <w:rFonts w:ascii="Arial" w:hAnsi="Arial" w:cs="Arial"/>
                <w:color w:val="000000"/>
                <w:sz w:val="16"/>
                <w:szCs w:val="16"/>
              </w:rPr>
              <w:t>4.7</w:t>
            </w:r>
          </w:p>
        </w:tc>
      </w:tr>
    </w:tbl>
    <w:p w14:paraId="5753D612" w14:textId="6CA3E32C" w:rsidR="00C12642" w:rsidRPr="00557374" w:rsidRDefault="00C12642" w:rsidP="00C12642">
      <w:pPr>
        <w:pStyle w:val="Captions"/>
        <w:spacing w:before="0" w:after="0"/>
        <w:rPr>
          <w:sz w:val="18"/>
        </w:rPr>
      </w:pPr>
      <w:proofErr w:type="spellStart"/>
      <w:r w:rsidRPr="00557374">
        <w:rPr>
          <w:sz w:val="18"/>
        </w:rPr>
        <w:t>na</w:t>
      </w:r>
      <w:proofErr w:type="spellEnd"/>
      <w:r w:rsidRPr="00557374">
        <w:rPr>
          <w:sz w:val="18"/>
        </w:rPr>
        <w:t xml:space="preserve"> - not applicable</w:t>
      </w:r>
      <w:r w:rsidR="00AF4957" w:rsidRPr="00557374">
        <w:rPr>
          <w:sz w:val="18"/>
        </w:rPr>
        <w:t xml:space="preserve"> as that indicator was introduced in 2014.</w:t>
      </w:r>
    </w:p>
    <w:p w14:paraId="46484702" w14:textId="77777777" w:rsidR="00C12642" w:rsidRPr="007A3EC3" w:rsidRDefault="00C12642" w:rsidP="005507AF">
      <w:pPr>
        <w:rPr>
          <w:sz w:val="10"/>
          <w:szCs w:val="10"/>
        </w:rPr>
      </w:pPr>
    </w:p>
    <w:p w14:paraId="647EF2F4" w14:textId="3054096E" w:rsidR="00C12642" w:rsidRPr="00340CA0" w:rsidRDefault="002A31D0" w:rsidP="00557374">
      <w:pPr>
        <w:pStyle w:val="FigureTitle"/>
        <w:spacing w:after="120"/>
      </w:pPr>
      <w:r>
        <w:t>Table 7</w:t>
      </w:r>
      <w:r w:rsidR="00557374">
        <w:t xml:space="preserve">: </w:t>
      </w:r>
      <w:r w:rsidR="00C12642">
        <w:t xml:space="preserve">Hospital NAPS key indicators, </w:t>
      </w:r>
      <w:r w:rsidR="00C74A2E">
        <w:t>2013–</w:t>
      </w:r>
      <w:r w:rsidR="00C12642" w:rsidRPr="00340CA0">
        <w:t>201</w:t>
      </w:r>
      <w:r w:rsidR="00C12642">
        <w:t xml:space="preserve">7 </w:t>
      </w:r>
    </w:p>
    <w:tbl>
      <w:tblPr>
        <w:tblW w:w="9889" w:type="dxa"/>
        <w:tblLayout w:type="fixed"/>
        <w:tblLook w:val="04A0" w:firstRow="1" w:lastRow="0" w:firstColumn="1" w:lastColumn="0" w:noHBand="0" w:noVBand="1"/>
      </w:tblPr>
      <w:tblGrid>
        <w:gridCol w:w="5018"/>
        <w:gridCol w:w="1044"/>
        <w:gridCol w:w="992"/>
        <w:gridCol w:w="851"/>
        <w:gridCol w:w="1134"/>
        <w:gridCol w:w="850"/>
      </w:tblGrid>
      <w:tr w:rsidR="00C12642" w:rsidRPr="00A645FB" w14:paraId="79DC4A2A" w14:textId="77777777" w:rsidTr="00C36529">
        <w:trPr>
          <w:trHeight w:val="437"/>
        </w:trPr>
        <w:tc>
          <w:tcPr>
            <w:tcW w:w="5018" w:type="dxa"/>
            <w:vMerge w:val="restart"/>
            <w:tcBorders>
              <w:top w:val="single" w:sz="12" w:space="0" w:color="808080"/>
              <w:left w:val="nil"/>
              <w:bottom w:val="single" w:sz="8" w:space="0" w:color="FFFFFF"/>
              <w:right w:val="nil"/>
            </w:tcBorders>
            <w:shd w:val="clear" w:color="000000" w:fill="808080"/>
            <w:vAlign w:val="center"/>
            <w:hideMark/>
          </w:tcPr>
          <w:p w14:paraId="753B5E5E" w14:textId="77777777" w:rsidR="00C12642" w:rsidRPr="00A645FB" w:rsidRDefault="00C12642" w:rsidP="00007541">
            <w:pPr>
              <w:spacing w:after="0"/>
              <w:rPr>
                <w:rFonts w:ascii="Arial" w:hAnsi="Arial" w:cs="Arial"/>
                <w:b/>
                <w:bCs/>
                <w:color w:val="FFFFFF"/>
                <w:sz w:val="20"/>
                <w:szCs w:val="20"/>
              </w:rPr>
            </w:pPr>
            <w:r w:rsidRPr="00A645FB">
              <w:rPr>
                <w:rFonts w:ascii="Arial" w:hAnsi="Arial" w:cs="Arial"/>
                <w:b/>
                <w:bCs/>
                <w:color w:val="FFFFFF"/>
                <w:sz w:val="20"/>
                <w:szCs w:val="20"/>
              </w:rPr>
              <w:t>Key indicator</w:t>
            </w:r>
          </w:p>
        </w:tc>
        <w:tc>
          <w:tcPr>
            <w:tcW w:w="4871" w:type="dxa"/>
            <w:gridSpan w:val="5"/>
            <w:tcBorders>
              <w:top w:val="nil"/>
              <w:left w:val="nil"/>
              <w:bottom w:val="nil"/>
              <w:right w:val="single" w:sz="8" w:space="0" w:color="FFFFFF"/>
            </w:tcBorders>
            <w:shd w:val="clear" w:color="000000" w:fill="808080"/>
            <w:vAlign w:val="center"/>
            <w:hideMark/>
          </w:tcPr>
          <w:p w14:paraId="01A0334A" w14:textId="186A6BE7" w:rsidR="00C12642" w:rsidRPr="00A645FB" w:rsidRDefault="00C12642" w:rsidP="00007541">
            <w:pPr>
              <w:spacing w:after="0"/>
              <w:jc w:val="center"/>
              <w:rPr>
                <w:rFonts w:ascii="Arial" w:hAnsi="Arial" w:cs="Arial"/>
                <w:b/>
                <w:bCs/>
                <w:color w:val="FFFFFF"/>
                <w:sz w:val="18"/>
                <w:szCs w:val="18"/>
              </w:rPr>
            </w:pPr>
            <w:r w:rsidRPr="00A645FB">
              <w:rPr>
                <w:rFonts w:ascii="Arial" w:hAnsi="Arial" w:cs="Arial"/>
                <w:b/>
                <w:bCs/>
                <w:color w:val="FFFFFF"/>
                <w:sz w:val="18"/>
                <w:szCs w:val="18"/>
              </w:rPr>
              <w:t>Percentage of total prescriptions</w:t>
            </w:r>
            <w:r w:rsidR="00752DB4">
              <w:rPr>
                <w:rFonts w:ascii="Arial" w:hAnsi="Arial" w:cs="Arial"/>
                <w:b/>
                <w:bCs/>
                <w:color w:val="FFFFFF"/>
                <w:sz w:val="18"/>
                <w:szCs w:val="18"/>
              </w:rPr>
              <w:t xml:space="preserve"> (%) </w:t>
            </w:r>
          </w:p>
        </w:tc>
      </w:tr>
      <w:tr w:rsidR="00C12642" w:rsidRPr="00A645FB" w14:paraId="16080ED2" w14:textId="77777777" w:rsidTr="00C36529">
        <w:trPr>
          <w:trHeight w:val="437"/>
        </w:trPr>
        <w:tc>
          <w:tcPr>
            <w:tcW w:w="5018" w:type="dxa"/>
            <w:vMerge/>
            <w:tcBorders>
              <w:top w:val="single" w:sz="12" w:space="0" w:color="808080"/>
              <w:left w:val="nil"/>
              <w:bottom w:val="single" w:sz="8" w:space="0" w:color="FFFFFF"/>
              <w:right w:val="nil"/>
            </w:tcBorders>
            <w:vAlign w:val="center"/>
            <w:hideMark/>
          </w:tcPr>
          <w:p w14:paraId="13161483" w14:textId="77777777" w:rsidR="00C12642" w:rsidRPr="00A645FB" w:rsidRDefault="00C12642" w:rsidP="00007541">
            <w:pPr>
              <w:spacing w:after="0"/>
              <w:rPr>
                <w:rFonts w:ascii="Arial" w:hAnsi="Arial" w:cs="Arial"/>
                <w:b/>
                <w:bCs/>
                <w:color w:val="FFFFFF"/>
                <w:sz w:val="20"/>
                <w:szCs w:val="20"/>
              </w:rPr>
            </w:pPr>
          </w:p>
        </w:tc>
        <w:tc>
          <w:tcPr>
            <w:tcW w:w="1044" w:type="dxa"/>
            <w:tcBorders>
              <w:top w:val="nil"/>
              <w:left w:val="nil"/>
              <w:bottom w:val="single" w:sz="8" w:space="0" w:color="808080"/>
              <w:right w:val="nil"/>
            </w:tcBorders>
            <w:shd w:val="clear" w:color="000000" w:fill="808080"/>
            <w:vAlign w:val="center"/>
            <w:hideMark/>
          </w:tcPr>
          <w:p w14:paraId="511DB025" w14:textId="77777777" w:rsidR="00C12642" w:rsidRPr="00A645FB" w:rsidRDefault="00C12642" w:rsidP="00007541">
            <w:pPr>
              <w:spacing w:after="0"/>
              <w:jc w:val="center"/>
              <w:rPr>
                <w:rFonts w:ascii="Arial" w:hAnsi="Arial" w:cs="Arial"/>
                <w:color w:val="FFFFFF"/>
                <w:sz w:val="18"/>
                <w:szCs w:val="18"/>
              </w:rPr>
            </w:pPr>
            <w:r w:rsidRPr="00A645FB">
              <w:rPr>
                <w:rFonts w:ascii="Arial" w:hAnsi="Arial" w:cs="Arial"/>
                <w:color w:val="FFFFFF"/>
                <w:sz w:val="18"/>
                <w:szCs w:val="18"/>
              </w:rPr>
              <w:t>2013</w:t>
            </w:r>
          </w:p>
        </w:tc>
        <w:tc>
          <w:tcPr>
            <w:tcW w:w="992" w:type="dxa"/>
            <w:tcBorders>
              <w:top w:val="nil"/>
              <w:left w:val="nil"/>
              <w:bottom w:val="single" w:sz="8" w:space="0" w:color="808080"/>
              <w:right w:val="nil"/>
            </w:tcBorders>
            <w:shd w:val="clear" w:color="000000" w:fill="808080"/>
            <w:vAlign w:val="center"/>
            <w:hideMark/>
          </w:tcPr>
          <w:p w14:paraId="7AFB4B03" w14:textId="77777777" w:rsidR="00C12642" w:rsidRPr="00A645FB" w:rsidRDefault="00C12642" w:rsidP="00007541">
            <w:pPr>
              <w:spacing w:after="0"/>
              <w:jc w:val="center"/>
              <w:rPr>
                <w:rFonts w:ascii="Arial" w:hAnsi="Arial" w:cs="Arial"/>
                <w:color w:val="FFFFFF"/>
                <w:sz w:val="18"/>
                <w:szCs w:val="18"/>
              </w:rPr>
            </w:pPr>
            <w:r w:rsidRPr="00A645FB">
              <w:rPr>
                <w:rFonts w:ascii="Arial" w:hAnsi="Arial" w:cs="Arial"/>
                <w:color w:val="FFFFFF"/>
                <w:sz w:val="18"/>
                <w:szCs w:val="18"/>
              </w:rPr>
              <w:t>2014</w:t>
            </w:r>
          </w:p>
        </w:tc>
        <w:tc>
          <w:tcPr>
            <w:tcW w:w="851" w:type="dxa"/>
            <w:tcBorders>
              <w:top w:val="nil"/>
              <w:left w:val="nil"/>
              <w:bottom w:val="single" w:sz="8" w:space="0" w:color="808080"/>
              <w:right w:val="nil"/>
            </w:tcBorders>
            <w:shd w:val="clear" w:color="000000" w:fill="808080"/>
            <w:vAlign w:val="center"/>
            <w:hideMark/>
          </w:tcPr>
          <w:p w14:paraId="1579AE8C" w14:textId="77777777" w:rsidR="00C12642" w:rsidRPr="00A645FB" w:rsidRDefault="00C12642" w:rsidP="00007541">
            <w:pPr>
              <w:spacing w:after="0"/>
              <w:jc w:val="center"/>
              <w:rPr>
                <w:rFonts w:ascii="Arial" w:hAnsi="Arial" w:cs="Arial"/>
                <w:color w:val="FFFFFF"/>
                <w:sz w:val="18"/>
                <w:szCs w:val="18"/>
              </w:rPr>
            </w:pPr>
            <w:r w:rsidRPr="00A645FB">
              <w:rPr>
                <w:rFonts w:ascii="Arial" w:hAnsi="Arial" w:cs="Arial"/>
                <w:color w:val="FFFFFF"/>
                <w:sz w:val="18"/>
                <w:szCs w:val="18"/>
              </w:rPr>
              <w:t>2015</w:t>
            </w:r>
          </w:p>
        </w:tc>
        <w:tc>
          <w:tcPr>
            <w:tcW w:w="1134" w:type="dxa"/>
            <w:tcBorders>
              <w:top w:val="nil"/>
              <w:left w:val="nil"/>
              <w:bottom w:val="single" w:sz="8" w:space="0" w:color="808080"/>
              <w:right w:val="nil"/>
            </w:tcBorders>
            <w:shd w:val="clear" w:color="000000" w:fill="808080"/>
            <w:vAlign w:val="center"/>
            <w:hideMark/>
          </w:tcPr>
          <w:p w14:paraId="7829FF75" w14:textId="77777777" w:rsidR="00C12642" w:rsidRPr="00A645FB" w:rsidRDefault="00C12642" w:rsidP="00007541">
            <w:pPr>
              <w:spacing w:after="0"/>
              <w:jc w:val="center"/>
              <w:rPr>
                <w:rFonts w:ascii="Arial" w:hAnsi="Arial" w:cs="Arial"/>
                <w:color w:val="FFFFFF"/>
                <w:sz w:val="18"/>
                <w:szCs w:val="18"/>
              </w:rPr>
            </w:pPr>
            <w:r w:rsidRPr="00A645FB">
              <w:rPr>
                <w:rFonts w:ascii="Arial" w:hAnsi="Arial" w:cs="Arial"/>
                <w:color w:val="FFFFFF"/>
                <w:sz w:val="18"/>
                <w:szCs w:val="18"/>
              </w:rPr>
              <w:t>2016</w:t>
            </w:r>
          </w:p>
        </w:tc>
        <w:tc>
          <w:tcPr>
            <w:tcW w:w="850" w:type="dxa"/>
            <w:tcBorders>
              <w:top w:val="nil"/>
              <w:left w:val="nil"/>
              <w:bottom w:val="single" w:sz="8" w:space="0" w:color="808080"/>
              <w:right w:val="single" w:sz="8" w:space="0" w:color="FFFFFF"/>
            </w:tcBorders>
            <w:shd w:val="clear" w:color="000000" w:fill="808080"/>
            <w:vAlign w:val="center"/>
            <w:hideMark/>
          </w:tcPr>
          <w:p w14:paraId="7E3A1A18" w14:textId="77777777" w:rsidR="00C12642" w:rsidRPr="00A645FB" w:rsidRDefault="00C12642" w:rsidP="00007541">
            <w:pPr>
              <w:spacing w:after="0"/>
              <w:jc w:val="center"/>
              <w:rPr>
                <w:rFonts w:ascii="Arial" w:hAnsi="Arial" w:cs="Arial"/>
                <w:color w:val="FFFFFF"/>
                <w:sz w:val="18"/>
                <w:szCs w:val="18"/>
              </w:rPr>
            </w:pPr>
            <w:r w:rsidRPr="00A645FB">
              <w:rPr>
                <w:rFonts w:ascii="Arial" w:hAnsi="Arial" w:cs="Arial"/>
                <w:color w:val="FFFFFF"/>
                <w:sz w:val="18"/>
                <w:szCs w:val="18"/>
              </w:rPr>
              <w:t>2017</w:t>
            </w:r>
          </w:p>
        </w:tc>
      </w:tr>
      <w:tr w:rsidR="00C12642" w:rsidRPr="00A645FB" w14:paraId="203BC6EC" w14:textId="77777777" w:rsidTr="00C36529">
        <w:trPr>
          <w:trHeight w:val="227"/>
        </w:trPr>
        <w:tc>
          <w:tcPr>
            <w:tcW w:w="5018" w:type="dxa"/>
            <w:tcBorders>
              <w:top w:val="single" w:sz="8" w:space="0" w:color="FFFFFF"/>
              <w:left w:val="nil"/>
              <w:bottom w:val="nil"/>
              <w:right w:val="nil"/>
            </w:tcBorders>
            <w:shd w:val="clear" w:color="000000" w:fill="808080"/>
            <w:vAlign w:val="center"/>
            <w:hideMark/>
          </w:tcPr>
          <w:p w14:paraId="4E2D4AC1" w14:textId="77777777" w:rsidR="00C12642" w:rsidRPr="00C742CD" w:rsidRDefault="00C12642" w:rsidP="00007541">
            <w:pPr>
              <w:spacing w:after="0"/>
              <w:rPr>
                <w:rFonts w:ascii="Arial" w:hAnsi="Arial" w:cs="Arial"/>
                <w:color w:val="FFFFFF" w:themeColor="background1"/>
                <w:sz w:val="18"/>
                <w:szCs w:val="18"/>
              </w:rPr>
            </w:pPr>
            <w:r w:rsidRPr="00C742CD">
              <w:rPr>
                <w:rFonts w:ascii="Arial" w:hAnsi="Arial" w:cs="Arial"/>
                <w:color w:val="FFFFFF" w:themeColor="background1"/>
                <w:sz w:val="18"/>
                <w:szCs w:val="18"/>
              </w:rPr>
              <w:t xml:space="preserve">Indication documented in medical notes </w:t>
            </w:r>
          </w:p>
        </w:tc>
        <w:tc>
          <w:tcPr>
            <w:tcW w:w="1044" w:type="dxa"/>
            <w:vMerge w:val="restart"/>
            <w:tcBorders>
              <w:top w:val="nil"/>
              <w:left w:val="nil"/>
              <w:bottom w:val="single" w:sz="12" w:space="0" w:color="808080"/>
              <w:right w:val="nil"/>
            </w:tcBorders>
            <w:shd w:val="clear" w:color="auto" w:fill="auto"/>
            <w:vAlign w:val="center"/>
            <w:hideMark/>
          </w:tcPr>
          <w:p w14:paraId="3A99BE5B" w14:textId="77777777" w:rsidR="00C12642" w:rsidRPr="00A645FB" w:rsidRDefault="00C12642" w:rsidP="00007541">
            <w:pPr>
              <w:spacing w:after="0"/>
              <w:jc w:val="center"/>
              <w:rPr>
                <w:rFonts w:ascii="Arial" w:hAnsi="Arial" w:cs="Arial"/>
                <w:color w:val="000000"/>
                <w:sz w:val="16"/>
                <w:szCs w:val="16"/>
              </w:rPr>
            </w:pPr>
            <w:r w:rsidRPr="00A645FB">
              <w:rPr>
                <w:rFonts w:ascii="Arial" w:hAnsi="Arial" w:cs="Arial"/>
                <w:color w:val="000000"/>
                <w:sz w:val="16"/>
                <w:szCs w:val="16"/>
              </w:rPr>
              <w:t>70.9</w:t>
            </w:r>
          </w:p>
        </w:tc>
        <w:tc>
          <w:tcPr>
            <w:tcW w:w="992" w:type="dxa"/>
            <w:vMerge w:val="restart"/>
            <w:tcBorders>
              <w:top w:val="nil"/>
              <w:left w:val="nil"/>
              <w:bottom w:val="single" w:sz="12" w:space="0" w:color="808080"/>
              <w:right w:val="nil"/>
            </w:tcBorders>
            <w:shd w:val="clear" w:color="auto" w:fill="auto"/>
            <w:vAlign w:val="center"/>
            <w:hideMark/>
          </w:tcPr>
          <w:p w14:paraId="372886A5" w14:textId="77777777" w:rsidR="00C12642" w:rsidRPr="00A645FB" w:rsidRDefault="00C12642" w:rsidP="00007541">
            <w:pPr>
              <w:spacing w:after="0"/>
              <w:jc w:val="center"/>
              <w:rPr>
                <w:rFonts w:ascii="Arial" w:hAnsi="Arial" w:cs="Arial"/>
                <w:color w:val="000000"/>
                <w:sz w:val="16"/>
                <w:szCs w:val="16"/>
              </w:rPr>
            </w:pPr>
            <w:r w:rsidRPr="00A645FB">
              <w:rPr>
                <w:rFonts w:ascii="Arial" w:hAnsi="Arial" w:cs="Arial"/>
                <w:color w:val="000000"/>
                <w:sz w:val="16"/>
                <w:szCs w:val="16"/>
              </w:rPr>
              <w:t>74</w:t>
            </w:r>
            <w:r>
              <w:rPr>
                <w:rFonts w:ascii="Arial" w:hAnsi="Arial" w:cs="Arial"/>
                <w:color w:val="000000"/>
                <w:sz w:val="16"/>
                <w:szCs w:val="16"/>
              </w:rPr>
              <w:t>.0</w:t>
            </w:r>
          </w:p>
        </w:tc>
        <w:tc>
          <w:tcPr>
            <w:tcW w:w="851" w:type="dxa"/>
            <w:vMerge w:val="restart"/>
            <w:tcBorders>
              <w:top w:val="nil"/>
              <w:left w:val="nil"/>
              <w:bottom w:val="single" w:sz="12" w:space="0" w:color="808080"/>
              <w:right w:val="nil"/>
            </w:tcBorders>
            <w:shd w:val="clear" w:color="auto" w:fill="auto"/>
            <w:vAlign w:val="center"/>
            <w:hideMark/>
          </w:tcPr>
          <w:p w14:paraId="28C23CC3" w14:textId="77777777" w:rsidR="00C12642" w:rsidRPr="00A645FB" w:rsidRDefault="00C12642" w:rsidP="00007541">
            <w:pPr>
              <w:spacing w:after="0"/>
              <w:jc w:val="center"/>
              <w:rPr>
                <w:rFonts w:ascii="Arial" w:hAnsi="Arial" w:cs="Arial"/>
                <w:color w:val="000000"/>
                <w:sz w:val="16"/>
                <w:szCs w:val="16"/>
              </w:rPr>
            </w:pPr>
            <w:r w:rsidRPr="00A645FB">
              <w:rPr>
                <w:rFonts w:ascii="Arial" w:hAnsi="Arial" w:cs="Arial"/>
                <w:color w:val="000000"/>
                <w:sz w:val="16"/>
                <w:szCs w:val="16"/>
              </w:rPr>
              <w:t>72.5</w:t>
            </w:r>
          </w:p>
        </w:tc>
        <w:tc>
          <w:tcPr>
            <w:tcW w:w="1134" w:type="dxa"/>
            <w:vMerge w:val="restart"/>
            <w:tcBorders>
              <w:top w:val="nil"/>
              <w:left w:val="nil"/>
              <w:bottom w:val="single" w:sz="12" w:space="0" w:color="808080"/>
              <w:right w:val="nil"/>
            </w:tcBorders>
            <w:shd w:val="clear" w:color="auto" w:fill="auto"/>
            <w:vAlign w:val="center"/>
            <w:hideMark/>
          </w:tcPr>
          <w:p w14:paraId="3EA1CFFE" w14:textId="77777777" w:rsidR="00C12642" w:rsidRPr="00A645FB" w:rsidRDefault="00C12642" w:rsidP="00007541">
            <w:pPr>
              <w:spacing w:after="0"/>
              <w:jc w:val="center"/>
              <w:rPr>
                <w:rFonts w:ascii="Arial" w:hAnsi="Arial" w:cs="Arial"/>
                <w:color w:val="000000"/>
                <w:sz w:val="16"/>
                <w:szCs w:val="16"/>
              </w:rPr>
            </w:pPr>
            <w:r w:rsidRPr="00A645FB">
              <w:rPr>
                <w:rFonts w:ascii="Arial" w:hAnsi="Arial" w:cs="Arial"/>
                <w:color w:val="000000"/>
                <w:sz w:val="16"/>
                <w:szCs w:val="16"/>
              </w:rPr>
              <w:t>75.6</w:t>
            </w:r>
          </w:p>
        </w:tc>
        <w:tc>
          <w:tcPr>
            <w:tcW w:w="850" w:type="dxa"/>
            <w:vMerge w:val="restart"/>
            <w:tcBorders>
              <w:top w:val="nil"/>
              <w:left w:val="nil"/>
              <w:bottom w:val="single" w:sz="12" w:space="0" w:color="808080"/>
              <w:right w:val="single" w:sz="8" w:space="0" w:color="808080"/>
            </w:tcBorders>
            <w:shd w:val="clear" w:color="auto" w:fill="auto"/>
            <w:vAlign w:val="center"/>
            <w:hideMark/>
          </w:tcPr>
          <w:p w14:paraId="60B5243B" w14:textId="77777777" w:rsidR="00C12642" w:rsidRPr="00A645FB" w:rsidRDefault="00C12642" w:rsidP="00007541">
            <w:pPr>
              <w:spacing w:after="0"/>
              <w:jc w:val="center"/>
              <w:rPr>
                <w:rFonts w:ascii="Arial" w:hAnsi="Arial" w:cs="Arial"/>
                <w:color w:val="000000"/>
                <w:sz w:val="16"/>
                <w:szCs w:val="16"/>
              </w:rPr>
            </w:pPr>
            <w:r w:rsidRPr="00A645FB">
              <w:rPr>
                <w:rFonts w:ascii="Arial" w:hAnsi="Arial" w:cs="Arial"/>
                <w:color w:val="000000"/>
                <w:sz w:val="16"/>
                <w:szCs w:val="16"/>
              </w:rPr>
              <w:t>77.7</w:t>
            </w:r>
          </w:p>
        </w:tc>
      </w:tr>
      <w:tr w:rsidR="00C12642" w:rsidRPr="00A645FB" w14:paraId="3D10D275" w14:textId="77777777" w:rsidTr="00C36529">
        <w:trPr>
          <w:trHeight w:val="227"/>
        </w:trPr>
        <w:tc>
          <w:tcPr>
            <w:tcW w:w="5018" w:type="dxa"/>
            <w:tcBorders>
              <w:top w:val="nil"/>
              <w:left w:val="nil"/>
              <w:bottom w:val="single" w:sz="8" w:space="0" w:color="FFFFFF"/>
              <w:right w:val="nil"/>
            </w:tcBorders>
            <w:shd w:val="clear" w:color="000000" w:fill="808080"/>
            <w:vAlign w:val="center"/>
            <w:hideMark/>
          </w:tcPr>
          <w:p w14:paraId="304B1D42" w14:textId="77777777" w:rsidR="00C12642" w:rsidRPr="00C742CD" w:rsidRDefault="00C12642" w:rsidP="00007541">
            <w:pPr>
              <w:spacing w:after="0"/>
              <w:rPr>
                <w:rFonts w:ascii="Arial" w:hAnsi="Arial" w:cs="Arial"/>
                <w:color w:val="FFFFFF" w:themeColor="background1"/>
                <w:sz w:val="18"/>
                <w:szCs w:val="18"/>
              </w:rPr>
            </w:pPr>
            <w:r w:rsidRPr="00C742CD">
              <w:rPr>
                <w:rFonts w:ascii="Arial" w:hAnsi="Arial" w:cs="Arial"/>
                <w:color w:val="FFFFFF" w:themeColor="background1"/>
                <w:sz w:val="18"/>
                <w:szCs w:val="18"/>
              </w:rPr>
              <w:t>(best practice &gt;95%)</w:t>
            </w:r>
          </w:p>
        </w:tc>
        <w:tc>
          <w:tcPr>
            <w:tcW w:w="1044" w:type="dxa"/>
            <w:vMerge/>
            <w:tcBorders>
              <w:top w:val="nil"/>
              <w:left w:val="nil"/>
              <w:bottom w:val="single" w:sz="12" w:space="0" w:color="808080"/>
              <w:right w:val="nil"/>
            </w:tcBorders>
            <w:vAlign w:val="center"/>
            <w:hideMark/>
          </w:tcPr>
          <w:p w14:paraId="4CAE386E" w14:textId="77777777" w:rsidR="00C12642" w:rsidRPr="00A645FB" w:rsidRDefault="00C12642" w:rsidP="00007541">
            <w:pPr>
              <w:spacing w:after="0"/>
              <w:rPr>
                <w:rFonts w:ascii="Arial" w:hAnsi="Arial" w:cs="Arial"/>
                <w:color w:val="000000"/>
                <w:sz w:val="16"/>
                <w:szCs w:val="16"/>
              </w:rPr>
            </w:pPr>
          </w:p>
        </w:tc>
        <w:tc>
          <w:tcPr>
            <w:tcW w:w="992" w:type="dxa"/>
            <w:vMerge/>
            <w:tcBorders>
              <w:top w:val="nil"/>
              <w:left w:val="nil"/>
              <w:bottom w:val="single" w:sz="12" w:space="0" w:color="808080"/>
              <w:right w:val="nil"/>
            </w:tcBorders>
            <w:vAlign w:val="center"/>
            <w:hideMark/>
          </w:tcPr>
          <w:p w14:paraId="52B7AA6D" w14:textId="77777777" w:rsidR="00C12642" w:rsidRPr="00A645FB" w:rsidRDefault="00C12642" w:rsidP="00007541">
            <w:pPr>
              <w:spacing w:after="0"/>
              <w:rPr>
                <w:rFonts w:ascii="Arial" w:hAnsi="Arial" w:cs="Arial"/>
                <w:color w:val="000000"/>
                <w:sz w:val="16"/>
                <w:szCs w:val="16"/>
              </w:rPr>
            </w:pPr>
          </w:p>
        </w:tc>
        <w:tc>
          <w:tcPr>
            <w:tcW w:w="851" w:type="dxa"/>
            <w:vMerge/>
            <w:tcBorders>
              <w:top w:val="nil"/>
              <w:left w:val="nil"/>
              <w:bottom w:val="single" w:sz="12" w:space="0" w:color="808080"/>
              <w:right w:val="nil"/>
            </w:tcBorders>
            <w:vAlign w:val="center"/>
            <w:hideMark/>
          </w:tcPr>
          <w:p w14:paraId="6B1208F6" w14:textId="77777777" w:rsidR="00C12642" w:rsidRPr="00A645FB" w:rsidRDefault="00C12642" w:rsidP="00007541">
            <w:pPr>
              <w:spacing w:after="0"/>
              <w:rPr>
                <w:rFonts w:ascii="Arial" w:hAnsi="Arial" w:cs="Arial"/>
                <w:color w:val="000000"/>
                <w:sz w:val="16"/>
                <w:szCs w:val="16"/>
              </w:rPr>
            </w:pPr>
          </w:p>
        </w:tc>
        <w:tc>
          <w:tcPr>
            <w:tcW w:w="1134" w:type="dxa"/>
            <w:vMerge/>
            <w:tcBorders>
              <w:top w:val="nil"/>
              <w:left w:val="nil"/>
              <w:bottom w:val="single" w:sz="12" w:space="0" w:color="808080"/>
              <w:right w:val="nil"/>
            </w:tcBorders>
            <w:vAlign w:val="center"/>
            <w:hideMark/>
          </w:tcPr>
          <w:p w14:paraId="2DEEBEC1" w14:textId="77777777" w:rsidR="00C12642" w:rsidRPr="00A645FB" w:rsidRDefault="00C12642" w:rsidP="00007541">
            <w:pPr>
              <w:spacing w:after="0"/>
              <w:rPr>
                <w:rFonts w:ascii="Arial" w:hAnsi="Arial" w:cs="Arial"/>
                <w:color w:val="000000"/>
                <w:sz w:val="16"/>
                <w:szCs w:val="16"/>
              </w:rPr>
            </w:pPr>
          </w:p>
        </w:tc>
        <w:tc>
          <w:tcPr>
            <w:tcW w:w="850" w:type="dxa"/>
            <w:vMerge/>
            <w:tcBorders>
              <w:top w:val="nil"/>
              <w:left w:val="nil"/>
              <w:bottom w:val="single" w:sz="12" w:space="0" w:color="808080"/>
              <w:right w:val="single" w:sz="8" w:space="0" w:color="808080"/>
            </w:tcBorders>
            <w:vAlign w:val="center"/>
            <w:hideMark/>
          </w:tcPr>
          <w:p w14:paraId="3B18AF7B" w14:textId="77777777" w:rsidR="00C12642" w:rsidRPr="00A645FB" w:rsidRDefault="00C12642" w:rsidP="00007541">
            <w:pPr>
              <w:spacing w:after="0"/>
              <w:rPr>
                <w:rFonts w:ascii="Arial" w:hAnsi="Arial" w:cs="Arial"/>
                <w:color w:val="000000"/>
                <w:sz w:val="16"/>
                <w:szCs w:val="16"/>
              </w:rPr>
            </w:pPr>
          </w:p>
        </w:tc>
      </w:tr>
      <w:tr w:rsidR="00C12642" w:rsidRPr="00A645FB" w14:paraId="0D18CA24" w14:textId="77777777" w:rsidTr="00C36529">
        <w:trPr>
          <w:trHeight w:val="227"/>
        </w:trPr>
        <w:tc>
          <w:tcPr>
            <w:tcW w:w="5018" w:type="dxa"/>
            <w:tcBorders>
              <w:top w:val="single" w:sz="8" w:space="0" w:color="FFFFFF"/>
              <w:left w:val="nil"/>
              <w:bottom w:val="nil"/>
              <w:right w:val="nil"/>
            </w:tcBorders>
            <w:shd w:val="clear" w:color="000000" w:fill="808080"/>
            <w:vAlign w:val="center"/>
            <w:hideMark/>
          </w:tcPr>
          <w:p w14:paraId="4966A500" w14:textId="77777777" w:rsidR="00C12642" w:rsidRPr="00C742CD" w:rsidRDefault="00C12642" w:rsidP="00007541">
            <w:pPr>
              <w:spacing w:after="0"/>
              <w:rPr>
                <w:rFonts w:ascii="Arial" w:hAnsi="Arial" w:cs="Arial"/>
                <w:color w:val="FFFFFF" w:themeColor="background1"/>
                <w:sz w:val="18"/>
                <w:szCs w:val="18"/>
              </w:rPr>
            </w:pPr>
            <w:r w:rsidRPr="00C742CD">
              <w:rPr>
                <w:rFonts w:ascii="Arial" w:hAnsi="Arial" w:cs="Arial"/>
                <w:color w:val="FFFFFF" w:themeColor="background1"/>
                <w:sz w:val="18"/>
                <w:szCs w:val="18"/>
              </w:rPr>
              <w:t xml:space="preserve">Review or stop date documented </w:t>
            </w:r>
          </w:p>
        </w:tc>
        <w:tc>
          <w:tcPr>
            <w:tcW w:w="1044" w:type="dxa"/>
            <w:vMerge w:val="restart"/>
            <w:tcBorders>
              <w:top w:val="nil"/>
              <w:left w:val="nil"/>
              <w:bottom w:val="single" w:sz="12" w:space="0" w:color="808080"/>
              <w:right w:val="nil"/>
            </w:tcBorders>
            <w:shd w:val="clear" w:color="auto" w:fill="D9D9D9" w:themeFill="background1" w:themeFillShade="D9"/>
            <w:vAlign w:val="center"/>
            <w:hideMark/>
          </w:tcPr>
          <w:p w14:paraId="01D4CA52" w14:textId="77777777" w:rsidR="00C12642" w:rsidRPr="00A645FB" w:rsidRDefault="00C12642" w:rsidP="00007541">
            <w:pPr>
              <w:spacing w:after="0"/>
              <w:jc w:val="center"/>
              <w:rPr>
                <w:rFonts w:ascii="Arial" w:hAnsi="Arial" w:cs="Arial"/>
                <w:color w:val="000000"/>
                <w:sz w:val="16"/>
                <w:szCs w:val="16"/>
              </w:rPr>
            </w:pPr>
            <w:proofErr w:type="spellStart"/>
            <w:r w:rsidRPr="00A645FB">
              <w:rPr>
                <w:rFonts w:ascii="Arial" w:hAnsi="Arial" w:cs="Arial"/>
                <w:color w:val="000000"/>
                <w:sz w:val="16"/>
                <w:szCs w:val="16"/>
              </w:rPr>
              <w:t>na</w:t>
            </w:r>
            <w:proofErr w:type="spellEnd"/>
          </w:p>
        </w:tc>
        <w:tc>
          <w:tcPr>
            <w:tcW w:w="992" w:type="dxa"/>
            <w:vMerge w:val="restart"/>
            <w:tcBorders>
              <w:top w:val="nil"/>
              <w:left w:val="nil"/>
              <w:bottom w:val="single" w:sz="12" w:space="0" w:color="808080"/>
              <w:right w:val="nil"/>
            </w:tcBorders>
            <w:shd w:val="clear" w:color="auto" w:fill="D9D9D9" w:themeFill="background1" w:themeFillShade="D9"/>
            <w:vAlign w:val="center"/>
            <w:hideMark/>
          </w:tcPr>
          <w:p w14:paraId="5B624CAE" w14:textId="77777777" w:rsidR="00C12642" w:rsidRPr="00A645FB" w:rsidRDefault="00C12642" w:rsidP="00007541">
            <w:pPr>
              <w:spacing w:after="0"/>
              <w:jc w:val="center"/>
              <w:rPr>
                <w:rFonts w:ascii="Arial" w:hAnsi="Arial" w:cs="Arial"/>
                <w:color w:val="000000"/>
                <w:sz w:val="16"/>
                <w:szCs w:val="16"/>
              </w:rPr>
            </w:pPr>
            <w:proofErr w:type="spellStart"/>
            <w:r w:rsidRPr="00A645FB">
              <w:rPr>
                <w:rFonts w:ascii="Arial" w:hAnsi="Arial" w:cs="Arial"/>
                <w:color w:val="000000"/>
                <w:sz w:val="16"/>
                <w:szCs w:val="16"/>
              </w:rPr>
              <w:t>na</w:t>
            </w:r>
            <w:proofErr w:type="spellEnd"/>
          </w:p>
        </w:tc>
        <w:tc>
          <w:tcPr>
            <w:tcW w:w="851" w:type="dxa"/>
            <w:vMerge w:val="restart"/>
            <w:tcBorders>
              <w:top w:val="nil"/>
              <w:left w:val="nil"/>
              <w:bottom w:val="single" w:sz="12" w:space="0" w:color="808080"/>
              <w:right w:val="nil"/>
            </w:tcBorders>
            <w:shd w:val="clear" w:color="auto" w:fill="D9D9D9" w:themeFill="background1" w:themeFillShade="D9"/>
            <w:vAlign w:val="center"/>
            <w:hideMark/>
          </w:tcPr>
          <w:p w14:paraId="6524A573" w14:textId="77777777" w:rsidR="00C12642" w:rsidRPr="00A645FB" w:rsidRDefault="00C12642" w:rsidP="00007541">
            <w:pPr>
              <w:spacing w:after="0"/>
              <w:jc w:val="center"/>
              <w:rPr>
                <w:rFonts w:ascii="Arial" w:hAnsi="Arial" w:cs="Arial"/>
                <w:color w:val="000000"/>
                <w:sz w:val="16"/>
                <w:szCs w:val="16"/>
              </w:rPr>
            </w:pPr>
            <w:r w:rsidRPr="00A645FB">
              <w:rPr>
                <w:rFonts w:ascii="Arial" w:hAnsi="Arial" w:cs="Arial"/>
                <w:color w:val="000000"/>
                <w:sz w:val="16"/>
                <w:szCs w:val="16"/>
              </w:rPr>
              <w:t>35.5</w:t>
            </w:r>
          </w:p>
        </w:tc>
        <w:tc>
          <w:tcPr>
            <w:tcW w:w="1134" w:type="dxa"/>
            <w:vMerge w:val="restart"/>
            <w:tcBorders>
              <w:top w:val="nil"/>
              <w:left w:val="nil"/>
              <w:bottom w:val="single" w:sz="12" w:space="0" w:color="808080"/>
              <w:right w:val="nil"/>
            </w:tcBorders>
            <w:shd w:val="clear" w:color="auto" w:fill="D9D9D9" w:themeFill="background1" w:themeFillShade="D9"/>
            <w:vAlign w:val="center"/>
            <w:hideMark/>
          </w:tcPr>
          <w:p w14:paraId="49EC0F62" w14:textId="77777777" w:rsidR="00C12642" w:rsidRPr="00A645FB" w:rsidRDefault="00C12642" w:rsidP="00007541">
            <w:pPr>
              <w:spacing w:after="0"/>
              <w:jc w:val="center"/>
              <w:rPr>
                <w:rFonts w:ascii="Arial" w:hAnsi="Arial" w:cs="Arial"/>
                <w:color w:val="000000"/>
                <w:sz w:val="16"/>
                <w:szCs w:val="16"/>
              </w:rPr>
            </w:pPr>
            <w:r w:rsidRPr="00A645FB">
              <w:rPr>
                <w:rFonts w:ascii="Arial" w:hAnsi="Arial" w:cs="Arial"/>
                <w:color w:val="000000"/>
                <w:sz w:val="16"/>
                <w:szCs w:val="16"/>
              </w:rPr>
              <w:t>38.1</w:t>
            </w:r>
          </w:p>
        </w:tc>
        <w:tc>
          <w:tcPr>
            <w:tcW w:w="850" w:type="dxa"/>
            <w:vMerge w:val="restart"/>
            <w:tcBorders>
              <w:top w:val="nil"/>
              <w:left w:val="nil"/>
              <w:bottom w:val="single" w:sz="12" w:space="0" w:color="808080"/>
              <w:right w:val="single" w:sz="8" w:space="0" w:color="808080"/>
            </w:tcBorders>
            <w:shd w:val="clear" w:color="auto" w:fill="D9D9D9" w:themeFill="background1" w:themeFillShade="D9"/>
            <w:vAlign w:val="center"/>
            <w:hideMark/>
          </w:tcPr>
          <w:p w14:paraId="0016FDF2" w14:textId="77777777" w:rsidR="00C12642" w:rsidRPr="00A645FB" w:rsidRDefault="00C12642" w:rsidP="00007541">
            <w:pPr>
              <w:spacing w:after="0"/>
              <w:jc w:val="center"/>
              <w:rPr>
                <w:rFonts w:ascii="Arial" w:hAnsi="Arial" w:cs="Arial"/>
                <w:color w:val="000000"/>
                <w:sz w:val="16"/>
                <w:szCs w:val="16"/>
              </w:rPr>
            </w:pPr>
            <w:r w:rsidRPr="00A645FB">
              <w:rPr>
                <w:rFonts w:ascii="Arial" w:hAnsi="Arial" w:cs="Arial"/>
                <w:color w:val="000000"/>
                <w:sz w:val="16"/>
                <w:szCs w:val="16"/>
              </w:rPr>
              <w:t>40.5</w:t>
            </w:r>
          </w:p>
        </w:tc>
      </w:tr>
      <w:tr w:rsidR="00C12642" w:rsidRPr="00A645FB" w14:paraId="6850314C" w14:textId="77777777" w:rsidTr="00C36529">
        <w:trPr>
          <w:trHeight w:val="227"/>
        </w:trPr>
        <w:tc>
          <w:tcPr>
            <w:tcW w:w="5018" w:type="dxa"/>
            <w:tcBorders>
              <w:top w:val="nil"/>
              <w:left w:val="nil"/>
              <w:bottom w:val="single" w:sz="8" w:space="0" w:color="FFFFFF"/>
              <w:right w:val="nil"/>
            </w:tcBorders>
            <w:shd w:val="clear" w:color="000000" w:fill="808080"/>
            <w:vAlign w:val="center"/>
            <w:hideMark/>
          </w:tcPr>
          <w:p w14:paraId="0B0F746A" w14:textId="77777777" w:rsidR="00C12642" w:rsidRPr="00C742CD" w:rsidRDefault="00C12642" w:rsidP="00007541">
            <w:pPr>
              <w:spacing w:after="0"/>
              <w:rPr>
                <w:rFonts w:ascii="Arial" w:hAnsi="Arial" w:cs="Arial"/>
                <w:color w:val="FFFFFF" w:themeColor="background1"/>
                <w:sz w:val="18"/>
                <w:szCs w:val="18"/>
              </w:rPr>
            </w:pPr>
            <w:r w:rsidRPr="00C742CD">
              <w:rPr>
                <w:rFonts w:ascii="Arial" w:hAnsi="Arial" w:cs="Arial"/>
                <w:color w:val="FFFFFF" w:themeColor="background1"/>
                <w:sz w:val="18"/>
                <w:szCs w:val="18"/>
              </w:rPr>
              <w:t>(best practice &gt;95%)</w:t>
            </w:r>
          </w:p>
        </w:tc>
        <w:tc>
          <w:tcPr>
            <w:tcW w:w="1044" w:type="dxa"/>
            <w:vMerge/>
            <w:tcBorders>
              <w:top w:val="nil"/>
              <w:left w:val="nil"/>
              <w:bottom w:val="single" w:sz="12" w:space="0" w:color="808080"/>
              <w:right w:val="nil"/>
            </w:tcBorders>
            <w:shd w:val="clear" w:color="auto" w:fill="D9D9D9" w:themeFill="background1" w:themeFillShade="D9"/>
            <w:vAlign w:val="center"/>
            <w:hideMark/>
          </w:tcPr>
          <w:p w14:paraId="6AF1C384" w14:textId="77777777" w:rsidR="00C12642" w:rsidRPr="00A645FB" w:rsidRDefault="00C12642" w:rsidP="00007541">
            <w:pPr>
              <w:spacing w:after="0"/>
              <w:rPr>
                <w:rFonts w:ascii="Arial" w:hAnsi="Arial" w:cs="Arial"/>
                <w:color w:val="000000"/>
                <w:sz w:val="16"/>
                <w:szCs w:val="16"/>
              </w:rPr>
            </w:pPr>
          </w:p>
        </w:tc>
        <w:tc>
          <w:tcPr>
            <w:tcW w:w="992" w:type="dxa"/>
            <w:vMerge/>
            <w:tcBorders>
              <w:top w:val="nil"/>
              <w:left w:val="nil"/>
              <w:bottom w:val="single" w:sz="12" w:space="0" w:color="808080"/>
              <w:right w:val="nil"/>
            </w:tcBorders>
            <w:shd w:val="clear" w:color="auto" w:fill="D9D9D9" w:themeFill="background1" w:themeFillShade="D9"/>
            <w:vAlign w:val="center"/>
            <w:hideMark/>
          </w:tcPr>
          <w:p w14:paraId="57E691C3" w14:textId="77777777" w:rsidR="00C12642" w:rsidRPr="00A645FB" w:rsidRDefault="00C12642" w:rsidP="00007541">
            <w:pPr>
              <w:spacing w:after="0"/>
              <w:rPr>
                <w:rFonts w:ascii="Arial" w:hAnsi="Arial" w:cs="Arial"/>
                <w:color w:val="000000"/>
                <w:sz w:val="16"/>
                <w:szCs w:val="16"/>
              </w:rPr>
            </w:pPr>
          </w:p>
        </w:tc>
        <w:tc>
          <w:tcPr>
            <w:tcW w:w="851" w:type="dxa"/>
            <w:vMerge/>
            <w:tcBorders>
              <w:top w:val="nil"/>
              <w:left w:val="nil"/>
              <w:bottom w:val="single" w:sz="12" w:space="0" w:color="808080"/>
              <w:right w:val="nil"/>
            </w:tcBorders>
            <w:shd w:val="clear" w:color="auto" w:fill="D9D9D9" w:themeFill="background1" w:themeFillShade="D9"/>
            <w:vAlign w:val="center"/>
            <w:hideMark/>
          </w:tcPr>
          <w:p w14:paraId="4372C260" w14:textId="77777777" w:rsidR="00C12642" w:rsidRPr="00A645FB" w:rsidRDefault="00C12642" w:rsidP="00007541">
            <w:pPr>
              <w:spacing w:after="0"/>
              <w:rPr>
                <w:rFonts w:ascii="Arial" w:hAnsi="Arial" w:cs="Arial"/>
                <w:color w:val="000000"/>
                <w:sz w:val="16"/>
                <w:szCs w:val="16"/>
              </w:rPr>
            </w:pPr>
          </w:p>
        </w:tc>
        <w:tc>
          <w:tcPr>
            <w:tcW w:w="1134" w:type="dxa"/>
            <w:vMerge/>
            <w:tcBorders>
              <w:top w:val="nil"/>
              <w:left w:val="nil"/>
              <w:bottom w:val="single" w:sz="12" w:space="0" w:color="808080"/>
              <w:right w:val="nil"/>
            </w:tcBorders>
            <w:shd w:val="clear" w:color="auto" w:fill="D9D9D9" w:themeFill="background1" w:themeFillShade="D9"/>
            <w:vAlign w:val="center"/>
            <w:hideMark/>
          </w:tcPr>
          <w:p w14:paraId="2497C33B" w14:textId="77777777" w:rsidR="00C12642" w:rsidRPr="00A645FB" w:rsidRDefault="00C12642" w:rsidP="00007541">
            <w:pPr>
              <w:spacing w:after="0"/>
              <w:rPr>
                <w:rFonts w:ascii="Arial" w:hAnsi="Arial" w:cs="Arial"/>
                <w:color w:val="000000"/>
                <w:sz w:val="16"/>
                <w:szCs w:val="16"/>
              </w:rPr>
            </w:pPr>
          </w:p>
        </w:tc>
        <w:tc>
          <w:tcPr>
            <w:tcW w:w="850" w:type="dxa"/>
            <w:vMerge/>
            <w:tcBorders>
              <w:top w:val="nil"/>
              <w:left w:val="nil"/>
              <w:bottom w:val="single" w:sz="12" w:space="0" w:color="808080"/>
              <w:right w:val="single" w:sz="8" w:space="0" w:color="808080"/>
            </w:tcBorders>
            <w:shd w:val="clear" w:color="auto" w:fill="D9D9D9" w:themeFill="background1" w:themeFillShade="D9"/>
            <w:vAlign w:val="center"/>
            <w:hideMark/>
          </w:tcPr>
          <w:p w14:paraId="6D29668D" w14:textId="77777777" w:rsidR="00C12642" w:rsidRPr="00A645FB" w:rsidRDefault="00C12642" w:rsidP="00007541">
            <w:pPr>
              <w:spacing w:after="0"/>
              <w:rPr>
                <w:rFonts w:ascii="Arial" w:hAnsi="Arial" w:cs="Arial"/>
                <w:color w:val="000000"/>
                <w:sz w:val="16"/>
                <w:szCs w:val="16"/>
              </w:rPr>
            </w:pPr>
          </w:p>
        </w:tc>
      </w:tr>
      <w:tr w:rsidR="00C12642" w:rsidRPr="00A645FB" w14:paraId="272E976D" w14:textId="77777777" w:rsidTr="00C36529">
        <w:trPr>
          <w:trHeight w:val="227"/>
        </w:trPr>
        <w:tc>
          <w:tcPr>
            <w:tcW w:w="5018" w:type="dxa"/>
            <w:tcBorders>
              <w:top w:val="single" w:sz="8" w:space="0" w:color="FFFFFF"/>
              <w:left w:val="nil"/>
              <w:bottom w:val="nil"/>
              <w:right w:val="nil"/>
            </w:tcBorders>
            <w:shd w:val="clear" w:color="000000" w:fill="808080"/>
            <w:vAlign w:val="center"/>
            <w:hideMark/>
          </w:tcPr>
          <w:p w14:paraId="67801709" w14:textId="77777777" w:rsidR="00C12642" w:rsidRPr="00C742CD" w:rsidRDefault="00C12642" w:rsidP="00007541">
            <w:pPr>
              <w:spacing w:after="0"/>
              <w:rPr>
                <w:rFonts w:ascii="Arial" w:hAnsi="Arial" w:cs="Arial"/>
                <w:color w:val="FFFFFF" w:themeColor="background1"/>
                <w:sz w:val="18"/>
                <w:szCs w:val="18"/>
              </w:rPr>
            </w:pPr>
            <w:r w:rsidRPr="00C742CD">
              <w:rPr>
                <w:rFonts w:ascii="Arial" w:hAnsi="Arial" w:cs="Arial"/>
                <w:color w:val="FFFFFF" w:themeColor="background1"/>
                <w:sz w:val="18"/>
                <w:szCs w:val="18"/>
              </w:rPr>
              <w:t xml:space="preserve">Surgical prophylaxis given for &gt;24 hours </w:t>
            </w:r>
          </w:p>
        </w:tc>
        <w:tc>
          <w:tcPr>
            <w:tcW w:w="1044" w:type="dxa"/>
            <w:vMerge w:val="restart"/>
            <w:tcBorders>
              <w:top w:val="nil"/>
              <w:left w:val="nil"/>
              <w:bottom w:val="single" w:sz="12" w:space="0" w:color="808080"/>
              <w:right w:val="nil"/>
            </w:tcBorders>
            <w:shd w:val="clear" w:color="auto" w:fill="auto"/>
            <w:vAlign w:val="center"/>
            <w:hideMark/>
          </w:tcPr>
          <w:p w14:paraId="380099B9" w14:textId="77777777" w:rsidR="00C12642" w:rsidRPr="00A645FB" w:rsidRDefault="00C12642" w:rsidP="00007541">
            <w:pPr>
              <w:spacing w:after="0"/>
              <w:jc w:val="center"/>
              <w:rPr>
                <w:rFonts w:ascii="Arial" w:hAnsi="Arial" w:cs="Arial"/>
                <w:color w:val="000000"/>
                <w:sz w:val="16"/>
                <w:szCs w:val="16"/>
              </w:rPr>
            </w:pPr>
            <w:r w:rsidRPr="00A645FB">
              <w:rPr>
                <w:rFonts w:ascii="Arial" w:hAnsi="Arial" w:cs="Arial"/>
                <w:color w:val="000000"/>
                <w:sz w:val="16"/>
                <w:szCs w:val="16"/>
              </w:rPr>
              <w:t>41.8</w:t>
            </w:r>
          </w:p>
        </w:tc>
        <w:tc>
          <w:tcPr>
            <w:tcW w:w="992" w:type="dxa"/>
            <w:vMerge w:val="restart"/>
            <w:tcBorders>
              <w:top w:val="nil"/>
              <w:left w:val="nil"/>
              <w:bottom w:val="single" w:sz="12" w:space="0" w:color="808080"/>
              <w:right w:val="nil"/>
            </w:tcBorders>
            <w:shd w:val="clear" w:color="auto" w:fill="auto"/>
            <w:vAlign w:val="center"/>
            <w:hideMark/>
          </w:tcPr>
          <w:p w14:paraId="0A1625CD" w14:textId="77777777" w:rsidR="00C12642" w:rsidRPr="00A645FB" w:rsidRDefault="00C12642" w:rsidP="00007541">
            <w:pPr>
              <w:spacing w:after="0"/>
              <w:jc w:val="center"/>
              <w:rPr>
                <w:rFonts w:ascii="Arial" w:hAnsi="Arial" w:cs="Arial"/>
                <w:color w:val="000000"/>
                <w:sz w:val="16"/>
                <w:szCs w:val="16"/>
              </w:rPr>
            </w:pPr>
            <w:r w:rsidRPr="00A645FB">
              <w:rPr>
                <w:rFonts w:ascii="Arial" w:hAnsi="Arial" w:cs="Arial"/>
                <w:color w:val="000000"/>
                <w:sz w:val="16"/>
                <w:szCs w:val="16"/>
              </w:rPr>
              <w:t>35.9</w:t>
            </w:r>
          </w:p>
        </w:tc>
        <w:tc>
          <w:tcPr>
            <w:tcW w:w="851" w:type="dxa"/>
            <w:vMerge w:val="restart"/>
            <w:tcBorders>
              <w:top w:val="nil"/>
              <w:left w:val="nil"/>
              <w:bottom w:val="single" w:sz="12" w:space="0" w:color="808080"/>
              <w:right w:val="nil"/>
            </w:tcBorders>
            <w:shd w:val="clear" w:color="auto" w:fill="auto"/>
            <w:vAlign w:val="center"/>
            <w:hideMark/>
          </w:tcPr>
          <w:p w14:paraId="0EB4E9EA" w14:textId="77777777" w:rsidR="00C12642" w:rsidRPr="00A645FB" w:rsidRDefault="00C12642" w:rsidP="00007541">
            <w:pPr>
              <w:spacing w:after="0"/>
              <w:jc w:val="center"/>
              <w:rPr>
                <w:rFonts w:ascii="Arial" w:hAnsi="Arial" w:cs="Arial"/>
                <w:color w:val="000000"/>
                <w:sz w:val="16"/>
                <w:szCs w:val="16"/>
              </w:rPr>
            </w:pPr>
            <w:r w:rsidRPr="00A645FB">
              <w:rPr>
                <w:rFonts w:ascii="Arial" w:hAnsi="Arial" w:cs="Arial"/>
                <w:color w:val="000000"/>
                <w:sz w:val="16"/>
                <w:szCs w:val="16"/>
              </w:rPr>
              <w:t>27.4</w:t>
            </w:r>
          </w:p>
        </w:tc>
        <w:tc>
          <w:tcPr>
            <w:tcW w:w="1134" w:type="dxa"/>
            <w:vMerge w:val="restart"/>
            <w:tcBorders>
              <w:top w:val="nil"/>
              <w:left w:val="nil"/>
              <w:bottom w:val="single" w:sz="12" w:space="0" w:color="808080"/>
              <w:right w:val="nil"/>
            </w:tcBorders>
            <w:shd w:val="clear" w:color="auto" w:fill="auto"/>
            <w:vAlign w:val="center"/>
            <w:hideMark/>
          </w:tcPr>
          <w:p w14:paraId="4D7E7193" w14:textId="77777777" w:rsidR="00C12642" w:rsidRPr="00A645FB" w:rsidRDefault="00C12642" w:rsidP="00007541">
            <w:pPr>
              <w:spacing w:after="0"/>
              <w:jc w:val="center"/>
              <w:rPr>
                <w:rFonts w:ascii="Arial" w:hAnsi="Arial" w:cs="Arial"/>
                <w:color w:val="000000"/>
                <w:sz w:val="16"/>
                <w:szCs w:val="16"/>
              </w:rPr>
            </w:pPr>
            <w:r w:rsidRPr="00A645FB">
              <w:rPr>
                <w:rFonts w:ascii="Arial" w:hAnsi="Arial" w:cs="Arial"/>
                <w:color w:val="000000"/>
                <w:sz w:val="16"/>
                <w:szCs w:val="16"/>
              </w:rPr>
              <w:t>31.1</w:t>
            </w:r>
          </w:p>
        </w:tc>
        <w:tc>
          <w:tcPr>
            <w:tcW w:w="850" w:type="dxa"/>
            <w:vMerge w:val="restart"/>
            <w:tcBorders>
              <w:top w:val="nil"/>
              <w:left w:val="nil"/>
              <w:bottom w:val="single" w:sz="12" w:space="0" w:color="808080"/>
              <w:right w:val="single" w:sz="8" w:space="0" w:color="808080"/>
            </w:tcBorders>
            <w:shd w:val="clear" w:color="auto" w:fill="auto"/>
            <w:vAlign w:val="center"/>
            <w:hideMark/>
          </w:tcPr>
          <w:p w14:paraId="06D7FDC1" w14:textId="77777777" w:rsidR="00C12642" w:rsidRPr="00A645FB" w:rsidRDefault="00C12642" w:rsidP="00007541">
            <w:pPr>
              <w:spacing w:after="0"/>
              <w:jc w:val="center"/>
              <w:rPr>
                <w:rFonts w:ascii="Arial" w:hAnsi="Arial" w:cs="Arial"/>
                <w:color w:val="000000"/>
                <w:sz w:val="16"/>
                <w:szCs w:val="16"/>
              </w:rPr>
            </w:pPr>
            <w:r w:rsidRPr="00A645FB">
              <w:rPr>
                <w:rFonts w:ascii="Arial" w:hAnsi="Arial" w:cs="Arial"/>
                <w:color w:val="000000"/>
                <w:sz w:val="16"/>
                <w:szCs w:val="16"/>
              </w:rPr>
              <w:t>30.5</w:t>
            </w:r>
          </w:p>
        </w:tc>
      </w:tr>
      <w:tr w:rsidR="00C12642" w:rsidRPr="00A645FB" w14:paraId="7587B9A4" w14:textId="77777777" w:rsidTr="00C36529">
        <w:trPr>
          <w:trHeight w:val="227"/>
        </w:trPr>
        <w:tc>
          <w:tcPr>
            <w:tcW w:w="5018" w:type="dxa"/>
            <w:tcBorders>
              <w:top w:val="single" w:sz="12" w:space="0" w:color="808080" w:themeColor="background1" w:themeShade="80"/>
              <w:left w:val="nil"/>
              <w:bottom w:val="nil"/>
              <w:right w:val="nil"/>
            </w:tcBorders>
            <w:shd w:val="clear" w:color="000000" w:fill="808080"/>
            <w:vAlign w:val="center"/>
            <w:hideMark/>
          </w:tcPr>
          <w:p w14:paraId="417400EC" w14:textId="77777777" w:rsidR="00C12642" w:rsidRPr="00C742CD" w:rsidRDefault="00C12642" w:rsidP="00007541">
            <w:pPr>
              <w:spacing w:after="0"/>
              <w:rPr>
                <w:rFonts w:ascii="Arial" w:hAnsi="Arial" w:cs="Arial"/>
                <w:color w:val="FFFFFF" w:themeColor="background1"/>
                <w:sz w:val="18"/>
                <w:szCs w:val="18"/>
              </w:rPr>
            </w:pPr>
            <w:r w:rsidRPr="00C742CD">
              <w:rPr>
                <w:rFonts w:ascii="Arial" w:hAnsi="Arial" w:cs="Arial"/>
                <w:color w:val="FFFFFF" w:themeColor="background1"/>
                <w:sz w:val="18"/>
                <w:szCs w:val="18"/>
              </w:rPr>
              <w:t>(</w:t>
            </w:r>
            <w:proofErr w:type="gramStart"/>
            <w:r w:rsidRPr="00C742CD">
              <w:rPr>
                <w:rFonts w:ascii="Arial" w:hAnsi="Arial" w:cs="Arial"/>
                <w:color w:val="FFFFFF" w:themeColor="background1"/>
                <w:sz w:val="18"/>
                <w:szCs w:val="18"/>
              </w:rPr>
              <w:t>best</w:t>
            </w:r>
            <w:proofErr w:type="gramEnd"/>
            <w:r w:rsidRPr="00C742CD">
              <w:rPr>
                <w:rFonts w:ascii="Arial" w:hAnsi="Arial" w:cs="Arial"/>
                <w:color w:val="FFFFFF" w:themeColor="background1"/>
                <w:sz w:val="18"/>
                <w:szCs w:val="18"/>
              </w:rPr>
              <w:t xml:space="preserve"> practice &lt;5%</w:t>
            </w:r>
            <w:r w:rsidRPr="00753FC0">
              <w:rPr>
                <w:rFonts w:ascii="Arial" w:hAnsi="Arial" w:cs="Arial"/>
                <w:color w:val="FFFFFF" w:themeColor="background1"/>
                <w:sz w:val="18"/>
                <w:szCs w:val="18"/>
              </w:rPr>
              <w:t>)</w:t>
            </w:r>
            <w:r w:rsidR="002E3511">
              <w:rPr>
                <w:color w:val="FFFFFF" w:themeColor="background1"/>
                <w:vertAlign w:val="superscript"/>
              </w:rPr>
              <w:t>*</w:t>
            </w:r>
          </w:p>
        </w:tc>
        <w:tc>
          <w:tcPr>
            <w:tcW w:w="1044" w:type="dxa"/>
            <w:vMerge/>
            <w:tcBorders>
              <w:top w:val="single" w:sz="12" w:space="0" w:color="808080" w:themeColor="background1" w:themeShade="80"/>
              <w:left w:val="nil"/>
              <w:bottom w:val="single" w:sz="12" w:space="0" w:color="808080" w:themeColor="background1" w:themeShade="80"/>
              <w:right w:val="nil"/>
            </w:tcBorders>
            <w:vAlign w:val="center"/>
            <w:hideMark/>
          </w:tcPr>
          <w:p w14:paraId="1A542CC9" w14:textId="77777777" w:rsidR="00C12642" w:rsidRPr="00A645FB" w:rsidRDefault="00C12642" w:rsidP="00007541">
            <w:pPr>
              <w:spacing w:after="0"/>
              <w:rPr>
                <w:rFonts w:ascii="Arial" w:hAnsi="Arial" w:cs="Arial"/>
                <w:color w:val="000000"/>
                <w:sz w:val="16"/>
                <w:szCs w:val="16"/>
              </w:rPr>
            </w:pPr>
          </w:p>
        </w:tc>
        <w:tc>
          <w:tcPr>
            <w:tcW w:w="992" w:type="dxa"/>
            <w:vMerge/>
            <w:tcBorders>
              <w:top w:val="single" w:sz="12" w:space="0" w:color="808080" w:themeColor="background1" w:themeShade="80"/>
              <w:left w:val="nil"/>
              <w:bottom w:val="single" w:sz="12" w:space="0" w:color="808080" w:themeColor="background1" w:themeShade="80"/>
              <w:right w:val="nil"/>
            </w:tcBorders>
            <w:vAlign w:val="center"/>
            <w:hideMark/>
          </w:tcPr>
          <w:p w14:paraId="2A46E6B3" w14:textId="77777777" w:rsidR="00C12642" w:rsidRPr="00A645FB" w:rsidRDefault="00C12642" w:rsidP="00007541">
            <w:pPr>
              <w:spacing w:after="0"/>
              <w:rPr>
                <w:rFonts w:ascii="Arial" w:hAnsi="Arial" w:cs="Arial"/>
                <w:color w:val="000000"/>
                <w:sz w:val="16"/>
                <w:szCs w:val="16"/>
              </w:rPr>
            </w:pPr>
          </w:p>
        </w:tc>
        <w:tc>
          <w:tcPr>
            <w:tcW w:w="851" w:type="dxa"/>
            <w:vMerge/>
            <w:tcBorders>
              <w:top w:val="single" w:sz="12" w:space="0" w:color="808080" w:themeColor="background1" w:themeShade="80"/>
              <w:left w:val="nil"/>
              <w:bottom w:val="single" w:sz="12" w:space="0" w:color="808080" w:themeColor="background1" w:themeShade="80"/>
              <w:right w:val="nil"/>
            </w:tcBorders>
            <w:vAlign w:val="center"/>
            <w:hideMark/>
          </w:tcPr>
          <w:p w14:paraId="7D0D2608" w14:textId="77777777" w:rsidR="00C12642" w:rsidRPr="00A645FB" w:rsidRDefault="00C12642" w:rsidP="00007541">
            <w:pPr>
              <w:spacing w:after="0"/>
              <w:rPr>
                <w:rFonts w:ascii="Arial" w:hAnsi="Arial" w:cs="Arial"/>
                <w:color w:val="000000"/>
                <w:sz w:val="16"/>
                <w:szCs w:val="16"/>
              </w:rPr>
            </w:pPr>
          </w:p>
        </w:tc>
        <w:tc>
          <w:tcPr>
            <w:tcW w:w="1134" w:type="dxa"/>
            <w:vMerge/>
            <w:tcBorders>
              <w:top w:val="single" w:sz="12" w:space="0" w:color="808080" w:themeColor="background1" w:themeShade="80"/>
              <w:left w:val="nil"/>
              <w:bottom w:val="single" w:sz="12" w:space="0" w:color="808080" w:themeColor="background1" w:themeShade="80"/>
              <w:right w:val="nil"/>
            </w:tcBorders>
            <w:vAlign w:val="center"/>
            <w:hideMark/>
          </w:tcPr>
          <w:p w14:paraId="7C790C45" w14:textId="77777777" w:rsidR="00C12642" w:rsidRPr="00A645FB" w:rsidRDefault="00C12642" w:rsidP="00007541">
            <w:pPr>
              <w:spacing w:after="0"/>
              <w:rPr>
                <w:rFonts w:ascii="Arial" w:hAnsi="Arial" w:cs="Arial"/>
                <w:color w:val="000000"/>
                <w:sz w:val="16"/>
                <w:szCs w:val="16"/>
              </w:rPr>
            </w:pPr>
          </w:p>
        </w:tc>
        <w:tc>
          <w:tcPr>
            <w:tcW w:w="850" w:type="dxa"/>
            <w:vMerge/>
            <w:tcBorders>
              <w:top w:val="single" w:sz="12" w:space="0" w:color="808080" w:themeColor="background1" w:themeShade="80"/>
              <w:left w:val="nil"/>
              <w:bottom w:val="single" w:sz="12" w:space="0" w:color="808080" w:themeColor="background1" w:themeShade="80"/>
              <w:right w:val="single" w:sz="8" w:space="0" w:color="808080"/>
            </w:tcBorders>
            <w:vAlign w:val="center"/>
            <w:hideMark/>
          </w:tcPr>
          <w:p w14:paraId="4AD8AD93" w14:textId="77777777" w:rsidR="00C12642" w:rsidRPr="00A645FB" w:rsidRDefault="00C12642" w:rsidP="00007541">
            <w:pPr>
              <w:spacing w:after="0"/>
              <w:rPr>
                <w:rFonts w:ascii="Arial" w:hAnsi="Arial" w:cs="Arial"/>
                <w:color w:val="000000"/>
                <w:sz w:val="16"/>
                <w:szCs w:val="16"/>
              </w:rPr>
            </w:pPr>
          </w:p>
        </w:tc>
      </w:tr>
      <w:tr w:rsidR="00C12642" w:rsidRPr="00A645FB" w14:paraId="09086013" w14:textId="77777777" w:rsidTr="00C36529">
        <w:trPr>
          <w:trHeight w:val="484"/>
        </w:trPr>
        <w:tc>
          <w:tcPr>
            <w:tcW w:w="5018" w:type="dxa"/>
            <w:tcBorders>
              <w:top w:val="single" w:sz="8" w:space="0" w:color="FFFFFF"/>
              <w:left w:val="nil"/>
              <w:bottom w:val="single" w:sz="8" w:space="0" w:color="FFFFFF" w:themeColor="background1"/>
              <w:right w:val="nil"/>
            </w:tcBorders>
            <w:shd w:val="clear" w:color="000000" w:fill="808080"/>
            <w:vAlign w:val="center"/>
          </w:tcPr>
          <w:p w14:paraId="72E9AF3A" w14:textId="77777777" w:rsidR="00C12642" w:rsidRPr="00C742CD" w:rsidRDefault="00C12642" w:rsidP="00007541">
            <w:pPr>
              <w:spacing w:after="0"/>
              <w:rPr>
                <w:rFonts w:ascii="Arial" w:hAnsi="Arial" w:cs="Arial"/>
                <w:color w:val="FFFFFF" w:themeColor="background1"/>
                <w:sz w:val="18"/>
                <w:szCs w:val="18"/>
              </w:rPr>
            </w:pPr>
            <w:r w:rsidRPr="00C742CD">
              <w:rPr>
                <w:rFonts w:ascii="Arial" w:hAnsi="Arial" w:cs="Arial"/>
                <w:color w:val="FFFFFF" w:themeColor="background1"/>
                <w:sz w:val="18"/>
                <w:szCs w:val="18"/>
              </w:rPr>
              <w:t xml:space="preserve">Compliant with </w:t>
            </w:r>
            <w:r w:rsidRPr="00C742CD">
              <w:rPr>
                <w:rFonts w:ascii="Arial" w:hAnsi="Arial" w:cs="Arial"/>
                <w:i/>
                <w:iCs/>
                <w:color w:val="FFFFFF" w:themeColor="background1"/>
                <w:sz w:val="18"/>
                <w:szCs w:val="18"/>
              </w:rPr>
              <w:t>Therapeutic Guidelines</w:t>
            </w:r>
            <w:r w:rsidRPr="00C742CD">
              <w:rPr>
                <w:rFonts w:ascii="Arial" w:hAnsi="Arial" w:cs="Arial"/>
                <w:color w:val="FFFFFF" w:themeColor="background1"/>
                <w:sz w:val="18"/>
                <w:szCs w:val="18"/>
              </w:rPr>
              <w:t xml:space="preserve"> or local </w:t>
            </w:r>
            <w:r w:rsidRPr="002E3511">
              <w:rPr>
                <w:rFonts w:ascii="Arial" w:hAnsi="Arial" w:cs="Arial"/>
                <w:color w:val="FFFFFF" w:themeColor="background1"/>
                <w:sz w:val="18"/>
                <w:szCs w:val="18"/>
              </w:rPr>
              <w:t>guidelines</w:t>
            </w:r>
            <w:r w:rsidR="002E3511" w:rsidRPr="002E3511">
              <w:rPr>
                <w:color w:val="FFFFFF" w:themeColor="background1"/>
                <w:vertAlign w:val="superscript"/>
              </w:rPr>
              <w:t>†</w:t>
            </w:r>
          </w:p>
        </w:tc>
        <w:tc>
          <w:tcPr>
            <w:tcW w:w="1044" w:type="dxa"/>
            <w:tcBorders>
              <w:top w:val="nil"/>
              <w:left w:val="nil"/>
              <w:bottom w:val="single" w:sz="8" w:space="0" w:color="808080"/>
              <w:right w:val="nil"/>
            </w:tcBorders>
            <w:shd w:val="clear" w:color="auto" w:fill="D9D9D9" w:themeFill="background1" w:themeFillShade="D9"/>
            <w:vAlign w:val="center"/>
            <w:hideMark/>
          </w:tcPr>
          <w:p w14:paraId="09F43E95" w14:textId="77777777" w:rsidR="00C12642" w:rsidRPr="00C742CD" w:rsidRDefault="00C12642" w:rsidP="00007541">
            <w:pPr>
              <w:spacing w:after="0"/>
              <w:jc w:val="center"/>
              <w:rPr>
                <w:rFonts w:ascii="Arial" w:hAnsi="Arial" w:cs="Arial"/>
                <w:color w:val="000000"/>
                <w:sz w:val="16"/>
                <w:szCs w:val="16"/>
              </w:rPr>
            </w:pPr>
            <w:r w:rsidRPr="00C742CD">
              <w:rPr>
                <w:rFonts w:ascii="Arial" w:hAnsi="Arial" w:cs="Arial"/>
                <w:color w:val="000000"/>
                <w:sz w:val="16"/>
                <w:szCs w:val="16"/>
              </w:rPr>
              <w:t>72.2</w:t>
            </w:r>
          </w:p>
        </w:tc>
        <w:tc>
          <w:tcPr>
            <w:tcW w:w="992" w:type="dxa"/>
            <w:tcBorders>
              <w:top w:val="nil"/>
              <w:left w:val="nil"/>
              <w:bottom w:val="single" w:sz="8" w:space="0" w:color="808080"/>
              <w:right w:val="nil"/>
            </w:tcBorders>
            <w:shd w:val="clear" w:color="auto" w:fill="D9D9D9" w:themeFill="background1" w:themeFillShade="D9"/>
            <w:vAlign w:val="center"/>
            <w:hideMark/>
          </w:tcPr>
          <w:p w14:paraId="7A118D01" w14:textId="77777777" w:rsidR="00C12642" w:rsidRPr="00C742CD" w:rsidRDefault="00C12642" w:rsidP="00007541">
            <w:pPr>
              <w:spacing w:after="0"/>
              <w:jc w:val="center"/>
              <w:rPr>
                <w:rFonts w:ascii="Arial" w:hAnsi="Arial" w:cs="Arial"/>
                <w:color w:val="000000"/>
                <w:sz w:val="16"/>
                <w:szCs w:val="16"/>
              </w:rPr>
            </w:pPr>
            <w:r w:rsidRPr="00C742CD">
              <w:rPr>
                <w:rFonts w:ascii="Arial" w:hAnsi="Arial" w:cs="Arial"/>
                <w:color w:val="000000"/>
                <w:sz w:val="16"/>
                <w:szCs w:val="16"/>
              </w:rPr>
              <w:t>73.7</w:t>
            </w:r>
          </w:p>
        </w:tc>
        <w:tc>
          <w:tcPr>
            <w:tcW w:w="851" w:type="dxa"/>
            <w:tcBorders>
              <w:top w:val="nil"/>
              <w:left w:val="nil"/>
              <w:bottom w:val="single" w:sz="8" w:space="0" w:color="808080"/>
              <w:right w:val="nil"/>
            </w:tcBorders>
            <w:shd w:val="clear" w:color="auto" w:fill="D9D9D9" w:themeFill="background1" w:themeFillShade="D9"/>
            <w:vAlign w:val="center"/>
            <w:hideMark/>
          </w:tcPr>
          <w:p w14:paraId="0E5B4605" w14:textId="77777777" w:rsidR="00C12642" w:rsidRPr="00C742CD" w:rsidRDefault="00C12642" w:rsidP="00007541">
            <w:pPr>
              <w:spacing w:after="0"/>
              <w:jc w:val="center"/>
              <w:rPr>
                <w:rFonts w:ascii="Arial" w:hAnsi="Arial" w:cs="Arial"/>
                <w:color w:val="000000"/>
                <w:sz w:val="16"/>
                <w:szCs w:val="16"/>
              </w:rPr>
            </w:pPr>
            <w:r w:rsidRPr="00C742CD">
              <w:rPr>
                <w:rFonts w:ascii="Arial" w:hAnsi="Arial" w:cs="Arial"/>
                <w:color w:val="000000"/>
                <w:sz w:val="16"/>
                <w:szCs w:val="16"/>
              </w:rPr>
              <w:t>70.6</w:t>
            </w:r>
          </w:p>
        </w:tc>
        <w:tc>
          <w:tcPr>
            <w:tcW w:w="1134" w:type="dxa"/>
            <w:tcBorders>
              <w:top w:val="nil"/>
              <w:left w:val="nil"/>
              <w:bottom w:val="single" w:sz="8" w:space="0" w:color="808080"/>
              <w:right w:val="nil"/>
            </w:tcBorders>
            <w:shd w:val="clear" w:color="auto" w:fill="D9D9D9" w:themeFill="background1" w:themeFillShade="D9"/>
            <w:vAlign w:val="center"/>
            <w:hideMark/>
          </w:tcPr>
          <w:p w14:paraId="5E99DB99" w14:textId="77777777" w:rsidR="00C12642" w:rsidRPr="00C742CD" w:rsidRDefault="00C12642" w:rsidP="00007541">
            <w:pPr>
              <w:spacing w:after="0"/>
              <w:jc w:val="center"/>
              <w:rPr>
                <w:rFonts w:ascii="Arial" w:hAnsi="Arial" w:cs="Arial"/>
                <w:color w:val="000000"/>
                <w:sz w:val="16"/>
                <w:szCs w:val="16"/>
              </w:rPr>
            </w:pPr>
            <w:r w:rsidRPr="00C742CD">
              <w:rPr>
                <w:rFonts w:ascii="Arial" w:hAnsi="Arial" w:cs="Arial"/>
                <w:color w:val="000000"/>
                <w:sz w:val="16"/>
                <w:szCs w:val="16"/>
              </w:rPr>
              <w:t>65.4</w:t>
            </w:r>
          </w:p>
        </w:tc>
        <w:tc>
          <w:tcPr>
            <w:tcW w:w="850" w:type="dxa"/>
            <w:tcBorders>
              <w:top w:val="nil"/>
              <w:left w:val="nil"/>
              <w:bottom w:val="single" w:sz="8" w:space="0" w:color="808080"/>
              <w:right w:val="single" w:sz="8" w:space="0" w:color="808080"/>
            </w:tcBorders>
            <w:shd w:val="clear" w:color="auto" w:fill="D9D9D9" w:themeFill="background1" w:themeFillShade="D9"/>
            <w:vAlign w:val="center"/>
            <w:hideMark/>
          </w:tcPr>
          <w:p w14:paraId="4F8A55BF" w14:textId="77777777" w:rsidR="00C12642" w:rsidRPr="00C742CD" w:rsidRDefault="00C12642" w:rsidP="00007541">
            <w:pPr>
              <w:spacing w:after="0"/>
              <w:jc w:val="center"/>
              <w:rPr>
                <w:rFonts w:ascii="Arial" w:hAnsi="Arial" w:cs="Arial"/>
                <w:color w:val="000000"/>
                <w:sz w:val="16"/>
                <w:szCs w:val="16"/>
              </w:rPr>
            </w:pPr>
            <w:r w:rsidRPr="00C742CD">
              <w:rPr>
                <w:rFonts w:ascii="Arial" w:hAnsi="Arial" w:cs="Arial"/>
                <w:color w:val="000000"/>
                <w:sz w:val="16"/>
                <w:szCs w:val="16"/>
              </w:rPr>
              <w:t>67.3</w:t>
            </w:r>
          </w:p>
        </w:tc>
      </w:tr>
      <w:tr w:rsidR="00C12642" w:rsidRPr="00A645FB" w14:paraId="713E2A3D" w14:textId="77777777" w:rsidTr="00C36529">
        <w:trPr>
          <w:trHeight w:val="333"/>
        </w:trPr>
        <w:tc>
          <w:tcPr>
            <w:tcW w:w="5018" w:type="dxa"/>
            <w:vMerge w:val="restart"/>
            <w:tcBorders>
              <w:top w:val="single" w:sz="8" w:space="0" w:color="FFFFFF" w:themeColor="background1"/>
              <w:left w:val="nil"/>
              <w:right w:val="nil"/>
            </w:tcBorders>
            <w:shd w:val="clear" w:color="000000" w:fill="808080"/>
            <w:vAlign w:val="center"/>
            <w:hideMark/>
          </w:tcPr>
          <w:p w14:paraId="215A6AA8" w14:textId="77777777" w:rsidR="00C12642" w:rsidRPr="00C742CD" w:rsidRDefault="00C12642" w:rsidP="002E3511">
            <w:pPr>
              <w:spacing w:after="0"/>
              <w:rPr>
                <w:rFonts w:ascii="Arial" w:hAnsi="Arial" w:cs="Arial"/>
                <w:color w:val="FFFFFF" w:themeColor="background1"/>
                <w:sz w:val="18"/>
                <w:szCs w:val="18"/>
              </w:rPr>
            </w:pPr>
            <w:r w:rsidRPr="00C742CD">
              <w:rPr>
                <w:rFonts w:ascii="Arial" w:hAnsi="Arial" w:cs="Arial"/>
                <w:color w:val="FFFFFF" w:themeColor="background1"/>
                <w:sz w:val="18"/>
                <w:szCs w:val="18"/>
              </w:rPr>
              <w:t>Appropriate (optimal and adequate)</w:t>
            </w:r>
            <w:r w:rsidR="002E3511">
              <w:rPr>
                <w:rFonts w:ascii="Calibri" w:hAnsi="Calibri" w:cs="Arial"/>
                <w:color w:val="FFFFFF" w:themeColor="background1"/>
                <w:sz w:val="18"/>
                <w:szCs w:val="18"/>
              </w:rPr>
              <w:t>§</w:t>
            </w:r>
          </w:p>
        </w:tc>
        <w:tc>
          <w:tcPr>
            <w:tcW w:w="1044" w:type="dxa"/>
            <w:vMerge w:val="restart"/>
            <w:tcBorders>
              <w:top w:val="single" w:sz="12" w:space="0" w:color="808080" w:themeColor="background1" w:themeShade="80"/>
              <w:left w:val="nil"/>
              <w:bottom w:val="single" w:sz="8" w:space="0" w:color="808080"/>
              <w:right w:val="nil"/>
            </w:tcBorders>
            <w:shd w:val="clear" w:color="auto" w:fill="auto"/>
            <w:vAlign w:val="center"/>
            <w:hideMark/>
          </w:tcPr>
          <w:p w14:paraId="24BA79E3" w14:textId="77777777" w:rsidR="00C12642" w:rsidRPr="00C742CD" w:rsidRDefault="00C12642" w:rsidP="00007541">
            <w:pPr>
              <w:spacing w:after="0"/>
              <w:jc w:val="center"/>
              <w:rPr>
                <w:rFonts w:ascii="Arial" w:hAnsi="Arial" w:cs="Arial"/>
                <w:color w:val="000000"/>
                <w:sz w:val="16"/>
                <w:szCs w:val="16"/>
              </w:rPr>
            </w:pPr>
            <w:r w:rsidRPr="00C742CD">
              <w:rPr>
                <w:rFonts w:ascii="Arial" w:hAnsi="Arial" w:cs="Arial"/>
                <w:color w:val="000000"/>
                <w:sz w:val="16"/>
                <w:szCs w:val="16"/>
              </w:rPr>
              <w:t>75.6</w:t>
            </w:r>
          </w:p>
        </w:tc>
        <w:tc>
          <w:tcPr>
            <w:tcW w:w="992" w:type="dxa"/>
            <w:vMerge w:val="restart"/>
            <w:tcBorders>
              <w:top w:val="single" w:sz="12" w:space="0" w:color="808080" w:themeColor="background1" w:themeShade="80"/>
              <w:left w:val="nil"/>
              <w:bottom w:val="single" w:sz="8" w:space="0" w:color="808080"/>
              <w:right w:val="nil"/>
            </w:tcBorders>
            <w:shd w:val="clear" w:color="auto" w:fill="auto"/>
            <w:vAlign w:val="center"/>
            <w:hideMark/>
          </w:tcPr>
          <w:p w14:paraId="20E2BE8D" w14:textId="77777777" w:rsidR="00C12642" w:rsidRPr="00C742CD" w:rsidRDefault="00C12642" w:rsidP="00007541">
            <w:pPr>
              <w:spacing w:after="0"/>
              <w:jc w:val="center"/>
              <w:rPr>
                <w:rFonts w:ascii="Arial" w:hAnsi="Arial" w:cs="Arial"/>
                <w:color w:val="000000"/>
                <w:sz w:val="16"/>
                <w:szCs w:val="16"/>
              </w:rPr>
            </w:pPr>
            <w:r w:rsidRPr="00C742CD">
              <w:rPr>
                <w:rFonts w:ascii="Arial" w:hAnsi="Arial" w:cs="Arial"/>
                <w:color w:val="000000"/>
                <w:sz w:val="16"/>
                <w:szCs w:val="16"/>
              </w:rPr>
              <w:t>75.9</w:t>
            </w:r>
          </w:p>
        </w:tc>
        <w:tc>
          <w:tcPr>
            <w:tcW w:w="851" w:type="dxa"/>
            <w:vMerge w:val="restart"/>
            <w:tcBorders>
              <w:top w:val="single" w:sz="12" w:space="0" w:color="808080" w:themeColor="background1" w:themeShade="80"/>
              <w:left w:val="nil"/>
              <w:bottom w:val="single" w:sz="8" w:space="0" w:color="808080"/>
              <w:right w:val="nil"/>
            </w:tcBorders>
            <w:shd w:val="clear" w:color="auto" w:fill="auto"/>
            <w:vAlign w:val="center"/>
            <w:hideMark/>
          </w:tcPr>
          <w:p w14:paraId="35B4ECD5" w14:textId="77777777" w:rsidR="00C12642" w:rsidRPr="00C742CD" w:rsidRDefault="00C12642" w:rsidP="00007541">
            <w:pPr>
              <w:spacing w:after="0"/>
              <w:jc w:val="center"/>
              <w:rPr>
                <w:rFonts w:ascii="Arial" w:hAnsi="Arial" w:cs="Arial"/>
                <w:color w:val="000000"/>
                <w:sz w:val="16"/>
                <w:szCs w:val="16"/>
              </w:rPr>
            </w:pPr>
            <w:r w:rsidRPr="00C742CD">
              <w:rPr>
                <w:rFonts w:ascii="Arial" w:hAnsi="Arial" w:cs="Arial"/>
                <w:color w:val="000000"/>
                <w:sz w:val="16"/>
                <w:szCs w:val="16"/>
              </w:rPr>
              <w:t>77.0</w:t>
            </w:r>
          </w:p>
        </w:tc>
        <w:tc>
          <w:tcPr>
            <w:tcW w:w="1134" w:type="dxa"/>
            <w:vMerge w:val="restart"/>
            <w:tcBorders>
              <w:top w:val="single" w:sz="12" w:space="0" w:color="808080" w:themeColor="background1" w:themeShade="80"/>
              <w:left w:val="nil"/>
              <w:bottom w:val="single" w:sz="8" w:space="0" w:color="808080"/>
              <w:right w:val="nil"/>
            </w:tcBorders>
            <w:shd w:val="clear" w:color="auto" w:fill="auto"/>
            <w:vAlign w:val="center"/>
            <w:hideMark/>
          </w:tcPr>
          <w:p w14:paraId="78EE7766" w14:textId="77777777" w:rsidR="00C12642" w:rsidRPr="00C742CD" w:rsidRDefault="00C12642" w:rsidP="00007541">
            <w:pPr>
              <w:spacing w:after="0"/>
              <w:jc w:val="center"/>
              <w:rPr>
                <w:rFonts w:ascii="Arial" w:hAnsi="Arial" w:cs="Arial"/>
                <w:color w:val="000000"/>
                <w:sz w:val="16"/>
                <w:szCs w:val="16"/>
              </w:rPr>
            </w:pPr>
            <w:r w:rsidRPr="00C742CD">
              <w:rPr>
                <w:rFonts w:ascii="Arial" w:hAnsi="Arial" w:cs="Arial"/>
                <w:color w:val="000000"/>
                <w:sz w:val="16"/>
                <w:szCs w:val="16"/>
              </w:rPr>
              <w:t>76.1</w:t>
            </w:r>
          </w:p>
        </w:tc>
        <w:tc>
          <w:tcPr>
            <w:tcW w:w="850" w:type="dxa"/>
            <w:vMerge w:val="restart"/>
            <w:tcBorders>
              <w:top w:val="single" w:sz="12" w:space="0" w:color="808080" w:themeColor="background1" w:themeShade="80"/>
              <w:left w:val="nil"/>
              <w:bottom w:val="single" w:sz="8" w:space="0" w:color="808080"/>
              <w:right w:val="single" w:sz="8" w:space="0" w:color="808080"/>
            </w:tcBorders>
            <w:shd w:val="clear" w:color="auto" w:fill="auto"/>
            <w:vAlign w:val="center"/>
            <w:hideMark/>
          </w:tcPr>
          <w:p w14:paraId="6F6783F4" w14:textId="77777777" w:rsidR="00C12642" w:rsidRPr="00C742CD" w:rsidRDefault="00C12642" w:rsidP="00007541">
            <w:pPr>
              <w:spacing w:after="0"/>
              <w:jc w:val="center"/>
              <w:rPr>
                <w:rFonts w:ascii="Arial" w:hAnsi="Arial" w:cs="Arial"/>
                <w:color w:val="000000"/>
                <w:sz w:val="16"/>
                <w:szCs w:val="16"/>
              </w:rPr>
            </w:pPr>
            <w:r w:rsidRPr="00C742CD">
              <w:rPr>
                <w:rFonts w:ascii="Arial" w:hAnsi="Arial" w:cs="Arial"/>
                <w:color w:val="000000"/>
                <w:sz w:val="16"/>
                <w:szCs w:val="16"/>
              </w:rPr>
              <w:t>76.5</w:t>
            </w:r>
          </w:p>
        </w:tc>
      </w:tr>
      <w:tr w:rsidR="00C12642" w:rsidRPr="00A645FB" w14:paraId="0266A91A" w14:textId="77777777" w:rsidTr="00C36529">
        <w:trPr>
          <w:trHeight w:val="333"/>
        </w:trPr>
        <w:tc>
          <w:tcPr>
            <w:tcW w:w="5018" w:type="dxa"/>
            <w:vMerge/>
            <w:tcBorders>
              <w:left w:val="nil"/>
              <w:bottom w:val="single" w:sz="8" w:space="0" w:color="808080"/>
              <w:right w:val="nil"/>
            </w:tcBorders>
            <w:vAlign w:val="center"/>
            <w:hideMark/>
          </w:tcPr>
          <w:p w14:paraId="78E75713" w14:textId="77777777" w:rsidR="00C12642" w:rsidRPr="00A645FB" w:rsidRDefault="00C12642" w:rsidP="00007541">
            <w:pPr>
              <w:spacing w:after="0"/>
              <w:rPr>
                <w:rFonts w:ascii="Arial" w:hAnsi="Arial" w:cs="Arial"/>
                <w:color w:val="000000"/>
                <w:sz w:val="16"/>
                <w:szCs w:val="16"/>
              </w:rPr>
            </w:pPr>
          </w:p>
        </w:tc>
        <w:tc>
          <w:tcPr>
            <w:tcW w:w="1044" w:type="dxa"/>
            <w:vMerge/>
            <w:tcBorders>
              <w:top w:val="nil"/>
              <w:left w:val="nil"/>
              <w:bottom w:val="single" w:sz="8" w:space="0" w:color="808080"/>
              <w:right w:val="nil"/>
            </w:tcBorders>
            <w:vAlign w:val="center"/>
            <w:hideMark/>
          </w:tcPr>
          <w:p w14:paraId="5E0469EA" w14:textId="77777777" w:rsidR="00C12642" w:rsidRPr="00A645FB" w:rsidRDefault="00C12642" w:rsidP="00007541">
            <w:pPr>
              <w:spacing w:after="0"/>
              <w:rPr>
                <w:rFonts w:ascii="Arial" w:hAnsi="Arial" w:cs="Arial"/>
                <w:color w:val="000000"/>
                <w:sz w:val="16"/>
                <w:szCs w:val="16"/>
              </w:rPr>
            </w:pPr>
          </w:p>
        </w:tc>
        <w:tc>
          <w:tcPr>
            <w:tcW w:w="992" w:type="dxa"/>
            <w:vMerge/>
            <w:tcBorders>
              <w:top w:val="nil"/>
              <w:left w:val="nil"/>
              <w:bottom w:val="single" w:sz="8" w:space="0" w:color="808080"/>
              <w:right w:val="nil"/>
            </w:tcBorders>
            <w:vAlign w:val="center"/>
            <w:hideMark/>
          </w:tcPr>
          <w:p w14:paraId="6A601324" w14:textId="77777777" w:rsidR="00C12642" w:rsidRPr="00A645FB" w:rsidRDefault="00C12642" w:rsidP="00007541">
            <w:pPr>
              <w:spacing w:after="0"/>
              <w:rPr>
                <w:rFonts w:ascii="Arial" w:hAnsi="Arial" w:cs="Arial"/>
                <w:color w:val="000000"/>
                <w:sz w:val="16"/>
                <w:szCs w:val="16"/>
              </w:rPr>
            </w:pPr>
          </w:p>
        </w:tc>
        <w:tc>
          <w:tcPr>
            <w:tcW w:w="851" w:type="dxa"/>
            <w:vMerge/>
            <w:tcBorders>
              <w:top w:val="nil"/>
              <w:left w:val="nil"/>
              <w:bottom w:val="single" w:sz="8" w:space="0" w:color="808080"/>
              <w:right w:val="nil"/>
            </w:tcBorders>
            <w:vAlign w:val="center"/>
            <w:hideMark/>
          </w:tcPr>
          <w:p w14:paraId="02CB43D1" w14:textId="77777777" w:rsidR="00C12642" w:rsidRPr="00A645FB" w:rsidRDefault="00C12642" w:rsidP="00007541">
            <w:pPr>
              <w:spacing w:after="0"/>
              <w:rPr>
                <w:rFonts w:ascii="Arial" w:hAnsi="Arial" w:cs="Arial"/>
                <w:color w:val="000000"/>
                <w:sz w:val="16"/>
                <w:szCs w:val="16"/>
              </w:rPr>
            </w:pPr>
          </w:p>
        </w:tc>
        <w:tc>
          <w:tcPr>
            <w:tcW w:w="1134" w:type="dxa"/>
            <w:vMerge/>
            <w:tcBorders>
              <w:top w:val="nil"/>
              <w:left w:val="nil"/>
              <w:bottom w:val="single" w:sz="8" w:space="0" w:color="808080"/>
              <w:right w:val="nil"/>
            </w:tcBorders>
            <w:vAlign w:val="center"/>
            <w:hideMark/>
          </w:tcPr>
          <w:p w14:paraId="4AF56671" w14:textId="77777777" w:rsidR="00C12642" w:rsidRPr="00A645FB" w:rsidRDefault="00C12642" w:rsidP="00007541">
            <w:pPr>
              <w:spacing w:after="0"/>
              <w:rPr>
                <w:rFonts w:ascii="Arial" w:hAnsi="Arial" w:cs="Arial"/>
                <w:color w:val="000000"/>
                <w:sz w:val="16"/>
                <w:szCs w:val="16"/>
              </w:rPr>
            </w:pPr>
          </w:p>
        </w:tc>
        <w:tc>
          <w:tcPr>
            <w:tcW w:w="850" w:type="dxa"/>
            <w:vMerge/>
            <w:tcBorders>
              <w:top w:val="nil"/>
              <w:left w:val="nil"/>
              <w:bottom w:val="single" w:sz="8" w:space="0" w:color="808080"/>
              <w:right w:val="single" w:sz="8" w:space="0" w:color="808080"/>
            </w:tcBorders>
            <w:vAlign w:val="center"/>
            <w:hideMark/>
          </w:tcPr>
          <w:p w14:paraId="4367DBC3" w14:textId="77777777" w:rsidR="00C12642" w:rsidRPr="00A645FB" w:rsidRDefault="00C12642" w:rsidP="00007541">
            <w:pPr>
              <w:spacing w:after="0"/>
              <w:rPr>
                <w:rFonts w:ascii="Arial" w:hAnsi="Arial" w:cs="Arial"/>
                <w:color w:val="000000"/>
                <w:sz w:val="16"/>
                <w:szCs w:val="16"/>
              </w:rPr>
            </w:pPr>
          </w:p>
        </w:tc>
      </w:tr>
    </w:tbl>
    <w:p w14:paraId="3771F515" w14:textId="72AFB2DD" w:rsidR="00C12642" w:rsidRPr="00557374" w:rsidRDefault="00C12642" w:rsidP="00C12642">
      <w:pPr>
        <w:pStyle w:val="Captions"/>
        <w:spacing w:before="0" w:after="0"/>
        <w:rPr>
          <w:sz w:val="18"/>
        </w:rPr>
      </w:pPr>
      <w:proofErr w:type="spellStart"/>
      <w:r w:rsidRPr="00557374">
        <w:rPr>
          <w:sz w:val="18"/>
        </w:rPr>
        <w:t>na</w:t>
      </w:r>
      <w:proofErr w:type="spellEnd"/>
      <w:r w:rsidRPr="00557374">
        <w:rPr>
          <w:sz w:val="18"/>
        </w:rPr>
        <w:t xml:space="preserve"> - not applicable</w:t>
      </w:r>
      <w:r w:rsidR="00A7246E" w:rsidRPr="00557374">
        <w:rPr>
          <w:sz w:val="18"/>
        </w:rPr>
        <w:t xml:space="preserve"> as the</w:t>
      </w:r>
      <w:r w:rsidR="00455FDE" w:rsidRPr="00557374">
        <w:rPr>
          <w:sz w:val="18"/>
        </w:rPr>
        <w:t>se</w:t>
      </w:r>
      <w:r w:rsidR="00A7246E" w:rsidRPr="00557374">
        <w:rPr>
          <w:sz w:val="18"/>
        </w:rPr>
        <w:t xml:space="preserve"> indicator</w:t>
      </w:r>
      <w:r w:rsidR="00455FDE" w:rsidRPr="00557374">
        <w:rPr>
          <w:sz w:val="18"/>
        </w:rPr>
        <w:t>s</w:t>
      </w:r>
      <w:r w:rsidR="00A7246E" w:rsidRPr="00557374">
        <w:rPr>
          <w:sz w:val="18"/>
        </w:rPr>
        <w:t xml:space="preserve"> w</w:t>
      </w:r>
      <w:r w:rsidR="00455FDE" w:rsidRPr="00557374">
        <w:rPr>
          <w:sz w:val="18"/>
        </w:rPr>
        <w:t>ere</w:t>
      </w:r>
      <w:r w:rsidR="00A7246E" w:rsidRPr="00557374">
        <w:rPr>
          <w:sz w:val="18"/>
        </w:rPr>
        <w:t xml:space="preserve"> introduced in 2015</w:t>
      </w:r>
    </w:p>
    <w:p w14:paraId="29D3E7AC" w14:textId="77777777" w:rsidR="00C12642" w:rsidRPr="00557374" w:rsidRDefault="002E3511" w:rsidP="00C12642">
      <w:pPr>
        <w:pStyle w:val="Captions"/>
        <w:spacing w:before="0" w:after="0"/>
        <w:rPr>
          <w:sz w:val="18"/>
        </w:rPr>
      </w:pPr>
      <w:r w:rsidRPr="00557374">
        <w:rPr>
          <w:sz w:val="18"/>
        </w:rPr>
        <w:t xml:space="preserve">* </w:t>
      </w:r>
      <w:r w:rsidR="00C12642" w:rsidRPr="00557374">
        <w:rPr>
          <w:sz w:val="18"/>
        </w:rPr>
        <w:t>Where surgical prophylaxis was selected as the indication (n = 3,397)</w:t>
      </w:r>
    </w:p>
    <w:p w14:paraId="416B6F13" w14:textId="77777777" w:rsidR="00C12642" w:rsidRPr="00557374" w:rsidRDefault="002E3511" w:rsidP="00C12642">
      <w:pPr>
        <w:pStyle w:val="Captions"/>
        <w:spacing w:before="0" w:after="0"/>
        <w:rPr>
          <w:sz w:val="18"/>
        </w:rPr>
      </w:pPr>
      <w:r w:rsidRPr="00557374">
        <w:rPr>
          <w:sz w:val="18"/>
          <w:vertAlign w:val="superscript"/>
        </w:rPr>
        <w:t>†</w:t>
      </w:r>
      <w:r w:rsidR="00C12642" w:rsidRPr="00557374">
        <w:rPr>
          <w:sz w:val="18"/>
        </w:rPr>
        <w:t xml:space="preserve"> Prescriptions for which compliance was assessable (21,034 prescriptions in 2017). Excludes prescriptions for which guidelines were not available, as well as prescriptions that were ‘directed therapy’ or ‘not assessable’.</w:t>
      </w:r>
    </w:p>
    <w:p w14:paraId="73E62C1B" w14:textId="1E3E9E38" w:rsidR="00770A6C" w:rsidRDefault="002E3511" w:rsidP="00C36529">
      <w:pPr>
        <w:pStyle w:val="Captions"/>
        <w:spacing w:before="0" w:after="0"/>
        <w:rPr>
          <w:b/>
        </w:rPr>
      </w:pPr>
      <w:r w:rsidRPr="00557374">
        <w:rPr>
          <w:rFonts w:ascii="Calibri" w:hAnsi="Calibri"/>
          <w:sz w:val="18"/>
          <w:vertAlign w:val="superscript"/>
        </w:rPr>
        <w:t>§</w:t>
      </w:r>
      <w:r w:rsidR="00C12642" w:rsidRPr="00557374">
        <w:rPr>
          <w:sz w:val="18"/>
        </w:rPr>
        <w:t xml:space="preserve"> Prescriptions for which appropriateness was assessable (24,987 prescriptions in 2017). Excludes prescriptions deemed to be ‘not assessable’.</w:t>
      </w:r>
      <w:r w:rsidR="00770A6C">
        <w:br w:type="page"/>
      </w:r>
    </w:p>
    <w:p w14:paraId="0026AFC8" w14:textId="7D462863" w:rsidR="00727F03" w:rsidRDefault="002A31D0" w:rsidP="00727F03">
      <w:pPr>
        <w:pStyle w:val="FigureTitle"/>
      </w:pPr>
      <w:r>
        <w:lastRenderedPageBreak/>
        <w:t>Figure 5</w:t>
      </w:r>
      <w:r w:rsidR="00557374">
        <w:t xml:space="preserve">: </w:t>
      </w:r>
      <w:r w:rsidR="00727F03">
        <w:t xml:space="preserve">Hospital NAPS key indicators </w:t>
      </w:r>
      <w:r w:rsidR="00A7246E">
        <w:t>%</w:t>
      </w:r>
      <w:r w:rsidR="00727F03">
        <w:t>, 2013–2017</w:t>
      </w:r>
    </w:p>
    <w:p w14:paraId="67324859" w14:textId="77777777" w:rsidR="00727F03" w:rsidRDefault="00727F03" w:rsidP="00727F03">
      <w:pPr>
        <w:pStyle w:val="FigureTitle"/>
      </w:pPr>
    </w:p>
    <w:p w14:paraId="0F0E5D1F" w14:textId="77777777" w:rsidR="00727F03" w:rsidRDefault="00727F03" w:rsidP="00727F03">
      <w:pPr>
        <w:pStyle w:val="FigureTitle"/>
      </w:pPr>
      <w:r w:rsidRPr="00220803">
        <w:rPr>
          <w:rFonts w:ascii="Helvetica Neue" w:hAnsi="Helvetica Neue"/>
          <w:noProof/>
        </w:rPr>
        <w:drawing>
          <wp:inline distT="0" distB="0" distL="0" distR="0" wp14:anchorId="0D877374" wp14:editId="57EE717B">
            <wp:extent cx="6086475" cy="44958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172782" w14:textId="37EA7E4E" w:rsidR="00727F03" w:rsidRDefault="00727F03" w:rsidP="00727F03">
      <w:pPr>
        <w:pStyle w:val="Captions"/>
        <w:spacing w:before="0" w:after="0"/>
      </w:pPr>
      <w:r>
        <w:rPr>
          <w:vertAlign w:val="superscript"/>
        </w:rPr>
        <w:t>*</w:t>
      </w:r>
      <w:r w:rsidRPr="00462859">
        <w:t xml:space="preserve"> </w:t>
      </w:r>
      <w:r w:rsidR="00AC1069">
        <w:t>Collection</w:t>
      </w:r>
      <w:r w:rsidR="00770A6C">
        <w:t xml:space="preserve"> of data on documentation of r</w:t>
      </w:r>
      <w:r>
        <w:t xml:space="preserve">eview and stop date </w:t>
      </w:r>
      <w:r w:rsidR="00770A6C">
        <w:t xml:space="preserve">commenced in </w:t>
      </w:r>
      <w:r>
        <w:t>2015</w:t>
      </w:r>
    </w:p>
    <w:p w14:paraId="5453775F" w14:textId="77777777" w:rsidR="00727F03" w:rsidRPr="00727F03" w:rsidRDefault="00727F03" w:rsidP="00727F03">
      <w:pPr>
        <w:pStyle w:val="Captions"/>
        <w:spacing w:before="0" w:after="0"/>
      </w:pPr>
      <w:r w:rsidRPr="00D1022B">
        <w:rPr>
          <w:vertAlign w:val="superscript"/>
        </w:rPr>
        <w:t>†</w:t>
      </w:r>
      <w:r>
        <w:rPr>
          <w:vertAlign w:val="superscript"/>
        </w:rPr>
        <w:t xml:space="preserve"> </w:t>
      </w:r>
      <w:r w:rsidRPr="00462859">
        <w:t xml:space="preserve">Where surgical prophylaxis was selected as the </w:t>
      </w:r>
      <w:r w:rsidRPr="001D4A11">
        <w:t>indication (n = 3,397)</w:t>
      </w:r>
    </w:p>
    <w:p w14:paraId="21176CDA" w14:textId="230950A1" w:rsidR="00727F03" w:rsidRDefault="00727F03" w:rsidP="00727F03">
      <w:pPr>
        <w:pStyle w:val="Captions"/>
        <w:spacing w:before="0" w:after="0"/>
      </w:pPr>
      <w:r>
        <w:rPr>
          <w:rFonts w:ascii="Calibri" w:hAnsi="Calibri"/>
          <w:vertAlign w:val="superscript"/>
        </w:rPr>
        <w:t>§</w:t>
      </w:r>
      <w:r>
        <w:rPr>
          <w:vertAlign w:val="superscript"/>
        </w:rPr>
        <w:t xml:space="preserve"> </w:t>
      </w:r>
      <w:r>
        <w:t>P</w:t>
      </w:r>
      <w:r w:rsidRPr="00462859">
        <w:t>rescriptions for which compliance was assessable</w:t>
      </w:r>
      <w:r>
        <w:t xml:space="preserve"> </w:t>
      </w:r>
      <w:r w:rsidRPr="00462859">
        <w:t>(</w:t>
      </w:r>
      <w:r w:rsidR="00A7246E">
        <w:t>21,034 prescriptions in 2017), e</w:t>
      </w:r>
      <w:r w:rsidRPr="00462859">
        <w:t>xclude</w:t>
      </w:r>
      <w:r>
        <w:t>s</w:t>
      </w:r>
      <w:r w:rsidRPr="00462859">
        <w:t xml:space="preserve"> prescriptions </w:t>
      </w:r>
      <w:r>
        <w:t>for which guidelines were not available, as well as prescriptions that were ‘d</w:t>
      </w:r>
      <w:r w:rsidRPr="00462859">
        <w:t>ir</w:t>
      </w:r>
      <w:r>
        <w:t>ected therapy’ or ‘not assessable’.</w:t>
      </w:r>
    </w:p>
    <w:p w14:paraId="1AB7ABE8" w14:textId="5F4CC9A7" w:rsidR="00727F03" w:rsidRDefault="00727F03" w:rsidP="00727F03">
      <w:pPr>
        <w:pStyle w:val="Captions"/>
        <w:spacing w:before="0" w:after="0"/>
      </w:pPr>
      <w:r>
        <w:rPr>
          <w:vertAlign w:val="superscript"/>
        </w:rPr>
        <w:t xml:space="preserve"># </w:t>
      </w:r>
      <w:r>
        <w:t>P</w:t>
      </w:r>
      <w:r w:rsidRPr="00462859">
        <w:t xml:space="preserve">rescriptions for which </w:t>
      </w:r>
      <w:r>
        <w:t>appropriateness</w:t>
      </w:r>
      <w:r w:rsidRPr="00462859">
        <w:t xml:space="preserve"> was assessable</w:t>
      </w:r>
      <w:r>
        <w:t xml:space="preserve"> </w:t>
      </w:r>
      <w:r w:rsidRPr="00462859">
        <w:t>(</w:t>
      </w:r>
      <w:r w:rsidR="000A3C27">
        <w:t>n=</w:t>
      </w:r>
      <w:r w:rsidR="00A7246E">
        <w:t>24,987 in 2017), e</w:t>
      </w:r>
      <w:r w:rsidRPr="00462859">
        <w:t>xclude</w:t>
      </w:r>
      <w:r>
        <w:t>s</w:t>
      </w:r>
      <w:r w:rsidRPr="00462859">
        <w:t xml:space="preserve"> prescriptions </w:t>
      </w:r>
      <w:r>
        <w:t>deemed to be ‘not assessable’.</w:t>
      </w:r>
    </w:p>
    <w:p w14:paraId="134AAC6A" w14:textId="77777777" w:rsidR="00727F03" w:rsidRDefault="00727F03" w:rsidP="00727F03">
      <w:pPr>
        <w:pStyle w:val="FigureTitle"/>
      </w:pPr>
    </w:p>
    <w:p w14:paraId="4EEDAF98" w14:textId="3C33BF3D" w:rsidR="00A6288D" w:rsidRDefault="0075751E" w:rsidP="00A6288D">
      <w:r>
        <w:t>T</w:t>
      </w:r>
      <w:r w:rsidR="005507AF">
        <w:t xml:space="preserve">here are several factors that could be influencing the results </w:t>
      </w:r>
      <w:r>
        <w:t>and trends seen in Tables 7 and 8; these</w:t>
      </w:r>
      <w:r w:rsidR="003045E7">
        <w:t xml:space="preserve"> warrant further investigation.</w:t>
      </w:r>
      <w:r w:rsidR="00E037C8">
        <w:t xml:space="preserve"> </w:t>
      </w:r>
      <w:r w:rsidR="003045E7">
        <w:t xml:space="preserve">For example, </w:t>
      </w:r>
      <w:r>
        <w:t xml:space="preserve">the Hospital NAPS is a voluntary survey and </w:t>
      </w:r>
      <w:r w:rsidR="001B295C">
        <w:t xml:space="preserve">it is possible that hospitals may not participate </w:t>
      </w:r>
      <w:r w:rsidR="00273F96">
        <w:t>every year. Within each data collection period, t</w:t>
      </w:r>
      <w:r w:rsidR="001B295C">
        <w:t xml:space="preserve">here will also be facilities that are participating for the first time whose results may be </w:t>
      </w:r>
      <w:r w:rsidR="00394DA3">
        <w:t>poorer than</w:t>
      </w:r>
      <w:r w:rsidR="001B295C">
        <w:t xml:space="preserve"> sites that have participated over many years </w:t>
      </w:r>
      <w:r w:rsidR="00A7246E">
        <w:t>or</w:t>
      </w:r>
      <w:r w:rsidR="001B295C">
        <w:t xml:space="preserve"> have a</w:t>
      </w:r>
      <w:r w:rsidR="003045E7">
        <w:t xml:space="preserve"> more </w:t>
      </w:r>
      <w:r w:rsidR="000B65B3">
        <w:t xml:space="preserve">established </w:t>
      </w:r>
      <w:r w:rsidR="001B295C">
        <w:t xml:space="preserve">AMS program. </w:t>
      </w:r>
      <w:r w:rsidR="003045E7">
        <w:t>To limit the impact of these types of variables, two further analyses were performed</w:t>
      </w:r>
      <w:r w:rsidR="0077720C">
        <w:t xml:space="preserve"> which </w:t>
      </w:r>
      <w:r w:rsidR="00A6288D">
        <w:t>examine the impact of the NAPS in assisting hospitals to improve the quality of their antimicrobial prescribing over time.</w:t>
      </w:r>
      <w:r w:rsidR="00175448">
        <w:t xml:space="preserve"> It is important to consider these findings in the broader context of the development of AMS initiatives such as the NSQHS Standards and </w:t>
      </w:r>
      <w:r w:rsidR="00724939">
        <w:t>s</w:t>
      </w:r>
      <w:r w:rsidR="00175448">
        <w:t xml:space="preserve">tate </w:t>
      </w:r>
      <w:r w:rsidR="00724939">
        <w:t>and</w:t>
      </w:r>
      <w:r w:rsidR="00175448">
        <w:t xml:space="preserve"> </w:t>
      </w:r>
      <w:r w:rsidR="00724939">
        <w:t>t</w:t>
      </w:r>
      <w:r w:rsidR="00175448">
        <w:t>erritory quality improvement strategies.</w:t>
      </w:r>
    </w:p>
    <w:p w14:paraId="6A1CFB66" w14:textId="77777777" w:rsidR="00C36529" w:rsidRDefault="00CF0EE9" w:rsidP="00BA2271">
      <w:r>
        <w:t xml:space="preserve">For </w:t>
      </w:r>
      <w:r w:rsidR="00BA2271">
        <w:t>hospital</w:t>
      </w:r>
      <w:r w:rsidR="007B2D3A">
        <w:t>s</w:t>
      </w:r>
      <w:r w:rsidR="00BA2271">
        <w:t xml:space="preserve"> </w:t>
      </w:r>
      <w:r>
        <w:t>that</w:t>
      </w:r>
      <w:r w:rsidR="007B2D3A">
        <w:t xml:space="preserve"> </w:t>
      </w:r>
      <w:r w:rsidR="0077720C">
        <w:t>have undertaken</w:t>
      </w:r>
      <w:r w:rsidR="00BA2271">
        <w:t xml:space="preserve"> the</w:t>
      </w:r>
      <w:r w:rsidR="002E3511">
        <w:t xml:space="preserve"> </w:t>
      </w:r>
      <w:r w:rsidR="00BA2271">
        <w:t>NAPS at least twice over the five years</w:t>
      </w:r>
      <w:r>
        <w:t xml:space="preserve"> from 2013 to 2017</w:t>
      </w:r>
      <w:r w:rsidR="00B222FA">
        <w:t xml:space="preserve"> (n = 361)</w:t>
      </w:r>
      <w:r w:rsidR="00BA2271">
        <w:t>, the analys</w:t>
      </w:r>
      <w:r w:rsidR="002E3511">
        <w:t>e</w:t>
      </w:r>
      <w:r w:rsidR="00BA2271">
        <w:t xml:space="preserve">s </w:t>
      </w:r>
      <w:r w:rsidR="002E3511">
        <w:t xml:space="preserve">in Tables </w:t>
      </w:r>
      <w:r w:rsidR="00603A69">
        <w:t>8</w:t>
      </w:r>
      <w:r w:rsidR="002E3511">
        <w:t xml:space="preserve"> and </w:t>
      </w:r>
      <w:r w:rsidR="00603A69">
        <w:t>9</w:t>
      </w:r>
      <w:r w:rsidR="002E3511">
        <w:t xml:space="preserve"> </w:t>
      </w:r>
      <w:r w:rsidR="00BA2271">
        <w:t>show the percentage change in key indicators between subsequent years of participation. Significant improvements</w:t>
      </w:r>
      <w:r w:rsidR="00A7246E">
        <w:t xml:space="preserve"> (determined by p &lt; 0.05)</w:t>
      </w:r>
      <w:r w:rsidR="00BA2271">
        <w:t xml:space="preserve"> in the reporting of quality markers</w:t>
      </w:r>
      <w:r w:rsidR="00793B2B">
        <w:t>,</w:t>
      </w:r>
      <w:r w:rsidR="00BA2271">
        <w:t xml:space="preserve"> such as documentation of indication (1.43%) or duration of surgical prophylaxis</w:t>
      </w:r>
      <w:r w:rsidR="007B2D3A">
        <w:t xml:space="preserve"> greater than 24 hours</w:t>
      </w:r>
      <w:r w:rsidR="00BA2271">
        <w:t xml:space="preserve"> (- 4.03%)</w:t>
      </w:r>
      <w:r w:rsidR="00793B2B">
        <w:t>,</w:t>
      </w:r>
      <w:r w:rsidR="00BA2271">
        <w:t xml:space="preserve"> are shown</w:t>
      </w:r>
      <w:r w:rsidR="005C5E02">
        <w:t xml:space="preserve"> (Table 9)</w:t>
      </w:r>
      <w:r w:rsidR="00BA2271">
        <w:t>. Fewer prescriptions were reported as not assessable (-</w:t>
      </w:r>
      <w:r w:rsidR="00793B2B">
        <w:t xml:space="preserve"> </w:t>
      </w:r>
      <w:r w:rsidR="00BA2271">
        <w:t>0.52%)</w:t>
      </w:r>
      <w:r w:rsidR="00770A6C">
        <w:t>,</w:t>
      </w:r>
      <w:r w:rsidR="00BA2271">
        <w:t xml:space="preserve"> and </w:t>
      </w:r>
      <w:r w:rsidR="00304FEC">
        <w:t xml:space="preserve">there was a decrease in auditors reporting that no </w:t>
      </w:r>
      <w:r w:rsidR="00BA2271">
        <w:t xml:space="preserve">guidelines were </w:t>
      </w:r>
      <w:r w:rsidR="00304FEC">
        <w:t xml:space="preserve">available </w:t>
      </w:r>
      <w:r w:rsidR="00BA2271">
        <w:t>to assist with assessment (</w:t>
      </w:r>
      <w:r w:rsidR="00DE05A8">
        <w:t xml:space="preserve">- </w:t>
      </w:r>
      <w:r w:rsidR="00BA2271">
        <w:t>1.45%)</w:t>
      </w:r>
      <w:r w:rsidR="005C5E02">
        <w:t xml:space="preserve"> (Table 8)</w:t>
      </w:r>
      <w:r w:rsidR="00BA2271">
        <w:t xml:space="preserve">. </w:t>
      </w:r>
    </w:p>
    <w:p w14:paraId="0F7647FE" w14:textId="74E5551D" w:rsidR="00BA2271" w:rsidRDefault="00BA2271" w:rsidP="00BA2271">
      <w:r>
        <w:lastRenderedPageBreak/>
        <w:t>The number of prescriptions asse</w:t>
      </w:r>
      <w:r w:rsidR="00DE05A8">
        <w:t>ssed as appropriate rose by 0.83</w:t>
      </w:r>
      <w:r>
        <w:t>%</w:t>
      </w:r>
      <w:r w:rsidR="00793B2B">
        <w:t xml:space="preserve"> over the period</w:t>
      </w:r>
      <w:r w:rsidR="005C5E02">
        <w:t xml:space="preserve"> (Table 8)</w:t>
      </w:r>
      <w:r>
        <w:t>, despite 0.61</w:t>
      </w:r>
      <w:r w:rsidR="00DE05A8">
        <w:t>% fewer</w:t>
      </w:r>
      <w:r>
        <w:t xml:space="preserve"> prescriptions </w:t>
      </w:r>
      <w:r w:rsidR="00793B2B">
        <w:t xml:space="preserve">being </w:t>
      </w:r>
      <w:r w:rsidR="00DE05A8">
        <w:t xml:space="preserve">deemed to be </w:t>
      </w:r>
      <w:r>
        <w:t>compliant with guidelines</w:t>
      </w:r>
      <w:r w:rsidR="005C5E02">
        <w:t xml:space="preserve"> (Table 9)</w:t>
      </w:r>
      <w:r>
        <w:t>. This is perhaps explained by the increase in directed therapy (2.37%)</w:t>
      </w:r>
      <w:r w:rsidR="0077720C">
        <w:t xml:space="preserve">, as treatment of </w:t>
      </w:r>
      <w:r w:rsidR="001F6995">
        <w:t>conditions</w:t>
      </w:r>
      <w:r w:rsidR="0077720C">
        <w:t xml:space="preserve"> </w:t>
      </w:r>
      <w:r w:rsidR="00CD3078">
        <w:t xml:space="preserve">based on directed therapy </w:t>
      </w:r>
      <w:r w:rsidR="00026BA9">
        <w:t xml:space="preserve">usually </w:t>
      </w:r>
      <w:r w:rsidR="00C35FDE">
        <w:t>ha</w:t>
      </w:r>
      <w:r w:rsidR="00724939">
        <w:t>s</w:t>
      </w:r>
      <w:r w:rsidR="00C35FDE">
        <w:t xml:space="preserve"> a higher rate of </w:t>
      </w:r>
      <w:r w:rsidR="0077720C">
        <w:t>appropriate</w:t>
      </w:r>
      <w:r w:rsidR="00C35FDE">
        <w:t>ness</w:t>
      </w:r>
      <w:r w:rsidR="00026BA9">
        <w:t xml:space="preserve"> as </w:t>
      </w:r>
      <w:r w:rsidR="00724939">
        <w:t xml:space="preserve">it </w:t>
      </w:r>
      <w:r w:rsidR="005C5E02">
        <w:t>is informed</w:t>
      </w:r>
      <w:r w:rsidR="00026BA9">
        <w:t xml:space="preserve"> by microbiology results</w:t>
      </w:r>
      <w:r w:rsidR="005C5E02">
        <w:t xml:space="preserve"> (Table 8)</w:t>
      </w:r>
      <w:r w:rsidR="00026BA9">
        <w:t>.</w:t>
      </w:r>
    </w:p>
    <w:p w14:paraId="78AB35F4" w14:textId="17773371" w:rsidR="00ED50FD" w:rsidRPr="00DA6E86" w:rsidRDefault="00304FEC" w:rsidP="00ED50FD">
      <w:pPr>
        <w:pStyle w:val="FigureTitle"/>
      </w:pPr>
      <w:r>
        <w:t xml:space="preserve">Table </w:t>
      </w:r>
      <w:r w:rsidR="002A31D0">
        <w:t>8</w:t>
      </w:r>
      <w:r w:rsidR="00557374">
        <w:t xml:space="preserve">: </w:t>
      </w:r>
      <w:r w:rsidR="00FE3043">
        <w:t>Percentage change in compliance with guidelines and prescription appropriateness for facilities that contributed at least twice to the Hospital NAPS between</w:t>
      </w:r>
      <w:r>
        <w:t xml:space="preserve"> 2</w:t>
      </w:r>
      <w:r w:rsidR="00FE3043">
        <w:t xml:space="preserve">013 and </w:t>
      </w:r>
      <w:r w:rsidRPr="00340CA0">
        <w:t>201</w:t>
      </w:r>
      <w:r>
        <w:t>7</w:t>
      </w:r>
    </w:p>
    <w:tbl>
      <w:tblPr>
        <w:tblW w:w="9464" w:type="dxa"/>
        <w:tblLayout w:type="fixed"/>
        <w:tblLook w:val="04A0" w:firstRow="1" w:lastRow="0" w:firstColumn="1" w:lastColumn="0" w:noHBand="0" w:noVBand="1"/>
      </w:tblPr>
      <w:tblGrid>
        <w:gridCol w:w="1563"/>
        <w:gridCol w:w="2981"/>
        <w:gridCol w:w="1943"/>
        <w:gridCol w:w="1134"/>
        <w:gridCol w:w="1843"/>
      </w:tblGrid>
      <w:tr w:rsidR="00ED50FD" w:rsidRPr="002F4BFE" w14:paraId="566886B8" w14:textId="77777777" w:rsidTr="004B263F">
        <w:trPr>
          <w:trHeight w:val="437"/>
        </w:trPr>
        <w:tc>
          <w:tcPr>
            <w:tcW w:w="4544" w:type="dxa"/>
            <w:gridSpan w:val="2"/>
            <w:vMerge w:val="restart"/>
            <w:tcBorders>
              <w:top w:val="single" w:sz="12" w:space="0" w:color="808080"/>
              <w:left w:val="nil"/>
              <w:bottom w:val="single" w:sz="8" w:space="0" w:color="FFFFFF"/>
              <w:right w:val="nil"/>
            </w:tcBorders>
            <w:shd w:val="clear" w:color="000000" w:fill="808080"/>
            <w:vAlign w:val="center"/>
            <w:hideMark/>
          </w:tcPr>
          <w:p w14:paraId="5B41DD3B" w14:textId="77777777" w:rsidR="00ED50FD" w:rsidRPr="002F4BFE" w:rsidRDefault="00ED50FD" w:rsidP="004B263F">
            <w:pPr>
              <w:spacing w:after="0"/>
              <w:rPr>
                <w:rFonts w:ascii="Arial" w:hAnsi="Arial" w:cs="Arial"/>
                <w:b/>
                <w:bCs/>
                <w:color w:val="FFFFFF"/>
                <w:sz w:val="20"/>
                <w:szCs w:val="20"/>
              </w:rPr>
            </w:pPr>
            <w:r w:rsidRPr="002F4BFE">
              <w:rPr>
                <w:rFonts w:ascii="Arial" w:hAnsi="Arial" w:cs="Arial"/>
                <w:b/>
                <w:bCs/>
                <w:color w:val="FFFFFF"/>
                <w:sz w:val="20"/>
                <w:szCs w:val="20"/>
              </w:rPr>
              <w:t>Key indicator</w:t>
            </w:r>
          </w:p>
        </w:tc>
        <w:tc>
          <w:tcPr>
            <w:tcW w:w="4920" w:type="dxa"/>
            <w:gridSpan w:val="3"/>
            <w:tcBorders>
              <w:top w:val="nil"/>
              <w:left w:val="nil"/>
              <w:bottom w:val="nil"/>
              <w:right w:val="single" w:sz="8" w:space="0" w:color="FFFFFF"/>
            </w:tcBorders>
            <w:shd w:val="clear" w:color="000000" w:fill="808080"/>
            <w:vAlign w:val="center"/>
            <w:hideMark/>
          </w:tcPr>
          <w:p w14:paraId="08D10990" w14:textId="77777777" w:rsidR="00ED50FD" w:rsidRPr="002F4BFE" w:rsidRDefault="00ED50FD" w:rsidP="004B263F">
            <w:pPr>
              <w:spacing w:after="0"/>
              <w:jc w:val="center"/>
              <w:rPr>
                <w:rFonts w:ascii="Arial" w:hAnsi="Arial" w:cs="Arial"/>
                <w:b/>
                <w:bCs/>
                <w:color w:val="FFFFFF"/>
                <w:sz w:val="18"/>
                <w:szCs w:val="18"/>
              </w:rPr>
            </w:pPr>
            <w:r w:rsidRPr="002F4BFE">
              <w:rPr>
                <w:rFonts w:ascii="Arial" w:hAnsi="Arial" w:cs="Arial"/>
                <w:b/>
                <w:bCs/>
                <w:color w:val="FFFFFF"/>
                <w:sz w:val="18"/>
                <w:szCs w:val="18"/>
              </w:rPr>
              <w:t>Percentage change between subsequent years</w:t>
            </w:r>
          </w:p>
        </w:tc>
      </w:tr>
      <w:tr w:rsidR="00ED50FD" w:rsidRPr="002F4BFE" w14:paraId="39EDF0E3" w14:textId="77777777" w:rsidTr="004B263F">
        <w:trPr>
          <w:trHeight w:val="437"/>
        </w:trPr>
        <w:tc>
          <w:tcPr>
            <w:tcW w:w="4544" w:type="dxa"/>
            <w:gridSpan w:val="2"/>
            <w:vMerge/>
            <w:tcBorders>
              <w:top w:val="single" w:sz="12" w:space="0" w:color="808080"/>
              <w:left w:val="nil"/>
              <w:bottom w:val="single" w:sz="8" w:space="0" w:color="FFFFFF"/>
              <w:right w:val="nil"/>
            </w:tcBorders>
            <w:vAlign w:val="center"/>
            <w:hideMark/>
          </w:tcPr>
          <w:p w14:paraId="03051D89" w14:textId="77777777" w:rsidR="00ED50FD" w:rsidRPr="002F4BFE" w:rsidRDefault="00ED50FD" w:rsidP="004B263F">
            <w:pPr>
              <w:spacing w:after="0"/>
              <w:rPr>
                <w:rFonts w:ascii="Arial" w:hAnsi="Arial" w:cs="Arial"/>
                <w:b/>
                <w:bCs/>
                <w:color w:val="FFFFFF"/>
                <w:sz w:val="20"/>
                <w:szCs w:val="20"/>
              </w:rPr>
            </w:pPr>
          </w:p>
        </w:tc>
        <w:tc>
          <w:tcPr>
            <w:tcW w:w="1943" w:type="dxa"/>
            <w:tcBorders>
              <w:top w:val="nil"/>
              <w:left w:val="nil"/>
              <w:bottom w:val="single" w:sz="8" w:space="0" w:color="808080"/>
              <w:right w:val="nil"/>
            </w:tcBorders>
            <w:shd w:val="clear" w:color="000000" w:fill="808080"/>
            <w:vAlign w:val="center"/>
            <w:hideMark/>
          </w:tcPr>
          <w:p w14:paraId="764AB854" w14:textId="77777777" w:rsidR="00ED50FD" w:rsidRPr="002F4BFE" w:rsidRDefault="00ED50FD" w:rsidP="004B263F">
            <w:pPr>
              <w:spacing w:after="0"/>
              <w:jc w:val="center"/>
              <w:rPr>
                <w:rFonts w:ascii="Arial" w:hAnsi="Arial" w:cs="Arial"/>
                <w:color w:val="FFFFFF"/>
                <w:sz w:val="18"/>
                <w:szCs w:val="18"/>
              </w:rPr>
            </w:pPr>
            <w:r w:rsidRPr="002F4BFE">
              <w:rPr>
                <w:rFonts w:ascii="Arial" w:hAnsi="Arial" w:cs="Arial"/>
                <w:color w:val="FFFFFF"/>
                <w:sz w:val="18"/>
                <w:szCs w:val="18"/>
              </w:rPr>
              <w:t>Estimated change  (95%CI)</w:t>
            </w:r>
          </w:p>
        </w:tc>
        <w:tc>
          <w:tcPr>
            <w:tcW w:w="1134" w:type="dxa"/>
            <w:tcBorders>
              <w:top w:val="nil"/>
              <w:left w:val="nil"/>
              <w:bottom w:val="single" w:sz="8" w:space="0" w:color="808080"/>
              <w:right w:val="nil"/>
            </w:tcBorders>
            <w:shd w:val="clear" w:color="000000" w:fill="808080"/>
            <w:vAlign w:val="center"/>
            <w:hideMark/>
          </w:tcPr>
          <w:p w14:paraId="2B8E6B20" w14:textId="77777777" w:rsidR="00ED50FD" w:rsidRPr="002F4BFE" w:rsidRDefault="00ED50FD" w:rsidP="004B263F">
            <w:pPr>
              <w:spacing w:after="0"/>
              <w:jc w:val="center"/>
              <w:rPr>
                <w:rFonts w:ascii="Arial" w:hAnsi="Arial" w:cs="Arial"/>
                <w:color w:val="FFFFFF"/>
                <w:sz w:val="18"/>
                <w:szCs w:val="18"/>
              </w:rPr>
            </w:pPr>
            <w:r w:rsidRPr="00ED50FD">
              <w:rPr>
                <w:rFonts w:ascii="Arial" w:hAnsi="Arial" w:cs="Arial"/>
                <w:color w:val="FFFFFF" w:themeColor="background1"/>
                <w:sz w:val="18"/>
                <w:szCs w:val="18"/>
              </w:rPr>
              <w:t>p value</w:t>
            </w:r>
          </w:p>
        </w:tc>
        <w:tc>
          <w:tcPr>
            <w:tcW w:w="1843" w:type="dxa"/>
            <w:tcBorders>
              <w:top w:val="nil"/>
              <w:left w:val="nil"/>
              <w:bottom w:val="single" w:sz="8" w:space="0" w:color="808080"/>
              <w:right w:val="single" w:sz="8" w:space="0" w:color="FFFFFF"/>
            </w:tcBorders>
            <w:shd w:val="clear" w:color="000000" w:fill="808080"/>
            <w:vAlign w:val="center"/>
            <w:hideMark/>
          </w:tcPr>
          <w:p w14:paraId="11B077BB" w14:textId="77777777" w:rsidR="00ED50FD" w:rsidRPr="002F4BFE" w:rsidRDefault="00ED50FD" w:rsidP="004B263F">
            <w:pPr>
              <w:spacing w:after="0"/>
              <w:jc w:val="center"/>
              <w:rPr>
                <w:rFonts w:ascii="Arial" w:hAnsi="Arial" w:cs="Arial"/>
                <w:color w:val="FFFFFF"/>
                <w:sz w:val="18"/>
                <w:szCs w:val="18"/>
              </w:rPr>
            </w:pPr>
            <w:r w:rsidRPr="002F4BFE">
              <w:rPr>
                <w:rFonts w:ascii="Arial" w:hAnsi="Arial" w:cs="Arial"/>
                <w:color w:val="FFFFFF"/>
                <w:sz w:val="18"/>
                <w:szCs w:val="18"/>
              </w:rPr>
              <w:t>Direction of change</w:t>
            </w:r>
          </w:p>
        </w:tc>
      </w:tr>
      <w:tr w:rsidR="00ED50FD" w:rsidRPr="00ED50FD" w14:paraId="3862EF3E" w14:textId="77777777" w:rsidTr="004B263F">
        <w:trPr>
          <w:trHeight w:val="333"/>
        </w:trPr>
        <w:tc>
          <w:tcPr>
            <w:tcW w:w="1563" w:type="dxa"/>
            <w:vMerge w:val="restart"/>
            <w:tcBorders>
              <w:top w:val="single" w:sz="8" w:space="0" w:color="FFFFFF"/>
              <w:left w:val="nil"/>
              <w:bottom w:val="single" w:sz="8" w:space="0" w:color="FFFFFF"/>
              <w:right w:val="nil"/>
            </w:tcBorders>
            <w:shd w:val="clear" w:color="000000" w:fill="808080"/>
            <w:vAlign w:val="center"/>
            <w:hideMark/>
          </w:tcPr>
          <w:p w14:paraId="783F17E4" w14:textId="77777777" w:rsidR="00ED50FD" w:rsidRPr="00ED50FD" w:rsidRDefault="00ED50FD" w:rsidP="004B263F">
            <w:pPr>
              <w:spacing w:after="0"/>
              <w:rPr>
                <w:rFonts w:ascii="Arial" w:hAnsi="Arial" w:cs="Arial"/>
                <w:color w:val="FFFFFF" w:themeColor="background1"/>
                <w:sz w:val="18"/>
                <w:szCs w:val="18"/>
              </w:rPr>
            </w:pPr>
            <w:r w:rsidRPr="00ED50FD">
              <w:rPr>
                <w:rFonts w:ascii="Arial" w:hAnsi="Arial" w:cs="Arial"/>
                <w:color w:val="FFFFFF" w:themeColor="background1"/>
                <w:sz w:val="18"/>
                <w:szCs w:val="18"/>
              </w:rPr>
              <w:t>Compliance with guidelines</w:t>
            </w:r>
          </w:p>
        </w:tc>
        <w:tc>
          <w:tcPr>
            <w:tcW w:w="2981" w:type="dxa"/>
            <w:vMerge w:val="restart"/>
            <w:tcBorders>
              <w:top w:val="single" w:sz="12" w:space="0" w:color="808080"/>
              <w:left w:val="nil"/>
              <w:bottom w:val="single" w:sz="8" w:space="0" w:color="808080"/>
              <w:right w:val="nil"/>
            </w:tcBorders>
            <w:shd w:val="clear" w:color="auto" w:fill="auto"/>
            <w:vAlign w:val="center"/>
            <w:hideMark/>
          </w:tcPr>
          <w:p w14:paraId="27848775" w14:textId="77777777" w:rsidR="00ED50FD" w:rsidRPr="00ED50FD" w:rsidRDefault="00ED50FD" w:rsidP="004B263F">
            <w:pPr>
              <w:spacing w:after="0"/>
              <w:rPr>
                <w:rFonts w:ascii="Arial" w:hAnsi="Arial" w:cs="Arial"/>
                <w:sz w:val="16"/>
                <w:szCs w:val="16"/>
              </w:rPr>
            </w:pPr>
            <w:r w:rsidRPr="00ED50FD">
              <w:rPr>
                <w:rFonts w:ascii="Arial" w:hAnsi="Arial" w:cs="Arial"/>
                <w:sz w:val="16"/>
                <w:szCs w:val="16"/>
              </w:rPr>
              <w:t xml:space="preserve">Compliant with </w:t>
            </w:r>
            <w:r w:rsidRPr="00ED50FD">
              <w:rPr>
                <w:rFonts w:ascii="Arial" w:hAnsi="Arial" w:cs="Arial"/>
                <w:i/>
                <w:iCs/>
                <w:sz w:val="16"/>
                <w:szCs w:val="16"/>
              </w:rPr>
              <w:t>Therapeutic Guidelines</w:t>
            </w:r>
            <w:r w:rsidRPr="00ED50FD">
              <w:rPr>
                <w:rFonts w:ascii="Arial" w:hAnsi="Arial" w:cs="Arial"/>
                <w:sz w:val="16"/>
                <w:szCs w:val="16"/>
              </w:rPr>
              <w:t xml:space="preserve"> or local guidelines</w:t>
            </w:r>
          </w:p>
        </w:tc>
        <w:tc>
          <w:tcPr>
            <w:tcW w:w="1943" w:type="dxa"/>
            <w:vMerge w:val="restart"/>
            <w:tcBorders>
              <w:top w:val="nil"/>
              <w:left w:val="nil"/>
              <w:bottom w:val="single" w:sz="8" w:space="0" w:color="808080"/>
              <w:right w:val="nil"/>
            </w:tcBorders>
            <w:shd w:val="clear" w:color="auto" w:fill="auto"/>
            <w:vAlign w:val="center"/>
            <w:hideMark/>
          </w:tcPr>
          <w:p w14:paraId="224D501F" w14:textId="77777777" w:rsidR="00ED50FD" w:rsidRPr="00ED50FD" w:rsidRDefault="00ED50FD" w:rsidP="004B263F">
            <w:pPr>
              <w:spacing w:after="0"/>
              <w:jc w:val="right"/>
              <w:rPr>
                <w:rFonts w:ascii="Arial" w:hAnsi="Arial" w:cs="Arial"/>
                <w:sz w:val="16"/>
                <w:szCs w:val="16"/>
              </w:rPr>
            </w:pPr>
            <w:r w:rsidRPr="00ED50FD">
              <w:rPr>
                <w:rFonts w:ascii="Arial" w:hAnsi="Arial" w:cs="Arial"/>
                <w:sz w:val="16"/>
                <w:szCs w:val="16"/>
              </w:rPr>
              <w:t>-0.75 (-1.24, -0.27)</w:t>
            </w:r>
          </w:p>
        </w:tc>
        <w:tc>
          <w:tcPr>
            <w:tcW w:w="1134" w:type="dxa"/>
            <w:vMerge w:val="restart"/>
            <w:tcBorders>
              <w:top w:val="nil"/>
              <w:left w:val="nil"/>
              <w:bottom w:val="single" w:sz="8" w:space="0" w:color="808080"/>
              <w:right w:val="nil"/>
            </w:tcBorders>
            <w:shd w:val="clear" w:color="auto" w:fill="auto"/>
            <w:vAlign w:val="center"/>
            <w:hideMark/>
          </w:tcPr>
          <w:p w14:paraId="0B078D15" w14:textId="77777777" w:rsidR="00ED50FD" w:rsidRPr="00ED50FD" w:rsidRDefault="00ED50FD" w:rsidP="004B263F">
            <w:pPr>
              <w:spacing w:after="0"/>
              <w:jc w:val="center"/>
              <w:rPr>
                <w:rFonts w:ascii="Arial" w:hAnsi="Arial" w:cs="Arial"/>
                <w:sz w:val="16"/>
                <w:szCs w:val="16"/>
              </w:rPr>
            </w:pPr>
            <w:r w:rsidRPr="00ED50FD">
              <w:rPr>
                <w:rFonts w:ascii="Arial" w:hAnsi="Arial" w:cs="Arial"/>
                <w:sz w:val="16"/>
                <w:szCs w:val="16"/>
              </w:rPr>
              <w:t>0.002*</w:t>
            </w:r>
          </w:p>
        </w:tc>
        <w:tc>
          <w:tcPr>
            <w:tcW w:w="1843" w:type="dxa"/>
            <w:vMerge w:val="restart"/>
            <w:tcBorders>
              <w:top w:val="nil"/>
              <w:left w:val="nil"/>
              <w:bottom w:val="single" w:sz="8" w:space="0" w:color="808080"/>
              <w:right w:val="single" w:sz="8" w:space="0" w:color="808080"/>
            </w:tcBorders>
            <w:shd w:val="clear" w:color="auto" w:fill="auto"/>
            <w:vAlign w:val="center"/>
            <w:hideMark/>
          </w:tcPr>
          <w:p w14:paraId="3BBC0D9C" w14:textId="77777777" w:rsidR="00ED50FD" w:rsidRPr="00ED50FD" w:rsidRDefault="00ED50FD" w:rsidP="004B263F">
            <w:pPr>
              <w:spacing w:after="0"/>
              <w:jc w:val="center"/>
              <w:rPr>
                <w:rFonts w:ascii="Arial" w:hAnsi="Arial" w:cs="Arial"/>
                <w:bCs/>
                <w:sz w:val="20"/>
                <w:szCs w:val="20"/>
              </w:rPr>
            </w:pPr>
            <w:r w:rsidRPr="00ED50FD">
              <w:rPr>
                <w:rFonts w:ascii="Arial" w:hAnsi="Arial" w:cs="Arial"/>
                <w:bCs/>
                <w:sz w:val="20"/>
                <w:szCs w:val="20"/>
              </w:rPr>
              <w:t>↓</w:t>
            </w:r>
          </w:p>
        </w:tc>
      </w:tr>
      <w:tr w:rsidR="00ED50FD" w:rsidRPr="00ED50FD" w14:paraId="12C77750" w14:textId="77777777" w:rsidTr="004B263F">
        <w:trPr>
          <w:trHeight w:val="333"/>
        </w:trPr>
        <w:tc>
          <w:tcPr>
            <w:tcW w:w="1563" w:type="dxa"/>
            <w:vMerge/>
            <w:tcBorders>
              <w:top w:val="single" w:sz="8" w:space="0" w:color="FFFFFF"/>
              <w:left w:val="nil"/>
              <w:bottom w:val="single" w:sz="8" w:space="0" w:color="FFFFFF"/>
              <w:right w:val="nil"/>
            </w:tcBorders>
            <w:vAlign w:val="center"/>
            <w:hideMark/>
          </w:tcPr>
          <w:p w14:paraId="4680E1A2" w14:textId="77777777" w:rsidR="00ED50FD" w:rsidRPr="00ED50FD" w:rsidRDefault="00ED50FD" w:rsidP="004B263F">
            <w:pPr>
              <w:spacing w:after="0"/>
              <w:rPr>
                <w:rFonts w:ascii="Arial" w:hAnsi="Arial" w:cs="Arial"/>
                <w:color w:val="FFFFFF" w:themeColor="background1"/>
                <w:sz w:val="18"/>
                <w:szCs w:val="18"/>
              </w:rPr>
            </w:pPr>
          </w:p>
        </w:tc>
        <w:tc>
          <w:tcPr>
            <w:tcW w:w="2981" w:type="dxa"/>
            <w:vMerge/>
            <w:tcBorders>
              <w:top w:val="single" w:sz="12" w:space="0" w:color="808080"/>
              <w:left w:val="nil"/>
              <w:bottom w:val="single" w:sz="8" w:space="0" w:color="808080"/>
              <w:right w:val="nil"/>
            </w:tcBorders>
            <w:shd w:val="clear" w:color="auto" w:fill="auto"/>
            <w:vAlign w:val="center"/>
            <w:hideMark/>
          </w:tcPr>
          <w:p w14:paraId="595CE1F6" w14:textId="77777777" w:rsidR="00ED50FD" w:rsidRPr="00ED50FD" w:rsidRDefault="00ED50FD" w:rsidP="004B263F">
            <w:pPr>
              <w:spacing w:after="0"/>
              <w:rPr>
                <w:rFonts w:ascii="Arial" w:hAnsi="Arial" w:cs="Arial"/>
                <w:sz w:val="16"/>
                <w:szCs w:val="16"/>
              </w:rPr>
            </w:pPr>
          </w:p>
        </w:tc>
        <w:tc>
          <w:tcPr>
            <w:tcW w:w="1943" w:type="dxa"/>
            <w:vMerge/>
            <w:tcBorders>
              <w:top w:val="nil"/>
              <w:left w:val="nil"/>
              <w:bottom w:val="single" w:sz="8" w:space="0" w:color="808080"/>
              <w:right w:val="nil"/>
            </w:tcBorders>
            <w:shd w:val="clear" w:color="auto" w:fill="auto"/>
            <w:vAlign w:val="center"/>
            <w:hideMark/>
          </w:tcPr>
          <w:p w14:paraId="5B55799A" w14:textId="77777777" w:rsidR="00ED50FD" w:rsidRPr="00ED50FD" w:rsidRDefault="00ED50FD" w:rsidP="004B263F">
            <w:pPr>
              <w:spacing w:after="0"/>
              <w:rPr>
                <w:rFonts w:ascii="Arial" w:hAnsi="Arial" w:cs="Arial"/>
                <w:sz w:val="16"/>
                <w:szCs w:val="16"/>
              </w:rPr>
            </w:pPr>
          </w:p>
        </w:tc>
        <w:tc>
          <w:tcPr>
            <w:tcW w:w="1134" w:type="dxa"/>
            <w:vMerge/>
            <w:tcBorders>
              <w:top w:val="nil"/>
              <w:left w:val="nil"/>
              <w:bottom w:val="single" w:sz="8" w:space="0" w:color="808080"/>
              <w:right w:val="nil"/>
            </w:tcBorders>
            <w:shd w:val="clear" w:color="auto" w:fill="auto"/>
            <w:vAlign w:val="center"/>
            <w:hideMark/>
          </w:tcPr>
          <w:p w14:paraId="7926DD9C" w14:textId="77777777" w:rsidR="00ED50FD" w:rsidRPr="00ED50FD" w:rsidRDefault="00ED50FD" w:rsidP="004B263F">
            <w:pPr>
              <w:spacing w:after="0"/>
              <w:rPr>
                <w:rFonts w:ascii="Arial" w:hAnsi="Arial" w:cs="Arial"/>
                <w:sz w:val="16"/>
                <w:szCs w:val="16"/>
              </w:rPr>
            </w:pPr>
          </w:p>
        </w:tc>
        <w:tc>
          <w:tcPr>
            <w:tcW w:w="1843" w:type="dxa"/>
            <w:vMerge/>
            <w:tcBorders>
              <w:top w:val="nil"/>
              <w:left w:val="nil"/>
              <w:bottom w:val="single" w:sz="8" w:space="0" w:color="808080"/>
              <w:right w:val="single" w:sz="8" w:space="0" w:color="808080"/>
            </w:tcBorders>
            <w:shd w:val="clear" w:color="auto" w:fill="auto"/>
            <w:vAlign w:val="center"/>
            <w:hideMark/>
          </w:tcPr>
          <w:p w14:paraId="6310B39D" w14:textId="77777777" w:rsidR="00ED50FD" w:rsidRPr="00ED50FD" w:rsidRDefault="00ED50FD" w:rsidP="004B263F">
            <w:pPr>
              <w:spacing w:after="0"/>
              <w:rPr>
                <w:rFonts w:ascii="Arial" w:hAnsi="Arial" w:cs="Arial"/>
                <w:bCs/>
                <w:sz w:val="20"/>
                <w:szCs w:val="20"/>
              </w:rPr>
            </w:pPr>
          </w:p>
        </w:tc>
      </w:tr>
      <w:tr w:rsidR="00ED50FD" w:rsidRPr="00ED50FD" w14:paraId="07C4CCF1" w14:textId="77777777" w:rsidTr="004B263F">
        <w:trPr>
          <w:trHeight w:val="333"/>
        </w:trPr>
        <w:tc>
          <w:tcPr>
            <w:tcW w:w="1563" w:type="dxa"/>
            <w:vMerge/>
            <w:tcBorders>
              <w:top w:val="single" w:sz="8" w:space="0" w:color="FFFFFF"/>
              <w:left w:val="nil"/>
              <w:bottom w:val="single" w:sz="8" w:space="0" w:color="FFFFFF"/>
              <w:right w:val="nil"/>
            </w:tcBorders>
            <w:vAlign w:val="center"/>
            <w:hideMark/>
          </w:tcPr>
          <w:p w14:paraId="0938F369" w14:textId="77777777" w:rsidR="00ED50FD" w:rsidRPr="00ED50FD" w:rsidRDefault="00ED50FD" w:rsidP="004B263F">
            <w:pPr>
              <w:spacing w:after="0"/>
              <w:rPr>
                <w:rFonts w:ascii="Arial" w:hAnsi="Arial" w:cs="Arial"/>
                <w:color w:val="FFFFFF" w:themeColor="background1"/>
                <w:sz w:val="18"/>
                <w:szCs w:val="18"/>
              </w:rPr>
            </w:pPr>
          </w:p>
        </w:tc>
        <w:tc>
          <w:tcPr>
            <w:tcW w:w="2981" w:type="dxa"/>
            <w:vMerge w:val="restart"/>
            <w:tcBorders>
              <w:top w:val="nil"/>
              <w:left w:val="nil"/>
              <w:bottom w:val="single" w:sz="8" w:space="0" w:color="808080"/>
              <w:right w:val="nil"/>
            </w:tcBorders>
            <w:shd w:val="clear" w:color="auto" w:fill="auto"/>
            <w:vAlign w:val="center"/>
            <w:hideMark/>
          </w:tcPr>
          <w:p w14:paraId="68DEB139" w14:textId="77777777" w:rsidR="00ED50FD" w:rsidRPr="00ED50FD" w:rsidRDefault="00ED50FD" w:rsidP="004B263F">
            <w:pPr>
              <w:spacing w:after="0"/>
              <w:rPr>
                <w:rFonts w:ascii="Arial" w:hAnsi="Arial" w:cs="Arial"/>
                <w:sz w:val="16"/>
                <w:szCs w:val="16"/>
              </w:rPr>
            </w:pPr>
            <w:r w:rsidRPr="00ED50FD">
              <w:rPr>
                <w:rFonts w:ascii="Arial" w:hAnsi="Arial" w:cs="Arial"/>
                <w:sz w:val="16"/>
                <w:szCs w:val="16"/>
              </w:rPr>
              <w:t>Non-compliant</w:t>
            </w:r>
          </w:p>
        </w:tc>
        <w:tc>
          <w:tcPr>
            <w:tcW w:w="1943" w:type="dxa"/>
            <w:vMerge w:val="restart"/>
            <w:tcBorders>
              <w:top w:val="nil"/>
              <w:left w:val="nil"/>
              <w:bottom w:val="single" w:sz="8" w:space="0" w:color="808080"/>
              <w:right w:val="nil"/>
            </w:tcBorders>
            <w:shd w:val="clear" w:color="auto" w:fill="auto"/>
            <w:vAlign w:val="center"/>
            <w:hideMark/>
          </w:tcPr>
          <w:p w14:paraId="4241CCBF" w14:textId="77777777" w:rsidR="00ED50FD" w:rsidRPr="00ED50FD" w:rsidRDefault="00ED50FD" w:rsidP="004B263F">
            <w:pPr>
              <w:spacing w:after="0"/>
              <w:jc w:val="right"/>
              <w:rPr>
                <w:rFonts w:ascii="Arial" w:hAnsi="Arial" w:cs="Arial"/>
                <w:sz w:val="16"/>
                <w:szCs w:val="16"/>
              </w:rPr>
            </w:pPr>
            <w:r w:rsidRPr="00ED50FD">
              <w:rPr>
                <w:rFonts w:ascii="Arial" w:hAnsi="Arial" w:cs="Arial"/>
                <w:sz w:val="16"/>
                <w:szCs w:val="16"/>
              </w:rPr>
              <w:t>0.36 (-0.06, 0.79)</w:t>
            </w:r>
          </w:p>
        </w:tc>
        <w:tc>
          <w:tcPr>
            <w:tcW w:w="1134" w:type="dxa"/>
            <w:vMerge w:val="restart"/>
            <w:tcBorders>
              <w:top w:val="nil"/>
              <w:left w:val="nil"/>
              <w:bottom w:val="single" w:sz="8" w:space="0" w:color="808080"/>
              <w:right w:val="nil"/>
            </w:tcBorders>
            <w:shd w:val="clear" w:color="auto" w:fill="auto"/>
            <w:vAlign w:val="center"/>
            <w:hideMark/>
          </w:tcPr>
          <w:p w14:paraId="71588A95" w14:textId="77777777" w:rsidR="00ED50FD" w:rsidRPr="00ED50FD" w:rsidRDefault="00ED50FD" w:rsidP="004B263F">
            <w:pPr>
              <w:spacing w:after="0"/>
              <w:jc w:val="center"/>
              <w:rPr>
                <w:rFonts w:ascii="Arial" w:hAnsi="Arial" w:cs="Arial"/>
                <w:sz w:val="16"/>
                <w:szCs w:val="16"/>
              </w:rPr>
            </w:pPr>
            <w:r w:rsidRPr="00ED50FD">
              <w:rPr>
                <w:rFonts w:ascii="Arial" w:hAnsi="Arial" w:cs="Arial"/>
                <w:sz w:val="16"/>
                <w:szCs w:val="16"/>
              </w:rPr>
              <w:t>0.093</w:t>
            </w:r>
          </w:p>
        </w:tc>
        <w:tc>
          <w:tcPr>
            <w:tcW w:w="1843" w:type="dxa"/>
            <w:vMerge w:val="restart"/>
            <w:tcBorders>
              <w:top w:val="nil"/>
              <w:left w:val="nil"/>
              <w:bottom w:val="single" w:sz="8" w:space="0" w:color="808080"/>
              <w:right w:val="single" w:sz="8" w:space="0" w:color="808080"/>
            </w:tcBorders>
            <w:shd w:val="clear" w:color="auto" w:fill="auto"/>
            <w:vAlign w:val="center"/>
            <w:hideMark/>
          </w:tcPr>
          <w:p w14:paraId="6CC9761B" w14:textId="77777777" w:rsidR="00ED50FD" w:rsidRPr="00ED50FD" w:rsidRDefault="00ED50FD" w:rsidP="004B263F">
            <w:pPr>
              <w:spacing w:after="0"/>
              <w:jc w:val="center"/>
              <w:rPr>
                <w:rFonts w:ascii="Arial" w:hAnsi="Arial" w:cs="Arial"/>
                <w:bCs/>
                <w:sz w:val="20"/>
                <w:szCs w:val="20"/>
              </w:rPr>
            </w:pPr>
            <w:r w:rsidRPr="00ED50FD">
              <w:rPr>
                <w:rFonts w:ascii="Arial" w:hAnsi="Arial" w:cs="Arial"/>
                <w:bCs/>
                <w:sz w:val="20"/>
                <w:szCs w:val="20"/>
              </w:rPr>
              <w:t>↑</w:t>
            </w:r>
          </w:p>
        </w:tc>
      </w:tr>
      <w:tr w:rsidR="00ED50FD" w:rsidRPr="00ED50FD" w14:paraId="20B25985" w14:textId="77777777" w:rsidTr="004B263F">
        <w:trPr>
          <w:trHeight w:val="333"/>
        </w:trPr>
        <w:tc>
          <w:tcPr>
            <w:tcW w:w="1563" w:type="dxa"/>
            <w:vMerge/>
            <w:tcBorders>
              <w:top w:val="single" w:sz="8" w:space="0" w:color="FFFFFF"/>
              <w:left w:val="nil"/>
              <w:bottom w:val="single" w:sz="8" w:space="0" w:color="FFFFFF"/>
              <w:right w:val="nil"/>
            </w:tcBorders>
            <w:vAlign w:val="center"/>
            <w:hideMark/>
          </w:tcPr>
          <w:p w14:paraId="23F6F904" w14:textId="77777777" w:rsidR="00ED50FD" w:rsidRPr="00ED50FD" w:rsidRDefault="00ED50FD" w:rsidP="004B263F">
            <w:pPr>
              <w:spacing w:after="0"/>
              <w:rPr>
                <w:rFonts w:ascii="Arial" w:hAnsi="Arial" w:cs="Arial"/>
                <w:color w:val="FFFFFF" w:themeColor="background1"/>
                <w:sz w:val="18"/>
                <w:szCs w:val="18"/>
              </w:rPr>
            </w:pPr>
          </w:p>
        </w:tc>
        <w:tc>
          <w:tcPr>
            <w:tcW w:w="2981" w:type="dxa"/>
            <w:vMerge/>
            <w:tcBorders>
              <w:top w:val="nil"/>
              <w:left w:val="nil"/>
              <w:bottom w:val="single" w:sz="8" w:space="0" w:color="808080"/>
              <w:right w:val="nil"/>
            </w:tcBorders>
            <w:shd w:val="clear" w:color="auto" w:fill="auto"/>
            <w:vAlign w:val="center"/>
            <w:hideMark/>
          </w:tcPr>
          <w:p w14:paraId="54BBE286" w14:textId="77777777" w:rsidR="00ED50FD" w:rsidRPr="00ED50FD" w:rsidRDefault="00ED50FD" w:rsidP="004B263F">
            <w:pPr>
              <w:spacing w:after="0"/>
              <w:rPr>
                <w:rFonts w:ascii="Arial" w:hAnsi="Arial" w:cs="Arial"/>
                <w:sz w:val="16"/>
                <w:szCs w:val="16"/>
              </w:rPr>
            </w:pPr>
          </w:p>
        </w:tc>
        <w:tc>
          <w:tcPr>
            <w:tcW w:w="1943" w:type="dxa"/>
            <w:vMerge/>
            <w:tcBorders>
              <w:top w:val="nil"/>
              <w:left w:val="nil"/>
              <w:bottom w:val="single" w:sz="8" w:space="0" w:color="808080"/>
              <w:right w:val="nil"/>
            </w:tcBorders>
            <w:shd w:val="clear" w:color="auto" w:fill="auto"/>
            <w:vAlign w:val="center"/>
            <w:hideMark/>
          </w:tcPr>
          <w:p w14:paraId="46EE00E0" w14:textId="77777777" w:rsidR="00ED50FD" w:rsidRPr="00ED50FD" w:rsidRDefault="00ED50FD" w:rsidP="004B263F">
            <w:pPr>
              <w:spacing w:after="0"/>
              <w:rPr>
                <w:rFonts w:ascii="Arial" w:hAnsi="Arial" w:cs="Arial"/>
                <w:sz w:val="16"/>
                <w:szCs w:val="16"/>
              </w:rPr>
            </w:pPr>
          </w:p>
        </w:tc>
        <w:tc>
          <w:tcPr>
            <w:tcW w:w="1134" w:type="dxa"/>
            <w:vMerge/>
            <w:tcBorders>
              <w:top w:val="nil"/>
              <w:left w:val="nil"/>
              <w:bottom w:val="single" w:sz="8" w:space="0" w:color="808080"/>
              <w:right w:val="nil"/>
            </w:tcBorders>
            <w:shd w:val="clear" w:color="auto" w:fill="auto"/>
            <w:vAlign w:val="center"/>
            <w:hideMark/>
          </w:tcPr>
          <w:p w14:paraId="33A4752E" w14:textId="77777777" w:rsidR="00ED50FD" w:rsidRPr="00ED50FD" w:rsidRDefault="00ED50FD" w:rsidP="004B263F">
            <w:pPr>
              <w:spacing w:after="0"/>
              <w:rPr>
                <w:rFonts w:ascii="Arial" w:hAnsi="Arial" w:cs="Arial"/>
                <w:sz w:val="16"/>
                <w:szCs w:val="16"/>
              </w:rPr>
            </w:pPr>
          </w:p>
        </w:tc>
        <w:tc>
          <w:tcPr>
            <w:tcW w:w="1843" w:type="dxa"/>
            <w:vMerge/>
            <w:tcBorders>
              <w:top w:val="nil"/>
              <w:left w:val="nil"/>
              <w:bottom w:val="single" w:sz="8" w:space="0" w:color="808080"/>
              <w:right w:val="single" w:sz="8" w:space="0" w:color="808080"/>
            </w:tcBorders>
            <w:shd w:val="clear" w:color="auto" w:fill="auto"/>
            <w:vAlign w:val="center"/>
            <w:hideMark/>
          </w:tcPr>
          <w:p w14:paraId="47303D74" w14:textId="77777777" w:rsidR="00ED50FD" w:rsidRPr="00ED50FD" w:rsidRDefault="00ED50FD" w:rsidP="004B263F">
            <w:pPr>
              <w:spacing w:after="0"/>
              <w:rPr>
                <w:rFonts w:ascii="Arial" w:hAnsi="Arial" w:cs="Arial"/>
                <w:bCs/>
                <w:sz w:val="20"/>
                <w:szCs w:val="20"/>
              </w:rPr>
            </w:pPr>
          </w:p>
        </w:tc>
      </w:tr>
      <w:tr w:rsidR="00ED50FD" w:rsidRPr="00ED50FD" w14:paraId="3A4AFD20" w14:textId="77777777" w:rsidTr="004B263F">
        <w:trPr>
          <w:trHeight w:val="454"/>
        </w:trPr>
        <w:tc>
          <w:tcPr>
            <w:tcW w:w="1563" w:type="dxa"/>
            <w:vMerge/>
            <w:tcBorders>
              <w:top w:val="single" w:sz="8" w:space="0" w:color="FFFFFF"/>
              <w:left w:val="nil"/>
              <w:bottom w:val="single" w:sz="8" w:space="0" w:color="FFFFFF"/>
              <w:right w:val="nil"/>
            </w:tcBorders>
            <w:vAlign w:val="center"/>
            <w:hideMark/>
          </w:tcPr>
          <w:p w14:paraId="7520F6A4" w14:textId="77777777" w:rsidR="00ED50FD" w:rsidRPr="00ED50FD" w:rsidRDefault="00ED50FD" w:rsidP="004B263F">
            <w:pPr>
              <w:spacing w:after="0"/>
              <w:rPr>
                <w:rFonts w:ascii="Arial" w:hAnsi="Arial" w:cs="Arial"/>
                <w:color w:val="FFFFFF" w:themeColor="background1"/>
                <w:sz w:val="18"/>
                <w:szCs w:val="18"/>
              </w:rPr>
            </w:pPr>
          </w:p>
        </w:tc>
        <w:tc>
          <w:tcPr>
            <w:tcW w:w="2981" w:type="dxa"/>
            <w:tcBorders>
              <w:top w:val="nil"/>
              <w:left w:val="nil"/>
              <w:bottom w:val="single" w:sz="8" w:space="0" w:color="808080"/>
              <w:right w:val="nil"/>
            </w:tcBorders>
            <w:shd w:val="clear" w:color="auto" w:fill="auto"/>
            <w:vAlign w:val="center"/>
            <w:hideMark/>
          </w:tcPr>
          <w:p w14:paraId="0CA2DBAE" w14:textId="77777777" w:rsidR="00ED50FD" w:rsidRPr="00ED50FD" w:rsidRDefault="00ED50FD" w:rsidP="004B263F">
            <w:pPr>
              <w:spacing w:after="0"/>
              <w:rPr>
                <w:rFonts w:ascii="Arial" w:hAnsi="Arial" w:cs="Arial"/>
                <w:sz w:val="16"/>
                <w:szCs w:val="16"/>
              </w:rPr>
            </w:pPr>
            <w:r w:rsidRPr="00ED50FD">
              <w:rPr>
                <w:rFonts w:ascii="Arial" w:hAnsi="Arial" w:cs="Arial"/>
                <w:sz w:val="16"/>
                <w:szCs w:val="16"/>
              </w:rPr>
              <w:t>Directed therapy</w:t>
            </w:r>
          </w:p>
        </w:tc>
        <w:tc>
          <w:tcPr>
            <w:tcW w:w="1943" w:type="dxa"/>
            <w:tcBorders>
              <w:top w:val="nil"/>
              <w:left w:val="nil"/>
              <w:bottom w:val="single" w:sz="8" w:space="0" w:color="808080"/>
              <w:right w:val="nil"/>
            </w:tcBorders>
            <w:shd w:val="clear" w:color="auto" w:fill="auto"/>
            <w:vAlign w:val="center"/>
            <w:hideMark/>
          </w:tcPr>
          <w:p w14:paraId="5ED25D7A" w14:textId="77777777" w:rsidR="00ED50FD" w:rsidRPr="00ED50FD" w:rsidRDefault="00ED50FD" w:rsidP="004B263F">
            <w:pPr>
              <w:spacing w:after="0"/>
              <w:jc w:val="right"/>
              <w:rPr>
                <w:rFonts w:ascii="Arial" w:hAnsi="Arial" w:cs="Arial"/>
                <w:sz w:val="16"/>
                <w:szCs w:val="16"/>
              </w:rPr>
            </w:pPr>
            <w:r w:rsidRPr="00ED50FD">
              <w:rPr>
                <w:rFonts w:ascii="Arial" w:hAnsi="Arial" w:cs="Arial"/>
                <w:sz w:val="16"/>
                <w:szCs w:val="16"/>
              </w:rPr>
              <w:t>2.37 (2.06, 2.68)</w:t>
            </w:r>
          </w:p>
        </w:tc>
        <w:tc>
          <w:tcPr>
            <w:tcW w:w="1134" w:type="dxa"/>
            <w:tcBorders>
              <w:top w:val="nil"/>
              <w:left w:val="nil"/>
              <w:bottom w:val="single" w:sz="8" w:space="0" w:color="808080"/>
              <w:right w:val="nil"/>
            </w:tcBorders>
            <w:shd w:val="clear" w:color="auto" w:fill="auto"/>
            <w:vAlign w:val="center"/>
            <w:hideMark/>
          </w:tcPr>
          <w:p w14:paraId="47590529" w14:textId="77777777" w:rsidR="00ED50FD" w:rsidRPr="00ED50FD" w:rsidRDefault="00ED50FD" w:rsidP="004B263F">
            <w:pPr>
              <w:spacing w:after="0"/>
              <w:jc w:val="center"/>
              <w:rPr>
                <w:rFonts w:ascii="Arial" w:hAnsi="Arial" w:cs="Arial"/>
                <w:sz w:val="16"/>
                <w:szCs w:val="16"/>
              </w:rPr>
            </w:pPr>
            <w:r w:rsidRPr="00ED50FD">
              <w:rPr>
                <w:rFonts w:ascii="Arial" w:hAnsi="Arial" w:cs="Arial"/>
                <w:sz w:val="16"/>
                <w:szCs w:val="16"/>
              </w:rPr>
              <w:t>&lt;0.001*</w:t>
            </w:r>
          </w:p>
        </w:tc>
        <w:tc>
          <w:tcPr>
            <w:tcW w:w="1843" w:type="dxa"/>
            <w:tcBorders>
              <w:top w:val="nil"/>
              <w:left w:val="nil"/>
              <w:bottom w:val="single" w:sz="8" w:space="0" w:color="808080"/>
              <w:right w:val="single" w:sz="8" w:space="0" w:color="808080"/>
            </w:tcBorders>
            <w:shd w:val="clear" w:color="auto" w:fill="auto"/>
            <w:vAlign w:val="center"/>
            <w:hideMark/>
          </w:tcPr>
          <w:p w14:paraId="3D27C8B1" w14:textId="77777777" w:rsidR="00ED50FD" w:rsidRPr="00ED50FD" w:rsidRDefault="00ED50FD" w:rsidP="004B263F">
            <w:pPr>
              <w:spacing w:after="0"/>
              <w:jc w:val="center"/>
              <w:rPr>
                <w:rFonts w:ascii="Arial" w:hAnsi="Arial" w:cs="Arial"/>
                <w:bCs/>
                <w:sz w:val="20"/>
                <w:szCs w:val="20"/>
              </w:rPr>
            </w:pPr>
            <w:r w:rsidRPr="00ED50FD">
              <w:rPr>
                <w:rFonts w:ascii="Arial" w:hAnsi="Arial" w:cs="Arial"/>
                <w:bCs/>
                <w:sz w:val="20"/>
                <w:szCs w:val="20"/>
              </w:rPr>
              <w:t>↑</w:t>
            </w:r>
          </w:p>
        </w:tc>
      </w:tr>
      <w:tr w:rsidR="00ED50FD" w:rsidRPr="00ED50FD" w14:paraId="7FD426F1" w14:textId="77777777" w:rsidTr="004B263F">
        <w:trPr>
          <w:trHeight w:val="454"/>
        </w:trPr>
        <w:tc>
          <w:tcPr>
            <w:tcW w:w="1563" w:type="dxa"/>
            <w:vMerge/>
            <w:tcBorders>
              <w:top w:val="single" w:sz="8" w:space="0" w:color="FFFFFF"/>
              <w:left w:val="nil"/>
              <w:bottom w:val="single" w:sz="8" w:space="0" w:color="FFFFFF"/>
              <w:right w:val="nil"/>
            </w:tcBorders>
            <w:vAlign w:val="center"/>
            <w:hideMark/>
          </w:tcPr>
          <w:p w14:paraId="69DD91C2" w14:textId="77777777" w:rsidR="00ED50FD" w:rsidRPr="00ED50FD" w:rsidRDefault="00ED50FD" w:rsidP="004B263F">
            <w:pPr>
              <w:spacing w:after="0"/>
              <w:rPr>
                <w:rFonts w:ascii="Arial" w:hAnsi="Arial" w:cs="Arial"/>
                <w:color w:val="FFFFFF" w:themeColor="background1"/>
                <w:sz w:val="18"/>
                <w:szCs w:val="18"/>
              </w:rPr>
            </w:pPr>
          </w:p>
        </w:tc>
        <w:tc>
          <w:tcPr>
            <w:tcW w:w="2981" w:type="dxa"/>
            <w:tcBorders>
              <w:top w:val="nil"/>
              <w:left w:val="nil"/>
              <w:bottom w:val="single" w:sz="8" w:space="0" w:color="808080"/>
              <w:right w:val="nil"/>
            </w:tcBorders>
            <w:shd w:val="clear" w:color="auto" w:fill="auto"/>
            <w:vAlign w:val="center"/>
            <w:hideMark/>
          </w:tcPr>
          <w:p w14:paraId="742DB736" w14:textId="77777777" w:rsidR="00ED50FD" w:rsidRPr="00ED50FD" w:rsidRDefault="00ED50FD" w:rsidP="004B263F">
            <w:pPr>
              <w:spacing w:after="0"/>
              <w:rPr>
                <w:rFonts w:ascii="Arial" w:hAnsi="Arial" w:cs="Arial"/>
                <w:sz w:val="16"/>
                <w:szCs w:val="16"/>
              </w:rPr>
            </w:pPr>
            <w:r w:rsidRPr="00ED50FD">
              <w:rPr>
                <w:rFonts w:ascii="Arial" w:hAnsi="Arial" w:cs="Arial"/>
                <w:sz w:val="16"/>
                <w:szCs w:val="16"/>
              </w:rPr>
              <w:t>No guideline available</w:t>
            </w:r>
          </w:p>
        </w:tc>
        <w:tc>
          <w:tcPr>
            <w:tcW w:w="1943" w:type="dxa"/>
            <w:tcBorders>
              <w:top w:val="nil"/>
              <w:left w:val="nil"/>
              <w:bottom w:val="single" w:sz="8" w:space="0" w:color="808080"/>
              <w:right w:val="nil"/>
            </w:tcBorders>
            <w:shd w:val="clear" w:color="auto" w:fill="auto"/>
            <w:vAlign w:val="center"/>
            <w:hideMark/>
          </w:tcPr>
          <w:p w14:paraId="18DA7680" w14:textId="77777777" w:rsidR="00ED50FD" w:rsidRPr="00ED50FD" w:rsidRDefault="00ED50FD" w:rsidP="004B263F">
            <w:pPr>
              <w:spacing w:after="0"/>
              <w:jc w:val="right"/>
              <w:rPr>
                <w:rFonts w:ascii="Arial" w:hAnsi="Arial" w:cs="Arial"/>
                <w:sz w:val="16"/>
                <w:szCs w:val="16"/>
              </w:rPr>
            </w:pPr>
            <w:r w:rsidRPr="00ED50FD">
              <w:rPr>
                <w:rFonts w:ascii="Arial" w:hAnsi="Arial" w:cs="Arial"/>
                <w:sz w:val="16"/>
                <w:szCs w:val="16"/>
              </w:rPr>
              <w:t>-1.45 (-1.66, -1.24)</w:t>
            </w:r>
          </w:p>
        </w:tc>
        <w:tc>
          <w:tcPr>
            <w:tcW w:w="1134" w:type="dxa"/>
            <w:tcBorders>
              <w:top w:val="nil"/>
              <w:left w:val="nil"/>
              <w:bottom w:val="single" w:sz="8" w:space="0" w:color="808080"/>
              <w:right w:val="nil"/>
            </w:tcBorders>
            <w:shd w:val="clear" w:color="auto" w:fill="auto"/>
            <w:vAlign w:val="center"/>
            <w:hideMark/>
          </w:tcPr>
          <w:p w14:paraId="1000C4ED" w14:textId="77777777" w:rsidR="00ED50FD" w:rsidRPr="00ED50FD" w:rsidRDefault="00ED50FD" w:rsidP="004B263F">
            <w:pPr>
              <w:spacing w:after="0"/>
              <w:jc w:val="center"/>
              <w:rPr>
                <w:rFonts w:ascii="Arial" w:hAnsi="Arial" w:cs="Arial"/>
                <w:sz w:val="16"/>
                <w:szCs w:val="16"/>
              </w:rPr>
            </w:pPr>
            <w:r w:rsidRPr="00ED50FD">
              <w:rPr>
                <w:rFonts w:ascii="Arial" w:hAnsi="Arial" w:cs="Arial"/>
                <w:sz w:val="16"/>
                <w:szCs w:val="16"/>
              </w:rPr>
              <w:t>&lt;0.001*</w:t>
            </w:r>
          </w:p>
        </w:tc>
        <w:tc>
          <w:tcPr>
            <w:tcW w:w="1843" w:type="dxa"/>
            <w:tcBorders>
              <w:top w:val="nil"/>
              <w:left w:val="nil"/>
              <w:bottom w:val="single" w:sz="8" w:space="0" w:color="808080"/>
              <w:right w:val="single" w:sz="8" w:space="0" w:color="808080"/>
            </w:tcBorders>
            <w:shd w:val="clear" w:color="auto" w:fill="auto"/>
            <w:vAlign w:val="center"/>
            <w:hideMark/>
          </w:tcPr>
          <w:p w14:paraId="088F62F6" w14:textId="77777777" w:rsidR="00ED50FD" w:rsidRPr="00ED50FD" w:rsidRDefault="00ED50FD" w:rsidP="004B263F">
            <w:pPr>
              <w:spacing w:after="0"/>
              <w:jc w:val="center"/>
              <w:rPr>
                <w:rFonts w:ascii="Arial" w:hAnsi="Arial" w:cs="Arial"/>
                <w:bCs/>
                <w:sz w:val="20"/>
                <w:szCs w:val="20"/>
              </w:rPr>
            </w:pPr>
            <w:r w:rsidRPr="00ED50FD">
              <w:rPr>
                <w:rFonts w:ascii="Arial" w:hAnsi="Arial" w:cs="Arial"/>
                <w:bCs/>
                <w:sz w:val="20"/>
                <w:szCs w:val="20"/>
              </w:rPr>
              <w:t>↓</w:t>
            </w:r>
          </w:p>
        </w:tc>
      </w:tr>
      <w:tr w:rsidR="00ED50FD" w:rsidRPr="00ED50FD" w14:paraId="6C5BAF4E" w14:textId="77777777" w:rsidTr="004B263F">
        <w:trPr>
          <w:trHeight w:val="454"/>
        </w:trPr>
        <w:tc>
          <w:tcPr>
            <w:tcW w:w="1563" w:type="dxa"/>
            <w:vMerge/>
            <w:tcBorders>
              <w:top w:val="single" w:sz="8" w:space="0" w:color="FFFFFF"/>
              <w:left w:val="nil"/>
              <w:bottom w:val="single" w:sz="8" w:space="0" w:color="FFFFFF"/>
              <w:right w:val="nil"/>
            </w:tcBorders>
            <w:vAlign w:val="center"/>
            <w:hideMark/>
          </w:tcPr>
          <w:p w14:paraId="08E6F8DF" w14:textId="77777777" w:rsidR="00ED50FD" w:rsidRPr="00ED50FD" w:rsidRDefault="00ED50FD" w:rsidP="004B263F">
            <w:pPr>
              <w:spacing w:after="0"/>
              <w:rPr>
                <w:rFonts w:ascii="Arial" w:hAnsi="Arial" w:cs="Arial"/>
                <w:color w:val="FFFFFF" w:themeColor="background1"/>
                <w:sz w:val="18"/>
                <w:szCs w:val="18"/>
              </w:rPr>
            </w:pPr>
          </w:p>
        </w:tc>
        <w:tc>
          <w:tcPr>
            <w:tcW w:w="2981" w:type="dxa"/>
            <w:tcBorders>
              <w:top w:val="nil"/>
              <w:left w:val="nil"/>
              <w:bottom w:val="single" w:sz="4" w:space="0" w:color="808080" w:themeColor="background1" w:themeShade="80"/>
              <w:right w:val="nil"/>
            </w:tcBorders>
            <w:shd w:val="clear" w:color="auto" w:fill="auto"/>
            <w:vAlign w:val="center"/>
            <w:hideMark/>
          </w:tcPr>
          <w:p w14:paraId="1FE62628" w14:textId="77777777" w:rsidR="00ED50FD" w:rsidRPr="00ED50FD" w:rsidRDefault="00ED50FD" w:rsidP="004B263F">
            <w:pPr>
              <w:spacing w:after="0"/>
              <w:rPr>
                <w:rFonts w:ascii="Arial" w:hAnsi="Arial" w:cs="Arial"/>
                <w:sz w:val="16"/>
                <w:szCs w:val="16"/>
              </w:rPr>
            </w:pPr>
            <w:r w:rsidRPr="00ED50FD">
              <w:rPr>
                <w:rFonts w:ascii="Arial" w:hAnsi="Arial" w:cs="Arial"/>
                <w:sz w:val="16"/>
                <w:szCs w:val="16"/>
              </w:rPr>
              <w:t>Not assessable</w:t>
            </w:r>
          </w:p>
        </w:tc>
        <w:tc>
          <w:tcPr>
            <w:tcW w:w="1943" w:type="dxa"/>
            <w:tcBorders>
              <w:top w:val="nil"/>
              <w:left w:val="nil"/>
              <w:bottom w:val="single" w:sz="4" w:space="0" w:color="808080" w:themeColor="background1" w:themeShade="80"/>
              <w:right w:val="nil"/>
            </w:tcBorders>
            <w:shd w:val="clear" w:color="auto" w:fill="auto"/>
            <w:vAlign w:val="center"/>
            <w:hideMark/>
          </w:tcPr>
          <w:p w14:paraId="5B528746" w14:textId="77777777" w:rsidR="00ED50FD" w:rsidRPr="00ED50FD" w:rsidRDefault="00ED50FD" w:rsidP="004B263F">
            <w:pPr>
              <w:spacing w:after="0"/>
              <w:jc w:val="right"/>
              <w:rPr>
                <w:rFonts w:ascii="Arial" w:hAnsi="Arial" w:cs="Arial"/>
                <w:sz w:val="16"/>
                <w:szCs w:val="16"/>
              </w:rPr>
            </w:pPr>
            <w:r w:rsidRPr="00ED50FD">
              <w:rPr>
                <w:rFonts w:ascii="Arial" w:hAnsi="Arial" w:cs="Arial"/>
                <w:sz w:val="16"/>
                <w:szCs w:val="16"/>
              </w:rPr>
              <w:t>-0.52 (-0.73, -0.32)</w:t>
            </w:r>
          </w:p>
        </w:tc>
        <w:tc>
          <w:tcPr>
            <w:tcW w:w="1134" w:type="dxa"/>
            <w:tcBorders>
              <w:top w:val="nil"/>
              <w:left w:val="nil"/>
              <w:bottom w:val="single" w:sz="4" w:space="0" w:color="808080" w:themeColor="background1" w:themeShade="80"/>
              <w:right w:val="nil"/>
            </w:tcBorders>
            <w:shd w:val="clear" w:color="auto" w:fill="auto"/>
            <w:vAlign w:val="center"/>
            <w:hideMark/>
          </w:tcPr>
          <w:p w14:paraId="081C71DC" w14:textId="77777777" w:rsidR="00ED50FD" w:rsidRPr="00ED50FD" w:rsidRDefault="00ED50FD" w:rsidP="004B263F">
            <w:pPr>
              <w:spacing w:after="0"/>
              <w:jc w:val="center"/>
              <w:rPr>
                <w:rFonts w:ascii="Arial" w:hAnsi="Arial" w:cs="Arial"/>
                <w:sz w:val="16"/>
                <w:szCs w:val="16"/>
              </w:rPr>
            </w:pPr>
            <w:r w:rsidRPr="00ED50FD">
              <w:rPr>
                <w:rFonts w:ascii="Arial" w:hAnsi="Arial" w:cs="Arial"/>
                <w:sz w:val="16"/>
                <w:szCs w:val="16"/>
              </w:rPr>
              <w:t>&lt;0.001*</w:t>
            </w:r>
          </w:p>
        </w:tc>
        <w:tc>
          <w:tcPr>
            <w:tcW w:w="1843" w:type="dxa"/>
            <w:tcBorders>
              <w:top w:val="nil"/>
              <w:left w:val="nil"/>
              <w:bottom w:val="single" w:sz="4" w:space="0" w:color="808080" w:themeColor="background1" w:themeShade="80"/>
              <w:right w:val="single" w:sz="8" w:space="0" w:color="808080"/>
            </w:tcBorders>
            <w:shd w:val="clear" w:color="auto" w:fill="auto"/>
            <w:vAlign w:val="center"/>
            <w:hideMark/>
          </w:tcPr>
          <w:p w14:paraId="4648A7D7" w14:textId="77777777" w:rsidR="00ED50FD" w:rsidRPr="00ED50FD" w:rsidRDefault="00ED50FD" w:rsidP="004B263F">
            <w:pPr>
              <w:spacing w:after="0"/>
              <w:jc w:val="center"/>
              <w:rPr>
                <w:rFonts w:ascii="Arial" w:hAnsi="Arial" w:cs="Arial"/>
                <w:bCs/>
                <w:sz w:val="20"/>
                <w:szCs w:val="20"/>
              </w:rPr>
            </w:pPr>
            <w:r w:rsidRPr="00ED50FD">
              <w:rPr>
                <w:rFonts w:ascii="Arial" w:hAnsi="Arial" w:cs="Arial"/>
                <w:bCs/>
                <w:sz w:val="20"/>
                <w:szCs w:val="20"/>
              </w:rPr>
              <w:t>↓</w:t>
            </w:r>
          </w:p>
        </w:tc>
      </w:tr>
      <w:tr w:rsidR="00ED50FD" w:rsidRPr="00ED50FD" w14:paraId="6AA06B53" w14:textId="77777777" w:rsidTr="004B263F">
        <w:trPr>
          <w:trHeight w:val="464"/>
        </w:trPr>
        <w:tc>
          <w:tcPr>
            <w:tcW w:w="1563" w:type="dxa"/>
            <w:vMerge w:val="restart"/>
            <w:tcBorders>
              <w:top w:val="nil"/>
              <w:left w:val="nil"/>
              <w:bottom w:val="single" w:sz="8" w:space="0" w:color="808080"/>
              <w:right w:val="nil"/>
            </w:tcBorders>
            <w:shd w:val="clear" w:color="000000" w:fill="808080"/>
            <w:vAlign w:val="center"/>
            <w:hideMark/>
          </w:tcPr>
          <w:p w14:paraId="14613920" w14:textId="77777777" w:rsidR="00ED50FD" w:rsidRPr="00ED50FD" w:rsidRDefault="00ED50FD" w:rsidP="004B263F">
            <w:pPr>
              <w:spacing w:after="0"/>
              <w:rPr>
                <w:rFonts w:ascii="Arial" w:hAnsi="Arial" w:cs="Arial"/>
                <w:color w:val="FFFFFF" w:themeColor="background1"/>
                <w:sz w:val="18"/>
                <w:szCs w:val="18"/>
              </w:rPr>
            </w:pPr>
            <w:r w:rsidRPr="00ED50FD">
              <w:rPr>
                <w:rFonts w:ascii="Arial" w:hAnsi="Arial" w:cs="Arial"/>
                <w:color w:val="FFFFFF" w:themeColor="background1"/>
                <w:sz w:val="18"/>
                <w:szCs w:val="18"/>
              </w:rPr>
              <w:t>Appropriateness</w:t>
            </w:r>
          </w:p>
        </w:tc>
        <w:tc>
          <w:tcPr>
            <w:tcW w:w="2981" w:type="dxa"/>
            <w:tcBorders>
              <w:top w:val="single" w:sz="12" w:space="0" w:color="808080" w:themeColor="background1" w:themeShade="80"/>
              <w:left w:val="nil"/>
              <w:bottom w:val="single" w:sz="8" w:space="0" w:color="808080"/>
              <w:right w:val="nil"/>
            </w:tcBorders>
            <w:shd w:val="clear" w:color="auto" w:fill="D9D9D9" w:themeFill="background1" w:themeFillShade="D9"/>
            <w:vAlign w:val="center"/>
            <w:hideMark/>
          </w:tcPr>
          <w:p w14:paraId="70D948C7" w14:textId="77777777" w:rsidR="00ED50FD" w:rsidRPr="00ED50FD" w:rsidRDefault="00ED50FD" w:rsidP="004B263F">
            <w:pPr>
              <w:spacing w:after="0"/>
              <w:rPr>
                <w:rFonts w:ascii="Arial" w:hAnsi="Arial" w:cs="Arial"/>
                <w:sz w:val="16"/>
                <w:szCs w:val="16"/>
              </w:rPr>
            </w:pPr>
            <w:r w:rsidRPr="00ED50FD">
              <w:rPr>
                <w:rFonts w:ascii="Arial" w:hAnsi="Arial" w:cs="Arial"/>
                <w:sz w:val="16"/>
                <w:szCs w:val="16"/>
              </w:rPr>
              <w:t xml:space="preserve">Appropriate </w:t>
            </w:r>
          </w:p>
          <w:p w14:paraId="5AC9F76C" w14:textId="77777777" w:rsidR="00ED50FD" w:rsidRPr="00ED50FD" w:rsidRDefault="00ED50FD" w:rsidP="004B263F">
            <w:pPr>
              <w:spacing w:after="0"/>
              <w:rPr>
                <w:rFonts w:ascii="Arial" w:hAnsi="Arial" w:cs="Arial"/>
                <w:sz w:val="16"/>
                <w:szCs w:val="16"/>
              </w:rPr>
            </w:pPr>
            <w:r w:rsidRPr="00ED50FD">
              <w:rPr>
                <w:rFonts w:ascii="Arial" w:hAnsi="Arial" w:cs="Arial"/>
                <w:sz w:val="16"/>
                <w:szCs w:val="16"/>
              </w:rPr>
              <w:t>(optimal and adequate)</w:t>
            </w:r>
          </w:p>
        </w:tc>
        <w:tc>
          <w:tcPr>
            <w:tcW w:w="1943" w:type="dxa"/>
            <w:tcBorders>
              <w:top w:val="single" w:sz="12" w:space="0" w:color="808080" w:themeColor="background1" w:themeShade="80"/>
              <w:left w:val="nil"/>
              <w:bottom w:val="single" w:sz="8" w:space="0" w:color="808080"/>
              <w:right w:val="nil"/>
            </w:tcBorders>
            <w:shd w:val="clear" w:color="auto" w:fill="D9D9D9" w:themeFill="background1" w:themeFillShade="D9"/>
            <w:vAlign w:val="center"/>
            <w:hideMark/>
          </w:tcPr>
          <w:p w14:paraId="1125D11D" w14:textId="77777777" w:rsidR="00ED50FD" w:rsidRPr="00ED50FD" w:rsidRDefault="00ED50FD" w:rsidP="004B263F">
            <w:pPr>
              <w:spacing w:after="0"/>
              <w:jc w:val="right"/>
              <w:rPr>
                <w:rFonts w:ascii="Arial" w:hAnsi="Arial" w:cs="Arial"/>
                <w:sz w:val="16"/>
                <w:szCs w:val="16"/>
              </w:rPr>
            </w:pPr>
            <w:r w:rsidRPr="00ED50FD">
              <w:rPr>
                <w:rFonts w:ascii="Arial" w:hAnsi="Arial" w:cs="Arial"/>
                <w:sz w:val="16"/>
                <w:szCs w:val="16"/>
              </w:rPr>
              <w:t>0.83 (0.39, 1.27)</w:t>
            </w:r>
          </w:p>
        </w:tc>
        <w:tc>
          <w:tcPr>
            <w:tcW w:w="1134" w:type="dxa"/>
            <w:tcBorders>
              <w:top w:val="single" w:sz="12" w:space="0" w:color="808080" w:themeColor="background1" w:themeShade="80"/>
              <w:left w:val="nil"/>
              <w:bottom w:val="single" w:sz="8" w:space="0" w:color="808080"/>
              <w:right w:val="nil"/>
            </w:tcBorders>
            <w:shd w:val="clear" w:color="auto" w:fill="D9D9D9" w:themeFill="background1" w:themeFillShade="D9"/>
            <w:vAlign w:val="center"/>
            <w:hideMark/>
          </w:tcPr>
          <w:p w14:paraId="72D40812" w14:textId="77777777" w:rsidR="00ED50FD" w:rsidRPr="00ED50FD" w:rsidRDefault="00ED50FD" w:rsidP="004B263F">
            <w:pPr>
              <w:spacing w:after="0"/>
              <w:jc w:val="center"/>
              <w:rPr>
                <w:rFonts w:ascii="Arial" w:hAnsi="Arial" w:cs="Arial"/>
                <w:sz w:val="16"/>
                <w:szCs w:val="16"/>
              </w:rPr>
            </w:pPr>
            <w:r w:rsidRPr="00ED50FD">
              <w:rPr>
                <w:rFonts w:ascii="Arial" w:hAnsi="Arial" w:cs="Arial"/>
                <w:sz w:val="16"/>
                <w:szCs w:val="16"/>
              </w:rPr>
              <w:t>&lt;0.001*</w:t>
            </w:r>
          </w:p>
        </w:tc>
        <w:tc>
          <w:tcPr>
            <w:tcW w:w="1843" w:type="dxa"/>
            <w:tcBorders>
              <w:top w:val="single" w:sz="12" w:space="0" w:color="808080" w:themeColor="background1" w:themeShade="80"/>
              <w:left w:val="nil"/>
              <w:bottom w:val="single" w:sz="8" w:space="0" w:color="808080"/>
              <w:right w:val="single" w:sz="8" w:space="0" w:color="808080"/>
            </w:tcBorders>
            <w:shd w:val="clear" w:color="auto" w:fill="D9D9D9" w:themeFill="background1" w:themeFillShade="D9"/>
            <w:vAlign w:val="center"/>
            <w:hideMark/>
          </w:tcPr>
          <w:p w14:paraId="4B467FC4" w14:textId="77777777" w:rsidR="00ED50FD" w:rsidRPr="00ED50FD" w:rsidRDefault="00ED50FD" w:rsidP="004B263F">
            <w:pPr>
              <w:spacing w:after="0"/>
              <w:jc w:val="center"/>
              <w:rPr>
                <w:rFonts w:ascii="Arial" w:hAnsi="Arial" w:cs="Arial"/>
                <w:bCs/>
                <w:sz w:val="20"/>
                <w:szCs w:val="20"/>
              </w:rPr>
            </w:pPr>
            <w:r w:rsidRPr="00ED50FD">
              <w:rPr>
                <w:rFonts w:ascii="Arial" w:hAnsi="Arial" w:cs="Arial"/>
                <w:bCs/>
                <w:sz w:val="20"/>
                <w:szCs w:val="20"/>
              </w:rPr>
              <w:t>↑</w:t>
            </w:r>
          </w:p>
        </w:tc>
      </w:tr>
      <w:tr w:rsidR="00ED50FD" w:rsidRPr="00ED50FD" w14:paraId="2E7CEB9F" w14:textId="77777777" w:rsidTr="004B263F">
        <w:trPr>
          <w:trHeight w:val="454"/>
        </w:trPr>
        <w:tc>
          <w:tcPr>
            <w:tcW w:w="1563" w:type="dxa"/>
            <w:vMerge/>
            <w:tcBorders>
              <w:top w:val="nil"/>
              <w:left w:val="nil"/>
              <w:bottom w:val="single" w:sz="8" w:space="0" w:color="808080"/>
              <w:right w:val="nil"/>
            </w:tcBorders>
            <w:vAlign w:val="center"/>
            <w:hideMark/>
          </w:tcPr>
          <w:p w14:paraId="2742494A" w14:textId="77777777" w:rsidR="00ED50FD" w:rsidRPr="00ED50FD" w:rsidRDefault="00ED50FD" w:rsidP="004B263F">
            <w:pPr>
              <w:spacing w:after="0"/>
              <w:rPr>
                <w:rFonts w:ascii="Arial" w:hAnsi="Arial" w:cs="Arial"/>
                <w:sz w:val="18"/>
                <w:szCs w:val="18"/>
              </w:rPr>
            </w:pPr>
          </w:p>
        </w:tc>
        <w:tc>
          <w:tcPr>
            <w:tcW w:w="2981" w:type="dxa"/>
            <w:tcBorders>
              <w:top w:val="single" w:sz="2" w:space="0" w:color="000000" w:themeColor="text1"/>
              <w:left w:val="nil"/>
              <w:bottom w:val="single" w:sz="8" w:space="0" w:color="808080"/>
              <w:right w:val="nil"/>
            </w:tcBorders>
            <w:shd w:val="clear" w:color="auto" w:fill="D9D9D9" w:themeFill="background1" w:themeFillShade="D9"/>
            <w:vAlign w:val="center"/>
            <w:hideMark/>
          </w:tcPr>
          <w:p w14:paraId="35025235" w14:textId="77777777" w:rsidR="00ED50FD" w:rsidRPr="00ED50FD" w:rsidRDefault="00ED50FD" w:rsidP="004B263F">
            <w:pPr>
              <w:spacing w:after="0"/>
              <w:rPr>
                <w:rFonts w:ascii="Arial" w:hAnsi="Arial" w:cs="Arial"/>
                <w:sz w:val="16"/>
                <w:szCs w:val="16"/>
              </w:rPr>
            </w:pPr>
            <w:r w:rsidRPr="00ED50FD">
              <w:rPr>
                <w:rFonts w:ascii="Arial" w:hAnsi="Arial" w:cs="Arial"/>
                <w:sz w:val="16"/>
                <w:szCs w:val="16"/>
              </w:rPr>
              <w:t xml:space="preserve">Inappropriate </w:t>
            </w:r>
          </w:p>
          <w:p w14:paraId="3518892E" w14:textId="77777777" w:rsidR="00ED50FD" w:rsidRPr="00ED50FD" w:rsidRDefault="00ED50FD" w:rsidP="004B263F">
            <w:pPr>
              <w:spacing w:after="0"/>
              <w:rPr>
                <w:rFonts w:ascii="Arial" w:hAnsi="Arial" w:cs="Arial"/>
                <w:sz w:val="16"/>
                <w:szCs w:val="16"/>
              </w:rPr>
            </w:pPr>
            <w:r w:rsidRPr="00ED50FD">
              <w:rPr>
                <w:rFonts w:ascii="Arial" w:hAnsi="Arial" w:cs="Arial"/>
                <w:sz w:val="16"/>
                <w:szCs w:val="16"/>
              </w:rPr>
              <w:t>(suboptimal and inadequate)</w:t>
            </w:r>
          </w:p>
        </w:tc>
        <w:tc>
          <w:tcPr>
            <w:tcW w:w="1943" w:type="dxa"/>
            <w:tcBorders>
              <w:top w:val="single" w:sz="2" w:space="0" w:color="000000" w:themeColor="text1"/>
              <w:left w:val="nil"/>
              <w:bottom w:val="single" w:sz="8" w:space="0" w:color="808080"/>
              <w:right w:val="nil"/>
            </w:tcBorders>
            <w:shd w:val="clear" w:color="auto" w:fill="D9D9D9" w:themeFill="background1" w:themeFillShade="D9"/>
            <w:vAlign w:val="center"/>
            <w:hideMark/>
          </w:tcPr>
          <w:p w14:paraId="09537FF5" w14:textId="77777777" w:rsidR="00ED50FD" w:rsidRPr="00ED50FD" w:rsidRDefault="00ED50FD" w:rsidP="004B263F">
            <w:pPr>
              <w:spacing w:after="0"/>
              <w:jc w:val="right"/>
              <w:rPr>
                <w:rFonts w:ascii="Arial" w:hAnsi="Arial" w:cs="Arial"/>
                <w:sz w:val="16"/>
                <w:szCs w:val="16"/>
              </w:rPr>
            </w:pPr>
            <w:r w:rsidRPr="00ED50FD">
              <w:rPr>
                <w:rFonts w:ascii="Arial" w:hAnsi="Arial" w:cs="Arial"/>
                <w:sz w:val="16"/>
                <w:szCs w:val="16"/>
              </w:rPr>
              <w:t>-0.43 (-0.84, -0.02)</w:t>
            </w:r>
          </w:p>
        </w:tc>
        <w:tc>
          <w:tcPr>
            <w:tcW w:w="1134" w:type="dxa"/>
            <w:tcBorders>
              <w:top w:val="single" w:sz="2" w:space="0" w:color="000000" w:themeColor="text1"/>
              <w:left w:val="nil"/>
              <w:bottom w:val="single" w:sz="8" w:space="0" w:color="808080"/>
              <w:right w:val="nil"/>
            </w:tcBorders>
            <w:shd w:val="clear" w:color="auto" w:fill="D9D9D9" w:themeFill="background1" w:themeFillShade="D9"/>
            <w:vAlign w:val="center"/>
            <w:hideMark/>
          </w:tcPr>
          <w:p w14:paraId="6360901A" w14:textId="77777777" w:rsidR="00ED50FD" w:rsidRPr="00ED50FD" w:rsidRDefault="00ED50FD" w:rsidP="004B263F">
            <w:pPr>
              <w:spacing w:after="0"/>
              <w:jc w:val="center"/>
              <w:rPr>
                <w:rFonts w:ascii="Arial" w:hAnsi="Arial" w:cs="Arial"/>
                <w:sz w:val="16"/>
                <w:szCs w:val="16"/>
              </w:rPr>
            </w:pPr>
            <w:r w:rsidRPr="00ED50FD">
              <w:rPr>
                <w:rFonts w:ascii="Arial" w:hAnsi="Arial" w:cs="Arial"/>
                <w:sz w:val="16"/>
                <w:szCs w:val="16"/>
              </w:rPr>
              <w:t>0.040*</w:t>
            </w:r>
          </w:p>
        </w:tc>
        <w:tc>
          <w:tcPr>
            <w:tcW w:w="1843" w:type="dxa"/>
            <w:tcBorders>
              <w:top w:val="single" w:sz="2" w:space="0" w:color="000000" w:themeColor="text1"/>
              <w:left w:val="nil"/>
              <w:bottom w:val="single" w:sz="8" w:space="0" w:color="808080"/>
              <w:right w:val="single" w:sz="8" w:space="0" w:color="808080"/>
            </w:tcBorders>
            <w:shd w:val="clear" w:color="auto" w:fill="D9D9D9" w:themeFill="background1" w:themeFillShade="D9"/>
            <w:vAlign w:val="center"/>
            <w:hideMark/>
          </w:tcPr>
          <w:p w14:paraId="0A8514D5" w14:textId="77777777" w:rsidR="00ED50FD" w:rsidRPr="00ED50FD" w:rsidRDefault="00ED50FD" w:rsidP="004B263F">
            <w:pPr>
              <w:spacing w:after="0"/>
              <w:jc w:val="center"/>
              <w:rPr>
                <w:rFonts w:ascii="Arial" w:hAnsi="Arial" w:cs="Arial"/>
                <w:bCs/>
                <w:sz w:val="20"/>
                <w:szCs w:val="20"/>
              </w:rPr>
            </w:pPr>
            <w:r w:rsidRPr="00ED50FD">
              <w:rPr>
                <w:rFonts w:ascii="Arial" w:hAnsi="Arial" w:cs="Arial"/>
                <w:bCs/>
                <w:sz w:val="20"/>
                <w:szCs w:val="20"/>
              </w:rPr>
              <w:t>↓</w:t>
            </w:r>
          </w:p>
        </w:tc>
      </w:tr>
      <w:tr w:rsidR="00ED50FD" w:rsidRPr="00ED50FD" w14:paraId="3CE05B98" w14:textId="77777777" w:rsidTr="004B263F">
        <w:trPr>
          <w:trHeight w:val="454"/>
        </w:trPr>
        <w:tc>
          <w:tcPr>
            <w:tcW w:w="1563" w:type="dxa"/>
            <w:vMerge/>
            <w:tcBorders>
              <w:top w:val="nil"/>
              <w:left w:val="nil"/>
              <w:bottom w:val="single" w:sz="8" w:space="0" w:color="808080"/>
              <w:right w:val="nil"/>
            </w:tcBorders>
            <w:vAlign w:val="center"/>
            <w:hideMark/>
          </w:tcPr>
          <w:p w14:paraId="09680E1A" w14:textId="77777777" w:rsidR="00ED50FD" w:rsidRPr="00ED50FD" w:rsidRDefault="00ED50FD" w:rsidP="004B263F">
            <w:pPr>
              <w:spacing w:after="0"/>
              <w:rPr>
                <w:rFonts w:ascii="Arial" w:hAnsi="Arial" w:cs="Arial"/>
                <w:sz w:val="18"/>
                <w:szCs w:val="18"/>
              </w:rPr>
            </w:pPr>
          </w:p>
        </w:tc>
        <w:tc>
          <w:tcPr>
            <w:tcW w:w="2981" w:type="dxa"/>
            <w:tcBorders>
              <w:top w:val="single" w:sz="2" w:space="0" w:color="000000" w:themeColor="text1"/>
              <w:left w:val="nil"/>
              <w:bottom w:val="single" w:sz="8" w:space="0" w:color="808080"/>
              <w:right w:val="nil"/>
            </w:tcBorders>
            <w:shd w:val="clear" w:color="auto" w:fill="D9D9D9" w:themeFill="background1" w:themeFillShade="D9"/>
            <w:vAlign w:val="center"/>
            <w:hideMark/>
          </w:tcPr>
          <w:p w14:paraId="77F1BF07" w14:textId="77777777" w:rsidR="00ED50FD" w:rsidRPr="00ED50FD" w:rsidRDefault="00ED50FD" w:rsidP="004B263F">
            <w:pPr>
              <w:spacing w:after="0"/>
              <w:rPr>
                <w:rFonts w:ascii="Arial" w:hAnsi="Arial" w:cs="Arial"/>
                <w:sz w:val="16"/>
                <w:szCs w:val="16"/>
              </w:rPr>
            </w:pPr>
            <w:r w:rsidRPr="00ED50FD">
              <w:rPr>
                <w:rFonts w:ascii="Arial" w:hAnsi="Arial" w:cs="Arial"/>
                <w:sz w:val="16"/>
                <w:szCs w:val="16"/>
              </w:rPr>
              <w:t>Not assessable</w:t>
            </w:r>
          </w:p>
        </w:tc>
        <w:tc>
          <w:tcPr>
            <w:tcW w:w="1943" w:type="dxa"/>
            <w:tcBorders>
              <w:top w:val="single" w:sz="2" w:space="0" w:color="000000" w:themeColor="text1"/>
              <w:left w:val="nil"/>
              <w:bottom w:val="single" w:sz="8" w:space="0" w:color="808080"/>
              <w:right w:val="nil"/>
            </w:tcBorders>
            <w:shd w:val="clear" w:color="auto" w:fill="D9D9D9" w:themeFill="background1" w:themeFillShade="D9"/>
            <w:vAlign w:val="center"/>
            <w:hideMark/>
          </w:tcPr>
          <w:p w14:paraId="103A699B" w14:textId="77777777" w:rsidR="00ED50FD" w:rsidRPr="00ED50FD" w:rsidRDefault="00ED50FD" w:rsidP="004B263F">
            <w:pPr>
              <w:spacing w:after="0"/>
              <w:jc w:val="right"/>
              <w:rPr>
                <w:rFonts w:ascii="Arial" w:hAnsi="Arial" w:cs="Arial"/>
                <w:sz w:val="16"/>
                <w:szCs w:val="16"/>
              </w:rPr>
            </w:pPr>
            <w:r w:rsidRPr="00ED50FD">
              <w:rPr>
                <w:rFonts w:ascii="Arial" w:hAnsi="Arial" w:cs="Arial"/>
                <w:sz w:val="16"/>
                <w:szCs w:val="16"/>
              </w:rPr>
              <w:t>-0.40 (-0.62, -0.19)</w:t>
            </w:r>
          </w:p>
        </w:tc>
        <w:tc>
          <w:tcPr>
            <w:tcW w:w="1134" w:type="dxa"/>
            <w:tcBorders>
              <w:top w:val="single" w:sz="2" w:space="0" w:color="000000" w:themeColor="text1"/>
              <w:left w:val="nil"/>
              <w:bottom w:val="single" w:sz="8" w:space="0" w:color="808080"/>
              <w:right w:val="nil"/>
            </w:tcBorders>
            <w:shd w:val="clear" w:color="auto" w:fill="D9D9D9" w:themeFill="background1" w:themeFillShade="D9"/>
            <w:vAlign w:val="center"/>
            <w:hideMark/>
          </w:tcPr>
          <w:p w14:paraId="2BF20EBD" w14:textId="77777777" w:rsidR="00ED50FD" w:rsidRPr="00ED50FD" w:rsidRDefault="00ED50FD" w:rsidP="004B263F">
            <w:pPr>
              <w:spacing w:after="0"/>
              <w:jc w:val="center"/>
              <w:rPr>
                <w:rFonts w:ascii="Arial" w:hAnsi="Arial" w:cs="Arial"/>
                <w:sz w:val="16"/>
                <w:szCs w:val="16"/>
              </w:rPr>
            </w:pPr>
            <w:r w:rsidRPr="00ED50FD">
              <w:rPr>
                <w:rFonts w:ascii="Arial" w:hAnsi="Arial" w:cs="Arial"/>
                <w:sz w:val="16"/>
                <w:szCs w:val="16"/>
              </w:rPr>
              <w:t>&lt;0.001*</w:t>
            </w:r>
          </w:p>
        </w:tc>
        <w:tc>
          <w:tcPr>
            <w:tcW w:w="1843" w:type="dxa"/>
            <w:tcBorders>
              <w:top w:val="single" w:sz="2" w:space="0" w:color="000000" w:themeColor="text1"/>
              <w:left w:val="nil"/>
              <w:bottom w:val="single" w:sz="8" w:space="0" w:color="808080"/>
              <w:right w:val="single" w:sz="8" w:space="0" w:color="808080"/>
            </w:tcBorders>
            <w:shd w:val="clear" w:color="auto" w:fill="D9D9D9" w:themeFill="background1" w:themeFillShade="D9"/>
            <w:vAlign w:val="center"/>
            <w:hideMark/>
          </w:tcPr>
          <w:p w14:paraId="002C41AE" w14:textId="77777777" w:rsidR="00ED50FD" w:rsidRPr="00ED50FD" w:rsidRDefault="00ED50FD" w:rsidP="004B263F">
            <w:pPr>
              <w:spacing w:after="0"/>
              <w:jc w:val="center"/>
              <w:rPr>
                <w:rFonts w:ascii="Arial" w:hAnsi="Arial" w:cs="Arial"/>
                <w:bCs/>
                <w:sz w:val="20"/>
                <w:szCs w:val="20"/>
              </w:rPr>
            </w:pPr>
            <w:r w:rsidRPr="00ED50FD">
              <w:rPr>
                <w:rFonts w:ascii="Arial" w:hAnsi="Arial" w:cs="Arial"/>
                <w:bCs/>
                <w:sz w:val="20"/>
                <w:szCs w:val="20"/>
              </w:rPr>
              <w:t>↓</w:t>
            </w:r>
          </w:p>
        </w:tc>
      </w:tr>
    </w:tbl>
    <w:p w14:paraId="0626B695" w14:textId="77777777" w:rsidR="00ED50FD" w:rsidRPr="00557374" w:rsidRDefault="00ED50FD" w:rsidP="00ED50FD">
      <w:pPr>
        <w:pStyle w:val="Captions"/>
        <w:spacing w:before="0" w:after="0"/>
        <w:rPr>
          <w:rFonts w:ascii="Arial" w:hAnsi="Arial" w:cs="Arial"/>
          <w:sz w:val="18"/>
        </w:rPr>
      </w:pPr>
      <w:r w:rsidRPr="00557374">
        <w:rPr>
          <w:rFonts w:ascii="Arial" w:hAnsi="Arial" w:cs="Arial"/>
          <w:sz w:val="18"/>
        </w:rPr>
        <w:t>* Chi</w:t>
      </w:r>
      <w:r w:rsidRPr="00557374">
        <w:rPr>
          <w:rFonts w:ascii="Arial" w:hAnsi="Arial" w:cs="Arial"/>
          <w:sz w:val="18"/>
          <w:vertAlign w:val="superscript"/>
        </w:rPr>
        <w:t>2</w:t>
      </w:r>
      <w:r w:rsidRPr="00557374">
        <w:rPr>
          <w:rFonts w:ascii="Arial" w:hAnsi="Arial" w:cs="Arial"/>
          <w:sz w:val="18"/>
        </w:rPr>
        <w:t xml:space="preserve"> p&lt;0.05</w:t>
      </w:r>
    </w:p>
    <w:p w14:paraId="7D87AD3D" w14:textId="77777777" w:rsidR="002E3511" w:rsidRDefault="002E3511" w:rsidP="00BA2271"/>
    <w:p w14:paraId="590DFCFD" w14:textId="543A9CB5" w:rsidR="00FE3043" w:rsidRPr="00340CA0" w:rsidRDefault="00E52B89" w:rsidP="00FE3043">
      <w:pPr>
        <w:pStyle w:val="FigureTitle"/>
      </w:pPr>
      <w:r>
        <w:t xml:space="preserve">Table </w:t>
      </w:r>
      <w:r w:rsidR="002A31D0">
        <w:t>9</w:t>
      </w:r>
      <w:r w:rsidR="00557374">
        <w:t xml:space="preserve">: </w:t>
      </w:r>
      <w:r w:rsidR="00FE3043">
        <w:t>Percentage change in key indicators</w:t>
      </w:r>
      <w:r>
        <w:t xml:space="preserve"> </w:t>
      </w:r>
      <w:r w:rsidR="00FE3043">
        <w:t xml:space="preserve">for facilities that contributed at least twice to the Hospital NAPS between 2013 and </w:t>
      </w:r>
      <w:r w:rsidR="00FE3043" w:rsidRPr="00340CA0">
        <w:t>201</w:t>
      </w:r>
      <w:r w:rsidR="00FE3043">
        <w:t>7</w:t>
      </w:r>
    </w:p>
    <w:tbl>
      <w:tblPr>
        <w:tblW w:w="9464" w:type="dxa"/>
        <w:tblLayout w:type="fixed"/>
        <w:tblLook w:val="04A0" w:firstRow="1" w:lastRow="0" w:firstColumn="1" w:lastColumn="0" w:noHBand="0" w:noVBand="1"/>
      </w:tblPr>
      <w:tblGrid>
        <w:gridCol w:w="4544"/>
        <w:gridCol w:w="2085"/>
        <w:gridCol w:w="992"/>
        <w:gridCol w:w="1843"/>
      </w:tblGrid>
      <w:tr w:rsidR="00ED50FD" w:rsidRPr="002F4BFE" w14:paraId="6A98FDA8" w14:textId="77777777" w:rsidTr="004B263F">
        <w:trPr>
          <w:trHeight w:val="437"/>
        </w:trPr>
        <w:tc>
          <w:tcPr>
            <w:tcW w:w="4544" w:type="dxa"/>
            <w:vMerge w:val="restart"/>
            <w:tcBorders>
              <w:top w:val="single" w:sz="12" w:space="0" w:color="808080"/>
              <w:left w:val="nil"/>
              <w:bottom w:val="single" w:sz="8" w:space="0" w:color="FFFFFF"/>
              <w:right w:val="nil"/>
            </w:tcBorders>
            <w:shd w:val="clear" w:color="000000" w:fill="808080"/>
            <w:vAlign w:val="center"/>
            <w:hideMark/>
          </w:tcPr>
          <w:p w14:paraId="09BCAF89" w14:textId="77777777" w:rsidR="00ED50FD" w:rsidRPr="002F4BFE" w:rsidRDefault="00ED50FD" w:rsidP="004B263F">
            <w:pPr>
              <w:spacing w:after="0"/>
              <w:rPr>
                <w:rFonts w:ascii="Arial" w:hAnsi="Arial" w:cs="Arial"/>
                <w:b/>
                <w:bCs/>
                <w:color w:val="FFFFFF"/>
                <w:sz w:val="20"/>
                <w:szCs w:val="20"/>
              </w:rPr>
            </w:pPr>
            <w:r w:rsidRPr="002F4BFE">
              <w:rPr>
                <w:rFonts w:ascii="Arial" w:hAnsi="Arial" w:cs="Arial"/>
                <w:b/>
                <w:bCs/>
                <w:color w:val="FFFFFF"/>
                <w:sz w:val="20"/>
                <w:szCs w:val="20"/>
              </w:rPr>
              <w:t>Key indicator</w:t>
            </w:r>
          </w:p>
        </w:tc>
        <w:tc>
          <w:tcPr>
            <w:tcW w:w="4920" w:type="dxa"/>
            <w:gridSpan w:val="3"/>
            <w:tcBorders>
              <w:top w:val="nil"/>
              <w:left w:val="nil"/>
              <w:bottom w:val="nil"/>
              <w:right w:val="single" w:sz="8" w:space="0" w:color="FFFFFF"/>
            </w:tcBorders>
            <w:shd w:val="clear" w:color="000000" w:fill="808080"/>
            <w:vAlign w:val="center"/>
            <w:hideMark/>
          </w:tcPr>
          <w:p w14:paraId="26A6DDD5" w14:textId="77777777" w:rsidR="00ED50FD" w:rsidRPr="002F4BFE" w:rsidRDefault="00ED50FD" w:rsidP="004B263F">
            <w:pPr>
              <w:spacing w:after="0"/>
              <w:jc w:val="center"/>
              <w:rPr>
                <w:rFonts w:ascii="Arial" w:hAnsi="Arial" w:cs="Arial"/>
                <w:b/>
                <w:bCs/>
                <w:color w:val="FFFFFF"/>
                <w:sz w:val="18"/>
                <w:szCs w:val="18"/>
              </w:rPr>
            </w:pPr>
            <w:r w:rsidRPr="002F4BFE">
              <w:rPr>
                <w:rFonts w:ascii="Arial" w:hAnsi="Arial" w:cs="Arial"/>
                <w:b/>
                <w:bCs/>
                <w:color w:val="FFFFFF"/>
                <w:sz w:val="18"/>
                <w:szCs w:val="18"/>
              </w:rPr>
              <w:t>Percentage change between subsequent years</w:t>
            </w:r>
          </w:p>
        </w:tc>
      </w:tr>
      <w:tr w:rsidR="00ED50FD" w:rsidRPr="002F4BFE" w14:paraId="55477C86" w14:textId="77777777" w:rsidTr="004B263F">
        <w:trPr>
          <w:trHeight w:val="437"/>
        </w:trPr>
        <w:tc>
          <w:tcPr>
            <w:tcW w:w="4544" w:type="dxa"/>
            <w:vMerge/>
            <w:tcBorders>
              <w:top w:val="single" w:sz="12" w:space="0" w:color="808080"/>
              <w:left w:val="nil"/>
              <w:bottom w:val="single" w:sz="8" w:space="0" w:color="FFFFFF"/>
              <w:right w:val="nil"/>
            </w:tcBorders>
            <w:vAlign w:val="center"/>
            <w:hideMark/>
          </w:tcPr>
          <w:p w14:paraId="0A48089A" w14:textId="77777777" w:rsidR="00ED50FD" w:rsidRPr="002F4BFE" w:rsidRDefault="00ED50FD" w:rsidP="004B263F">
            <w:pPr>
              <w:spacing w:after="0"/>
              <w:rPr>
                <w:rFonts w:ascii="Arial" w:hAnsi="Arial" w:cs="Arial"/>
                <w:b/>
                <w:bCs/>
                <w:color w:val="FFFFFF"/>
                <w:sz w:val="20"/>
                <w:szCs w:val="20"/>
              </w:rPr>
            </w:pPr>
          </w:p>
        </w:tc>
        <w:tc>
          <w:tcPr>
            <w:tcW w:w="2085" w:type="dxa"/>
            <w:tcBorders>
              <w:top w:val="nil"/>
              <w:left w:val="nil"/>
              <w:bottom w:val="single" w:sz="8" w:space="0" w:color="808080"/>
              <w:right w:val="nil"/>
            </w:tcBorders>
            <w:shd w:val="clear" w:color="000000" w:fill="808080"/>
            <w:vAlign w:val="center"/>
            <w:hideMark/>
          </w:tcPr>
          <w:p w14:paraId="087EA502" w14:textId="77777777" w:rsidR="00ED50FD" w:rsidRPr="002F4BFE" w:rsidRDefault="00ED50FD" w:rsidP="004B263F">
            <w:pPr>
              <w:spacing w:after="0"/>
              <w:jc w:val="center"/>
              <w:rPr>
                <w:rFonts w:ascii="Arial" w:hAnsi="Arial" w:cs="Arial"/>
                <w:color w:val="FFFFFF"/>
                <w:sz w:val="18"/>
                <w:szCs w:val="18"/>
              </w:rPr>
            </w:pPr>
            <w:r w:rsidRPr="002F4BFE">
              <w:rPr>
                <w:rFonts w:ascii="Arial" w:hAnsi="Arial" w:cs="Arial"/>
                <w:color w:val="FFFFFF"/>
                <w:sz w:val="18"/>
                <w:szCs w:val="18"/>
              </w:rPr>
              <w:t>Estimated change  (95%CI)</w:t>
            </w:r>
          </w:p>
        </w:tc>
        <w:tc>
          <w:tcPr>
            <w:tcW w:w="992" w:type="dxa"/>
            <w:tcBorders>
              <w:top w:val="nil"/>
              <w:left w:val="nil"/>
              <w:bottom w:val="single" w:sz="8" w:space="0" w:color="808080"/>
              <w:right w:val="nil"/>
            </w:tcBorders>
            <w:shd w:val="clear" w:color="000000" w:fill="808080"/>
            <w:vAlign w:val="center"/>
            <w:hideMark/>
          </w:tcPr>
          <w:p w14:paraId="7D8D05E1" w14:textId="77777777" w:rsidR="00ED50FD" w:rsidRPr="00ED50FD" w:rsidRDefault="00ED50FD" w:rsidP="004B263F">
            <w:pPr>
              <w:spacing w:after="0"/>
              <w:jc w:val="center"/>
              <w:rPr>
                <w:rFonts w:ascii="Arial" w:hAnsi="Arial" w:cs="Arial"/>
                <w:color w:val="FFFFFF" w:themeColor="background1"/>
                <w:sz w:val="18"/>
                <w:szCs w:val="18"/>
              </w:rPr>
            </w:pPr>
            <w:r w:rsidRPr="00ED50FD">
              <w:rPr>
                <w:rFonts w:ascii="Arial" w:hAnsi="Arial" w:cs="Arial"/>
                <w:color w:val="FFFFFF" w:themeColor="background1"/>
                <w:sz w:val="18"/>
                <w:szCs w:val="18"/>
              </w:rPr>
              <w:t>p value</w:t>
            </w:r>
          </w:p>
        </w:tc>
        <w:tc>
          <w:tcPr>
            <w:tcW w:w="1843" w:type="dxa"/>
            <w:tcBorders>
              <w:top w:val="nil"/>
              <w:left w:val="nil"/>
              <w:bottom w:val="single" w:sz="8" w:space="0" w:color="808080"/>
              <w:right w:val="single" w:sz="8" w:space="0" w:color="FFFFFF"/>
            </w:tcBorders>
            <w:shd w:val="clear" w:color="000000" w:fill="808080"/>
            <w:vAlign w:val="center"/>
            <w:hideMark/>
          </w:tcPr>
          <w:p w14:paraId="262785DF" w14:textId="77777777" w:rsidR="00ED50FD" w:rsidRPr="002F4BFE" w:rsidRDefault="00ED50FD" w:rsidP="004B263F">
            <w:pPr>
              <w:spacing w:after="0"/>
              <w:jc w:val="center"/>
              <w:rPr>
                <w:rFonts w:ascii="Arial" w:hAnsi="Arial" w:cs="Arial"/>
                <w:color w:val="FFFFFF"/>
                <w:sz w:val="18"/>
                <w:szCs w:val="18"/>
              </w:rPr>
            </w:pPr>
            <w:r w:rsidRPr="002F4BFE">
              <w:rPr>
                <w:rFonts w:ascii="Arial" w:hAnsi="Arial" w:cs="Arial"/>
                <w:color w:val="FFFFFF"/>
                <w:sz w:val="18"/>
                <w:szCs w:val="18"/>
              </w:rPr>
              <w:t>Direction of change</w:t>
            </w:r>
          </w:p>
        </w:tc>
      </w:tr>
      <w:tr w:rsidR="00ED50FD" w:rsidRPr="002F4BFE" w14:paraId="7FD57172" w14:textId="77777777" w:rsidTr="004B263F">
        <w:trPr>
          <w:trHeight w:val="227"/>
        </w:trPr>
        <w:tc>
          <w:tcPr>
            <w:tcW w:w="4544" w:type="dxa"/>
            <w:tcBorders>
              <w:top w:val="single" w:sz="8" w:space="0" w:color="FFFFFF"/>
              <w:left w:val="nil"/>
              <w:bottom w:val="nil"/>
              <w:right w:val="nil"/>
            </w:tcBorders>
            <w:shd w:val="clear" w:color="000000" w:fill="808080"/>
            <w:vAlign w:val="center"/>
            <w:hideMark/>
          </w:tcPr>
          <w:p w14:paraId="32810995" w14:textId="77777777" w:rsidR="00ED50FD" w:rsidRPr="002F4BFE" w:rsidRDefault="00ED50FD" w:rsidP="004B263F">
            <w:pPr>
              <w:spacing w:after="0"/>
              <w:rPr>
                <w:rFonts w:ascii="Arial" w:hAnsi="Arial" w:cs="Arial"/>
                <w:color w:val="FFFFFF" w:themeColor="background1"/>
                <w:sz w:val="18"/>
                <w:szCs w:val="18"/>
              </w:rPr>
            </w:pPr>
            <w:r w:rsidRPr="002F4BFE">
              <w:rPr>
                <w:rFonts w:ascii="Arial" w:hAnsi="Arial" w:cs="Arial"/>
                <w:color w:val="FFFFFF" w:themeColor="background1"/>
                <w:sz w:val="18"/>
                <w:szCs w:val="18"/>
              </w:rPr>
              <w:t xml:space="preserve">Indication documented in medical notes </w:t>
            </w:r>
          </w:p>
        </w:tc>
        <w:tc>
          <w:tcPr>
            <w:tcW w:w="2085" w:type="dxa"/>
            <w:vMerge w:val="restart"/>
            <w:tcBorders>
              <w:top w:val="nil"/>
              <w:left w:val="nil"/>
              <w:bottom w:val="single" w:sz="12" w:space="0" w:color="808080"/>
              <w:right w:val="nil"/>
            </w:tcBorders>
            <w:shd w:val="clear" w:color="auto" w:fill="auto"/>
            <w:vAlign w:val="center"/>
            <w:hideMark/>
          </w:tcPr>
          <w:p w14:paraId="1B5957FF" w14:textId="77777777" w:rsidR="00ED50FD" w:rsidRPr="002F4BFE" w:rsidRDefault="00ED50FD" w:rsidP="004B263F">
            <w:pPr>
              <w:spacing w:after="0"/>
              <w:jc w:val="right"/>
              <w:rPr>
                <w:rFonts w:ascii="Arial" w:hAnsi="Arial" w:cs="Arial"/>
                <w:color w:val="000000"/>
                <w:sz w:val="16"/>
                <w:szCs w:val="16"/>
              </w:rPr>
            </w:pPr>
            <w:r w:rsidRPr="002F4BFE">
              <w:rPr>
                <w:rFonts w:ascii="Arial" w:hAnsi="Arial" w:cs="Arial"/>
                <w:color w:val="000000"/>
                <w:sz w:val="16"/>
                <w:szCs w:val="16"/>
              </w:rPr>
              <w:t>1.43 (1.01, 1.86)</w:t>
            </w:r>
          </w:p>
        </w:tc>
        <w:tc>
          <w:tcPr>
            <w:tcW w:w="992" w:type="dxa"/>
            <w:vMerge w:val="restart"/>
            <w:tcBorders>
              <w:top w:val="nil"/>
              <w:left w:val="nil"/>
              <w:bottom w:val="single" w:sz="12" w:space="0" w:color="808080"/>
              <w:right w:val="nil"/>
            </w:tcBorders>
            <w:shd w:val="clear" w:color="auto" w:fill="auto"/>
            <w:vAlign w:val="center"/>
            <w:hideMark/>
          </w:tcPr>
          <w:p w14:paraId="4D919453" w14:textId="77777777" w:rsidR="00ED50FD" w:rsidRPr="00ED50FD" w:rsidRDefault="00ED50FD" w:rsidP="004B263F">
            <w:pPr>
              <w:spacing w:after="0"/>
              <w:jc w:val="center"/>
              <w:rPr>
                <w:rFonts w:ascii="Arial" w:hAnsi="Arial" w:cs="Arial"/>
                <w:sz w:val="16"/>
                <w:szCs w:val="16"/>
              </w:rPr>
            </w:pPr>
            <w:r w:rsidRPr="00ED50FD">
              <w:rPr>
                <w:rFonts w:ascii="Arial" w:hAnsi="Arial" w:cs="Arial"/>
                <w:sz w:val="16"/>
                <w:szCs w:val="16"/>
              </w:rPr>
              <w:t>&lt;0.001*</w:t>
            </w:r>
          </w:p>
        </w:tc>
        <w:tc>
          <w:tcPr>
            <w:tcW w:w="1843" w:type="dxa"/>
            <w:vMerge w:val="restart"/>
            <w:tcBorders>
              <w:top w:val="nil"/>
              <w:left w:val="nil"/>
              <w:bottom w:val="single" w:sz="12" w:space="0" w:color="808080"/>
              <w:right w:val="single" w:sz="8" w:space="0" w:color="808080"/>
            </w:tcBorders>
            <w:shd w:val="clear" w:color="auto" w:fill="auto"/>
            <w:vAlign w:val="center"/>
            <w:hideMark/>
          </w:tcPr>
          <w:p w14:paraId="64F400F4" w14:textId="77777777" w:rsidR="00ED50FD" w:rsidRPr="002F4BFE" w:rsidRDefault="00ED50FD" w:rsidP="004B263F">
            <w:pPr>
              <w:spacing w:after="0"/>
              <w:jc w:val="center"/>
              <w:rPr>
                <w:rFonts w:ascii="Arial" w:hAnsi="Arial" w:cs="Arial"/>
                <w:b/>
                <w:bCs/>
                <w:sz w:val="20"/>
                <w:szCs w:val="20"/>
              </w:rPr>
            </w:pPr>
            <w:r w:rsidRPr="002F4BFE">
              <w:rPr>
                <w:rFonts w:ascii="Arial" w:hAnsi="Arial" w:cs="Arial"/>
                <w:b/>
                <w:bCs/>
                <w:sz w:val="20"/>
                <w:szCs w:val="20"/>
              </w:rPr>
              <w:t>↑</w:t>
            </w:r>
          </w:p>
        </w:tc>
      </w:tr>
      <w:tr w:rsidR="00ED50FD" w:rsidRPr="002F4BFE" w14:paraId="5B2E7B60" w14:textId="77777777" w:rsidTr="004B263F">
        <w:trPr>
          <w:trHeight w:val="227"/>
        </w:trPr>
        <w:tc>
          <w:tcPr>
            <w:tcW w:w="4544" w:type="dxa"/>
            <w:tcBorders>
              <w:top w:val="nil"/>
              <w:left w:val="nil"/>
              <w:bottom w:val="single" w:sz="8" w:space="0" w:color="FFFFFF"/>
              <w:right w:val="nil"/>
            </w:tcBorders>
            <w:shd w:val="clear" w:color="000000" w:fill="808080"/>
            <w:vAlign w:val="center"/>
            <w:hideMark/>
          </w:tcPr>
          <w:p w14:paraId="3A6E1654" w14:textId="77777777" w:rsidR="00ED50FD" w:rsidRPr="002F4BFE" w:rsidRDefault="00ED50FD" w:rsidP="004B263F">
            <w:pPr>
              <w:spacing w:after="0"/>
              <w:rPr>
                <w:rFonts w:ascii="Arial" w:hAnsi="Arial" w:cs="Arial"/>
                <w:color w:val="FFFFFF" w:themeColor="background1"/>
                <w:sz w:val="18"/>
                <w:szCs w:val="18"/>
              </w:rPr>
            </w:pPr>
            <w:r w:rsidRPr="002F4BFE">
              <w:rPr>
                <w:rFonts w:ascii="Arial" w:hAnsi="Arial" w:cs="Arial"/>
                <w:color w:val="FFFFFF" w:themeColor="background1"/>
                <w:sz w:val="18"/>
                <w:szCs w:val="18"/>
              </w:rPr>
              <w:t>(best practice &gt;95%)</w:t>
            </w:r>
          </w:p>
        </w:tc>
        <w:tc>
          <w:tcPr>
            <w:tcW w:w="2085" w:type="dxa"/>
            <w:vMerge/>
            <w:tcBorders>
              <w:top w:val="nil"/>
              <w:left w:val="nil"/>
              <w:bottom w:val="single" w:sz="12" w:space="0" w:color="808080"/>
              <w:right w:val="nil"/>
            </w:tcBorders>
            <w:vAlign w:val="center"/>
            <w:hideMark/>
          </w:tcPr>
          <w:p w14:paraId="2C5B6E5B" w14:textId="77777777" w:rsidR="00ED50FD" w:rsidRPr="002F4BFE" w:rsidRDefault="00ED50FD" w:rsidP="004B263F">
            <w:pPr>
              <w:spacing w:after="0"/>
              <w:rPr>
                <w:rFonts w:ascii="Arial" w:hAnsi="Arial" w:cs="Arial"/>
                <w:color w:val="000000"/>
                <w:sz w:val="16"/>
                <w:szCs w:val="16"/>
              </w:rPr>
            </w:pPr>
          </w:p>
        </w:tc>
        <w:tc>
          <w:tcPr>
            <w:tcW w:w="992" w:type="dxa"/>
            <w:vMerge/>
            <w:tcBorders>
              <w:top w:val="nil"/>
              <w:left w:val="nil"/>
              <w:bottom w:val="single" w:sz="12" w:space="0" w:color="808080"/>
              <w:right w:val="nil"/>
            </w:tcBorders>
            <w:vAlign w:val="center"/>
            <w:hideMark/>
          </w:tcPr>
          <w:p w14:paraId="4AA56ABB" w14:textId="77777777" w:rsidR="00ED50FD" w:rsidRPr="00ED50FD" w:rsidRDefault="00ED50FD" w:rsidP="004B263F">
            <w:pPr>
              <w:spacing w:after="0"/>
              <w:rPr>
                <w:rFonts w:ascii="Arial" w:hAnsi="Arial" w:cs="Arial"/>
                <w:sz w:val="16"/>
                <w:szCs w:val="16"/>
              </w:rPr>
            </w:pPr>
          </w:p>
        </w:tc>
        <w:tc>
          <w:tcPr>
            <w:tcW w:w="1843" w:type="dxa"/>
            <w:vMerge/>
            <w:tcBorders>
              <w:top w:val="nil"/>
              <w:left w:val="nil"/>
              <w:bottom w:val="single" w:sz="12" w:space="0" w:color="808080"/>
              <w:right w:val="single" w:sz="8" w:space="0" w:color="808080"/>
            </w:tcBorders>
            <w:vAlign w:val="center"/>
            <w:hideMark/>
          </w:tcPr>
          <w:p w14:paraId="46FC6153" w14:textId="77777777" w:rsidR="00ED50FD" w:rsidRPr="002F4BFE" w:rsidRDefault="00ED50FD" w:rsidP="004B263F">
            <w:pPr>
              <w:spacing w:after="0"/>
              <w:rPr>
                <w:rFonts w:ascii="Arial" w:hAnsi="Arial" w:cs="Arial"/>
                <w:b/>
                <w:bCs/>
                <w:sz w:val="20"/>
                <w:szCs w:val="20"/>
              </w:rPr>
            </w:pPr>
          </w:p>
        </w:tc>
      </w:tr>
      <w:tr w:rsidR="005C5E02" w:rsidRPr="002F4BFE" w14:paraId="65723F2F" w14:textId="77777777" w:rsidTr="004B263F">
        <w:trPr>
          <w:trHeight w:val="500"/>
        </w:trPr>
        <w:tc>
          <w:tcPr>
            <w:tcW w:w="4544" w:type="dxa"/>
            <w:tcBorders>
              <w:top w:val="single" w:sz="8" w:space="0" w:color="FFFFFF"/>
              <w:left w:val="nil"/>
              <w:right w:val="nil"/>
            </w:tcBorders>
            <w:shd w:val="clear" w:color="000000" w:fill="808080"/>
            <w:vAlign w:val="center"/>
            <w:hideMark/>
          </w:tcPr>
          <w:p w14:paraId="73C56DCD" w14:textId="77777777" w:rsidR="005C5E02" w:rsidRPr="002F4BFE" w:rsidRDefault="005C5E02" w:rsidP="004B263F">
            <w:pPr>
              <w:spacing w:after="0"/>
              <w:rPr>
                <w:rFonts w:ascii="Arial" w:hAnsi="Arial" w:cs="Arial"/>
                <w:color w:val="FFFFFF" w:themeColor="background1"/>
                <w:sz w:val="18"/>
                <w:szCs w:val="18"/>
              </w:rPr>
            </w:pPr>
            <w:r w:rsidRPr="002F4BFE">
              <w:rPr>
                <w:rFonts w:ascii="Arial" w:hAnsi="Arial" w:cs="Arial"/>
                <w:color w:val="FFFFFF" w:themeColor="background1"/>
                <w:sz w:val="18"/>
                <w:szCs w:val="18"/>
              </w:rPr>
              <w:t xml:space="preserve">Surgical prophylaxis given for &gt;24 hours </w:t>
            </w:r>
          </w:p>
          <w:p w14:paraId="2FE5F341" w14:textId="7812527F" w:rsidR="005C5E02" w:rsidRPr="002F4BFE" w:rsidRDefault="005C5E02" w:rsidP="004B263F">
            <w:pPr>
              <w:spacing w:after="0"/>
              <w:rPr>
                <w:rFonts w:ascii="Arial" w:hAnsi="Arial" w:cs="Arial"/>
                <w:color w:val="FFFFFF" w:themeColor="background1"/>
                <w:sz w:val="18"/>
                <w:szCs w:val="18"/>
              </w:rPr>
            </w:pPr>
            <w:r w:rsidRPr="002F4BFE">
              <w:rPr>
                <w:rFonts w:ascii="Arial" w:hAnsi="Arial" w:cs="Arial"/>
                <w:color w:val="FFFFFF" w:themeColor="background1"/>
                <w:sz w:val="18"/>
                <w:szCs w:val="18"/>
              </w:rPr>
              <w:t>(</w:t>
            </w:r>
            <w:proofErr w:type="gramStart"/>
            <w:r w:rsidRPr="002F4BFE">
              <w:rPr>
                <w:rFonts w:ascii="Arial" w:hAnsi="Arial" w:cs="Arial"/>
                <w:color w:val="FFFFFF" w:themeColor="background1"/>
                <w:sz w:val="18"/>
                <w:szCs w:val="18"/>
              </w:rPr>
              <w:t>best</w:t>
            </w:r>
            <w:proofErr w:type="gramEnd"/>
            <w:r w:rsidRPr="002F4BFE">
              <w:rPr>
                <w:rFonts w:ascii="Arial" w:hAnsi="Arial" w:cs="Arial"/>
                <w:color w:val="FFFFFF" w:themeColor="background1"/>
                <w:sz w:val="18"/>
                <w:szCs w:val="18"/>
              </w:rPr>
              <w:t xml:space="preserve"> practice &lt;5%)</w:t>
            </w:r>
            <w:r w:rsidRPr="002F4BFE">
              <w:rPr>
                <w:rFonts w:ascii="Arial" w:hAnsi="Arial" w:cs="Arial"/>
                <w:color w:val="FFFFFF" w:themeColor="background1"/>
                <w:vertAlign w:val="superscript"/>
              </w:rPr>
              <w:t>†</w:t>
            </w:r>
          </w:p>
        </w:tc>
        <w:tc>
          <w:tcPr>
            <w:tcW w:w="2085" w:type="dxa"/>
            <w:tcBorders>
              <w:top w:val="nil"/>
              <w:left w:val="nil"/>
              <w:bottom w:val="single" w:sz="12" w:space="0" w:color="808080"/>
              <w:right w:val="nil"/>
            </w:tcBorders>
            <w:shd w:val="clear" w:color="auto" w:fill="D9D9D9" w:themeFill="background1" w:themeFillShade="D9"/>
            <w:vAlign w:val="center"/>
            <w:hideMark/>
          </w:tcPr>
          <w:p w14:paraId="23B1BF22" w14:textId="77777777" w:rsidR="005C5E02" w:rsidRPr="002F4BFE" w:rsidRDefault="005C5E02" w:rsidP="004B263F">
            <w:pPr>
              <w:spacing w:after="0"/>
              <w:jc w:val="right"/>
              <w:rPr>
                <w:rFonts w:ascii="Arial" w:hAnsi="Arial" w:cs="Arial"/>
                <w:color w:val="000000"/>
                <w:sz w:val="16"/>
                <w:szCs w:val="16"/>
              </w:rPr>
            </w:pPr>
            <w:r w:rsidRPr="002F4BFE">
              <w:rPr>
                <w:rFonts w:ascii="Arial" w:hAnsi="Arial" w:cs="Arial"/>
                <w:color w:val="000000"/>
                <w:sz w:val="16"/>
                <w:szCs w:val="16"/>
              </w:rPr>
              <w:t>-4.03 (-5.33, -2.72)</w:t>
            </w:r>
          </w:p>
        </w:tc>
        <w:tc>
          <w:tcPr>
            <w:tcW w:w="992" w:type="dxa"/>
            <w:tcBorders>
              <w:top w:val="nil"/>
              <w:left w:val="nil"/>
              <w:bottom w:val="single" w:sz="12" w:space="0" w:color="808080"/>
              <w:right w:val="nil"/>
            </w:tcBorders>
            <w:shd w:val="clear" w:color="auto" w:fill="D9D9D9" w:themeFill="background1" w:themeFillShade="D9"/>
            <w:vAlign w:val="center"/>
            <w:hideMark/>
          </w:tcPr>
          <w:p w14:paraId="74FE4FDE" w14:textId="77777777" w:rsidR="005C5E02" w:rsidRPr="00ED50FD" w:rsidRDefault="005C5E02" w:rsidP="004B263F">
            <w:pPr>
              <w:spacing w:after="0"/>
              <w:jc w:val="center"/>
              <w:rPr>
                <w:rFonts w:ascii="Arial" w:hAnsi="Arial" w:cs="Arial"/>
                <w:sz w:val="16"/>
                <w:szCs w:val="16"/>
              </w:rPr>
            </w:pPr>
            <w:r w:rsidRPr="00ED50FD">
              <w:rPr>
                <w:rFonts w:ascii="Arial" w:hAnsi="Arial" w:cs="Arial"/>
                <w:sz w:val="16"/>
                <w:szCs w:val="16"/>
              </w:rPr>
              <w:t>&lt;0.001*</w:t>
            </w:r>
          </w:p>
        </w:tc>
        <w:tc>
          <w:tcPr>
            <w:tcW w:w="1843" w:type="dxa"/>
            <w:tcBorders>
              <w:top w:val="nil"/>
              <w:left w:val="nil"/>
              <w:bottom w:val="single" w:sz="12" w:space="0" w:color="808080"/>
              <w:right w:val="single" w:sz="8" w:space="0" w:color="808080"/>
            </w:tcBorders>
            <w:shd w:val="clear" w:color="auto" w:fill="D9D9D9" w:themeFill="background1" w:themeFillShade="D9"/>
            <w:vAlign w:val="center"/>
            <w:hideMark/>
          </w:tcPr>
          <w:p w14:paraId="5B4AF3A7" w14:textId="77777777" w:rsidR="005C5E02" w:rsidRPr="002F4BFE" w:rsidRDefault="005C5E02" w:rsidP="004B263F">
            <w:pPr>
              <w:spacing w:after="0"/>
              <w:jc w:val="center"/>
              <w:rPr>
                <w:rFonts w:ascii="Arial" w:hAnsi="Arial" w:cs="Arial"/>
                <w:b/>
                <w:bCs/>
                <w:sz w:val="20"/>
                <w:szCs w:val="20"/>
              </w:rPr>
            </w:pPr>
            <w:r w:rsidRPr="009530C1">
              <w:rPr>
                <w:rFonts w:ascii="Arial" w:hAnsi="Arial" w:cs="Arial"/>
                <w:b/>
                <w:bCs/>
                <w:sz w:val="20"/>
                <w:szCs w:val="20"/>
              </w:rPr>
              <w:t>↓</w:t>
            </w:r>
          </w:p>
        </w:tc>
      </w:tr>
      <w:tr w:rsidR="005C5E02" w:rsidRPr="002F4BFE" w14:paraId="45EB00AF" w14:textId="77777777" w:rsidTr="004B263F">
        <w:trPr>
          <w:trHeight w:val="484"/>
        </w:trPr>
        <w:tc>
          <w:tcPr>
            <w:tcW w:w="4544" w:type="dxa"/>
            <w:tcBorders>
              <w:top w:val="single" w:sz="8" w:space="0" w:color="FFFFFF"/>
              <w:left w:val="nil"/>
              <w:bottom w:val="single" w:sz="8" w:space="0" w:color="FFFFFF" w:themeColor="background1"/>
              <w:right w:val="nil"/>
            </w:tcBorders>
            <w:shd w:val="clear" w:color="000000" w:fill="808080"/>
            <w:vAlign w:val="center"/>
          </w:tcPr>
          <w:p w14:paraId="6AEECF07" w14:textId="309CF394" w:rsidR="005C5E02" w:rsidRPr="002F4BFE" w:rsidRDefault="005C5E02" w:rsidP="004B263F">
            <w:pPr>
              <w:spacing w:after="0"/>
              <w:rPr>
                <w:rFonts w:ascii="Arial" w:hAnsi="Arial" w:cs="Arial"/>
                <w:color w:val="FFFFFF" w:themeColor="background1"/>
                <w:sz w:val="18"/>
                <w:szCs w:val="18"/>
              </w:rPr>
            </w:pPr>
            <w:r w:rsidRPr="002F4BFE">
              <w:rPr>
                <w:rFonts w:ascii="Arial" w:hAnsi="Arial" w:cs="Arial"/>
                <w:color w:val="FFFFFF" w:themeColor="background1"/>
                <w:sz w:val="18"/>
                <w:szCs w:val="18"/>
              </w:rPr>
              <w:t xml:space="preserve">Compliant with </w:t>
            </w:r>
            <w:r w:rsidRPr="002F4BFE">
              <w:rPr>
                <w:rFonts w:ascii="Arial" w:hAnsi="Arial" w:cs="Arial"/>
                <w:i/>
                <w:iCs/>
                <w:color w:val="FFFFFF" w:themeColor="background1"/>
                <w:sz w:val="18"/>
                <w:szCs w:val="18"/>
              </w:rPr>
              <w:t>Therapeutic Guidelines</w:t>
            </w:r>
            <w:r w:rsidRPr="002F4BFE">
              <w:rPr>
                <w:rFonts w:ascii="Arial" w:hAnsi="Arial" w:cs="Arial"/>
                <w:color w:val="FFFFFF" w:themeColor="background1"/>
                <w:sz w:val="18"/>
                <w:szCs w:val="18"/>
              </w:rPr>
              <w:t xml:space="preserve"> or local guidelines</w:t>
            </w:r>
            <w:r w:rsidRPr="002F4BFE">
              <w:rPr>
                <w:rFonts w:ascii="Arial" w:hAnsi="Arial" w:cs="Arial"/>
                <w:color w:val="FFFFFF" w:themeColor="background1"/>
                <w:sz w:val="16"/>
                <w:szCs w:val="16"/>
                <w:vertAlign w:val="superscript"/>
              </w:rPr>
              <w:t>§</w:t>
            </w:r>
          </w:p>
        </w:tc>
        <w:tc>
          <w:tcPr>
            <w:tcW w:w="2085" w:type="dxa"/>
            <w:tcBorders>
              <w:top w:val="nil"/>
              <w:left w:val="nil"/>
              <w:bottom w:val="single" w:sz="8" w:space="0" w:color="808080"/>
              <w:right w:val="nil"/>
            </w:tcBorders>
            <w:shd w:val="clear" w:color="auto" w:fill="auto"/>
            <w:vAlign w:val="center"/>
            <w:hideMark/>
          </w:tcPr>
          <w:p w14:paraId="66894164" w14:textId="77777777" w:rsidR="005C5E02" w:rsidRPr="002F4BFE" w:rsidRDefault="005C5E02" w:rsidP="004B263F">
            <w:pPr>
              <w:spacing w:after="0"/>
              <w:jc w:val="right"/>
              <w:rPr>
                <w:rFonts w:ascii="Arial" w:hAnsi="Arial" w:cs="Arial"/>
                <w:color w:val="000000"/>
                <w:sz w:val="16"/>
                <w:szCs w:val="16"/>
              </w:rPr>
            </w:pPr>
            <w:r w:rsidRPr="002F4BFE">
              <w:rPr>
                <w:rFonts w:ascii="Arial" w:hAnsi="Arial" w:cs="Arial"/>
                <w:color w:val="000000"/>
                <w:sz w:val="16"/>
                <w:szCs w:val="16"/>
              </w:rPr>
              <w:t>-0.61 (-1.12, -0.10)</w:t>
            </w:r>
          </w:p>
        </w:tc>
        <w:tc>
          <w:tcPr>
            <w:tcW w:w="992" w:type="dxa"/>
            <w:tcBorders>
              <w:top w:val="nil"/>
              <w:left w:val="nil"/>
              <w:bottom w:val="single" w:sz="8" w:space="0" w:color="808080"/>
              <w:right w:val="nil"/>
            </w:tcBorders>
            <w:shd w:val="clear" w:color="auto" w:fill="auto"/>
            <w:vAlign w:val="center"/>
            <w:hideMark/>
          </w:tcPr>
          <w:p w14:paraId="3A9E914A" w14:textId="77777777" w:rsidR="005C5E02" w:rsidRPr="00ED50FD" w:rsidRDefault="005C5E02" w:rsidP="004B263F">
            <w:pPr>
              <w:spacing w:after="0"/>
              <w:jc w:val="center"/>
              <w:rPr>
                <w:rFonts w:ascii="Arial" w:hAnsi="Arial" w:cs="Arial"/>
                <w:sz w:val="16"/>
                <w:szCs w:val="16"/>
              </w:rPr>
            </w:pPr>
            <w:r w:rsidRPr="00ED50FD">
              <w:rPr>
                <w:rFonts w:ascii="Arial" w:hAnsi="Arial" w:cs="Arial"/>
                <w:sz w:val="16"/>
                <w:szCs w:val="16"/>
              </w:rPr>
              <w:t>0.019*</w:t>
            </w:r>
          </w:p>
        </w:tc>
        <w:tc>
          <w:tcPr>
            <w:tcW w:w="1843" w:type="dxa"/>
            <w:tcBorders>
              <w:top w:val="nil"/>
              <w:left w:val="nil"/>
              <w:bottom w:val="single" w:sz="8" w:space="0" w:color="808080"/>
              <w:right w:val="single" w:sz="8" w:space="0" w:color="808080"/>
            </w:tcBorders>
            <w:shd w:val="clear" w:color="auto" w:fill="auto"/>
            <w:vAlign w:val="center"/>
            <w:hideMark/>
          </w:tcPr>
          <w:p w14:paraId="7038964D" w14:textId="77777777" w:rsidR="005C5E02" w:rsidRPr="002F4BFE" w:rsidRDefault="005C5E02" w:rsidP="004B263F">
            <w:pPr>
              <w:spacing w:after="0"/>
              <w:jc w:val="center"/>
              <w:rPr>
                <w:rFonts w:ascii="Arial" w:hAnsi="Arial" w:cs="Arial"/>
                <w:b/>
                <w:bCs/>
                <w:sz w:val="20"/>
                <w:szCs w:val="20"/>
              </w:rPr>
            </w:pPr>
            <w:r w:rsidRPr="002F4BFE">
              <w:rPr>
                <w:rFonts w:ascii="Arial" w:hAnsi="Arial" w:cs="Arial"/>
                <w:b/>
                <w:bCs/>
                <w:sz w:val="20"/>
                <w:szCs w:val="20"/>
              </w:rPr>
              <w:t>↓</w:t>
            </w:r>
          </w:p>
        </w:tc>
      </w:tr>
      <w:tr w:rsidR="005C5E02" w:rsidRPr="002F4BFE" w14:paraId="6C384763" w14:textId="77777777" w:rsidTr="004B263F">
        <w:trPr>
          <w:trHeight w:val="333"/>
        </w:trPr>
        <w:tc>
          <w:tcPr>
            <w:tcW w:w="4544" w:type="dxa"/>
            <w:vMerge w:val="restart"/>
            <w:tcBorders>
              <w:top w:val="single" w:sz="8" w:space="0" w:color="FFFFFF" w:themeColor="background1"/>
              <w:left w:val="nil"/>
              <w:right w:val="nil"/>
            </w:tcBorders>
            <w:shd w:val="clear" w:color="000000" w:fill="808080"/>
            <w:vAlign w:val="center"/>
            <w:hideMark/>
          </w:tcPr>
          <w:p w14:paraId="63860506" w14:textId="017822C3" w:rsidR="005C5E02" w:rsidRPr="002F4BFE" w:rsidRDefault="005C5E02" w:rsidP="004B263F">
            <w:pPr>
              <w:spacing w:after="0"/>
              <w:rPr>
                <w:rFonts w:ascii="Arial" w:hAnsi="Arial" w:cs="Arial"/>
                <w:color w:val="FFFFFF" w:themeColor="background1"/>
                <w:sz w:val="18"/>
                <w:szCs w:val="18"/>
              </w:rPr>
            </w:pPr>
            <w:r w:rsidRPr="002F4BFE">
              <w:rPr>
                <w:rFonts w:ascii="Arial" w:hAnsi="Arial" w:cs="Arial"/>
                <w:color w:val="FFFFFF" w:themeColor="background1"/>
                <w:sz w:val="18"/>
                <w:szCs w:val="18"/>
              </w:rPr>
              <w:t>Appropriate (optimal and adequate)</w:t>
            </w:r>
            <w:r w:rsidRPr="002F4BFE">
              <w:rPr>
                <w:rFonts w:ascii="Arial" w:hAnsi="Arial" w:cs="Arial"/>
                <w:color w:val="FFFFFF" w:themeColor="background1"/>
                <w:sz w:val="18"/>
                <w:szCs w:val="18"/>
                <w:vertAlign w:val="superscript"/>
              </w:rPr>
              <w:t>#</w:t>
            </w:r>
          </w:p>
        </w:tc>
        <w:tc>
          <w:tcPr>
            <w:tcW w:w="2085" w:type="dxa"/>
            <w:vMerge w:val="restart"/>
            <w:tcBorders>
              <w:top w:val="single" w:sz="12" w:space="0" w:color="808080" w:themeColor="background1" w:themeShade="80"/>
              <w:left w:val="nil"/>
              <w:bottom w:val="single" w:sz="8" w:space="0" w:color="808080"/>
              <w:right w:val="nil"/>
            </w:tcBorders>
            <w:shd w:val="clear" w:color="auto" w:fill="D9D9D9" w:themeFill="background1" w:themeFillShade="D9"/>
            <w:vAlign w:val="center"/>
            <w:hideMark/>
          </w:tcPr>
          <w:p w14:paraId="277BB403" w14:textId="77777777" w:rsidR="005C5E02" w:rsidRPr="002F4BFE" w:rsidRDefault="005C5E02" w:rsidP="004B263F">
            <w:pPr>
              <w:spacing w:after="0"/>
              <w:jc w:val="right"/>
              <w:rPr>
                <w:rFonts w:ascii="Arial" w:hAnsi="Arial" w:cs="Arial"/>
                <w:color w:val="000000"/>
                <w:sz w:val="16"/>
                <w:szCs w:val="16"/>
              </w:rPr>
            </w:pPr>
            <w:r w:rsidRPr="002F4BFE">
              <w:rPr>
                <w:rFonts w:ascii="Arial" w:hAnsi="Arial" w:cs="Arial"/>
                <w:color w:val="000000"/>
                <w:sz w:val="16"/>
                <w:szCs w:val="16"/>
              </w:rPr>
              <w:t>0.55 (0.12, 0.98)</w:t>
            </w:r>
          </w:p>
        </w:tc>
        <w:tc>
          <w:tcPr>
            <w:tcW w:w="992" w:type="dxa"/>
            <w:vMerge w:val="restart"/>
            <w:tcBorders>
              <w:top w:val="single" w:sz="12" w:space="0" w:color="808080" w:themeColor="background1" w:themeShade="80"/>
              <w:left w:val="nil"/>
              <w:bottom w:val="single" w:sz="8" w:space="0" w:color="808080"/>
              <w:right w:val="nil"/>
            </w:tcBorders>
            <w:shd w:val="clear" w:color="auto" w:fill="D9D9D9" w:themeFill="background1" w:themeFillShade="D9"/>
            <w:vAlign w:val="center"/>
            <w:hideMark/>
          </w:tcPr>
          <w:p w14:paraId="4FB5A218" w14:textId="77777777" w:rsidR="005C5E02" w:rsidRPr="00ED50FD" w:rsidRDefault="005C5E02" w:rsidP="004B263F">
            <w:pPr>
              <w:spacing w:after="0"/>
              <w:jc w:val="center"/>
              <w:rPr>
                <w:rFonts w:ascii="Arial" w:hAnsi="Arial" w:cs="Arial"/>
                <w:sz w:val="16"/>
                <w:szCs w:val="16"/>
              </w:rPr>
            </w:pPr>
            <w:r w:rsidRPr="00ED50FD">
              <w:rPr>
                <w:rFonts w:ascii="Arial" w:hAnsi="Arial" w:cs="Arial"/>
                <w:sz w:val="16"/>
                <w:szCs w:val="16"/>
              </w:rPr>
              <w:t>0.012*</w:t>
            </w:r>
          </w:p>
        </w:tc>
        <w:tc>
          <w:tcPr>
            <w:tcW w:w="1843" w:type="dxa"/>
            <w:vMerge w:val="restart"/>
            <w:tcBorders>
              <w:top w:val="single" w:sz="12" w:space="0" w:color="808080" w:themeColor="background1" w:themeShade="80"/>
              <w:left w:val="nil"/>
              <w:bottom w:val="single" w:sz="8" w:space="0" w:color="808080"/>
              <w:right w:val="single" w:sz="8" w:space="0" w:color="808080"/>
            </w:tcBorders>
            <w:shd w:val="clear" w:color="auto" w:fill="D9D9D9" w:themeFill="background1" w:themeFillShade="D9"/>
            <w:vAlign w:val="center"/>
            <w:hideMark/>
          </w:tcPr>
          <w:p w14:paraId="061845BE" w14:textId="77777777" w:rsidR="005C5E02" w:rsidRPr="002F4BFE" w:rsidRDefault="005C5E02" w:rsidP="004B263F">
            <w:pPr>
              <w:spacing w:after="0"/>
              <w:jc w:val="center"/>
              <w:rPr>
                <w:rFonts w:ascii="Arial" w:hAnsi="Arial" w:cs="Arial"/>
                <w:b/>
                <w:bCs/>
                <w:sz w:val="20"/>
                <w:szCs w:val="20"/>
              </w:rPr>
            </w:pPr>
            <w:r w:rsidRPr="002F4BFE">
              <w:rPr>
                <w:rFonts w:ascii="Arial" w:hAnsi="Arial" w:cs="Arial"/>
                <w:b/>
                <w:bCs/>
                <w:sz w:val="20"/>
                <w:szCs w:val="20"/>
              </w:rPr>
              <w:t>↑</w:t>
            </w:r>
          </w:p>
        </w:tc>
      </w:tr>
      <w:tr w:rsidR="00ED50FD" w:rsidRPr="002F4BFE" w14:paraId="7C516427" w14:textId="77777777" w:rsidTr="004B263F">
        <w:trPr>
          <w:trHeight w:val="333"/>
        </w:trPr>
        <w:tc>
          <w:tcPr>
            <w:tcW w:w="4544" w:type="dxa"/>
            <w:vMerge/>
            <w:tcBorders>
              <w:left w:val="nil"/>
              <w:bottom w:val="single" w:sz="8" w:space="0" w:color="808080"/>
              <w:right w:val="nil"/>
            </w:tcBorders>
            <w:vAlign w:val="center"/>
            <w:hideMark/>
          </w:tcPr>
          <w:p w14:paraId="4617981A" w14:textId="77777777" w:rsidR="00ED50FD" w:rsidRPr="002F4BFE" w:rsidRDefault="00ED50FD" w:rsidP="004B263F">
            <w:pPr>
              <w:spacing w:after="0"/>
              <w:rPr>
                <w:rFonts w:ascii="Arial" w:hAnsi="Arial" w:cs="Arial"/>
                <w:color w:val="000000"/>
                <w:sz w:val="16"/>
                <w:szCs w:val="16"/>
              </w:rPr>
            </w:pPr>
          </w:p>
        </w:tc>
        <w:tc>
          <w:tcPr>
            <w:tcW w:w="2085" w:type="dxa"/>
            <w:vMerge/>
            <w:tcBorders>
              <w:top w:val="nil"/>
              <w:left w:val="nil"/>
              <w:bottom w:val="single" w:sz="8" w:space="0" w:color="808080"/>
              <w:right w:val="nil"/>
            </w:tcBorders>
            <w:shd w:val="clear" w:color="auto" w:fill="D9D9D9" w:themeFill="background1" w:themeFillShade="D9"/>
            <w:vAlign w:val="center"/>
            <w:hideMark/>
          </w:tcPr>
          <w:p w14:paraId="1232EFF2" w14:textId="77777777" w:rsidR="00ED50FD" w:rsidRPr="002F4BFE" w:rsidRDefault="00ED50FD" w:rsidP="004B263F">
            <w:pPr>
              <w:spacing w:after="0"/>
              <w:rPr>
                <w:rFonts w:ascii="Arial" w:hAnsi="Arial" w:cs="Arial"/>
                <w:color w:val="000000"/>
                <w:sz w:val="16"/>
                <w:szCs w:val="16"/>
              </w:rPr>
            </w:pPr>
          </w:p>
        </w:tc>
        <w:tc>
          <w:tcPr>
            <w:tcW w:w="992" w:type="dxa"/>
            <w:vMerge/>
            <w:tcBorders>
              <w:top w:val="nil"/>
              <w:left w:val="nil"/>
              <w:bottom w:val="single" w:sz="8" w:space="0" w:color="808080"/>
              <w:right w:val="nil"/>
            </w:tcBorders>
            <w:shd w:val="clear" w:color="auto" w:fill="D9D9D9" w:themeFill="background1" w:themeFillShade="D9"/>
            <w:vAlign w:val="center"/>
            <w:hideMark/>
          </w:tcPr>
          <w:p w14:paraId="472BC9DD" w14:textId="77777777" w:rsidR="00ED50FD" w:rsidRPr="002F4BFE" w:rsidRDefault="00ED50FD" w:rsidP="004B263F">
            <w:pPr>
              <w:spacing w:after="0"/>
              <w:rPr>
                <w:rFonts w:ascii="Arial" w:hAnsi="Arial" w:cs="Arial"/>
                <w:color w:val="000000"/>
                <w:sz w:val="16"/>
                <w:szCs w:val="16"/>
              </w:rPr>
            </w:pPr>
          </w:p>
        </w:tc>
        <w:tc>
          <w:tcPr>
            <w:tcW w:w="1843" w:type="dxa"/>
            <w:vMerge/>
            <w:tcBorders>
              <w:top w:val="nil"/>
              <w:left w:val="nil"/>
              <w:bottom w:val="single" w:sz="8" w:space="0" w:color="808080"/>
              <w:right w:val="single" w:sz="8" w:space="0" w:color="808080"/>
            </w:tcBorders>
            <w:shd w:val="clear" w:color="auto" w:fill="D9D9D9" w:themeFill="background1" w:themeFillShade="D9"/>
            <w:vAlign w:val="center"/>
            <w:hideMark/>
          </w:tcPr>
          <w:p w14:paraId="75EC10E7" w14:textId="77777777" w:rsidR="00ED50FD" w:rsidRPr="002F4BFE" w:rsidRDefault="00ED50FD" w:rsidP="004B263F">
            <w:pPr>
              <w:spacing w:after="0"/>
              <w:rPr>
                <w:rFonts w:ascii="Arial" w:hAnsi="Arial" w:cs="Arial"/>
                <w:b/>
                <w:bCs/>
                <w:sz w:val="20"/>
                <w:szCs w:val="20"/>
              </w:rPr>
            </w:pPr>
          </w:p>
        </w:tc>
      </w:tr>
    </w:tbl>
    <w:p w14:paraId="597C1E22" w14:textId="77777777" w:rsidR="00ED50FD" w:rsidRPr="00557374" w:rsidRDefault="00ED50FD" w:rsidP="00ED50FD">
      <w:pPr>
        <w:pStyle w:val="Captions"/>
        <w:spacing w:before="0" w:after="0"/>
        <w:rPr>
          <w:rFonts w:ascii="Arial" w:hAnsi="Arial" w:cs="Arial"/>
          <w:sz w:val="18"/>
          <w:szCs w:val="18"/>
        </w:rPr>
      </w:pPr>
      <w:r w:rsidRPr="00557374">
        <w:rPr>
          <w:rFonts w:ascii="Arial" w:hAnsi="Arial" w:cs="Arial"/>
          <w:sz w:val="18"/>
          <w:szCs w:val="18"/>
        </w:rPr>
        <w:t>* Chi</w:t>
      </w:r>
      <w:r w:rsidRPr="00557374">
        <w:rPr>
          <w:rFonts w:ascii="Arial" w:hAnsi="Arial" w:cs="Arial"/>
          <w:sz w:val="18"/>
          <w:szCs w:val="18"/>
          <w:vertAlign w:val="superscript"/>
        </w:rPr>
        <w:t>2</w:t>
      </w:r>
      <w:r w:rsidRPr="00557374">
        <w:rPr>
          <w:rFonts w:ascii="Arial" w:hAnsi="Arial" w:cs="Arial"/>
          <w:sz w:val="18"/>
          <w:szCs w:val="18"/>
        </w:rPr>
        <w:t xml:space="preserve"> p&lt;0.05</w:t>
      </w:r>
    </w:p>
    <w:p w14:paraId="0622C81A" w14:textId="77777777" w:rsidR="005C5E02" w:rsidRPr="00557374" w:rsidRDefault="005C5E02" w:rsidP="005C5E02">
      <w:pPr>
        <w:pStyle w:val="Captions"/>
        <w:spacing w:before="0" w:after="0"/>
        <w:rPr>
          <w:rFonts w:ascii="Arial" w:hAnsi="Arial" w:cs="Arial"/>
          <w:sz w:val="18"/>
          <w:szCs w:val="18"/>
        </w:rPr>
      </w:pPr>
      <w:r w:rsidRPr="00557374">
        <w:rPr>
          <w:rFonts w:ascii="Arial" w:hAnsi="Arial" w:cs="Arial"/>
          <w:sz w:val="18"/>
          <w:szCs w:val="18"/>
          <w:vertAlign w:val="superscript"/>
        </w:rPr>
        <w:t>†</w:t>
      </w:r>
      <w:r w:rsidRPr="00557374">
        <w:rPr>
          <w:rFonts w:ascii="Arial" w:hAnsi="Arial" w:cs="Arial"/>
          <w:sz w:val="18"/>
          <w:szCs w:val="18"/>
        </w:rPr>
        <w:t xml:space="preserve"> Where surgical prophylaxis was selected as the indication</w:t>
      </w:r>
    </w:p>
    <w:p w14:paraId="7F6353F3" w14:textId="77777777" w:rsidR="005C5E02" w:rsidRPr="00557374" w:rsidRDefault="005C5E02" w:rsidP="005C5E02">
      <w:pPr>
        <w:pStyle w:val="Captions"/>
        <w:spacing w:before="0" w:after="0"/>
        <w:rPr>
          <w:rFonts w:ascii="Arial" w:hAnsi="Arial" w:cs="Arial"/>
          <w:sz w:val="18"/>
          <w:szCs w:val="18"/>
        </w:rPr>
      </w:pPr>
      <w:r w:rsidRPr="00557374">
        <w:rPr>
          <w:rFonts w:ascii="Arial" w:hAnsi="Arial" w:cs="Arial"/>
          <w:color w:val="000000"/>
          <w:sz w:val="18"/>
          <w:szCs w:val="18"/>
          <w:vertAlign w:val="superscript"/>
        </w:rPr>
        <w:t>§</w:t>
      </w:r>
      <w:r w:rsidRPr="00557374">
        <w:rPr>
          <w:rFonts w:ascii="Arial" w:hAnsi="Arial" w:cs="Arial"/>
          <w:sz w:val="18"/>
          <w:szCs w:val="18"/>
        </w:rPr>
        <w:t xml:space="preserve"> Prescriptions for which compliance was assessable. Excludes prescriptions for which guidelines were not available, as well as prescriptions that were ‘directed therapy’ or ‘not assessable’.</w:t>
      </w:r>
    </w:p>
    <w:p w14:paraId="20988E8F" w14:textId="77777777" w:rsidR="005C5E02" w:rsidRPr="00557374" w:rsidRDefault="005C5E02" w:rsidP="005C5E02">
      <w:pPr>
        <w:pStyle w:val="Captions"/>
        <w:spacing w:before="0" w:after="0"/>
        <w:rPr>
          <w:rFonts w:ascii="Arial" w:hAnsi="Arial" w:cs="Arial"/>
          <w:sz w:val="18"/>
          <w:szCs w:val="18"/>
        </w:rPr>
      </w:pPr>
      <w:r w:rsidRPr="00557374">
        <w:rPr>
          <w:rFonts w:ascii="Arial" w:hAnsi="Arial" w:cs="Arial"/>
          <w:sz w:val="18"/>
          <w:szCs w:val="18"/>
          <w:vertAlign w:val="superscript"/>
        </w:rPr>
        <w:t>#</w:t>
      </w:r>
      <w:r w:rsidRPr="00557374">
        <w:rPr>
          <w:rFonts w:ascii="Arial" w:hAnsi="Arial" w:cs="Arial"/>
          <w:sz w:val="18"/>
          <w:szCs w:val="18"/>
        </w:rPr>
        <w:t xml:space="preserve"> Prescriptions for which appropriateness was assessable. Excludes prescriptions deemed to be ‘not assessable’.</w:t>
      </w:r>
    </w:p>
    <w:p w14:paraId="1526A208" w14:textId="77777777" w:rsidR="005C5E02" w:rsidRPr="002F4BFE" w:rsidRDefault="005C5E02" w:rsidP="00ED50FD">
      <w:pPr>
        <w:pStyle w:val="Captions"/>
        <w:spacing w:before="0" w:after="0"/>
        <w:rPr>
          <w:rFonts w:ascii="Arial" w:hAnsi="Arial" w:cs="Arial"/>
        </w:rPr>
      </w:pPr>
    </w:p>
    <w:p w14:paraId="05E9E46B" w14:textId="77777777" w:rsidR="00C36529" w:rsidRDefault="00BA2271" w:rsidP="00BA2271">
      <w:r>
        <w:t>A similar analysis was also undertaken for hospitals that participated in both the 2016 and 2017 Hospital NAPS</w:t>
      </w:r>
      <w:r w:rsidR="00B222FA">
        <w:t xml:space="preserve"> (n = 257)</w:t>
      </w:r>
      <w:r>
        <w:t xml:space="preserve">, to determine if improvements were demonstrated in </w:t>
      </w:r>
      <w:r w:rsidR="00CD3078">
        <w:t xml:space="preserve">association with </w:t>
      </w:r>
      <w:r w:rsidR="000B65B3">
        <w:t xml:space="preserve">consistent </w:t>
      </w:r>
      <w:r>
        <w:t>year</w:t>
      </w:r>
      <w:r w:rsidR="000B65B3">
        <w:t>s</w:t>
      </w:r>
      <w:r>
        <w:t xml:space="preserve"> of participation</w:t>
      </w:r>
      <w:r w:rsidR="00304FEC">
        <w:t xml:space="preserve"> (Tables 1</w:t>
      </w:r>
      <w:r w:rsidR="00603A69">
        <w:t>0</w:t>
      </w:r>
      <w:r w:rsidR="00304FEC">
        <w:t xml:space="preserve"> and 1</w:t>
      </w:r>
      <w:r w:rsidR="00603A69">
        <w:t>1</w:t>
      </w:r>
      <w:r w:rsidR="00304FEC">
        <w:t>)</w:t>
      </w:r>
      <w:r>
        <w:t xml:space="preserve">. </w:t>
      </w:r>
      <w:r w:rsidR="00E83FB4">
        <w:t xml:space="preserve">It is important to consider these findings in the </w:t>
      </w:r>
      <w:r w:rsidR="00E83FB4">
        <w:lastRenderedPageBreak/>
        <w:t xml:space="preserve">broader context of the development of AMS initiatives such as the NSQHS Standards and </w:t>
      </w:r>
      <w:r w:rsidR="00ED50FD">
        <w:t>state and territory</w:t>
      </w:r>
      <w:r w:rsidR="00E83FB4">
        <w:t xml:space="preserve"> quality improvement strategies. </w:t>
      </w:r>
    </w:p>
    <w:p w14:paraId="56D93C3F" w14:textId="78EC7F2F" w:rsidR="00BA2271" w:rsidRDefault="00BA2271" w:rsidP="00BA2271">
      <w:r>
        <w:t xml:space="preserve">Significant improvements were reported for </w:t>
      </w:r>
      <w:r w:rsidR="00793B2B">
        <w:t xml:space="preserve">documentation of </w:t>
      </w:r>
      <w:r>
        <w:t>indication (2.27%) and documentation of a stop or review date (2.53%)</w:t>
      </w:r>
      <w:r w:rsidR="005C5E02">
        <w:t xml:space="preserve"> (Table 11)</w:t>
      </w:r>
      <w:r>
        <w:t xml:space="preserve">. </w:t>
      </w:r>
      <w:r w:rsidR="00CD3078">
        <w:t>An i</w:t>
      </w:r>
      <w:r>
        <w:t>mprovement</w:t>
      </w:r>
      <w:r w:rsidR="00CD3078">
        <w:t xml:space="preserve"> was reported </w:t>
      </w:r>
      <w:r>
        <w:t>in the number of prescriptions with guidelines available</w:t>
      </w:r>
      <w:r w:rsidR="00C87311">
        <w:t xml:space="preserve"> </w:t>
      </w:r>
      <w:r w:rsidR="00793B2B">
        <w:t>in 2017 compared with 2016</w:t>
      </w:r>
      <w:r>
        <w:t xml:space="preserve">, </w:t>
      </w:r>
      <w:r w:rsidR="00C87311">
        <w:t xml:space="preserve">and fewer </w:t>
      </w:r>
      <w:r w:rsidR="00E9579B">
        <w:t xml:space="preserve">prescriptions </w:t>
      </w:r>
      <w:r w:rsidR="00C87311">
        <w:t>we</w:t>
      </w:r>
      <w:r w:rsidR="00304FEC">
        <w:t>re considered not assessable</w:t>
      </w:r>
      <w:r>
        <w:t xml:space="preserve">. The number of prescriptions that were considered </w:t>
      </w:r>
      <w:r w:rsidR="00CD3078">
        <w:t xml:space="preserve">compliant with </w:t>
      </w:r>
      <w:r>
        <w:t>guideline</w:t>
      </w:r>
      <w:r w:rsidR="00CD3078">
        <w:t>s</w:t>
      </w:r>
      <w:r>
        <w:t xml:space="preserve"> increased by 1.33%</w:t>
      </w:r>
      <w:r w:rsidR="005C5E02">
        <w:t xml:space="preserve"> (Table 11)</w:t>
      </w:r>
      <w:r>
        <w:t>, a</w:t>
      </w:r>
      <w:r w:rsidR="00C87311">
        <w:t>nd the</w:t>
      </w:r>
      <w:r w:rsidR="00304FEC">
        <w:t>re was a 0.6</w:t>
      </w:r>
      <w:r>
        <w:t>9% increase in appropriateness</w:t>
      </w:r>
      <w:r w:rsidR="00793B2B">
        <w:t xml:space="preserve"> from 2016 to 2017</w:t>
      </w:r>
      <w:r w:rsidR="005C5E02">
        <w:t xml:space="preserve"> (Table 10)</w:t>
      </w:r>
      <w:r>
        <w:t>.</w:t>
      </w:r>
      <w:r w:rsidR="000B65B3">
        <w:t xml:space="preserve"> Th</w:t>
      </w:r>
      <w:r w:rsidR="00CD3078">
        <w:t>e</w:t>
      </w:r>
      <w:r w:rsidR="000B65B3">
        <w:t>s</w:t>
      </w:r>
      <w:r w:rsidR="00CD3078">
        <w:t>e findings</w:t>
      </w:r>
      <w:r w:rsidR="000B65B3">
        <w:t xml:space="preserve"> </w:t>
      </w:r>
      <w:r w:rsidR="00E83FB4">
        <w:t>may indicate</w:t>
      </w:r>
      <w:r w:rsidR="000B65B3">
        <w:t xml:space="preserve"> the benefits of </w:t>
      </w:r>
      <w:r w:rsidR="00ED50FD">
        <w:t>enabling audit and feedback processes over time</w:t>
      </w:r>
      <w:r w:rsidR="000B65B3">
        <w:t>.</w:t>
      </w:r>
      <w:r w:rsidR="00E83FB4">
        <w:t xml:space="preserve"> </w:t>
      </w:r>
      <w:r w:rsidR="000B65B3">
        <w:t xml:space="preserve"> </w:t>
      </w:r>
    </w:p>
    <w:p w14:paraId="3DCA3DE9" w14:textId="59FFEAC2" w:rsidR="00E52B89" w:rsidRPr="00340CA0" w:rsidRDefault="00E52B89" w:rsidP="00E52B89">
      <w:pPr>
        <w:pStyle w:val="FigureTitle"/>
      </w:pPr>
      <w:r>
        <w:t>Table 1</w:t>
      </w:r>
      <w:r w:rsidR="00A96EC6">
        <w:t>0</w:t>
      </w:r>
      <w:r w:rsidR="00557374">
        <w:t xml:space="preserve">: </w:t>
      </w:r>
      <w:r w:rsidR="00FE3043">
        <w:t xml:space="preserve">Percentage change in compliance with guidelines and prescription appropriateness for facilities that participated in both the </w:t>
      </w:r>
      <w:r w:rsidR="00304FEC">
        <w:t>2016</w:t>
      </w:r>
      <w:r w:rsidR="00FE3043">
        <w:t xml:space="preserve"> and </w:t>
      </w:r>
      <w:r w:rsidRPr="00340CA0">
        <w:t>201</w:t>
      </w:r>
      <w:r>
        <w:t xml:space="preserve">7 </w:t>
      </w:r>
      <w:r w:rsidR="00FE3043">
        <w:t>Hospital NAPS</w:t>
      </w:r>
    </w:p>
    <w:tbl>
      <w:tblPr>
        <w:tblW w:w="9464" w:type="dxa"/>
        <w:tblLayout w:type="fixed"/>
        <w:tblLook w:val="04A0" w:firstRow="1" w:lastRow="0" w:firstColumn="1" w:lastColumn="0" w:noHBand="0" w:noVBand="1"/>
      </w:tblPr>
      <w:tblGrid>
        <w:gridCol w:w="1563"/>
        <w:gridCol w:w="2981"/>
        <w:gridCol w:w="1695"/>
        <w:gridCol w:w="1240"/>
        <w:gridCol w:w="1985"/>
      </w:tblGrid>
      <w:tr w:rsidR="00ED50FD" w:rsidRPr="002F4BFE" w14:paraId="2F92CB66" w14:textId="77777777" w:rsidTr="004B263F">
        <w:trPr>
          <w:trHeight w:val="437"/>
        </w:trPr>
        <w:tc>
          <w:tcPr>
            <w:tcW w:w="4544" w:type="dxa"/>
            <w:gridSpan w:val="2"/>
            <w:vMerge w:val="restart"/>
            <w:tcBorders>
              <w:top w:val="single" w:sz="12" w:space="0" w:color="808080"/>
              <w:left w:val="nil"/>
              <w:bottom w:val="single" w:sz="8" w:space="0" w:color="FFFFFF"/>
              <w:right w:val="nil"/>
            </w:tcBorders>
            <w:shd w:val="clear" w:color="000000" w:fill="808080"/>
            <w:vAlign w:val="center"/>
            <w:hideMark/>
          </w:tcPr>
          <w:p w14:paraId="690E72E4" w14:textId="77777777" w:rsidR="00ED50FD" w:rsidRPr="002F4BFE" w:rsidRDefault="00ED50FD" w:rsidP="004B263F">
            <w:pPr>
              <w:spacing w:after="0"/>
              <w:rPr>
                <w:rFonts w:ascii="Arial" w:hAnsi="Arial" w:cs="Arial"/>
                <w:b/>
                <w:bCs/>
                <w:color w:val="FFFFFF"/>
                <w:sz w:val="20"/>
                <w:szCs w:val="20"/>
              </w:rPr>
            </w:pPr>
            <w:r w:rsidRPr="002F4BFE">
              <w:rPr>
                <w:rFonts w:ascii="Arial" w:hAnsi="Arial" w:cs="Arial"/>
                <w:b/>
                <w:bCs/>
                <w:color w:val="FFFFFF"/>
                <w:sz w:val="20"/>
                <w:szCs w:val="20"/>
              </w:rPr>
              <w:t>Key indicator</w:t>
            </w:r>
          </w:p>
        </w:tc>
        <w:tc>
          <w:tcPr>
            <w:tcW w:w="4920" w:type="dxa"/>
            <w:gridSpan w:val="3"/>
            <w:tcBorders>
              <w:top w:val="nil"/>
              <w:left w:val="nil"/>
              <w:bottom w:val="nil"/>
              <w:right w:val="nil"/>
            </w:tcBorders>
            <w:shd w:val="clear" w:color="000000" w:fill="808080"/>
            <w:vAlign w:val="center"/>
            <w:hideMark/>
          </w:tcPr>
          <w:p w14:paraId="6A5A91A8" w14:textId="77777777" w:rsidR="00ED50FD" w:rsidRPr="002F4BFE" w:rsidRDefault="00ED50FD" w:rsidP="004B263F">
            <w:pPr>
              <w:spacing w:after="0"/>
              <w:jc w:val="center"/>
              <w:rPr>
                <w:rFonts w:ascii="Arial" w:hAnsi="Arial" w:cs="Arial"/>
                <w:b/>
                <w:bCs/>
                <w:color w:val="FFFFFF"/>
                <w:sz w:val="18"/>
                <w:szCs w:val="18"/>
              </w:rPr>
            </w:pPr>
            <w:r w:rsidRPr="002F4BFE">
              <w:rPr>
                <w:rFonts w:ascii="Arial" w:hAnsi="Arial" w:cs="Arial"/>
                <w:b/>
                <w:bCs/>
                <w:color w:val="FFFFFF"/>
                <w:sz w:val="18"/>
                <w:szCs w:val="18"/>
              </w:rPr>
              <w:t>Percentage change between 2016 and 2017 participation</w:t>
            </w:r>
          </w:p>
        </w:tc>
      </w:tr>
      <w:tr w:rsidR="00ED50FD" w:rsidRPr="002F4BFE" w14:paraId="219A7986" w14:textId="77777777" w:rsidTr="004B263F">
        <w:trPr>
          <w:trHeight w:val="437"/>
        </w:trPr>
        <w:tc>
          <w:tcPr>
            <w:tcW w:w="4544" w:type="dxa"/>
            <w:gridSpan w:val="2"/>
            <w:vMerge/>
            <w:tcBorders>
              <w:top w:val="single" w:sz="12" w:space="0" w:color="808080"/>
              <w:left w:val="nil"/>
              <w:bottom w:val="single" w:sz="8" w:space="0" w:color="FFFFFF"/>
              <w:right w:val="nil"/>
            </w:tcBorders>
            <w:vAlign w:val="center"/>
            <w:hideMark/>
          </w:tcPr>
          <w:p w14:paraId="2D91DB14" w14:textId="77777777" w:rsidR="00ED50FD" w:rsidRPr="002F4BFE" w:rsidRDefault="00ED50FD" w:rsidP="004B263F">
            <w:pPr>
              <w:spacing w:after="0"/>
              <w:rPr>
                <w:rFonts w:ascii="Arial" w:hAnsi="Arial" w:cs="Arial"/>
                <w:b/>
                <w:bCs/>
                <w:color w:val="FFFFFF"/>
                <w:sz w:val="20"/>
                <w:szCs w:val="20"/>
              </w:rPr>
            </w:pPr>
          </w:p>
        </w:tc>
        <w:tc>
          <w:tcPr>
            <w:tcW w:w="1695" w:type="dxa"/>
            <w:tcBorders>
              <w:top w:val="nil"/>
              <w:left w:val="nil"/>
              <w:bottom w:val="single" w:sz="8" w:space="0" w:color="808080"/>
              <w:right w:val="nil"/>
            </w:tcBorders>
            <w:shd w:val="clear" w:color="000000" w:fill="808080"/>
            <w:vAlign w:val="center"/>
            <w:hideMark/>
          </w:tcPr>
          <w:p w14:paraId="4F8E4BA2" w14:textId="77777777" w:rsidR="00ED50FD" w:rsidRPr="002F4BFE" w:rsidRDefault="00ED50FD" w:rsidP="004B263F">
            <w:pPr>
              <w:spacing w:after="0"/>
              <w:jc w:val="center"/>
              <w:rPr>
                <w:rFonts w:ascii="Arial" w:hAnsi="Arial" w:cs="Arial"/>
                <w:color w:val="FFFFFF"/>
                <w:sz w:val="18"/>
                <w:szCs w:val="18"/>
              </w:rPr>
            </w:pPr>
            <w:r w:rsidRPr="002F4BFE">
              <w:rPr>
                <w:rFonts w:ascii="Arial" w:hAnsi="Arial" w:cs="Arial"/>
                <w:color w:val="FFFFFF"/>
                <w:sz w:val="18"/>
                <w:szCs w:val="18"/>
              </w:rPr>
              <w:t>Estimated change  (95%CI)</w:t>
            </w:r>
          </w:p>
        </w:tc>
        <w:tc>
          <w:tcPr>
            <w:tcW w:w="1240" w:type="dxa"/>
            <w:tcBorders>
              <w:top w:val="nil"/>
              <w:left w:val="nil"/>
              <w:bottom w:val="single" w:sz="8" w:space="0" w:color="808080"/>
              <w:right w:val="nil"/>
            </w:tcBorders>
            <w:shd w:val="clear" w:color="000000" w:fill="808080"/>
            <w:vAlign w:val="center"/>
            <w:hideMark/>
          </w:tcPr>
          <w:p w14:paraId="20F856A0" w14:textId="77777777" w:rsidR="00ED50FD" w:rsidRPr="002F4BFE" w:rsidRDefault="00ED50FD" w:rsidP="004B263F">
            <w:pPr>
              <w:spacing w:after="0"/>
              <w:jc w:val="center"/>
              <w:rPr>
                <w:rFonts w:ascii="Arial" w:hAnsi="Arial" w:cs="Arial"/>
                <w:color w:val="FFFFFF"/>
                <w:sz w:val="18"/>
                <w:szCs w:val="18"/>
              </w:rPr>
            </w:pPr>
            <w:r w:rsidRPr="00ED50FD">
              <w:rPr>
                <w:rFonts w:ascii="Arial" w:hAnsi="Arial" w:cs="Arial"/>
                <w:color w:val="FFFFFF" w:themeColor="background1"/>
                <w:sz w:val="18"/>
                <w:szCs w:val="18"/>
              </w:rPr>
              <w:t>p value</w:t>
            </w:r>
          </w:p>
        </w:tc>
        <w:tc>
          <w:tcPr>
            <w:tcW w:w="1985" w:type="dxa"/>
            <w:tcBorders>
              <w:top w:val="nil"/>
              <w:left w:val="nil"/>
              <w:bottom w:val="single" w:sz="8" w:space="0" w:color="808080"/>
              <w:right w:val="nil"/>
            </w:tcBorders>
            <w:shd w:val="clear" w:color="000000" w:fill="808080"/>
            <w:vAlign w:val="center"/>
            <w:hideMark/>
          </w:tcPr>
          <w:p w14:paraId="72200A9E" w14:textId="77777777" w:rsidR="00ED50FD" w:rsidRPr="002F4BFE" w:rsidRDefault="00ED50FD" w:rsidP="004B263F">
            <w:pPr>
              <w:spacing w:after="0"/>
              <w:jc w:val="center"/>
              <w:rPr>
                <w:rFonts w:ascii="Arial" w:hAnsi="Arial" w:cs="Arial"/>
                <w:color w:val="FFFFFF"/>
                <w:sz w:val="18"/>
                <w:szCs w:val="18"/>
              </w:rPr>
            </w:pPr>
            <w:r w:rsidRPr="002F4BFE">
              <w:rPr>
                <w:rFonts w:ascii="Arial" w:hAnsi="Arial" w:cs="Arial"/>
                <w:color w:val="FFFFFF"/>
                <w:sz w:val="18"/>
                <w:szCs w:val="18"/>
              </w:rPr>
              <w:t xml:space="preserve">Direction </w:t>
            </w:r>
          </w:p>
          <w:p w14:paraId="52444F13" w14:textId="77777777" w:rsidR="00ED50FD" w:rsidRPr="002F4BFE" w:rsidRDefault="00ED50FD" w:rsidP="004B263F">
            <w:pPr>
              <w:spacing w:after="0"/>
              <w:jc w:val="center"/>
              <w:rPr>
                <w:rFonts w:ascii="Arial" w:hAnsi="Arial" w:cs="Arial"/>
                <w:color w:val="FFFFFF"/>
                <w:sz w:val="18"/>
                <w:szCs w:val="18"/>
              </w:rPr>
            </w:pPr>
            <w:r w:rsidRPr="002F4BFE">
              <w:rPr>
                <w:rFonts w:ascii="Arial" w:hAnsi="Arial" w:cs="Arial"/>
                <w:color w:val="FFFFFF"/>
                <w:sz w:val="18"/>
                <w:szCs w:val="18"/>
              </w:rPr>
              <w:t>of change</w:t>
            </w:r>
          </w:p>
        </w:tc>
      </w:tr>
      <w:tr w:rsidR="00ED50FD" w:rsidRPr="002F4BFE" w14:paraId="17AD8094" w14:textId="77777777" w:rsidTr="004B263F">
        <w:trPr>
          <w:trHeight w:val="333"/>
        </w:trPr>
        <w:tc>
          <w:tcPr>
            <w:tcW w:w="1563" w:type="dxa"/>
            <w:vMerge w:val="restart"/>
            <w:tcBorders>
              <w:top w:val="single" w:sz="8" w:space="0" w:color="FFFFFF"/>
              <w:left w:val="nil"/>
              <w:bottom w:val="single" w:sz="8" w:space="0" w:color="FFFFFF"/>
              <w:right w:val="nil"/>
            </w:tcBorders>
            <w:shd w:val="clear" w:color="000000" w:fill="808080"/>
            <w:vAlign w:val="center"/>
            <w:hideMark/>
          </w:tcPr>
          <w:p w14:paraId="3E34D98E" w14:textId="77777777" w:rsidR="00ED50FD" w:rsidRPr="002F4BFE" w:rsidRDefault="00ED50FD" w:rsidP="004B263F">
            <w:pPr>
              <w:spacing w:after="0"/>
              <w:rPr>
                <w:rFonts w:ascii="Arial" w:hAnsi="Arial" w:cs="Arial"/>
                <w:color w:val="FFFFFF"/>
                <w:sz w:val="18"/>
                <w:szCs w:val="18"/>
              </w:rPr>
            </w:pPr>
            <w:r w:rsidRPr="002F4BFE">
              <w:rPr>
                <w:rFonts w:ascii="Arial" w:hAnsi="Arial" w:cs="Arial"/>
                <w:color w:val="FFFFFF"/>
                <w:sz w:val="18"/>
                <w:szCs w:val="18"/>
              </w:rPr>
              <w:t>Compliance with guidelines</w:t>
            </w:r>
          </w:p>
        </w:tc>
        <w:tc>
          <w:tcPr>
            <w:tcW w:w="2981" w:type="dxa"/>
            <w:vMerge w:val="restart"/>
            <w:tcBorders>
              <w:top w:val="single" w:sz="12" w:space="0" w:color="808080"/>
              <w:left w:val="nil"/>
              <w:bottom w:val="single" w:sz="8" w:space="0" w:color="808080"/>
              <w:right w:val="nil"/>
            </w:tcBorders>
            <w:shd w:val="clear" w:color="auto" w:fill="auto"/>
            <w:vAlign w:val="center"/>
            <w:hideMark/>
          </w:tcPr>
          <w:p w14:paraId="0C8AE831" w14:textId="77777777" w:rsidR="00ED50FD" w:rsidRPr="002F4BFE" w:rsidRDefault="00ED50FD" w:rsidP="004B263F">
            <w:pPr>
              <w:spacing w:after="0"/>
              <w:rPr>
                <w:rFonts w:ascii="Arial" w:hAnsi="Arial" w:cs="Arial"/>
                <w:color w:val="000000"/>
                <w:sz w:val="16"/>
                <w:szCs w:val="16"/>
              </w:rPr>
            </w:pPr>
            <w:r w:rsidRPr="002F4BFE">
              <w:rPr>
                <w:rFonts w:ascii="Arial" w:hAnsi="Arial" w:cs="Arial"/>
                <w:color w:val="000000"/>
                <w:sz w:val="16"/>
                <w:szCs w:val="16"/>
              </w:rPr>
              <w:t xml:space="preserve">Compliant with </w:t>
            </w:r>
            <w:r w:rsidRPr="002F4BFE">
              <w:rPr>
                <w:rFonts w:ascii="Arial" w:hAnsi="Arial" w:cs="Arial"/>
                <w:i/>
                <w:iCs/>
                <w:color w:val="000000"/>
                <w:sz w:val="16"/>
                <w:szCs w:val="16"/>
              </w:rPr>
              <w:t>Therapeutic Guidelines</w:t>
            </w:r>
            <w:r w:rsidRPr="002F4BFE">
              <w:rPr>
                <w:rFonts w:ascii="Arial" w:hAnsi="Arial" w:cs="Arial"/>
                <w:color w:val="000000"/>
                <w:sz w:val="16"/>
                <w:szCs w:val="16"/>
              </w:rPr>
              <w:t xml:space="preserve"> or local guidelines</w:t>
            </w:r>
          </w:p>
        </w:tc>
        <w:tc>
          <w:tcPr>
            <w:tcW w:w="1695" w:type="dxa"/>
            <w:vMerge w:val="restart"/>
            <w:tcBorders>
              <w:top w:val="nil"/>
              <w:left w:val="nil"/>
              <w:bottom w:val="single" w:sz="8" w:space="0" w:color="808080"/>
              <w:right w:val="nil"/>
            </w:tcBorders>
            <w:shd w:val="clear" w:color="auto" w:fill="auto"/>
            <w:vAlign w:val="center"/>
            <w:hideMark/>
          </w:tcPr>
          <w:p w14:paraId="47FA5DD7" w14:textId="77777777" w:rsidR="00ED50FD" w:rsidRPr="002F4BFE" w:rsidRDefault="00ED50FD" w:rsidP="004B263F">
            <w:pPr>
              <w:spacing w:after="0"/>
              <w:jc w:val="right"/>
              <w:rPr>
                <w:rFonts w:ascii="Arial" w:hAnsi="Arial" w:cs="Arial"/>
                <w:color w:val="000000"/>
                <w:sz w:val="16"/>
                <w:szCs w:val="16"/>
              </w:rPr>
            </w:pPr>
            <w:r w:rsidRPr="002F4BFE">
              <w:rPr>
                <w:rFonts w:ascii="Arial" w:hAnsi="Arial" w:cs="Arial"/>
                <w:color w:val="000000"/>
                <w:sz w:val="16"/>
                <w:szCs w:val="16"/>
              </w:rPr>
              <w:t>1.87 (1.01, 2.74)</w:t>
            </w:r>
          </w:p>
        </w:tc>
        <w:tc>
          <w:tcPr>
            <w:tcW w:w="1240" w:type="dxa"/>
            <w:vMerge w:val="restart"/>
            <w:tcBorders>
              <w:top w:val="nil"/>
              <w:left w:val="nil"/>
              <w:bottom w:val="single" w:sz="8" w:space="0" w:color="808080"/>
              <w:right w:val="nil"/>
            </w:tcBorders>
            <w:shd w:val="clear" w:color="auto" w:fill="auto"/>
            <w:vAlign w:val="center"/>
            <w:hideMark/>
          </w:tcPr>
          <w:p w14:paraId="6AEEEA3A" w14:textId="77777777" w:rsidR="00ED50FD" w:rsidRPr="00ED50FD" w:rsidRDefault="00ED50FD" w:rsidP="004B263F">
            <w:pPr>
              <w:spacing w:after="0"/>
              <w:jc w:val="center"/>
              <w:rPr>
                <w:rFonts w:ascii="Arial" w:hAnsi="Arial" w:cs="Arial"/>
                <w:sz w:val="16"/>
                <w:szCs w:val="16"/>
              </w:rPr>
            </w:pPr>
            <w:r w:rsidRPr="00ED50FD">
              <w:rPr>
                <w:rFonts w:ascii="Arial" w:hAnsi="Arial" w:cs="Arial"/>
                <w:sz w:val="16"/>
                <w:szCs w:val="16"/>
              </w:rPr>
              <w:t>&lt;0.001*</w:t>
            </w:r>
          </w:p>
        </w:tc>
        <w:tc>
          <w:tcPr>
            <w:tcW w:w="1985" w:type="dxa"/>
            <w:vMerge w:val="restart"/>
            <w:tcBorders>
              <w:top w:val="nil"/>
              <w:left w:val="nil"/>
              <w:bottom w:val="single" w:sz="8" w:space="0" w:color="808080"/>
              <w:right w:val="nil"/>
            </w:tcBorders>
            <w:shd w:val="clear" w:color="auto" w:fill="auto"/>
            <w:vAlign w:val="center"/>
            <w:hideMark/>
          </w:tcPr>
          <w:p w14:paraId="6A9CAD33" w14:textId="77777777" w:rsidR="00ED50FD" w:rsidRPr="002F4BFE" w:rsidRDefault="00ED50FD" w:rsidP="004B263F">
            <w:pPr>
              <w:spacing w:after="0"/>
              <w:jc w:val="center"/>
              <w:rPr>
                <w:rFonts w:ascii="Arial" w:hAnsi="Arial" w:cs="Arial"/>
                <w:bCs/>
                <w:sz w:val="20"/>
                <w:szCs w:val="20"/>
              </w:rPr>
            </w:pPr>
            <w:r w:rsidRPr="002F4BFE">
              <w:rPr>
                <w:rFonts w:ascii="Arial" w:hAnsi="Arial" w:cs="Arial"/>
                <w:bCs/>
                <w:sz w:val="20"/>
                <w:szCs w:val="20"/>
              </w:rPr>
              <w:t>↑</w:t>
            </w:r>
          </w:p>
        </w:tc>
      </w:tr>
      <w:tr w:rsidR="00ED50FD" w:rsidRPr="002F4BFE" w14:paraId="10741595" w14:textId="77777777" w:rsidTr="004B263F">
        <w:trPr>
          <w:trHeight w:val="333"/>
        </w:trPr>
        <w:tc>
          <w:tcPr>
            <w:tcW w:w="1563" w:type="dxa"/>
            <w:vMerge/>
            <w:tcBorders>
              <w:top w:val="single" w:sz="8" w:space="0" w:color="FFFFFF"/>
              <w:left w:val="nil"/>
              <w:bottom w:val="single" w:sz="8" w:space="0" w:color="FFFFFF"/>
              <w:right w:val="nil"/>
            </w:tcBorders>
            <w:vAlign w:val="center"/>
            <w:hideMark/>
          </w:tcPr>
          <w:p w14:paraId="762A7BB0" w14:textId="77777777" w:rsidR="00ED50FD" w:rsidRPr="002F4BFE" w:rsidRDefault="00ED50FD" w:rsidP="004B263F">
            <w:pPr>
              <w:spacing w:after="0"/>
              <w:rPr>
                <w:rFonts w:ascii="Arial" w:hAnsi="Arial" w:cs="Arial"/>
                <w:color w:val="FFFFFF"/>
                <w:sz w:val="18"/>
                <w:szCs w:val="18"/>
              </w:rPr>
            </w:pPr>
          </w:p>
        </w:tc>
        <w:tc>
          <w:tcPr>
            <w:tcW w:w="2981" w:type="dxa"/>
            <w:vMerge/>
            <w:tcBorders>
              <w:top w:val="single" w:sz="12" w:space="0" w:color="808080"/>
              <w:left w:val="nil"/>
              <w:bottom w:val="single" w:sz="8" w:space="0" w:color="808080"/>
              <w:right w:val="nil"/>
            </w:tcBorders>
            <w:shd w:val="clear" w:color="auto" w:fill="auto"/>
            <w:vAlign w:val="center"/>
            <w:hideMark/>
          </w:tcPr>
          <w:p w14:paraId="56D80B8B" w14:textId="77777777" w:rsidR="00ED50FD" w:rsidRPr="002F4BFE" w:rsidRDefault="00ED50FD" w:rsidP="004B263F">
            <w:pPr>
              <w:spacing w:after="0"/>
              <w:rPr>
                <w:rFonts w:ascii="Arial" w:hAnsi="Arial" w:cs="Arial"/>
                <w:color w:val="000000"/>
                <w:sz w:val="16"/>
                <w:szCs w:val="16"/>
              </w:rPr>
            </w:pPr>
          </w:p>
        </w:tc>
        <w:tc>
          <w:tcPr>
            <w:tcW w:w="1695" w:type="dxa"/>
            <w:vMerge/>
            <w:tcBorders>
              <w:top w:val="nil"/>
              <w:left w:val="nil"/>
              <w:bottom w:val="single" w:sz="8" w:space="0" w:color="808080"/>
              <w:right w:val="nil"/>
            </w:tcBorders>
            <w:shd w:val="clear" w:color="auto" w:fill="auto"/>
            <w:vAlign w:val="center"/>
            <w:hideMark/>
          </w:tcPr>
          <w:p w14:paraId="393FB009" w14:textId="77777777" w:rsidR="00ED50FD" w:rsidRPr="002F4BFE" w:rsidRDefault="00ED50FD" w:rsidP="004B263F">
            <w:pPr>
              <w:spacing w:after="0"/>
              <w:rPr>
                <w:rFonts w:ascii="Arial" w:hAnsi="Arial" w:cs="Arial"/>
                <w:color w:val="000000"/>
                <w:sz w:val="16"/>
                <w:szCs w:val="16"/>
              </w:rPr>
            </w:pPr>
          </w:p>
        </w:tc>
        <w:tc>
          <w:tcPr>
            <w:tcW w:w="1240" w:type="dxa"/>
            <w:vMerge/>
            <w:tcBorders>
              <w:top w:val="nil"/>
              <w:left w:val="nil"/>
              <w:bottom w:val="single" w:sz="8" w:space="0" w:color="808080"/>
              <w:right w:val="nil"/>
            </w:tcBorders>
            <w:shd w:val="clear" w:color="auto" w:fill="auto"/>
            <w:vAlign w:val="center"/>
            <w:hideMark/>
          </w:tcPr>
          <w:p w14:paraId="5B510942" w14:textId="77777777" w:rsidR="00ED50FD" w:rsidRPr="00ED50FD" w:rsidRDefault="00ED50FD" w:rsidP="004B263F">
            <w:pPr>
              <w:spacing w:after="0"/>
              <w:rPr>
                <w:rFonts w:ascii="Arial" w:hAnsi="Arial" w:cs="Arial"/>
                <w:sz w:val="16"/>
                <w:szCs w:val="16"/>
              </w:rPr>
            </w:pPr>
          </w:p>
        </w:tc>
        <w:tc>
          <w:tcPr>
            <w:tcW w:w="1985" w:type="dxa"/>
            <w:vMerge/>
            <w:tcBorders>
              <w:top w:val="nil"/>
              <w:left w:val="nil"/>
              <w:bottom w:val="single" w:sz="8" w:space="0" w:color="808080"/>
              <w:right w:val="nil"/>
            </w:tcBorders>
            <w:shd w:val="clear" w:color="auto" w:fill="auto"/>
            <w:vAlign w:val="center"/>
            <w:hideMark/>
          </w:tcPr>
          <w:p w14:paraId="4EDD0776" w14:textId="77777777" w:rsidR="00ED50FD" w:rsidRPr="002F4BFE" w:rsidRDefault="00ED50FD" w:rsidP="004B263F">
            <w:pPr>
              <w:spacing w:after="0"/>
              <w:rPr>
                <w:rFonts w:ascii="Arial" w:hAnsi="Arial" w:cs="Arial"/>
                <w:bCs/>
                <w:sz w:val="20"/>
                <w:szCs w:val="20"/>
              </w:rPr>
            </w:pPr>
          </w:p>
        </w:tc>
      </w:tr>
      <w:tr w:rsidR="00ED50FD" w:rsidRPr="002F4BFE" w14:paraId="038232AD" w14:textId="77777777" w:rsidTr="004B263F">
        <w:trPr>
          <w:trHeight w:val="333"/>
        </w:trPr>
        <w:tc>
          <w:tcPr>
            <w:tcW w:w="1563" w:type="dxa"/>
            <w:vMerge/>
            <w:tcBorders>
              <w:top w:val="single" w:sz="8" w:space="0" w:color="FFFFFF"/>
              <w:left w:val="nil"/>
              <w:bottom w:val="single" w:sz="8" w:space="0" w:color="FFFFFF"/>
              <w:right w:val="nil"/>
            </w:tcBorders>
            <w:vAlign w:val="center"/>
            <w:hideMark/>
          </w:tcPr>
          <w:p w14:paraId="506CB531" w14:textId="77777777" w:rsidR="00ED50FD" w:rsidRPr="002F4BFE" w:rsidRDefault="00ED50FD" w:rsidP="004B263F">
            <w:pPr>
              <w:spacing w:after="0"/>
              <w:rPr>
                <w:rFonts w:ascii="Arial" w:hAnsi="Arial" w:cs="Arial"/>
                <w:color w:val="FFFFFF"/>
                <w:sz w:val="18"/>
                <w:szCs w:val="18"/>
              </w:rPr>
            </w:pPr>
          </w:p>
        </w:tc>
        <w:tc>
          <w:tcPr>
            <w:tcW w:w="2981" w:type="dxa"/>
            <w:vMerge w:val="restart"/>
            <w:tcBorders>
              <w:top w:val="nil"/>
              <w:left w:val="nil"/>
              <w:bottom w:val="single" w:sz="8" w:space="0" w:color="808080"/>
              <w:right w:val="nil"/>
            </w:tcBorders>
            <w:shd w:val="clear" w:color="auto" w:fill="auto"/>
            <w:vAlign w:val="center"/>
            <w:hideMark/>
          </w:tcPr>
          <w:p w14:paraId="756FFE40" w14:textId="77777777" w:rsidR="00ED50FD" w:rsidRPr="002F4BFE" w:rsidRDefault="00ED50FD" w:rsidP="004B263F">
            <w:pPr>
              <w:spacing w:after="0"/>
              <w:rPr>
                <w:rFonts w:ascii="Arial" w:hAnsi="Arial" w:cs="Arial"/>
                <w:color w:val="000000"/>
                <w:sz w:val="16"/>
                <w:szCs w:val="16"/>
              </w:rPr>
            </w:pPr>
            <w:r w:rsidRPr="002F4BFE">
              <w:rPr>
                <w:rFonts w:ascii="Arial" w:hAnsi="Arial" w:cs="Arial"/>
                <w:color w:val="000000"/>
                <w:sz w:val="16"/>
                <w:szCs w:val="16"/>
              </w:rPr>
              <w:t>Non-compliant</w:t>
            </w:r>
          </w:p>
        </w:tc>
        <w:tc>
          <w:tcPr>
            <w:tcW w:w="1695" w:type="dxa"/>
            <w:vMerge w:val="restart"/>
            <w:tcBorders>
              <w:top w:val="nil"/>
              <w:left w:val="nil"/>
              <w:bottom w:val="single" w:sz="8" w:space="0" w:color="808080"/>
              <w:right w:val="nil"/>
            </w:tcBorders>
            <w:shd w:val="clear" w:color="auto" w:fill="auto"/>
            <w:vAlign w:val="center"/>
            <w:hideMark/>
          </w:tcPr>
          <w:p w14:paraId="6479DB34" w14:textId="77777777" w:rsidR="00ED50FD" w:rsidRPr="002F4BFE" w:rsidRDefault="00ED50FD" w:rsidP="004B263F">
            <w:pPr>
              <w:spacing w:after="0"/>
              <w:jc w:val="right"/>
              <w:rPr>
                <w:rFonts w:ascii="Arial" w:hAnsi="Arial" w:cs="Arial"/>
                <w:color w:val="000000"/>
                <w:sz w:val="16"/>
                <w:szCs w:val="16"/>
              </w:rPr>
            </w:pPr>
            <w:r w:rsidRPr="002F4BFE">
              <w:rPr>
                <w:rFonts w:ascii="Arial" w:hAnsi="Arial" w:cs="Arial"/>
                <w:color w:val="000000"/>
                <w:sz w:val="16"/>
                <w:szCs w:val="16"/>
              </w:rPr>
              <w:t>-0.65 (-1.42, -0.11)</w:t>
            </w:r>
          </w:p>
        </w:tc>
        <w:tc>
          <w:tcPr>
            <w:tcW w:w="1240" w:type="dxa"/>
            <w:vMerge w:val="restart"/>
            <w:tcBorders>
              <w:top w:val="single" w:sz="2" w:space="0" w:color="000000" w:themeColor="text1"/>
              <w:left w:val="nil"/>
              <w:bottom w:val="single" w:sz="8" w:space="0" w:color="808080"/>
              <w:right w:val="nil"/>
            </w:tcBorders>
            <w:shd w:val="clear" w:color="auto" w:fill="auto"/>
            <w:vAlign w:val="center"/>
            <w:hideMark/>
          </w:tcPr>
          <w:p w14:paraId="31DB40C5" w14:textId="77777777" w:rsidR="00ED50FD" w:rsidRPr="00ED50FD" w:rsidRDefault="00ED50FD" w:rsidP="004B263F">
            <w:pPr>
              <w:spacing w:after="0"/>
              <w:jc w:val="center"/>
              <w:rPr>
                <w:rFonts w:ascii="Arial" w:hAnsi="Arial" w:cs="Arial"/>
                <w:sz w:val="16"/>
                <w:szCs w:val="16"/>
              </w:rPr>
            </w:pPr>
            <w:r w:rsidRPr="00ED50FD">
              <w:rPr>
                <w:rFonts w:ascii="Arial" w:hAnsi="Arial" w:cs="Arial"/>
                <w:sz w:val="16"/>
                <w:szCs w:val="16"/>
              </w:rPr>
              <w:t>0.095</w:t>
            </w:r>
          </w:p>
        </w:tc>
        <w:tc>
          <w:tcPr>
            <w:tcW w:w="1985" w:type="dxa"/>
            <w:vMerge w:val="restart"/>
            <w:tcBorders>
              <w:top w:val="nil"/>
              <w:left w:val="nil"/>
              <w:bottom w:val="single" w:sz="8" w:space="0" w:color="808080"/>
              <w:right w:val="nil"/>
            </w:tcBorders>
            <w:shd w:val="clear" w:color="auto" w:fill="auto"/>
            <w:vAlign w:val="center"/>
            <w:hideMark/>
          </w:tcPr>
          <w:p w14:paraId="4350881A" w14:textId="77777777" w:rsidR="00ED50FD" w:rsidRPr="002F4BFE" w:rsidRDefault="00ED50FD" w:rsidP="004B263F">
            <w:pPr>
              <w:spacing w:after="0"/>
              <w:jc w:val="center"/>
              <w:rPr>
                <w:rFonts w:ascii="Arial" w:hAnsi="Arial" w:cs="Arial"/>
                <w:bCs/>
                <w:sz w:val="20"/>
                <w:szCs w:val="20"/>
              </w:rPr>
            </w:pPr>
            <w:r w:rsidRPr="002F4BFE">
              <w:rPr>
                <w:rFonts w:ascii="Arial" w:hAnsi="Arial" w:cs="Arial"/>
                <w:bCs/>
                <w:sz w:val="20"/>
                <w:szCs w:val="20"/>
              </w:rPr>
              <w:t>↓</w:t>
            </w:r>
          </w:p>
        </w:tc>
      </w:tr>
      <w:tr w:rsidR="00ED50FD" w:rsidRPr="002F4BFE" w14:paraId="6CB345D9" w14:textId="77777777" w:rsidTr="004B263F">
        <w:trPr>
          <w:trHeight w:val="333"/>
        </w:trPr>
        <w:tc>
          <w:tcPr>
            <w:tcW w:w="1563" w:type="dxa"/>
            <w:vMerge/>
            <w:tcBorders>
              <w:top w:val="single" w:sz="8" w:space="0" w:color="FFFFFF"/>
              <w:left w:val="nil"/>
              <w:bottom w:val="single" w:sz="8" w:space="0" w:color="FFFFFF"/>
              <w:right w:val="nil"/>
            </w:tcBorders>
            <w:vAlign w:val="center"/>
            <w:hideMark/>
          </w:tcPr>
          <w:p w14:paraId="34DED989" w14:textId="77777777" w:rsidR="00ED50FD" w:rsidRPr="002F4BFE" w:rsidRDefault="00ED50FD" w:rsidP="004B263F">
            <w:pPr>
              <w:spacing w:after="0"/>
              <w:rPr>
                <w:rFonts w:ascii="Arial" w:hAnsi="Arial" w:cs="Arial"/>
                <w:color w:val="FFFFFF"/>
                <w:sz w:val="18"/>
                <w:szCs w:val="18"/>
              </w:rPr>
            </w:pPr>
          </w:p>
        </w:tc>
        <w:tc>
          <w:tcPr>
            <w:tcW w:w="2981" w:type="dxa"/>
            <w:vMerge/>
            <w:tcBorders>
              <w:top w:val="nil"/>
              <w:left w:val="nil"/>
              <w:bottom w:val="single" w:sz="8" w:space="0" w:color="808080"/>
              <w:right w:val="nil"/>
            </w:tcBorders>
            <w:shd w:val="clear" w:color="auto" w:fill="auto"/>
            <w:vAlign w:val="center"/>
            <w:hideMark/>
          </w:tcPr>
          <w:p w14:paraId="644C2992" w14:textId="77777777" w:rsidR="00ED50FD" w:rsidRPr="002F4BFE" w:rsidRDefault="00ED50FD" w:rsidP="004B263F">
            <w:pPr>
              <w:spacing w:after="0"/>
              <w:rPr>
                <w:rFonts w:ascii="Arial" w:hAnsi="Arial" w:cs="Arial"/>
                <w:color w:val="000000"/>
                <w:sz w:val="16"/>
                <w:szCs w:val="16"/>
              </w:rPr>
            </w:pPr>
          </w:p>
        </w:tc>
        <w:tc>
          <w:tcPr>
            <w:tcW w:w="1695" w:type="dxa"/>
            <w:vMerge/>
            <w:tcBorders>
              <w:top w:val="nil"/>
              <w:left w:val="nil"/>
              <w:bottom w:val="single" w:sz="8" w:space="0" w:color="808080"/>
              <w:right w:val="nil"/>
            </w:tcBorders>
            <w:shd w:val="clear" w:color="auto" w:fill="auto"/>
            <w:vAlign w:val="center"/>
            <w:hideMark/>
          </w:tcPr>
          <w:p w14:paraId="58E3A6D8" w14:textId="77777777" w:rsidR="00ED50FD" w:rsidRPr="002F4BFE" w:rsidRDefault="00ED50FD" w:rsidP="004B263F">
            <w:pPr>
              <w:spacing w:after="0"/>
              <w:rPr>
                <w:rFonts w:ascii="Arial" w:hAnsi="Arial" w:cs="Arial"/>
                <w:color w:val="000000"/>
                <w:sz w:val="16"/>
                <w:szCs w:val="16"/>
              </w:rPr>
            </w:pPr>
          </w:p>
        </w:tc>
        <w:tc>
          <w:tcPr>
            <w:tcW w:w="1240" w:type="dxa"/>
            <w:vMerge/>
            <w:tcBorders>
              <w:top w:val="nil"/>
              <w:left w:val="nil"/>
              <w:bottom w:val="single" w:sz="8" w:space="0" w:color="808080"/>
              <w:right w:val="nil"/>
            </w:tcBorders>
            <w:shd w:val="clear" w:color="auto" w:fill="auto"/>
            <w:vAlign w:val="center"/>
            <w:hideMark/>
          </w:tcPr>
          <w:p w14:paraId="3084A062" w14:textId="77777777" w:rsidR="00ED50FD" w:rsidRPr="00ED50FD" w:rsidRDefault="00ED50FD" w:rsidP="004B263F">
            <w:pPr>
              <w:spacing w:after="0"/>
              <w:rPr>
                <w:rFonts w:ascii="Arial" w:hAnsi="Arial" w:cs="Arial"/>
                <w:sz w:val="16"/>
                <w:szCs w:val="16"/>
              </w:rPr>
            </w:pPr>
          </w:p>
        </w:tc>
        <w:tc>
          <w:tcPr>
            <w:tcW w:w="1985" w:type="dxa"/>
            <w:vMerge/>
            <w:tcBorders>
              <w:top w:val="nil"/>
              <w:left w:val="nil"/>
              <w:bottom w:val="single" w:sz="8" w:space="0" w:color="808080"/>
              <w:right w:val="nil"/>
            </w:tcBorders>
            <w:shd w:val="clear" w:color="auto" w:fill="auto"/>
            <w:vAlign w:val="center"/>
            <w:hideMark/>
          </w:tcPr>
          <w:p w14:paraId="6B09A95D" w14:textId="77777777" w:rsidR="00ED50FD" w:rsidRPr="002F4BFE" w:rsidRDefault="00ED50FD" w:rsidP="004B263F">
            <w:pPr>
              <w:spacing w:after="0"/>
              <w:rPr>
                <w:rFonts w:ascii="Arial" w:hAnsi="Arial" w:cs="Arial"/>
                <w:bCs/>
                <w:sz w:val="20"/>
                <w:szCs w:val="20"/>
              </w:rPr>
            </w:pPr>
          </w:p>
        </w:tc>
      </w:tr>
      <w:tr w:rsidR="00ED50FD" w:rsidRPr="002F4BFE" w14:paraId="727C6006" w14:textId="77777777" w:rsidTr="004B263F">
        <w:trPr>
          <w:trHeight w:val="454"/>
        </w:trPr>
        <w:tc>
          <w:tcPr>
            <w:tcW w:w="1563" w:type="dxa"/>
            <w:vMerge/>
            <w:tcBorders>
              <w:top w:val="single" w:sz="8" w:space="0" w:color="FFFFFF"/>
              <w:left w:val="nil"/>
              <w:bottom w:val="single" w:sz="8" w:space="0" w:color="FFFFFF"/>
              <w:right w:val="nil"/>
            </w:tcBorders>
            <w:vAlign w:val="center"/>
            <w:hideMark/>
          </w:tcPr>
          <w:p w14:paraId="348B99C8" w14:textId="77777777" w:rsidR="00ED50FD" w:rsidRPr="002F4BFE" w:rsidRDefault="00ED50FD" w:rsidP="004B263F">
            <w:pPr>
              <w:spacing w:after="0"/>
              <w:rPr>
                <w:rFonts w:ascii="Arial" w:hAnsi="Arial" w:cs="Arial"/>
                <w:color w:val="FFFFFF"/>
                <w:sz w:val="18"/>
                <w:szCs w:val="18"/>
              </w:rPr>
            </w:pPr>
          </w:p>
        </w:tc>
        <w:tc>
          <w:tcPr>
            <w:tcW w:w="2981" w:type="dxa"/>
            <w:tcBorders>
              <w:top w:val="nil"/>
              <w:left w:val="nil"/>
              <w:bottom w:val="single" w:sz="8" w:space="0" w:color="808080"/>
              <w:right w:val="nil"/>
            </w:tcBorders>
            <w:shd w:val="clear" w:color="auto" w:fill="auto"/>
            <w:vAlign w:val="center"/>
            <w:hideMark/>
          </w:tcPr>
          <w:p w14:paraId="6A97628C" w14:textId="77777777" w:rsidR="00ED50FD" w:rsidRPr="002F4BFE" w:rsidRDefault="00ED50FD" w:rsidP="004B263F">
            <w:pPr>
              <w:spacing w:after="0"/>
              <w:rPr>
                <w:rFonts w:ascii="Arial" w:hAnsi="Arial" w:cs="Arial"/>
                <w:color w:val="000000"/>
                <w:sz w:val="16"/>
                <w:szCs w:val="16"/>
              </w:rPr>
            </w:pPr>
            <w:r w:rsidRPr="002F4BFE">
              <w:rPr>
                <w:rFonts w:ascii="Arial" w:hAnsi="Arial" w:cs="Arial"/>
                <w:color w:val="000000"/>
                <w:sz w:val="16"/>
                <w:szCs w:val="16"/>
              </w:rPr>
              <w:t>Directed therapy</w:t>
            </w:r>
          </w:p>
        </w:tc>
        <w:tc>
          <w:tcPr>
            <w:tcW w:w="1695" w:type="dxa"/>
            <w:tcBorders>
              <w:top w:val="nil"/>
              <w:left w:val="nil"/>
              <w:bottom w:val="single" w:sz="8" w:space="0" w:color="808080"/>
              <w:right w:val="nil"/>
            </w:tcBorders>
            <w:shd w:val="clear" w:color="auto" w:fill="auto"/>
            <w:vAlign w:val="center"/>
            <w:hideMark/>
          </w:tcPr>
          <w:p w14:paraId="4CAC8D58" w14:textId="77777777" w:rsidR="00ED50FD" w:rsidRPr="002F4BFE" w:rsidRDefault="00ED50FD" w:rsidP="004B263F">
            <w:pPr>
              <w:spacing w:after="0"/>
              <w:jc w:val="right"/>
              <w:rPr>
                <w:rFonts w:ascii="Arial" w:hAnsi="Arial" w:cs="Arial"/>
                <w:color w:val="000000"/>
                <w:sz w:val="16"/>
                <w:szCs w:val="16"/>
              </w:rPr>
            </w:pPr>
            <w:r w:rsidRPr="002F4BFE">
              <w:rPr>
                <w:rFonts w:ascii="Arial" w:hAnsi="Arial" w:cs="Arial"/>
                <w:color w:val="000000"/>
                <w:sz w:val="16"/>
                <w:szCs w:val="16"/>
              </w:rPr>
              <w:t>-0.05 (-0.63, 0.53)</w:t>
            </w:r>
          </w:p>
        </w:tc>
        <w:tc>
          <w:tcPr>
            <w:tcW w:w="1240" w:type="dxa"/>
            <w:tcBorders>
              <w:top w:val="nil"/>
              <w:left w:val="nil"/>
              <w:bottom w:val="single" w:sz="8" w:space="0" w:color="808080"/>
              <w:right w:val="nil"/>
            </w:tcBorders>
            <w:shd w:val="clear" w:color="auto" w:fill="auto"/>
            <w:vAlign w:val="center"/>
            <w:hideMark/>
          </w:tcPr>
          <w:p w14:paraId="12B745CF" w14:textId="77777777" w:rsidR="00ED50FD" w:rsidRPr="00ED50FD" w:rsidRDefault="00ED50FD" w:rsidP="004B263F">
            <w:pPr>
              <w:spacing w:after="0"/>
              <w:jc w:val="center"/>
              <w:rPr>
                <w:rFonts w:ascii="Arial" w:hAnsi="Arial" w:cs="Arial"/>
                <w:sz w:val="16"/>
                <w:szCs w:val="16"/>
              </w:rPr>
            </w:pPr>
            <w:r w:rsidRPr="00ED50FD">
              <w:rPr>
                <w:rFonts w:ascii="Arial" w:hAnsi="Arial" w:cs="Arial"/>
                <w:sz w:val="16"/>
                <w:szCs w:val="16"/>
              </w:rPr>
              <w:t>0.878</w:t>
            </w:r>
          </w:p>
        </w:tc>
        <w:tc>
          <w:tcPr>
            <w:tcW w:w="1985" w:type="dxa"/>
            <w:tcBorders>
              <w:top w:val="nil"/>
              <w:left w:val="nil"/>
              <w:bottom w:val="single" w:sz="8" w:space="0" w:color="808080"/>
              <w:right w:val="nil"/>
            </w:tcBorders>
            <w:shd w:val="clear" w:color="auto" w:fill="auto"/>
            <w:vAlign w:val="center"/>
            <w:hideMark/>
          </w:tcPr>
          <w:p w14:paraId="1BFDCBB3" w14:textId="77777777" w:rsidR="00ED50FD" w:rsidRPr="002F4BFE" w:rsidRDefault="00ED50FD" w:rsidP="004B263F">
            <w:pPr>
              <w:spacing w:after="0"/>
              <w:jc w:val="center"/>
              <w:rPr>
                <w:rFonts w:ascii="Arial" w:hAnsi="Arial" w:cs="Arial"/>
                <w:bCs/>
                <w:sz w:val="20"/>
                <w:szCs w:val="20"/>
              </w:rPr>
            </w:pPr>
            <w:r w:rsidRPr="002F4BFE">
              <w:rPr>
                <w:rFonts w:ascii="Arial" w:hAnsi="Arial" w:cs="Arial"/>
                <w:bCs/>
                <w:sz w:val="20"/>
                <w:szCs w:val="20"/>
              </w:rPr>
              <w:t>↓</w:t>
            </w:r>
          </w:p>
        </w:tc>
      </w:tr>
      <w:tr w:rsidR="00ED50FD" w:rsidRPr="002F4BFE" w14:paraId="6D255885" w14:textId="77777777" w:rsidTr="004B263F">
        <w:trPr>
          <w:trHeight w:val="454"/>
        </w:trPr>
        <w:tc>
          <w:tcPr>
            <w:tcW w:w="1563" w:type="dxa"/>
            <w:vMerge/>
            <w:tcBorders>
              <w:top w:val="single" w:sz="8" w:space="0" w:color="FFFFFF"/>
              <w:left w:val="nil"/>
              <w:bottom w:val="single" w:sz="8" w:space="0" w:color="FFFFFF"/>
              <w:right w:val="nil"/>
            </w:tcBorders>
            <w:vAlign w:val="center"/>
            <w:hideMark/>
          </w:tcPr>
          <w:p w14:paraId="287CC9C1" w14:textId="77777777" w:rsidR="00ED50FD" w:rsidRPr="002F4BFE" w:rsidRDefault="00ED50FD" w:rsidP="004B263F">
            <w:pPr>
              <w:spacing w:after="0"/>
              <w:rPr>
                <w:rFonts w:ascii="Arial" w:hAnsi="Arial" w:cs="Arial"/>
                <w:color w:val="FFFFFF"/>
                <w:sz w:val="18"/>
                <w:szCs w:val="18"/>
              </w:rPr>
            </w:pPr>
          </w:p>
        </w:tc>
        <w:tc>
          <w:tcPr>
            <w:tcW w:w="2981" w:type="dxa"/>
            <w:tcBorders>
              <w:top w:val="nil"/>
              <w:left w:val="nil"/>
              <w:bottom w:val="single" w:sz="8" w:space="0" w:color="808080"/>
              <w:right w:val="nil"/>
            </w:tcBorders>
            <w:shd w:val="clear" w:color="auto" w:fill="auto"/>
            <w:vAlign w:val="center"/>
            <w:hideMark/>
          </w:tcPr>
          <w:p w14:paraId="5654C974" w14:textId="77777777" w:rsidR="00ED50FD" w:rsidRPr="002F4BFE" w:rsidRDefault="00ED50FD" w:rsidP="004B263F">
            <w:pPr>
              <w:spacing w:after="0"/>
              <w:rPr>
                <w:rFonts w:ascii="Arial" w:hAnsi="Arial" w:cs="Arial"/>
                <w:color w:val="000000"/>
                <w:sz w:val="16"/>
                <w:szCs w:val="16"/>
              </w:rPr>
            </w:pPr>
            <w:r w:rsidRPr="002F4BFE">
              <w:rPr>
                <w:rFonts w:ascii="Arial" w:hAnsi="Arial" w:cs="Arial"/>
                <w:color w:val="000000"/>
                <w:sz w:val="16"/>
                <w:szCs w:val="16"/>
              </w:rPr>
              <w:t>No guideline available</w:t>
            </w:r>
          </w:p>
        </w:tc>
        <w:tc>
          <w:tcPr>
            <w:tcW w:w="1695" w:type="dxa"/>
            <w:tcBorders>
              <w:top w:val="nil"/>
              <w:left w:val="nil"/>
              <w:bottom w:val="single" w:sz="8" w:space="0" w:color="808080"/>
              <w:right w:val="nil"/>
            </w:tcBorders>
            <w:shd w:val="clear" w:color="auto" w:fill="auto"/>
            <w:vAlign w:val="center"/>
            <w:hideMark/>
          </w:tcPr>
          <w:p w14:paraId="0DC146E7" w14:textId="77777777" w:rsidR="00ED50FD" w:rsidRPr="002F4BFE" w:rsidRDefault="00ED50FD" w:rsidP="004B263F">
            <w:pPr>
              <w:spacing w:after="0"/>
              <w:jc w:val="right"/>
              <w:rPr>
                <w:rFonts w:ascii="Arial" w:hAnsi="Arial" w:cs="Arial"/>
                <w:color w:val="000000"/>
                <w:sz w:val="16"/>
                <w:szCs w:val="16"/>
              </w:rPr>
            </w:pPr>
            <w:r w:rsidRPr="002F4BFE">
              <w:rPr>
                <w:rFonts w:ascii="Arial" w:hAnsi="Arial" w:cs="Arial"/>
                <w:color w:val="000000"/>
                <w:sz w:val="16"/>
                <w:szCs w:val="16"/>
              </w:rPr>
              <w:t>-0.68 (-1.01, -0.36)</w:t>
            </w:r>
          </w:p>
        </w:tc>
        <w:tc>
          <w:tcPr>
            <w:tcW w:w="1240" w:type="dxa"/>
            <w:tcBorders>
              <w:top w:val="nil"/>
              <w:left w:val="nil"/>
              <w:bottom w:val="single" w:sz="8" w:space="0" w:color="808080"/>
              <w:right w:val="nil"/>
            </w:tcBorders>
            <w:shd w:val="clear" w:color="auto" w:fill="auto"/>
            <w:vAlign w:val="center"/>
            <w:hideMark/>
          </w:tcPr>
          <w:p w14:paraId="4AC9C4A3" w14:textId="77777777" w:rsidR="00ED50FD" w:rsidRPr="00ED50FD" w:rsidRDefault="00ED50FD" w:rsidP="004B263F">
            <w:pPr>
              <w:spacing w:after="0"/>
              <w:jc w:val="center"/>
              <w:rPr>
                <w:rFonts w:ascii="Arial" w:hAnsi="Arial" w:cs="Arial"/>
                <w:sz w:val="16"/>
                <w:szCs w:val="16"/>
              </w:rPr>
            </w:pPr>
            <w:r w:rsidRPr="00ED50FD">
              <w:rPr>
                <w:rFonts w:ascii="Arial" w:hAnsi="Arial" w:cs="Arial"/>
                <w:sz w:val="16"/>
                <w:szCs w:val="16"/>
              </w:rPr>
              <w:t>&lt;0.001*</w:t>
            </w:r>
          </w:p>
        </w:tc>
        <w:tc>
          <w:tcPr>
            <w:tcW w:w="1985" w:type="dxa"/>
            <w:tcBorders>
              <w:top w:val="nil"/>
              <w:left w:val="nil"/>
              <w:bottom w:val="single" w:sz="8" w:space="0" w:color="808080"/>
              <w:right w:val="nil"/>
            </w:tcBorders>
            <w:shd w:val="clear" w:color="auto" w:fill="auto"/>
            <w:vAlign w:val="center"/>
            <w:hideMark/>
          </w:tcPr>
          <w:p w14:paraId="39898E50" w14:textId="77777777" w:rsidR="00ED50FD" w:rsidRPr="002F4BFE" w:rsidRDefault="00ED50FD" w:rsidP="004B263F">
            <w:pPr>
              <w:spacing w:after="0"/>
              <w:jc w:val="center"/>
              <w:rPr>
                <w:rFonts w:ascii="Arial" w:hAnsi="Arial" w:cs="Arial"/>
                <w:bCs/>
                <w:sz w:val="20"/>
                <w:szCs w:val="20"/>
              </w:rPr>
            </w:pPr>
            <w:r w:rsidRPr="002F4BFE">
              <w:rPr>
                <w:rFonts w:ascii="Arial" w:hAnsi="Arial" w:cs="Arial"/>
                <w:bCs/>
                <w:sz w:val="20"/>
                <w:szCs w:val="20"/>
              </w:rPr>
              <w:t>↓</w:t>
            </w:r>
          </w:p>
        </w:tc>
      </w:tr>
      <w:tr w:rsidR="00ED50FD" w:rsidRPr="002F4BFE" w14:paraId="1EED30CB" w14:textId="77777777" w:rsidTr="00ED50FD">
        <w:trPr>
          <w:trHeight w:val="454"/>
        </w:trPr>
        <w:tc>
          <w:tcPr>
            <w:tcW w:w="1563" w:type="dxa"/>
            <w:vMerge/>
            <w:tcBorders>
              <w:top w:val="single" w:sz="8" w:space="0" w:color="FFFFFF"/>
              <w:left w:val="nil"/>
              <w:bottom w:val="single" w:sz="8" w:space="0" w:color="FFFFFF"/>
              <w:right w:val="nil"/>
            </w:tcBorders>
            <w:vAlign w:val="center"/>
            <w:hideMark/>
          </w:tcPr>
          <w:p w14:paraId="4CC1CEC4" w14:textId="77777777" w:rsidR="00ED50FD" w:rsidRPr="002F4BFE" w:rsidRDefault="00ED50FD" w:rsidP="004B263F">
            <w:pPr>
              <w:spacing w:after="0"/>
              <w:rPr>
                <w:rFonts w:ascii="Arial" w:hAnsi="Arial" w:cs="Arial"/>
                <w:color w:val="FFFFFF"/>
                <w:sz w:val="18"/>
                <w:szCs w:val="18"/>
              </w:rPr>
            </w:pPr>
          </w:p>
        </w:tc>
        <w:tc>
          <w:tcPr>
            <w:tcW w:w="2981" w:type="dxa"/>
            <w:tcBorders>
              <w:top w:val="nil"/>
              <w:left w:val="nil"/>
              <w:bottom w:val="single" w:sz="4" w:space="0" w:color="808080" w:themeColor="background1" w:themeShade="80"/>
              <w:right w:val="nil"/>
            </w:tcBorders>
            <w:shd w:val="clear" w:color="auto" w:fill="auto"/>
            <w:vAlign w:val="center"/>
            <w:hideMark/>
          </w:tcPr>
          <w:p w14:paraId="422616FC" w14:textId="77777777" w:rsidR="00ED50FD" w:rsidRPr="002F4BFE" w:rsidRDefault="00ED50FD" w:rsidP="004B263F">
            <w:pPr>
              <w:spacing w:after="0"/>
              <w:rPr>
                <w:rFonts w:ascii="Arial" w:hAnsi="Arial" w:cs="Arial"/>
                <w:color w:val="000000"/>
                <w:sz w:val="16"/>
                <w:szCs w:val="16"/>
              </w:rPr>
            </w:pPr>
            <w:r w:rsidRPr="002F4BFE">
              <w:rPr>
                <w:rFonts w:ascii="Arial" w:hAnsi="Arial" w:cs="Arial"/>
                <w:color w:val="000000"/>
                <w:sz w:val="16"/>
                <w:szCs w:val="16"/>
              </w:rPr>
              <w:t>Not assessable</w:t>
            </w:r>
          </w:p>
        </w:tc>
        <w:tc>
          <w:tcPr>
            <w:tcW w:w="1695" w:type="dxa"/>
            <w:tcBorders>
              <w:top w:val="nil"/>
              <w:left w:val="nil"/>
              <w:bottom w:val="single" w:sz="4" w:space="0" w:color="808080" w:themeColor="background1" w:themeShade="80"/>
              <w:right w:val="nil"/>
            </w:tcBorders>
            <w:shd w:val="clear" w:color="auto" w:fill="auto"/>
            <w:vAlign w:val="center"/>
            <w:hideMark/>
          </w:tcPr>
          <w:p w14:paraId="4A4C9CF6" w14:textId="77777777" w:rsidR="00ED50FD" w:rsidRPr="002F4BFE" w:rsidRDefault="00ED50FD" w:rsidP="004B263F">
            <w:pPr>
              <w:spacing w:after="0"/>
              <w:jc w:val="right"/>
              <w:rPr>
                <w:rFonts w:ascii="Arial" w:hAnsi="Arial" w:cs="Arial"/>
                <w:color w:val="000000"/>
                <w:sz w:val="16"/>
                <w:szCs w:val="16"/>
              </w:rPr>
            </w:pPr>
            <w:r w:rsidRPr="002F4BFE">
              <w:rPr>
                <w:rFonts w:ascii="Arial" w:hAnsi="Arial" w:cs="Arial"/>
                <w:color w:val="000000"/>
                <w:sz w:val="16"/>
                <w:szCs w:val="16"/>
              </w:rPr>
              <w:t>-0.49 (-0.84, -0.14)</w:t>
            </w:r>
          </w:p>
        </w:tc>
        <w:tc>
          <w:tcPr>
            <w:tcW w:w="1240" w:type="dxa"/>
            <w:tcBorders>
              <w:top w:val="nil"/>
              <w:left w:val="nil"/>
              <w:bottom w:val="single" w:sz="4" w:space="0" w:color="auto"/>
              <w:right w:val="nil"/>
            </w:tcBorders>
            <w:shd w:val="clear" w:color="auto" w:fill="auto"/>
            <w:vAlign w:val="center"/>
            <w:hideMark/>
          </w:tcPr>
          <w:p w14:paraId="782E53EB" w14:textId="77777777" w:rsidR="00ED50FD" w:rsidRPr="00ED50FD" w:rsidRDefault="00ED50FD" w:rsidP="004B263F">
            <w:pPr>
              <w:spacing w:after="0"/>
              <w:jc w:val="center"/>
              <w:rPr>
                <w:rFonts w:ascii="Arial" w:hAnsi="Arial" w:cs="Arial"/>
                <w:sz w:val="16"/>
                <w:szCs w:val="16"/>
              </w:rPr>
            </w:pPr>
            <w:r w:rsidRPr="00ED50FD">
              <w:rPr>
                <w:rFonts w:ascii="Arial" w:hAnsi="Arial" w:cs="Arial"/>
                <w:sz w:val="16"/>
                <w:szCs w:val="16"/>
              </w:rPr>
              <w:t>0.005*</w:t>
            </w:r>
          </w:p>
        </w:tc>
        <w:tc>
          <w:tcPr>
            <w:tcW w:w="1985" w:type="dxa"/>
            <w:tcBorders>
              <w:top w:val="nil"/>
              <w:left w:val="nil"/>
              <w:bottom w:val="single" w:sz="4" w:space="0" w:color="808080" w:themeColor="background1" w:themeShade="80"/>
              <w:right w:val="nil"/>
            </w:tcBorders>
            <w:shd w:val="clear" w:color="auto" w:fill="auto"/>
            <w:vAlign w:val="center"/>
            <w:hideMark/>
          </w:tcPr>
          <w:p w14:paraId="2456544F" w14:textId="77777777" w:rsidR="00ED50FD" w:rsidRPr="002F4BFE" w:rsidRDefault="00ED50FD" w:rsidP="004B263F">
            <w:pPr>
              <w:spacing w:after="0"/>
              <w:jc w:val="center"/>
              <w:rPr>
                <w:rFonts w:ascii="Arial" w:hAnsi="Arial" w:cs="Arial"/>
                <w:bCs/>
                <w:sz w:val="20"/>
                <w:szCs w:val="20"/>
              </w:rPr>
            </w:pPr>
            <w:r w:rsidRPr="002F4BFE">
              <w:rPr>
                <w:rFonts w:ascii="Arial" w:hAnsi="Arial" w:cs="Arial"/>
                <w:bCs/>
                <w:sz w:val="20"/>
                <w:szCs w:val="20"/>
              </w:rPr>
              <w:t>↓</w:t>
            </w:r>
          </w:p>
        </w:tc>
      </w:tr>
      <w:tr w:rsidR="00ED50FD" w:rsidRPr="002F4BFE" w14:paraId="4C8C4C92" w14:textId="77777777" w:rsidTr="00ED50FD">
        <w:trPr>
          <w:trHeight w:val="464"/>
        </w:trPr>
        <w:tc>
          <w:tcPr>
            <w:tcW w:w="1563" w:type="dxa"/>
            <w:vMerge w:val="restart"/>
            <w:tcBorders>
              <w:top w:val="nil"/>
              <w:left w:val="nil"/>
              <w:bottom w:val="single" w:sz="8" w:space="0" w:color="808080"/>
              <w:right w:val="nil"/>
            </w:tcBorders>
            <w:shd w:val="clear" w:color="000000" w:fill="808080"/>
            <w:vAlign w:val="center"/>
            <w:hideMark/>
          </w:tcPr>
          <w:p w14:paraId="0C75AA46" w14:textId="77777777" w:rsidR="00ED50FD" w:rsidRPr="002F4BFE" w:rsidRDefault="00ED50FD" w:rsidP="004B263F">
            <w:pPr>
              <w:spacing w:after="0"/>
              <w:rPr>
                <w:rFonts w:ascii="Arial" w:hAnsi="Arial" w:cs="Arial"/>
                <w:color w:val="FFFFFF"/>
                <w:sz w:val="18"/>
                <w:szCs w:val="18"/>
              </w:rPr>
            </w:pPr>
            <w:r w:rsidRPr="002F4BFE">
              <w:rPr>
                <w:rFonts w:ascii="Arial" w:hAnsi="Arial" w:cs="Arial"/>
                <w:color w:val="FFFFFF"/>
                <w:sz w:val="18"/>
                <w:szCs w:val="18"/>
              </w:rPr>
              <w:t>Appropriateness</w:t>
            </w:r>
          </w:p>
        </w:tc>
        <w:tc>
          <w:tcPr>
            <w:tcW w:w="2981" w:type="dxa"/>
            <w:tcBorders>
              <w:top w:val="single" w:sz="12" w:space="0" w:color="808080" w:themeColor="background1" w:themeShade="80"/>
              <w:left w:val="nil"/>
              <w:bottom w:val="single" w:sz="8" w:space="0" w:color="808080"/>
              <w:right w:val="nil"/>
            </w:tcBorders>
            <w:shd w:val="clear" w:color="auto" w:fill="D9D9D9" w:themeFill="background1" w:themeFillShade="D9"/>
            <w:vAlign w:val="center"/>
            <w:hideMark/>
          </w:tcPr>
          <w:p w14:paraId="191200B2" w14:textId="77777777" w:rsidR="00ED50FD" w:rsidRPr="002F4BFE" w:rsidRDefault="00ED50FD" w:rsidP="004B263F">
            <w:pPr>
              <w:spacing w:after="0"/>
              <w:rPr>
                <w:rFonts w:ascii="Arial" w:hAnsi="Arial" w:cs="Arial"/>
                <w:color w:val="000000"/>
                <w:sz w:val="16"/>
                <w:szCs w:val="16"/>
              </w:rPr>
            </w:pPr>
            <w:r w:rsidRPr="002F4BFE">
              <w:rPr>
                <w:rFonts w:ascii="Arial" w:hAnsi="Arial" w:cs="Arial"/>
                <w:color w:val="000000"/>
                <w:sz w:val="16"/>
                <w:szCs w:val="16"/>
              </w:rPr>
              <w:t xml:space="preserve">Appropriate </w:t>
            </w:r>
          </w:p>
          <w:p w14:paraId="62B16828" w14:textId="77777777" w:rsidR="00ED50FD" w:rsidRPr="002F4BFE" w:rsidRDefault="00ED50FD" w:rsidP="004B263F">
            <w:pPr>
              <w:spacing w:after="0"/>
              <w:rPr>
                <w:rFonts w:ascii="Arial" w:hAnsi="Arial" w:cs="Arial"/>
                <w:color w:val="000000"/>
                <w:sz w:val="16"/>
                <w:szCs w:val="16"/>
              </w:rPr>
            </w:pPr>
            <w:r w:rsidRPr="002F4BFE">
              <w:rPr>
                <w:rFonts w:ascii="Arial" w:hAnsi="Arial" w:cs="Arial"/>
                <w:color w:val="000000"/>
                <w:sz w:val="16"/>
                <w:szCs w:val="16"/>
              </w:rPr>
              <w:t>(optimal and adequate)</w:t>
            </w:r>
          </w:p>
        </w:tc>
        <w:tc>
          <w:tcPr>
            <w:tcW w:w="1695" w:type="dxa"/>
            <w:tcBorders>
              <w:top w:val="single" w:sz="12" w:space="0" w:color="808080" w:themeColor="background1" w:themeShade="80"/>
              <w:left w:val="nil"/>
              <w:bottom w:val="single" w:sz="8" w:space="0" w:color="808080"/>
            </w:tcBorders>
            <w:shd w:val="clear" w:color="auto" w:fill="D9D9D9" w:themeFill="background1" w:themeFillShade="D9"/>
            <w:vAlign w:val="center"/>
            <w:hideMark/>
          </w:tcPr>
          <w:p w14:paraId="4AF5A8E9" w14:textId="77777777" w:rsidR="00ED50FD" w:rsidRPr="002F4BFE" w:rsidRDefault="00ED50FD" w:rsidP="004B263F">
            <w:pPr>
              <w:spacing w:after="0"/>
              <w:jc w:val="right"/>
              <w:rPr>
                <w:rFonts w:ascii="Arial" w:hAnsi="Arial" w:cs="Arial"/>
                <w:color w:val="000000"/>
                <w:sz w:val="16"/>
                <w:szCs w:val="16"/>
              </w:rPr>
            </w:pPr>
            <w:r w:rsidRPr="002F4BFE">
              <w:rPr>
                <w:rFonts w:ascii="Arial" w:hAnsi="Arial" w:cs="Arial"/>
                <w:color w:val="000000"/>
                <w:sz w:val="16"/>
                <w:szCs w:val="16"/>
              </w:rPr>
              <w:t>0.69 (-0.09, 1.46)</w:t>
            </w:r>
          </w:p>
        </w:tc>
        <w:tc>
          <w:tcPr>
            <w:tcW w:w="1240" w:type="dxa"/>
            <w:tcBorders>
              <w:top w:val="single" w:sz="4" w:space="0" w:color="auto"/>
              <w:bottom w:val="single" w:sz="2" w:space="0" w:color="000000" w:themeColor="text1"/>
            </w:tcBorders>
            <w:shd w:val="clear" w:color="auto" w:fill="D9D9D9" w:themeFill="background1" w:themeFillShade="D9"/>
            <w:vAlign w:val="center"/>
            <w:hideMark/>
          </w:tcPr>
          <w:p w14:paraId="4D5DDF71" w14:textId="77777777" w:rsidR="00ED50FD" w:rsidRPr="00ED50FD" w:rsidRDefault="00ED50FD" w:rsidP="004B263F">
            <w:pPr>
              <w:spacing w:after="0"/>
              <w:jc w:val="center"/>
              <w:rPr>
                <w:rFonts w:ascii="Arial" w:hAnsi="Arial" w:cs="Arial"/>
                <w:sz w:val="16"/>
                <w:szCs w:val="16"/>
              </w:rPr>
            </w:pPr>
            <w:r w:rsidRPr="00ED50FD">
              <w:rPr>
                <w:rFonts w:ascii="Arial" w:hAnsi="Arial" w:cs="Arial"/>
                <w:sz w:val="16"/>
                <w:szCs w:val="16"/>
              </w:rPr>
              <w:t>0.082</w:t>
            </w:r>
          </w:p>
        </w:tc>
        <w:tc>
          <w:tcPr>
            <w:tcW w:w="1985" w:type="dxa"/>
            <w:tcBorders>
              <w:top w:val="single" w:sz="12" w:space="0" w:color="808080" w:themeColor="background1" w:themeShade="80"/>
              <w:left w:val="nil"/>
              <w:bottom w:val="single" w:sz="8" w:space="0" w:color="808080"/>
              <w:right w:val="nil"/>
            </w:tcBorders>
            <w:shd w:val="clear" w:color="auto" w:fill="D9D9D9" w:themeFill="background1" w:themeFillShade="D9"/>
            <w:vAlign w:val="center"/>
            <w:hideMark/>
          </w:tcPr>
          <w:p w14:paraId="2551C200" w14:textId="77777777" w:rsidR="00ED50FD" w:rsidRPr="002F4BFE" w:rsidRDefault="00ED50FD" w:rsidP="004B263F">
            <w:pPr>
              <w:spacing w:after="0"/>
              <w:jc w:val="center"/>
              <w:rPr>
                <w:rFonts w:ascii="Arial" w:hAnsi="Arial" w:cs="Arial"/>
                <w:bCs/>
                <w:sz w:val="20"/>
                <w:szCs w:val="20"/>
              </w:rPr>
            </w:pPr>
            <w:r w:rsidRPr="002F4BFE">
              <w:rPr>
                <w:rFonts w:ascii="Arial" w:hAnsi="Arial" w:cs="Arial"/>
                <w:bCs/>
                <w:sz w:val="20"/>
                <w:szCs w:val="20"/>
              </w:rPr>
              <w:t>↑</w:t>
            </w:r>
          </w:p>
        </w:tc>
      </w:tr>
      <w:tr w:rsidR="00ED50FD" w:rsidRPr="002F4BFE" w14:paraId="40F72AD9" w14:textId="77777777" w:rsidTr="00ED50FD">
        <w:trPr>
          <w:trHeight w:val="454"/>
        </w:trPr>
        <w:tc>
          <w:tcPr>
            <w:tcW w:w="1563" w:type="dxa"/>
            <w:vMerge/>
            <w:tcBorders>
              <w:top w:val="nil"/>
              <w:left w:val="nil"/>
              <w:bottom w:val="single" w:sz="8" w:space="0" w:color="808080"/>
              <w:right w:val="nil"/>
            </w:tcBorders>
            <w:vAlign w:val="center"/>
            <w:hideMark/>
          </w:tcPr>
          <w:p w14:paraId="3D625D53" w14:textId="77777777" w:rsidR="00ED50FD" w:rsidRPr="002F4BFE" w:rsidRDefault="00ED50FD" w:rsidP="004B263F">
            <w:pPr>
              <w:spacing w:after="0"/>
              <w:rPr>
                <w:rFonts w:ascii="Arial" w:hAnsi="Arial" w:cs="Arial"/>
                <w:color w:val="FFFFFF"/>
                <w:sz w:val="18"/>
                <w:szCs w:val="18"/>
              </w:rPr>
            </w:pPr>
          </w:p>
        </w:tc>
        <w:tc>
          <w:tcPr>
            <w:tcW w:w="2981" w:type="dxa"/>
            <w:tcBorders>
              <w:top w:val="single" w:sz="2" w:space="0" w:color="000000" w:themeColor="text1"/>
              <w:left w:val="nil"/>
              <w:bottom w:val="single" w:sz="8" w:space="0" w:color="808080"/>
              <w:right w:val="nil"/>
            </w:tcBorders>
            <w:shd w:val="clear" w:color="auto" w:fill="D9D9D9" w:themeFill="background1" w:themeFillShade="D9"/>
            <w:vAlign w:val="center"/>
            <w:hideMark/>
          </w:tcPr>
          <w:p w14:paraId="01A2FC4B" w14:textId="77777777" w:rsidR="00ED50FD" w:rsidRPr="002F4BFE" w:rsidRDefault="00ED50FD" w:rsidP="004B263F">
            <w:pPr>
              <w:spacing w:after="0"/>
              <w:rPr>
                <w:rFonts w:ascii="Arial" w:hAnsi="Arial" w:cs="Arial"/>
                <w:color w:val="000000"/>
                <w:sz w:val="16"/>
                <w:szCs w:val="16"/>
              </w:rPr>
            </w:pPr>
            <w:r w:rsidRPr="002F4BFE">
              <w:rPr>
                <w:rFonts w:ascii="Arial" w:hAnsi="Arial" w:cs="Arial"/>
                <w:color w:val="000000"/>
                <w:sz w:val="16"/>
                <w:szCs w:val="16"/>
              </w:rPr>
              <w:t xml:space="preserve">Inappropriate </w:t>
            </w:r>
          </w:p>
          <w:p w14:paraId="64B57321" w14:textId="77777777" w:rsidR="00ED50FD" w:rsidRPr="002F4BFE" w:rsidRDefault="00ED50FD" w:rsidP="004B263F">
            <w:pPr>
              <w:spacing w:after="0"/>
              <w:rPr>
                <w:rFonts w:ascii="Arial" w:hAnsi="Arial" w:cs="Arial"/>
                <w:color w:val="000000"/>
                <w:sz w:val="16"/>
                <w:szCs w:val="16"/>
              </w:rPr>
            </w:pPr>
            <w:r w:rsidRPr="002F4BFE">
              <w:rPr>
                <w:rFonts w:ascii="Arial" w:hAnsi="Arial" w:cs="Arial"/>
                <w:color w:val="000000"/>
                <w:sz w:val="16"/>
                <w:szCs w:val="16"/>
              </w:rPr>
              <w:t>(suboptimal and inadequate)</w:t>
            </w:r>
          </w:p>
        </w:tc>
        <w:tc>
          <w:tcPr>
            <w:tcW w:w="1695" w:type="dxa"/>
            <w:tcBorders>
              <w:top w:val="single" w:sz="2" w:space="0" w:color="000000" w:themeColor="text1"/>
              <w:left w:val="nil"/>
              <w:bottom w:val="single" w:sz="8" w:space="0" w:color="808080"/>
            </w:tcBorders>
            <w:shd w:val="clear" w:color="auto" w:fill="D9D9D9" w:themeFill="background1" w:themeFillShade="D9"/>
            <w:vAlign w:val="center"/>
            <w:hideMark/>
          </w:tcPr>
          <w:p w14:paraId="200EA770" w14:textId="77777777" w:rsidR="00ED50FD" w:rsidRPr="002F4BFE" w:rsidRDefault="00ED50FD" w:rsidP="004B263F">
            <w:pPr>
              <w:spacing w:after="0"/>
              <w:jc w:val="right"/>
              <w:rPr>
                <w:rFonts w:ascii="Arial" w:hAnsi="Arial" w:cs="Arial"/>
                <w:color w:val="000000"/>
                <w:sz w:val="16"/>
                <w:szCs w:val="16"/>
              </w:rPr>
            </w:pPr>
            <w:r w:rsidRPr="002F4BFE">
              <w:rPr>
                <w:rFonts w:ascii="Arial" w:hAnsi="Arial" w:cs="Arial"/>
                <w:color w:val="000000"/>
                <w:sz w:val="16"/>
                <w:szCs w:val="16"/>
              </w:rPr>
              <w:t>-0.14 (-0.87, 0.58)</w:t>
            </w:r>
          </w:p>
        </w:tc>
        <w:tc>
          <w:tcPr>
            <w:tcW w:w="1240" w:type="dxa"/>
            <w:tcBorders>
              <w:top w:val="single" w:sz="2" w:space="0" w:color="000000" w:themeColor="text1"/>
              <w:bottom w:val="single" w:sz="2" w:space="0" w:color="000000" w:themeColor="text1"/>
            </w:tcBorders>
            <w:shd w:val="clear" w:color="auto" w:fill="D9D9D9" w:themeFill="background1" w:themeFillShade="D9"/>
            <w:vAlign w:val="center"/>
            <w:hideMark/>
          </w:tcPr>
          <w:p w14:paraId="6D3A2896" w14:textId="77777777" w:rsidR="00ED50FD" w:rsidRPr="00ED50FD" w:rsidRDefault="00ED50FD" w:rsidP="004B263F">
            <w:pPr>
              <w:spacing w:after="0"/>
              <w:jc w:val="center"/>
              <w:rPr>
                <w:rFonts w:ascii="Arial" w:hAnsi="Arial" w:cs="Arial"/>
                <w:sz w:val="16"/>
                <w:szCs w:val="16"/>
              </w:rPr>
            </w:pPr>
            <w:r w:rsidRPr="00ED50FD">
              <w:rPr>
                <w:rFonts w:ascii="Arial" w:hAnsi="Arial" w:cs="Arial"/>
                <w:sz w:val="16"/>
                <w:szCs w:val="16"/>
              </w:rPr>
              <w:t>0.701</w:t>
            </w:r>
          </w:p>
        </w:tc>
        <w:tc>
          <w:tcPr>
            <w:tcW w:w="1985" w:type="dxa"/>
            <w:tcBorders>
              <w:top w:val="single" w:sz="2" w:space="0" w:color="000000" w:themeColor="text1"/>
              <w:left w:val="nil"/>
              <w:bottom w:val="single" w:sz="8" w:space="0" w:color="808080"/>
              <w:right w:val="nil"/>
            </w:tcBorders>
            <w:shd w:val="clear" w:color="auto" w:fill="D9D9D9" w:themeFill="background1" w:themeFillShade="D9"/>
            <w:vAlign w:val="center"/>
            <w:hideMark/>
          </w:tcPr>
          <w:p w14:paraId="6B33E578" w14:textId="77777777" w:rsidR="00ED50FD" w:rsidRPr="002F4BFE" w:rsidRDefault="00ED50FD" w:rsidP="004B263F">
            <w:pPr>
              <w:spacing w:after="0"/>
              <w:jc w:val="center"/>
              <w:rPr>
                <w:rFonts w:ascii="Arial" w:hAnsi="Arial" w:cs="Arial"/>
                <w:bCs/>
                <w:sz w:val="20"/>
                <w:szCs w:val="20"/>
              </w:rPr>
            </w:pPr>
            <w:r w:rsidRPr="002F4BFE">
              <w:rPr>
                <w:rFonts w:ascii="Arial" w:hAnsi="Arial" w:cs="Arial"/>
                <w:bCs/>
                <w:sz w:val="20"/>
                <w:szCs w:val="20"/>
              </w:rPr>
              <w:t>↓</w:t>
            </w:r>
          </w:p>
        </w:tc>
      </w:tr>
      <w:tr w:rsidR="00ED50FD" w:rsidRPr="002F4BFE" w14:paraId="76A2E70E" w14:textId="77777777" w:rsidTr="00ED50FD">
        <w:trPr>
          <w:trHeight w:val="454"/>
        </w:trPr>
        <w:tc>
          <w:tcPr>
            <w:tcW w:w="1563" w:type="dxa"/>
            <w:vMerge/>
            <w:tcBorders>
              <w:top w:val="nil"/>
              <w:left w:val="nil"/>
              <w:bottom w:val="single" w:sz="8" w:space="0" w:color="808080"/>
              <w:right w:val="nil"/>
            </w:tcBorders>
            <w:vAlign w:val="center"/>
            <w:hideMark/>
          </w:tcPr>
          <w:p w14:paraId="6533A337" w14:textId="77777777" w:rsidR="00ED50FD" w:rsidRPr="002F4BFE" w:rsidRDefault="00ED50FD" w:rsidP="004B263F">
            <w:pPr>
              <w:spacing w:after="0"/>
              <w:rPr>
                <w:rFonts w:ascii="Arial" w:hAnsi="Arial" w:cs="Arial"/>
                <w:color w:val="FFFFFF"/>
                <w:sz w:val="18"/>
                <w:szCs w:val="18"/>
              </w:rPr>
            </w:pPr>
          </w:p>
        </w:tc>
        <w:tc>
          <w:tcPr>
            <w:tcW w:w="2981" w:type="dxa"/>
            <w:tcBorders>
              <w:top w:val="single" w:sz="2" w:space="0" w:color="000000" w:themeColor="text1"/>
              <w:left w:val="nil"/>
              <w:bottom w:val="single" w:sz="8" w:space="0" w:color="808080"/>
              <w:right w:val="nil"/>
            </w:tcBorders>
            <w:shd w:val="clear" w:color="auto" w:fill="D9D9D9" w:themeFill="background1" w:themeFillShade="D9"/>
            <w:vAlign w:val="center"/>
            <w:hideMark/>
          </w:tcPr>
          <w:p w14:paraId="090973C3" w14:textId="77777777" w:rsidR="00ED50FD" w:rsidRPr="002F4BFE" w:rsidRDefault="00ED50FD" w:rsidP="004B263F">
            <w:pPr>
              <w:spacing w:after="0"/>
              <w:rPr>
                <w:rFonts w:ascii="Arial" w:hAnsi="Arial" w:cs="Arial"/>
                <w:color w:val="000000"/>
                <w:sz w:val="16"/>
                <w:szCs w:val="16"/>
              </w:rPr>
            </w:pPr>
            <w:r w:rsidRPr="002F4BFE">
              <w:rPr>
                <w:rFonts w:ascii="Arial" w:hAnsi="Arial" w:cs="Arial"/>
                <w:color w:val="000000"/>
                <w:sz w:val="16"/>
                <w:szCs w:val="16"/>
              </w:rPr>
              <w:t>Not assessable</w:t>
            </w:r>
          </w:p>
        </w:tc>
        <w:tc>
          <w:tcPr>
            <w:tcW w:w="1695" w:type="dxa"/>
            <w:tcBorders>
              <w:top w:val="single" w:sz="2" w:space="0" w:color="000000" w:themeColor="text1"/>
              <w:left w:val="nil"/>
              <w:bottom w:val="single" w:sz="8" w:space="0" w:color="808080"/>
            </w:tcBorders>
            <w:shd w:val="clear" w:color="auto" w:fill="D9D9D9" w:themeFill="background1" w:themeFillShade="D9"/>
            <w:vAlign w:val="center"/>
            <w:hideMark/>
          </w:tcPr>
          <w:p w14:paraId="4AAAC034" w14:textId="77777777" w:rsidR="00ED50FD" w:rsidRPr="002F4BFE" w:rsidRDefault="00ED50FD" w:rsidP="004B263F">
            <w:pPr>
              <w:spacing w:after="0"/>
              <w:jc w:val="right"/>
              <w:rPr>
                <w:rFonts w:ascii="Arial" w:hAnsi="Arial" w:cs="Arial"/>
                <w:color w:val="000000"/>
                <w:sz w:val="16"/>
                <w:szCs w:val="16"/>
              </w:rPr>
            </w:pPr>
            <w:r w:rsidRPr="002F4BFE">
              <w:rPr>
                <w:rFonts w:ascii="Arial" w:hAnsi="Arial" w:cs="Arial"/>
                <w:color w:val="000000"/>
                <w:sz w:val="16"/>
                <w:szCs w:val="16"/>
              </w:rPr>
              <w:t>-0.54 (-0.92, -0.16)</w:t>
            </w:r>
          </w:p>
        </w:tc>
        <w:tc>
          <w:tcPr>
            <w:tcW w:w="1240" w:type="dxa"/>
            <w:tcBorders>
              <w:top w:val="single" w:sz="2" w:space="0" w:color="000000" w:themeColor="text1"/>
              <w:bottom w:val="single" w:sz="4" w:space="0" w:color="auto"/>
            </w:tcBorders>
            <w:shd w:val="clear" w:color="auto" w:fill="D9D9D9" w:themeFill="background1" w:themeFillShade="D9"/>
            <w:vAlign w:val="center"/>
            <w:hideMark/>
          </w:tcPr>
          <w:p w14:paraId="139C65DB" w14:textId="77777777" w:rsidR="00ED50FD" w:rsidRPr="00ED50FD" w:rsidRDefault="00ED50FD" w:rsidP="004B263F">
            <w:pPr>
              <w:spacing w:after="0"/>
              <w:jc w:val="center"/>
              <w:rPr>
                <w:rFonts w:ascii="Arial" w:hAnsi="Arial" w:cs="Arial"/>
                <w:sz w:val="16"/>
                <w:szCs w:val="16"/>
              </w:rPr>
            </w:pPr>
            <w:r w:rsidRPr="00ED50FD">
              <w:rPr>
                <w:rFonts w:ascii="Arial" w:hAnsi="Arial" w:cs="Arial"/>
                <w:sz w:val="16"/>
                <w:szCs w:val="16"/>
              </w:rPr>
              <w:t>0.005*</w:t>
            </w:r>
          </w:p>
        </w:tc>
        <w:tc>
          <w:tcPr>
            <w:tcW w:w="1985" w:type="dxa"/>
            <w:tcBorders>
              <w:top w:val="single" w:sz="2" w:space="0" w:color="000000" w:themeColor="text1"/>
              <w:left w:val="nil"/>
              <w:bottom w:val="single" w:sz="8" w:space="0" w:color="808080"/>
              <w:right w:val="nil"/>
            </w:tcBorders>
            <w:shd w:val="clear" w:color="auto" w:fill="D9D9D9" w:themeFill="background1" w:themeFillShade="D9"/>
            <w:vAlign w:val="center"/>
            <w:hideMark/>
          </w:tcPr>
          <w:p w14:paraId="71FC49AA" w14:textId="77777777" w:rsidR="00ED50FD" w:rsidRPr="002F4BFE" w:rsidRDefault="00ED50FD" w:rsidP="004B263F">
            <w:pPr>
              <w:spacing w:after="0"/>
              <w:jc w:val="center"/>
              <w:rPr>
                <w:rFonts w:ascii="Arial" w:hAnsi="Arial" w:cs="Arial"/>
                <w:bCs/>
                <w:sz w:val="20"/>
                <w:szCs w:val="20"/>
              </w:rPr>
            </w:pPr>
            <w:r w:rsidRPr="002F4BFE">
              <w:rPr>
                <w:rFonts w:ascii="Arial" w:hAnsi="Arial" w:cs="Arial"/>
                <w:bCs/>
                <w:sz w:val="20"/>
                <w:szCs w:val="20"/>
              </w:rPr>
              <w:t>↓</w:t>
            </w:r>
          </w:p>
        </w:tc>
      </w:tr>
    </w:tbl>
    <w:p w14:paraId="6286FE4B" w14:textId="77777777" w:rsidR="00ED50FD" w:rsidRPr="00557374" w:rsidRDefault="00ED50FD" w:rsidP="00ED50FD">
      <w:pPr>
        <w:pStyle w:val="Captions"/>
        <w:spacing w:before="0" w:after="0"/>
        <w:rPr>
          <w:rFonts w:ascii="Arial" w:hAnsi="Arial" w:cs="Arial"/>
          <w:sz w:val="18"/>
        </w:rPr>
      </w:pPr>
      <w:r w:rsidRPr="00557374">
        <w:rPr>
          <w:rFonts w:ascii="Arial" w:hAnsi="Arial" w:cs="Arial"/>
          <w:sz w:val="18"/>
        </w:rPr>
        <w:t>* Chi</w:t>
      </w:r>
      <w:r w:rsidRPr="00557374">
        <w:rPr>
          <w:rFonts w:ascii="Arial" w:hAnsi="Arial" w:cs="Arial"/>
          <w:sz w:val="18"/>
          <w:vertAlign w:val="superscript"/>
        </w:rPr>
        <w:t>2</w:t>
      </w:r>
      <w:r w:rsidRPr="00557374">
        <w:rPr>
          <w:rFonts w:ascii="Arial" w:hAnsi="Arial" w:cs="Arial"/>
          <w:sz w:val="18"/>
        </w:rPr>
        <w:t xml:space="preserve"> p&lt;0.05</w:t>
      </w:r>
    </w:p>
    <w:p w14:paraId="296B11EA" w14:textId="77777777" w:rsidR="00E52B89" w:rsidRPr="00C36529" w:rsidRDefault="00E52B89" w:rsidP="00DD4AEF">
      <w:pPr>
        <w:pStyle w:val="FigureTitle"/>
        <w:rPr>
          <w:b w:val="0"/>
        </w:rPr>
      </w:pPr>
    </w:p>
    <w:p w14:paraId="0B9B0F02" w14:textId="66031D72" w:rsidR="00E52B89" w:rsidRPr="00340CA0" w:rsidRDefault="00A96EC6" w:rsidP="00E52B89">
      <w:pPr>
        <w:pStyle w:val="FigureTitle"/>
      </w:pPr>
      <w:r>
        <w:t>Table 11</w:t>
      </w:r>
      <w:r w:rsidR="00557374">
        <w:t xml:space="preserve">: </w:t>
      </w:r>
      <w:r w:rsidR="00727F03">
        <w:t xml:space="preserve">Percentage change in key indicators </w:t>
      </w:r>
      <w:r w:rsidR="00FE3043">
        <w:t xml:space="preserve">for facilities that participated in both the 2016 and </w:t>
      </w:r>
      <w:r w:rsidR="00FE3043" w:rsidRPr="00340CA0">
        <w:t>201</w:t>
      </w:r>
      <w:r w:rsidR="00FE3043">
        <w:t>7 Hospital NAPS</w:t>
      </w:r>
    </w:p>
    <w:tbl>
      <w:tblPr>
        <w:tblW w:w="9464" w:type="dxa"/>
        <w:tblLayout w:type="fixed"/>
        <w:tblLook w:val="04A0" w:firstRow="1" w:lastRow="0" w:firstColumn="1" w:lastColumn="0" w:noHBand="0" w:noVBand="1"/>
      </w:tblPr>
      <w:tblGrid>
        <w:gridCol w:w="4544"/>
        <w:gridCol w:w="1695"/>
        <w:gridCol w:w="1240"/>
        <w:gridCol w:w="1985"/>
      </w:tblGrid>
      <w:tr w:rsidR="00ED50FD" w:rsidRPr="002F4BFE" w14:paraId="3E9668DC" w14:textId="77777777" w:rsidTr="004B263F">
        <w:trPr>
          <w:trHeight w:val="437"/>
        </w:trPr>
        <w:tc>
          <w:tcPr>
            <w:tcW w:w="4544" w:type="dxa"/>
            <w:vMerge w:val="restart"/>
            <w:tcBorders>
              <w:top w:val="single" w:sz="12" w:space="0" w:color="808080"/>
              <w:left w:val="nil"/>
              <w:bottom w:val="single" w:sz="8" w:space="0" w:color="FFFFFF"/>
              <w:right w:val="nil"/>
            </w:tcBorders>
            <w:shd w:val="clear" w:color="000000" w:fill="808080"/>
            <w:vAlign w:val="center"/>
            <w:hideMark/>
          </w:tcPr>
          <w:p w14:paraId="76865A85" w14:textId="77777777" w:rsidR="00ED50FD" w:rsidRPr="002F4BFE" w:rsidRDefault="00ED50FD" w:rsidP="004B263F">
            <w:pPr>
              <w:spacing w:after="0"/>
              <w:rPr>
                <w:rFonts w:ascii="Arial" w:hAnsi="Arial" w:cs="Arial"/>
                <w:b/>
                <w:bCs/>
                <w:color w:val="FFFFFF"/>
                <w:sz w:val="20"/>
                <w:szCs w:val="20"/>
              </w:rPr>
            </w:pPr>
            <w:r w:rsidRPr="002F4BFE">
              <w:rPr>
                <w:rFonts w:ascii="Arial" w:hAnsi="Arial" w:cs="Arial"/>
                <w:b/>
                <w:bCs/>
                <w:color w:val="FFFFFF"/>
                <w:sz w:val="20"/>
                <w:szCs w:val="20"/>
              </w:rPr>
              <w:t>Key indicator</w:t>
            </w:r>
          </w:p>
        </w:tc>
        <w:tc>
          <w:tcPr>
            <w:tcW w:w="4920" w:type="dxa"/>
            <w:gridSpan w:val="3"/>
            <w:tcBorders>
              <w:top w:val="nil"/>
              <w:left w:val="nil"/>
              <w:bottom w:val="nil"/>
              <w:right w:val="nil"/>
            </w:tcBorders>
            <w:shd w:val="clear" w:color="000000" w:fill="808080"/>
            <w:vAlign w:val="center"/>
            <w:hideMark/>
          </w:tcPr>
          <w:p w14:paraId="1B4B9B6D" w14:textId="77777777" w:rsidR="00ED50FD" w:rsidRPr="002F4BFE" w:rsidRDefault="00ED50FD" w:rsidP="004B263F">
            <w:pPr>
              <w:spacing w:after="0"/>
              <w:jc w:val="center"/>
              <w:rPr>
                <w:rFonts w:ascii="Arial" w:hAnsi="Arial" w:cs="Arial"/>
                <w:b/>
                <w:bCs/>
                <w:color w:val="FFFFFF"/>
                <w:sz w:val="18"/>
                <w:szCs w:val="18"/>
              </w:rPr>
            </w:pPr>
            <w:r w:rsidRPr="002F4BFE">
              <w:rPr>
                <w:rFonts w:ascii="Arial" w:hAnsi="Arial" w:cs="Arial"/>
                <w:b/>
                <w:bCs/>
                <w:color w:val="FFFFFF"/>
                <w:sz w:val="18"/>
                <w:szCs w:val="18"/>
              </w:rPr>
              <w:t>Percentage change between 2016 and 2017 participation</w:t>
            </w:r>
          </w:p>
        </w:tc>
      </w:tr>
      <w:tr w:rsidR="00ED50FD" w:rsidRPr="002F4BFE" w14:paraId="081834B4" w14:textId="77777777" w:rsidTr="004B263F">
        <w:trPr>
          <w:trHeight w:val="437"/>
        </w:trPr>
        <w:tc>
          <w:tcPr>
            <w:tcW w:w="4544" w:type="dxa"/>
            <w:vMerge/>
            <w:tcBorders>
              <w:top w:val="single" w:sz="12" w:space="0" w:color="808080"/>
              <w:left w:val="nil"/>
              <w:bottom w:val="single" w:sz="8" w:space="0" w:color="FFFFFF"/>
              <w:right w:val="nil"/>
            </w:tcBorders>
            <w:vAlign w:val="center"/>
            <w:hideMark/>
          </w:tcPr>
          <w:p w14:paraId="2B41859B" w14:textId="77777777" w:rsidR="00ED50FD" w:rsidRPr="002F4BFE" w:rsidRDefault="00ED50FD" w:rsidP="004B263F">
            <w:pPr>
              <w:spacing w:after="0"/>
              <w:rPr>
                <w:rFonts w:ascii="Arial" w:hAnsi="Arial" w:cs="Arial"/>
                <w:b/>
                <w:bCs/>
                <w:color w:val="FFFFFF"/>
                <w:sz w:val="20"/>
                <w:szCs w:val="20"/>
              </w:rPr>
            </w:pPr>
          </w:p>
        </w:tc>
        <w:tc>
          <w:tcPr>
            <w:tcW w:w="1695" w:type="dxa"/>
            <w:tcBorders>
              <w:top w:val="nil"/>
              <w:left w:val="nil"/>
              <w:bottom w:val="single" w:sz="8" w:space="0" w:color="808080"/>
              <w:right w:val="nil"/>
            </w:tcBorders>
            <w:shd w:val="clear" w:color="000000" w:fill="808080"/>
            <w:vAlign w:val="center"/>
            <w:hideMark/>
          </w:tcPr>
          <w:p w14:paraId="0BAF624E" w14:textId="77777777" w:rsidR="00ED50FD" w:rsidRPr="002F4BFE" w:rsidRDefault="00ED50FD" w:rsidP="004B263F">
            <w:pPr>
              <w:spacing w:after="0"/>
              <w:jc w:val="center"/>
              <w:rPr>
                <w:rFonts w:ascii="Arial" w:hAnsi="Arial" w:cs="Arial"/>
                <w:color w:val="FFFFFF"/>
                <w:sz w:val="18"/>
                <w:szCs w:val="18"/>
              </w:rPr>
            </w:pPr>
            <w:r w:rsidRPr="002F4BFE">
              <w:rPr>
                <w:rFonts w:ascii="Arial" w:hAnsi="Arial" w:cs="Arial"/>
                <w:color w:val="FFFFFF"/>
                <w:sz w:val="18"/>
                <w:szCs w:val="18"/>
              </w:rPr>
              <w:t>Estimated change  (95%CI)</w:t>
            </w:r>
          </w:p>
        </w:tc>
        <w:tc>
          <w:tcPr>
            <w:tcW w:w="1240" w:type="dxa"/>
            <w:tcBorders>
              <w:top w:val="nil"/>
              <w:left w:val="nil"/>
              <w:bottom w:val="single" w:sz="8" w:space="0" w:color="808080"/>
              <w:right w:val="nil"/>
            </w:tcBorders>
            <w:shd w:val="clear" w:color="000000" w:fill="808080"/>
            <w:vAlign w:val="center"/>
            <w:hideMark/>
          </w:tcPr>
          <w:p w14:paraId="625AF964" w14:textId="77777777" w:rsidR="00ED50FD" w:rsidRPr="002F4BFE" w:rsidRDefault="00ED50FD" w:rsidP="004B263F">
            <w:pPr>
              <w:spacing w:after="0"/>
              <w:jc w:val="center"/>
              <w:rPr>
                <w:rFonts w:ascii="Arial" w:hAnsi="Arial" w:cs="Arial"/>
                <w:color w:val="FFFFFF"/>
                <w:sz w:val="18"/>
                <w:szCs w:val="18"/>
              </w:rPr>
            </w:pPr>
            <w:r w:rsidRPr="00CE1EF8">
              <w:rPr>
                <w:rFonts w:ascii="Arial" w:hAnsi="Arial" w:cs="Arial"/>
                <w:color w:val="FFFFFF" w:themeColor="background1"/>
                <w:sz w:val="18"/>
                <w:szCs w:val="18"/>
              </w:rPr>
              <w:t>p value</w:t>
            </w:r>
          </w:p>
        </w:tc>
        <w:tc>
          <w:tcPr>
            <w:tcW w:w="1985" w:type="dxa"/>
            <w:tcBorders>
              <w:top w:val="nil"/>
              <w:left w:val="nil"/>
              <w:bottom w:val="single" w:sz="8" w:space="0" w:color="808080"/>
              <w:right w:val="nil"/>
            </w:tcBorders>
            <w:shd w:val="clear" w:color="000000" w:fill="808080"/>
            <w:vAlign w:val="center"/>
            <w:hideMark/>
          </w:tcPr>
          <w:p w14:paraId="571E4DDD" w14:textId="77777777" w:rsidR="00ED50FD" w:rsidRPr="002F4BFE" w:rsidRDefault="00ED50FD" w:rsidP="004B263F">
            <w:pPr>
              <w:spacing w:after="0"/>
              <w:jc w:val="center"/>
              <w:rPr>
                <w:rFonts w:ascii="Arial" w:hAnsi="Arial" w:cs="Arial"/>
                <w:color w:val="FFFFFF"/>
                <w:sz w:val="18"/>
                <w:szCs w:val="18"/>
              </w:rPr>
            </w:pPr>
            <w:r w:rsidRPr="002F4BFE">
              <w:rPr>
                <w:rFonts w:ascii="Arial" w:hAnsi="Arial" w:cs="Arial"/>
                <w:color w:val="FFFFFF"/>
                <w:sz w:val="18"/>
                <w:szCs w:val="18"/>
              </w:rPr>
              <w:t xml:space="preserve">Direction </w:t>
            </w:r>
          </w:p>
          <w:p w14:paraId="409DFDA3" w14:textId="77777777" w:rsidR="00ED50FD" w:rsidRPr="002F4BFE" w:rsidRDefault="00ED50FD" w:rsidP="004B263F">
            <w:pPr>
              <w:spacing w:after="0"/>
              <w:jc w:val="center"/>
              <w:rPr>
                <w:rFonts w:ascii="Arial" w:hAnsi="Arial" w:cs="Arial"/>
                <w:color w:val="FFFFFF"/>
                <w:sz w:val="18"/>
                <w:szCs w:val="18"/>
              </w:rPr>
            </w:pPr>
            <w:r w:rsidRPr="002F4BFE">
              <w:rPr>
                <w:rFonts w:ascii="Arial" w:hAnsi="Arial" w:cs="Arial"/>
                <w:color w:val="FFFFFF"/>
                <w:sz w:val="18"/>
                <w:szCs w:val="18"/>
              </w:rPr>
              <w:t>of change</w:t>
            </w:r>
          </w:p>
        </w:tc>
      </w:tr>
      <w:tr w:rsidR="00ED50FD" w:rsidRPr="002F4BFE" w14:paraId="5F52EE3D" w14:textId="77777777" w:rsidTr="004B263F">
        <w:trPr>
          <w:trHeight w:val="227"/>
        </w:trPr>
        <w:tc>
          <w:tcPr>
            <w:tcW w:w="4544" w:type="dxa"/>
            <w:tcBorders>
              <w:top w:val="single" w:sz="8" w:space="0" w:color="FFFFFF"/>
              <w:left w:val="nil"/>
              <w:bottom w:val="nil"/>
              <w:right w:val="nil"/>
            </w:tcBorders>
            <w:shd w:val="clear" w:color="000000" w:fill="808080"/>
            <w:vAlign w:val="center"/>
            <w:hideMark/>
          </w:tcPr>
          <w:p w14:paraId="23AA92BE" w14:textId="77777777" w:rsidR="00ED50FD" w:rsidRPr="002F4BFE" w:rsidRDefault="00ED50FD" w:rsidP="004B263F">
            <w:pPr>
              <w:spacing w:after="0"/>
              <w:rPr>
                <w:rFonts w:ascii="Arial" w:hAnsi="Arial" w:cs="Arial"/>
                <w:color w:val="FFFFFF" w:themeColor="background1"/>
                <w:sz w:val="18"/>
                <w:szCs w:val="18"/>
              </w:rPr>
            </w:pPr>
            <w:r w:rsidRPr="002F4BFE">
              <w:rPr>
                <w:rFonts w:ascii="Arial" w:hAnsi="Arial" w:cs="Arial"/>
                <w:color w:val="FFFFFF" w:themeColor="background1"/>
                <w:sz w:val="18"/>
                <w:szCs w:val="18"/>
              </w:rPr>
              <w:t xml:space="preserve">Indication documented in medical notes </w:t>
            </w:r>
          </w:p>
        </w:tc>
        <w:tc>
          <w:tcPr>
            <w:tcW w:w="1695" w:type="dxa"/>
            <w:vMerge w:val="restart"/>
            <w:tcBorders>
              <w:top w:val="nil"/>
              <w:left w:val="nil"/>
              <w:bottom w:val="single" w:sz="12" w:space="0" w:color="808080"/>
              <w:right w:val="nil"/>
            </w:tcBorders>
            <w:shd w:val="clear" w:color="auto" w:fill="auto"/>
            <w:vAlign w:val="center"/>
            <w:hideMark/>
          </w:tcPr>
          <w:p w14:paraId="61CC4316" w14:textId="77777777" w:rsidR="00ED50FD" w:rsidRPr="002F4BFE" w:rsidRDefault="00ED50FD" w:rsidP="004B263F">
            <w:pPr>
              <w:spacing w:after="0"/>
              <w:jc w:val="right"/>
              <w:rPr>
                <w:rFonts w:ascii="Arial" w:hAnsi="Arial" w:cs="Arial"/>
                <w:color w:val="000000"/>
                <w:sz w:val="16"/>
                <w:szCs w:val="16"/>
              </w:rPr>
            </w:pPr>
            <w:r w:rsidRPr="002F4BFE">
              <w:rPr>
                <w:rFonts w:ascii="Arial" w:hAnsi="Arial" w:cs="Arial"/>
                <w:color w:val="000000"/>
                <w:sz w:val="16"/>
                <w:szCs w:val="16"/>
              </w:rPr>
              <w:t>2.27 (1.53, 3.00)</w:t>
            </w:r>
          </w:p>
        </w:tc>
        <w:tc>
          <w:tcPr>
            <w:tcW w:w="1240" w:type="dxa"/>
            <w:vMerge w:val="restart"/>
            <w:tcBorders>
              <w:top w:val="nil"/>
              <w:left w:val="nil"/>
              <w:bottom w:val="single" w:sz="12" w:space="0" w:color="808080"/>
              <w:right w:val="nil"/>
            </w:tcBorders>
            <w:shd w:val="clear" w:color="auto" w:fill="auto"/>
            <w:vAlign w:val="center"/>
            <w:hideMark/>
          </w:tcPr>
          <w:p w14:paraId="74368871" w14:textId="77777777" w:rsidR="00ED50FD" w:rsidRPr="00CE1EF8" w:rsidRDefault="00ED50FD" w:rsidP="004B263F">
            <w:pPr>
              <w:spacing w:after="0"/>
              <w:jc w:val="center"/>
              <w:rPr>
                <w:rFonts w:ascii="Arial" w:hAnsi="Arial" w:cs="Arial"/>
                <w:sz w:val="16"/>
                <w:szCs w:val="16"/>
              </w:rPr>
            </w:pPr>
            <w:r w:rsidRPr="00CE1EF8">
              <w:rPr>
                <w:rFonts w:ascii="Arial" w:hAnsi="Arial" w:cs="Arial"/>
                <w:sz w:val="16"/>
                <w:szCs w:val="16"/>
              </w:rPr>
              <w:t>&lt;0.001*</w:t>
            </w:r>
          </w:p>
        </w:tc>
        <w:tc>
          <w:tcPr>
            <w:tcW w:w="1985" w:type="dxa"/>
            <w:vMerge w:val="restart"/>
            <w:tcBorders>
              <w:top w:val="nil"/>
              <w:left w:val="nil"/>
              <w:bottom w:val="single" w:sz="12" w:space="0" w:color="808080"/>
              <w:right w:val="nil"/>
            </w:tcBorders>
            <w:shd w:val="clear" w:color="auto" w:fill="auto"/>
            <w:vAlign w:val="center"/>
            <w:hideMark/>
          </w:tcPr>
          <w:p w14:paraId="6B1D5501" w14:textId="77777777" w:rsidR="00ED50FD" w:rsidRPr="002F4BFE" w:rsidRDefault="00ED50FD" w:rsidP="004B263F">
            <w:pPr>
              <w:spacing w:after="0"/>
              <w:jc w:val="center"/>
              <w:rPr>
                <w:rFonts w:ascii="Arial" w:hAnsi="Arial" w:cs="Arial"/>
                <w:b/>
                <w:bCs/>
                <w:sz w:val="20"/>
                <w:szCs w:val="20"/>
              </w:rPr>
            </w:pPr>
            <w:r w:rsidRPr="002F4BFE">
              <w:rPr>
                <w:rFonts w:ascii="Arial" w:hAnsi="Arial" w:cs="Arial"/>
                <w:b/>
                <w:bCs/>
                <w:sz w:val="20"/>
                <w:szCs w:val="20"/>
              </w:rPr>
              <w:t>↑</w:t>
            </w:r>
          </w:p>
        </w:tc>
      </w:tr>
      <w:tr w:rsidR="00ED50FD" w:rsidRPr="002F4BFE" w14:paraId="7BF2F33B" w14:textId="77777777" w:rsidTr="004B263F">
        <w:trPr>
          <w:trHeight w:val="227"/>
        </w:trPr>
        <w:tc>
          <w:tcPr>
            <w:tcW w:w="4544" w:type="dxa"/>
            <w:tcBorders>
              <w:top w:val="nil"/>
              <w:left w:val="nil"/>
              <w:bottom w:val="single" w:sz="8" w:space="0" w:color="FFFFFF"/>
              <w:right w:val="nil"/>
            </w:tcBorders>
            <w:shd w:val="clear" w:color="000000" w:fill="808080"/>
            <w:vAlign w:val="center"/>
            <w:hideMark/>
          </w:tcPr>
          <w:p w14:paraId="0B8A8323" w14:textId="77777777" w:rsidR="00ED50FD" w:rsidRPr="002F4BFE" w:rsidRDefault="00ED50FD" w:rsidP="004B263F">
            <w:pPr>
              <w:spacing w:after="0"/>
              <w:rPr>
                <w:rFonts w:ascii="Arial" w:hAnsi="Arial" w:cs="Arial"/>
                <w:color w:val="FFFFFF" w:themeColor="background1"/>
                <w:sz w:val="18"/>
                <w:szCs w:val="18"/>
              </w:rPr>
            </w:pPr>
            <w:r w:rsidRPr="002F4BFE">
              <w:rPr>
                <w:rFonts w:ascii="Arial" w:hAnsi="Arial" w:cs="Arial"/>
                <w:color w:val="FFFFFF" w:themeColor="background1"/>
                <w:sz w:val="18"/>
                <w:szCs w:val="18"/>
              </w:rPr>
              <w:t>(best practice &gt;95%)</w:t>
            </w:r>
          </w:p>
        </w:tc>
        <w:tc>
          <w:tcPr>
            <w:tcW w:w="1695" w:type="dxa"/>
            <w:vMerge/>
            <w:tcBorders>
              <w:top w:val="nil"/>
              <w:left w:val="nil"/>
              <w:bottom w:val="single" w:sz="12" w:space="0" w:color="808080"/>
              <w:right w:val="nil"/>
            </w:tcBorders>
            <w:vAlign w:val="center"/>
            <w:hideMark/>
          </w:tcPr>
          <w:p w14:paraId="5BD59B8C" w14:textId="77777777" w:rsidR="00ED50FD" w:rsidRPr="002F4BFE" w:rsidRDefault="00ED50FD" w:rsidP="004B263F">
            <w:pPr>
              <w:spacing w:after="0"/>
              <w:rPr>
                <w:rFonts w:ascii="Arial" w:hAnsi="Arial" w:cs="Arial"/>
                <w:color w:val="000000"/>
                <w:sz w:val="16"/>
                <w:szCs w:val="16"/>
              </w:rPr>
            </w:pPr>
          </w:p>
        </w:tc>
        <w:tc>
          <w:tcPr>
            <w:tcW w:w="1240" w:type="dxa"/>
            <w:vMerge/>
            <w:tcBorders>
              <w:top w:val="nil"/>
              <w:left w:val="nil"/>
              <w:bottom w:val="single" w:sz="12" w:space="0" w:color="808080"/>
              <w:right w:val="nil"/>
            </w:tcBorders>
            <w:vAlign w:val="center"/>
            <w:hideMark/>
          </w:tcPr>
          <w:p w14:paraId="2CBD2ECA" w14:textId="77777777" w:rsidR="00ED50FD" w:rsidRPr="00CE1EF8" w:rsidRDefault="00ED50FD" w:rsidP="004B263F">
            <w:pPr>
              <w:spacing w:after="0"/>
              <w:rPr>
                <w:rFonts w:ascii="Arial" w:hAnsi="Arial" w:cs="Arial"/>
                <w:sz w:val="16"/>
                <w:szCs w:val="16"/>
              </w:rPr>
            </w:pPr>
          </w:p>
        </w:tc>
        <w:tc>
          <w:tcPr>
            <w:tcW w:w="1985" w:type="dxa"/>
            <w:vMerge/>
            <w:tcBorders>
              <w:top w:val="nil"/>
              <w:left w:val="nil"/>
              <w:bottom w:val="single" w:sz="12" w:space="0" w:color="808080"/>
              <w:right w:val="nil"/>
            </w:tcBorders>
            <w:vAlign w:val="center"/>
            <w:hideMark/>
          </w:tcPr>
          <w:p w14:paraId="70B8C88E" w14:textId="77777777" w:rsidR="00ED50FD" w:rsidRPr="002F4BFE" w:rsidRDefault="00ED50FD" w:rsidP="004B263F">
            <w:pPr>
              <w:spacing w:after="0"/>
              <w:rPr>
                <w:rFonts w:ascii="Arial" w:hAnsi="Arial" w:cs="Arial"/>
                <w:b/>
                <w:bCs/>
                <w:sz w:val="20"/>
                <w:szCs w:val="20"/>
              </w:rPr>
            </w:pPr>
          </w:p>
        </w:tc>
      </w:tr>
      <w:tr w:rsidR="00ED50FD" w:rsidRPr="002F4BFE" w14:paraId="56F57848" w14:textId="77777777" w:rsidTr="004B263F">
        <w:trPr>
          <w:trHeight w:val="227"/>
        </w:trPr>
        <w:tc>
          <w:tcPr>
            <w:tcW w:w="4544" w:type="dxa"/>
            <w:tcBorders>
              <w:top w:val="single" w:sz="8" w:space="0" w:color="FFFFFF"/>
              <w:left w:val="nil"/>
              <w:bottom w:val="nil"/>
              <w:right w:val="nil"/>
            </w:tcBorders>
            <w:shd w:val="clear" w:color="000000" w:fill="808080"/>
            <w:vAlign w:val="center"/>
            <w:hideMark/>
          </w:tcPr>
          <w:p w14:paraId="326A242F" w14:textId="77777777" w:rsidR="00ED50FD" w:rsidRPr="002F4BFE" w:rsidRDefault="00ED50FD" w:rsidP="004B263F">
            <w:pPr>
              <w:spacing w:after="0"/>
              <w:rPr>
                <w:rFonts w:ascii="Arial" w:hAnsi="Arial" w:cs="Arial"/>
                <w:color w:val="FFFFFF" w:themeColor="background1"/>
                <w:sz w:val="18"/>
                <w:szCs w:val="18"/>
              </w:rPr>
            </w:pPr>
            <w:r w:rsidRPr="002F4BFE">
              <w:rPr>
                <w:rFonts w:ascii="Arial" w:hAnsi="Arial" w:cs="Arial"/>
                <w:color w:val="FFFFFF" w:themeColor="background1"/>
                <w:sz w:val="18"/>
                <w:szCs w:val="18"/>
              </w:rPr>
              <w:t xml:space="preserve">Review or stop date documented </w:t>
            </w:r>
          </w:p>
        </w:tc>
        <w:tc>
          <w:tcPr>
            <w:tcW w:w="1695" w:type="dxa"/>
            <w:vMerge w:val="restart"/>
            <w:tcBorders>
              <w:top w:val="nil"/>
              <w:left w:val="nil"/>
              <w:bottom w:val="single" w:sz="12" w:space="0" w:color="808080"/>
              <w:right w:val="nil"/>
            </w:tcBorders>
            <w:shd w:val="clear" w:color="auto" w:fill="D9D9D9" w:themeFill="background1" w:themeFillShade="D9"/>
            <w:vAlign w:val="center"/>
            <w:hideMark/>
          </w:tcPr>
          <w:p w14:paraId="2CFADB65" w14:textId="77777777" w:rsidR="00ED50FD" w:rsidRPr="002F4BFE" w:rsidRDefault="00ED50FD" w:rsidP="004B263F">
            <w:pPr>
              <w:spacing w:after="0"/>
              <w:jc w:val="right"/>
              <w:rPr>
                <w:rFonts w:ascii="Arial" w:hAnsi="Arial" w:cs="Arial"/>
                <w:color w:val="000000"/>
                <w:sz w:val="16"/>
                <w:szCs w:val="16"/>
              </w:rPr>
            </w:pPr>
            <w:r w:rsidRPr="002F4BFE">
              <w:rPr>
                <w:rFonts w:ascii="Arial" w:hAnsi="Arial" w:cs="Arial"/>
                <w:color w:val="000000"/>
                <w:sz w:val="16"/>
                <w:szCs w:val="16"/>
              </w:rPr>
              <w:t>2.53 (1.68, 3.37)</w:t>
            </w:r>
          </w:p>
        </w:tc>
        <w:tc>
          <w:tcPr>
            <w:tcW w:w="1240" w:type="dxa"/>
            <w:vMerge w:val="restart"/>
            <w:tcBorders>
              <w:top w:val="nil"/>
              <w:left w:val="nil"/>
              <w:bottom w:val="single" w:sz="12" w:space="0" w:color="808080"/>
              <w:right w:val="nil"/>
            </w:tcBorders>
            <w:shd w:val="clear" w:color="auto" w:fill="D9D9D9" w:themeFill="background1" w:themeFillShade="D9"/>
            <w:vAlign w:val="center"/>
            <w:hideMark/>
          </w:tcPr>
          <w:p w14:paraId="2EBF6DA3" w14:textId="77777777" w:rsidR="00ED50FD" w:rsidRPr="00CE1EF8" w:rsidRDefault="00ED50FD" w:rsidP="004B263F">
            <w:pPr>
              <w:spacing w:after="0"/>
              <w:jc w:val="center"/>
              <w:rPr>
                <w:rFonts w:ascii="Arial" w:hAnsi="Arial" w:cs="Arial"/>
                <w:sz w:val="16"/>
                <w:szCs w:val="16"/>
              </w:rPr>
            </w:pPr>
            <w:r w:rsidRPr="00CE1EF8">
              <w:rPr>
                <w:rFonts w:ascii="Arial" w:hAnsi="Arial" w:cs="Arial"/>
                <w:sz w:val="16"/>
                <w:szCs w:val="16"/>
              </w:rPr>
              <w:t>&lt;0.001*</w:t>
            </w:r>
          </w:p>
        </w:tc>
        <w:tc>
          <w:tcPr>
            <w:tcW w:w="1985" w:type="dxa"/>
            <w:vMerge w:val="restart"/>
            <w:tcBorders>
              <w:top w:val="nil"/>
              <w:left w:val="nil"/>
              <w:bottom w:val="single" w:sz="12" w:space="0" w:color="808080"/>
              <w:right w:val="nil"/>
            </w:tcBorders>
            <w:shd w:val="clear" w:color="auto" w:fill="D9D9D9" w:themeFill="background1" w:themeFillShade="D9"/>
            <w:vAlign w:val="center"/>
            <w:hideMark/>
          </w:tcPr>
          <w:p w14:paraId="00DDC5AF" w14:textId="77777777" w:rsidR="00ED50FD" w:rsidRPr="002F4BFE" w:rsidRDefault="00ED50FD" w:rsidP="004B263F">
            <w:pPr>
              <w:spacing w:after="0"/>
              <w:jc w:val="center"/>
              <w:rPr>
                <w:rFonts w:ascii="Arial" w:hAnsi="Arial" w:cs="Arial"/>
                <w:b/>
                <w:bCs/>
                <w:sz w:val="20"/>
                <w:szCs w:val="20"/>
              </w:rPr>
            </w:pPr>
            <w:r w:rsidRPr="002F4BFE">
              <w:rPr>
                <w:rFonts w:ascii="Arial" w:hAnsi="Arial" w:cs="Arial"/>
                <w:b/>
                <w:bCs/>
                <w:sz w:val="20"/>
                <w:szCs w:val="20"/>
              </w:rPr>
              <w:t>↑</w:t>
            </w:r>
          </w:p>
        </w:tc>
      </w:tr>
      <w:tr w:rsidR="00ED50FD" w:rsidRPr="002F4BFE" w14:paraId="52E30244" w14:textId="77777777" w:rsidTr="004B263F">
        <w:trPr>
          <w:trHeight w:val="227"/>
        </w:trPr>
        <w:tc>
          <w:tcPr>
            <w:tcW w:w="4544" w:type="dxa"/>
            <w:tcBorders>
              <w:top w:val="nil"/>
              <w:left w:val="nil"/>
              <w:bottom w:val="single" w:sz="8" w:space="0" w:color="FFFFFF"/>
              <w:right w:val="nil"/>
            </w:tcBorders>
            <w:shd w:val="clear" w:color="000000" w:fill="808080"/>
            <w:vAlign w:val="center"/>
            <w:hideMark/>
          </w:tcPr>
          <w:p w14:paraId="2214345B" w14:textId="77777777" w:rsidR="00ED50FD" w:rsidRPr="002F4BFE" w:rsidRDefault="00ED50FD" w:rsidP="004B263F">
            <w:pPr>
              <w:spacing w:after="0"/>
              <w:rPr>
                <w:rFonts w:ascii="Arial" w:hAnsi="Arial" w:cs="Arial"/>
                <w:color w:val="FFFFFF" w:themeColor="background1"/>
                <w:sz w:val="18"/>
                <w:szCs w:val="18"/>
              </w:rPr>
            </w:pPr>
            <w:r w:rsidRPr="002F4BFE">
              <w:rPr>
                <w:rFonts w:ascii="Arial" w:hAnsi="Arial" w:cs="Arial"/>
                <w:color w:val="FFFFFF" w:themeColor="background1"/>
                <w:sz w:val="18"/>
                <w:szCs w:val="18"/>
              </w:rPr>
              <w:t>(best practice &gt;95%)</w:t>
            </w:r>
          </w:p>
        </w:tc>
        <w:tc>
          <w:tcPr>
            <w:tcW w:w="1695" w:type="dxa"/>
            <w:vMerge/>
            <w:tcBorders>
              <w:top w:val="nil"/>
              <w:left w:val="nil"/>
              <w:bottom w:val="single" w:sz="12" w:space="0" w:color="808080"/>
              <w:right w:val="nil"/>
            </w:tcBorders>
            <w:shd w:val="clear" w:color="auto" w:fill="D9D9D9" w:themeFill="background1" w:themeFillShade="D9"/>
            <w:vAlign w:val="center"/>
            <w:hideMark/>
          </w:tcPr>
          <w:p w14:paraId="7C294FF6" w14:textId="77777777" w:rsidR="00ED50FD" w:rsidRPr="002F4BFE" w:rsidRDefault="00ED50FD" w:rsidP="004B263F">
            <w:pPr>
              <w:spacing w:after="0"/>
              <w:rPr>
                <w:rFonts w:ascii="Arial" w:hAnsi="Arial" w:cs="Arial"/>
                <w:color w:val="000000"/>
                <w:sz w:val="16"/>
                <w:szCs w:val="16"/>
              </w:rPr>
            </w:pPr>
          </w:p>
        </w:tc>
        <w:tc>
          <w:tcPr>
            <w:tcW w:w="1240" w:type="dxa"/>
            <w:vMerge/>
            <w:tcBorders>
              <w:top w:val="nil"/>
              <w:left w:val="nil"/>
              <w:bottom w:val="single" w:sz="12" w:space="0" w:color="808080"/>
              <w:right w:val="nil"/>
            </w:tcBorders>
            <w:shd w:val="clear" w:color="auto" w:fill="D9D9D9" w:themeFill="background1" w:themeFillShade="D9"/>
            <w:vAlign w:val="center"/>
            <w:hideMark/>
          </w:tcPr>
          <w:p w14:paraId="57ED8674" w14:textId="77777777" w:rsidR="00ED50FD" w:rsidRPr="00CE1EF8" w:rsidRDefault="00ED50FD" w:rsidP="004B263F">
            <w:pPr>
              <w:spacing w:after="0"/>
              <w:rPr>
                <w:rFonts w:ascii="Arial" w:hAnsi="Arial" w:cs="Arial"/>
                <w:sz w:val="16"/>
                <w:szCs w:val="16"/>
              </w:rPr>
            </w:pPr>
          </w:p>
        </w:tc>
        <w:tc>
          <w:tcPr>
            <w:tcW w:w="1985" w:type="dxa"/>
            <w:vMerge/>
            <w:tcBorders>
              <w:top w:val="nil"/>
              <w:left w:val="nil"/>
              <w:bottom w:val="single" w:sz="12" w:space="0" w:color="808080"/>
              <w:right w:val="nil"/>
            </w:tcBorders>
            <w:shd w:val="clear" w:color="auto" w:fill="D9D9D9" w:themeFill="background1" w:themeFillShade="D9"/>
            <w:vAlign w:val="center"/>
            <w:hideMark/>
          </w:tcPr>
          <w:p w14:paraId="4E4BF42B" w14:textId="77777777" w:rsidR="00ED50FD" w:rsidRPr="002F4BFE" w:rsidRDefault="00ED50FD" w:rsidP="004B263F">
            <w:pPr>
              <w:spacing w:after="0"/>
              <w:rPr>
                <w:rFonts w:ascii="Arial" w:hAnsi="Arial" w:cs="Arial"/>
                <w:b/>
                <w:bCs/>
                <w:sz w:val="20"/>
                <w:szCs w:val="20"/>
              </w:rPr>
            </w:pPr>
          </w:p>
        </w:tc>
      </w:tr>
      <w:tr w:rsidR="005C5E02" w:rsidRPr="002F4BFE" w14:paraId="75C5E6C3" w14:textId="77777777" w:rsidTr="004B263F">
        <w:trPr>
          <w:trHeight w:val="227"/>
        </w:trPr>
        <w:tc>
          <w:tcPr>
            <w:tcW w:w="4544" w:type="dxa"/>
            <w:tcBorders>
              <w:top w:val="single" w:sz="8" w:space="0" w:color="FFFFFF"/>
              <w:left w:val="nil"/>
              <w:bottom w:val="nil"/>
              <w:right w:val="nil"/>
            </w:tcBorders>
            <w:shd w:val="clear" w:color="000000" w:fill="808080"/>
            <w:vAlign w:val="center"/>
            <w:hideMark/>
          </w:tcPr>
          <w:p w14:paraId="69DAD313" w14:textId="5998BE6F" w:rsidR="005C5E02" w:rsidRPr="002F4BFE" w:rsidRDefault="005C5E02" w:rsidP="004B263F">
            <w:pPr>
              <w:spacing w:after="0"/>
              <w:rPr>
                <w:rFonts w:ascii="Arial" w:hAnsi="Arial" w:cs="Arial"/>
                <w:color w:val="FFFFFF" w:themeColor="background1"/>
                <w:sz w:val="18"/>
                <w:szCs w:val="18"/>
              </w:rPr>
            </w:pPr>
            <w:r w:rsidRPr="002F4BFE">
              <w:rPr>
                <w:rFonts w:ascii="Arial" w:hAnsi="Arial" w:cs="Arial"/>
                <w:color w:val="FFFFFF" w:themeColor="background1"/>
                <w:sz w:val="18"/>
                <w:szCs w:val="18"/>
              </w:rPr>
              <w:t xml:space="preserve">Surgical prophylaxis given for &gt;24 hours </w:t>
            </w:r>
          </w:p>
        </w:tc>
        <w:tc>
          <w:tcPr>
            <w:tcW w:w="1695" w:type="dxa"/>
            <w:vMerge w:val="restart"/>
            <w:tcBorders>
              <w:top w:val="nil"/>
              <w:left w:val="nil"/>
              <w:bottom w:val="single" w:sz="12" w:space="0" w:color="808080"/>
              <w:right w:val="nil"/>
            </w:tcBorders>
            <w:shd w:val="clear" w:color="auto" w:fill="auto"/>
            <w:vAlign w:val="center"/>
            <w:hideMark/>
          </w:tcPr>
          <w:p w14:paraId="0AE08115" w14:textId="77777777" w:rsidR="005C5E02" w:rsidRPr="002F4BFE" w:rsidRDefault="005C5E02" w:rsidP="004B263F">
            <w:pPr>
              <w:spacing w:after="0"/>
              <w:jc w:val="right"/>
              <w:rPr>
                <w:rFonts w:ascii="Arial" w:hAnsi="Arial" w:cs="Arial"/>
                <w:color w:val="000000"/>
                <w:sz w:val="16"/>
                <w:szCs w:val="16"/>
              </w:rPr>
            </w:pPr>
            <w:r w:rsidRPr="002F4BFE">
              <w:rPr>
                <w:rFonts w:ascii="Arial" w:hAnsi="Arial" w:cs="Arial"/>
                <w:color w:val="000000"/>
                <w:sz w:val="16"/>
                <w:szCs w:val="16"/>
              </w:rPr>
              <w:t>0.47 (-1.71, 2.64)</w:t>
            </w:r>
          </w:p>
        </w:tc>
        <w:tc>
          <w:tcPr>
            <w:tcW w:w="1240" w:type="dxa"/>
            <w:vMerge w:val="restart"/>
            <w:tcBorders>
              <w:top w:val="nil"/>
              <w:left w:val="nil"/>
              <w:bottom w:val="single" w:sz="12" w:space="0" w:color="808080"/>
              <w:right w:val="nil"/>
            </w:tcBorders>
            <w:shd w:val="clear" w:color="auto" w:fill="auto"/>
            <w:vAlign w:val="center"/>
            <w:hideMark/>
          </w:tcPr>
          <w:p w14:paraId="61C4BBCC" w14:textId="77777777" w:rsidR="005C5E02" w:rsidRPr="00CE1EF8" w:rsidRDefault="005C5E02" w:rsidP="004B263F">
            <w:pPr>
              <w:spacing w:after="0"/>
              <w:jc w:val="center"/>
              <w:rPr>
                <w:rFonts w:ascii="Arial" w:hAnsi="Arial" w:cs="Arial"/>
                <w:sz w:val="16"/>
                <w:szCs w:val="16"/>
              </w:rPr>
            </w:pPr>
            <w:r w:rsidRPr="00CE1EF8">
              <w:rPr>
                <w:rFonts w:ascii="Arial" w:hAnsi="Arial" w:cs="Arial"/>
                <w:sz w:val="16"/>
                <w:szCs w:val="16"/>
              </w:rPr>
              <w:t>0.688 </w:t>
            </w:r>
          </w:p>
        </w:tc>
        <w:tc>
          <w:tcPr>
            <w:tcW w:w="1985" w:type="dxa"/>
            <w:vMerge w:val="restart"/>
            <w:tcBorders>
              <w:top w:val="nil"/>
              <w:left w:val="nil"/>
              <w:bottom w:val="single" w:sz="12" w:space="0" w:color="808080"/>
              <w:right w:val="nil"/>
            </w:tcBorders>
            <w:shd w:val="clear" w:color="auto" w:fill="auto"/>
            <w:vAlign w:val="center"/>
            <w:hideMark/>
          </w:tcPr>
          <w:p w14:paraId="536571A7" w14:textId="77777777" w:rsidR="005C5E02" w:rsidRPr="002F4BFE" w:rsidRDefault="005C5E02" w:rsidP="004B263F">
            <w:pPr>
              <w:spacing w:after="0"/>
              <w:jc w:val="center"/>
              <w:rPr>
                <w:rFonts w:ascii="Arial" w:hAnsi="Arial" w:cs="Arial"/>
                <w:b/>
                <w:bCs/>
                <w:sz w:val="20"/>
                <w:szCs w:val="20"/>
              </w:rPr>
            </w:pPr>
            <w:r w:rsidRPr="002F4BFE">
              <w:rPr>
                <w:rFonts w:ascii="Arial" w:hAnsi="Arial" w:cs="Arial"/>
                <w:b/>
                <w:bCs/>
                <w:sz w:val="20"/>
                <w:szCs w:val="20"/>
              </w:rPr>
              <w:t>↑</w:t>
            </w:r>
          </w:p>
        </w:tc>
      </w:tr>
      <w:tr w:rsidR="005C5E02" w:rsidRPr="002F4BFE" w14:paraId="3C6CC8DA" w14:textId="77777777" w:rsidTr="004B263F">
        <w:trPr>
          <w:trHeight w:val="227"/>
        </w:trPr>
        <w:tc>
          <w:tcPr>
            <w:tcW w:w="4544" w:type="dxa"/>
            <w:tcBorders>
              <w:top w:val="single" w:sz="12" w:space="0" w:color="808080" w:themeColor="background1" w:themeShade="80"/>
              <w:left w:val="nil"/>
              <w:bottom w:val="nil"/>
              <w:right w:val="nil"/>
            </w:tcBorders>
            <w:shd w:val="clear" w:color="000000" w:fill="808080"/>
            <w:vAlign w:val="center"/>
            <w:hideMark/>
          </w:tcPr>
          <w:p w14:paraId="4432B18A" w14:textId="36753F22" w:rsidR="005C5E02" w:rsidRPr="002F4BFE" w:rsidRDefault="005C5E02" w:rsidP="00CE1EF8">
            <w:pPr>
              <w:spacing w:after="0"/>
              <w:rPr>
                <w:rFonts w:ascii="Arial" w:hAnsi="Arial" w:cs="Arial"/>
                <w:color w:val="FFFFFF" w:themeColor="background1"/>
                <w:sz w:val="18"/>
                <w:szCs w:val="18"/>
              </w:rPr>
            </w:pPr>
            <w:r w:rsidRPr="002F4BFE">
              <w:rPr>
                <w:rFonts w:ascii="Arial" w:hAnsi="Arial" w:cs="Arial"/>
                <w:color w:val="FFFFFF" w:themeColor="background1"/>
                <w:sz w:val="18"/>
                <w:szCs w:val="18"/>
              </w:rPr>
              <w:t>(</w:t>
            </w:r>
            <w:proofErr w:type="gramStart"/>
            <w:r w:rsidRPr="002F4BFE">
              <w:rPr>
                <w:rFonts w:ascii="Arial" w:hAnsi="Arial" w:cs="Arial"/>
                <w:color w:val="FFFFFF" w:themeColor="background1"/>
                <w:sz w:val="18"/>
                <w:szCs w:val="18"/>
              </w:rPr>
              <w:t>best</w:t>
            </w:r>
            <w:proofErr w:type="gramEnd"/>
            <w:r w:rsidRPr="002F4BFE">
              <w:rPr>
                <w:rFonts w:ascii="Arial" w:hAnsi="Arial" w:cs="Arial"/>
                <w:color w:val="FFFFFF" w:themeColor="background1"/>
                <w:sz w:val="18"/>
                <w:szCs w:val="18"/>
              </w:rPr>
              <w:t xml:space="preserve"> practice &lt;5%)</w:t>
            </w:r>
            <w:r w:rsidRPr="002F4BFE">
              <w:rPr>
                <w:rFonts w:ascii="Arial" w:hAnsi="Arial" w:cs="Arial"/>
                <w:color w:val="FFFFFF" w:themeColor="background1"/>
                <w:vertAlign w:val="superscript"/>
              </w:rPr>
              <w:t>†</w:t>
            </w:r>
          </w:p>
        </w:tc>
        <w:tc>
          <w:tcPr>
            <w:tcW w:w="1695" w:type="dxa"/>
            <w:vMerge/>
            <w:tcBorders>
              <w:top w:val="single" w:sz="12" w:space="0" w:color="808080" w:themeColor="background1" w:themeShade="80"/>
              <w:left w:val="nil"/>
              <w:bottom w:val="single" w:sz="12" w:space="0" w:color="808080" w:themeColor="background1" w:themeShade="80"/>
              <w:right w:val="nil"/>
            </w:tcBorders>
            <w:vAlign w:val="center"/>
            <w:hideMark/>
          </w:tcPr>
          <w:p w14:paraId="67D1C7C8" w14:textId="77777777" w:rsidR="005C5E02" w:rsidRPr="002F4BFE" w:rsidRDefault="005C5E02" w:rsidP="004B263F">
            <w:pPr>
              <w:spacing w:after="0"/>
              <w:rPr>
                <w:rFonts w:ascii="Arial" w:hAnsi="Arial" w:cs="Arial"/>
                <w:color w:val="000000"/>
                <w:sz w:val="16"/>
                <w:szCs w:val="16"/>
              </w:rPr>
            </w:pPr>
          </w:p>
        </w:tc>
        <w:tc>
          <w:tcPr>
            <w:tcW w:w="1240" w:type="dxa"/>
            <w:vMerge/>
            <w:tcBorders>
              <w:top w:val="single" w:sz="12" w:space="0" w:color="808080" w:themeColor="background1" w:themeShade="80"/>
              <w:left w:val="nil"/>
              <w:bottom w:val="single" w:sz="12" w:space="0" w:color="808080" w:themeColor="background1" w:themeShade="80"/>
              <w:right w:val="nil"/>
            </w:tcBorders>
            <w:vAlign w:val="center"/>
            <w:hideMark/>
          </w:tcPr>
          <w:p w14:paraId="75EA3CE3" w14:textId="77777777" w:rsidR="005C5E02" w:rsidRPr="00CE1EF8" w:rsidRDefault="005C5E02" w:rsidP="004B263F">
            <w:pPr>
              <w:spacing w:after="0"/>
              <w:rPr>
                <w:rFonts w:ascii="Arial" w:hAnsi="Arial" w:cs="Arial"/>
                <w:sz w:val="16"/>
                <w:szCs w:val="16"/>
              </w:rPr>
            </w:pPr>
          </w:p>
        </w:tc>
        <w:tc>
          <w:tcPr>
            <w:tcW w:w="1985" w:type="dxa"/>
            <w:vMerge/>
            <w:tcBorders>
              <w:top w:val="single" w:sz="12" w:space="0" w:color="808080" w:themeColor="background1" w:themeShade="80"/>
              <w:left w:val="nil"/>
              <w:bottom w:val="single" w:sz="12" w:space="0" w:color="808080" w:themeColor="background1" w:themeShade="80"/>
              <w:right w:val="nil"/>
            </w:tcBorders>
            <w:vAlign w:val="center"/>
            <w:hideMark/>
          </w:tcPr>
          <w:p w14:paraId="362ECC9F" w14:textId="77777777" w:rsidR="005C5E02" w:rsidRPr="002F4BFE" w:rsidRDefault="005C5E02" w:rsidP="004B263F">
            <w:pPr>
              <w:spacing w:after="0"/>
              <w:rPr>
                <w:rFonts w:ascii="Arial" w:hAnsi="Arial" w:cs="Arial"/>
                <w:b/>
                <w:bCs/>
                <w:sz w:val="20"/>
                <w:szCs w:val="20"/>
              </w:rPr>
            </w:pPr>
          </w:p>
        </w:tc>
      </w:tr>
      <w:tr w:rsidR="005C5E02" w:rsidRPr="002F4BFE" w14:paraId="7ECD1382" w14:textId="77777777" w:rsidTr="00CE1EF8">
        <w:trPr>
          <w:trHeight w:val="484"/>
        </w:trPr>
        <w:tc>
          <w:tcPr>
            <w:tcW w:w="4544" w:type="dxa"/>
            <w:tcBorders>
              <w:top w:val="single" w:sz="8" w:space="0" w:color="FFFFFF"/>
              <w:left w:val="nil"/>
              <w:bottom w:val="single" w:sz="8" w:space="0" w:color="FFFFFF" w:themeColor="background1"/>
              <w:right w:val="nil"/>
            </w:tcBorders>
            <w:shd w:val="clear" w:color="000000" w:fill="808080"/>
            <w:vAlign w:val="center"/>
          </w:tcPr>
          <w:p w14:paraId="34622BE9" w14:textId="6E5E3BBA" w:rsidR="005C5E02" w:rsidRPr="002F4BFE" w:rsidRDefault="005C5E02" w:rsidP="00CE1EF8">
            <w:pPr>
              <w:spacing w:after="0"/>
              <w:rPr>
                <w:rFonts w:ascii="Arial" w:hAnsi="Arial" w:cs="Arial"/>
                <w:color w:val="FFFFFF" w:themeColor="background1"/>
                <w:sz w:val="18"/>
                <w:szCs w:val="18"/>
              </w:rPr>
            </w:pPr>
            <w:r w:rsidRPr="002F4BFE">
              <w:rPr>
                <w:rFonts w:ascii="Arial" w:hAnsi="Arial" w:cs="Arial"/>
                <w:color w:val="FFFFFF" w:themeColor="background1"/>
                <w:sz w:val="18"/>
                <w:szCs w:val="18"/>
              </w:rPr>
              <w:t xml:space="preserve">Compliant with </w:t>
            </w:r>
            <w:r w:rsidRPr="002F4BFE">
              <w:rPr>
                <w:rFonts w:ascii="Arial" w:hAnsi="Arial" w:cs="Arial"/>
                <w:i/>
                <w:iCs/>
                <w:color w:val="FFFFFF" w:themeColor="background1"/>
                <w:sz w:val="18"/>
                <w:szCs w:val="18"/>
              </w:rPr>
              <w:t>Therapeutic Guidelines</w:t>
            </w:r>
            <w:r w:rsidRPr="002F4BFE">
              <w:rPr>
                <w:rFonts w:ascii="Arial" w:hAnsi="Arial" w:cs="Arial"/>
                <w:color w:val="FFFFFF" w:themeColor="background1"/>
                <w:sz w:val="18"/>
                <w:szCs w:val="18"/>
              </w:rPr>
              <w:t xml:space="preserve"> or local guidelines</w:t>
            </w:r>
            <w:r w:rsidRPr="002F4BFE">
              <w:rPr>
                <w:rFonts w:ascii="Arial" w:hAnsi="Arial" w:cs="Arial"/>
                <w:color w:val="FFFFFF" w:themeColor="background1"/>
                <w:sz w:val="16"/>
                <w:szCs w:val="16"/>
                <w:vertAlign w:val="superscript"/>
              </w:rPr>
              <w:t>§</w:t>
            </w:r>
          </w:p>
        </w:tc>
        <w:tc>
          <w:tcPr>
            <w:tcW w:w="1695" w:type="dxa"/>
            <w:tcBorders>
              <w:top w:val="nil"/>
              <w:left w:val="nil"/>
              <w:bottom w:val="single" w:sz="8" w:space="0" w:color="808080"/>
              <w:right w:val="nil"/>
            </w:tcBorders>
            <w:shd w:val="clear" w:color="auto" w:fill="D9D9D9" w:themeFill="background1" w:themeFillShade="D9"/>
            <w:vAlign w:val="center"/>
            <w:hideMark/>
          </w:tcPr>
          <w:p w14:paraId="353B65E2" w14:textId="77777777" w:rsidR="005C5E02" w:rsidRPr="002F4BFE" w:rsidRDefault="005C5E02" w:rsidP="004B263F">
            <w:pPr>
              <w:spacing w:after="0"/>
              <w:jc w:val="right"/>
              <w:rPr>
                <w:rFonts w:ascii="Arial" w:hAnsi="Arial" w:cs="Arial"/>
                <w:color w:val="000000"/>
                <w:sz w:val="16"/>
                <w:szCs w:val="16"/>
              </w:rPr>
            </w:pPr>
            <w:r w:rsidRPr="002F4BFE">
              <w:rPr>
                <w:rFonts w:ascii="Arial" w:hAnsi="Arial" w:cs="Arial"/>
                <w:color w:val="000000"/>
                <w:sz w:val="16"/>
                <w:szCs w:val="16"/>
              </w:rPr>
              <w:t>1.33 (0.42, 2.25)</w:t>
            </w:r>
          </w:p>
        </w:tc>
        <w:tc>
          <w:tcPr>
            <w:tcW w:w="1240" w:type="dxa"/>
            <w:tcBorders>
              <w:top w:val="nil"/>
              <w:left w:val="nil"/>
              <w:bottom w:val="single" w:sz="4" w:space="0" w:color="auto"/>
              <w:right w:val="nil"/>
            </w:tcBorders>
            <w:shd w:val="clear" w:color="auto" w:fill="D9D9D9" w:themeFill="background1" w:themeFillShade="D9"/>
            <w:vAlign w:val="center"/>
            <w:hideMark/>
          </w:tcPr>
          <w:p w14:paraId="42C05995" w14:textId="77777777" w:rsidR="005C5E02" w:rsidRPr="00CE1EF8" w:rsidRDefault="005C5E02" w:rsidP="004B263F">
            <w:pPr>
              <w:spacing w:after="0"/>
              <w:jc w:val="center"/>
              <w:rPr>
                <w:rFonts w:ascii="Arial" w:hAnsi="Arial" w:cs="Arial"/>
                <w:sz w:val="16"/>
                <w:szCs w:val="16"/>
              </w:rPr>
            </w:pPr>
            <w:r w:rsidRPr="00CE1EF8">
              <w:rPr>
                <w:rFonts w:ascii="Arial" w:hAnsi="Arial" w:cs="Arial"/>
                <w:sz w:val="16"/>
                <w:szCs w:val="16"/>
              </w:rPr>
              <w:t>0.004*</w:t>
            </w:r>
          </w:p>
        </w:tc>
        <w:tc>
          <w:tcPr>
            <w:tcW w:w="1985" w:type="dxa"/>
            <w:tcBorders>
              <w:top w:val="nil"/>
              <w:left w:val="nil"/>
              <w:bottom w:val="single" w:sz="8" w:space="0" w:color="808080"/>
              <w:right w:val="nil"/>
            </w:tcBorders>
            <w:shd w:val="clear" w:color="auto" w:fill="D9D9D9" w:themeFill="background1" w:themeFillShade="D9"/>
            <w:vAlign w:val="center"/>
            <w:hideMark/>
          </w:tcPr>
          <w:p w14:paraId="683971BB" w14:textId="77777777" w:rsidR="005C5E02" w:rsidRPr="002F4BFE" w:rsidRDefault="005C5E02" w:rsidP="004B263F">
            <w:pPr>
              <w:spacing w:after="0"/>
              <w:jc w:val="center"/>
              <w:rPr>
                <w:rFonts w:ascii="Arial" w:hAnsi="Arial" w:cs="Arial"/>
                <w:b/>
                <w:bCs/>
                <w:sz w:val="20"/>
                <w:szCs w:val="20"/>
              </w:rPr>
            </w:pPr>
            <w:r w:rsidRPr="002F4BFE">
              <w:rPr>
                <w:rFonts w:ascii="Arial" w:hAnsi="Arial" w:cs="Arial"/>
                <w:b/>
                <w:bCs/>
                <w:sz w:val="20"/>
                <w:szCs w:val="20"/>
              </w:rPr>
              <w:t>↑</w:t>
            </w:r>
          </w:p>
        </w:tc>
      </w:tr>
      <w:tr w:rsidR="005C5E02" w:rsidRPr="002F4BFE" w14:paraId="2D59FF25" w14:textId="77777777" w:rsidTr="00CE1EF8">
        <w:trPr>
          <w:trHeight w:val="484"/>
        </w:trPr>
        <w:tc>
          <w:tcPr>
            <w:tcW w:w="4544" w:type="dxa"/>
            <w:tcBorders>
              <w:top w:val="single" w:sz="8" w:space="0" w:color="FFFFFF" w:themeColor="background1"/>
              <w:left w:val="nil"/>
              <w:right w:val="nil"/>
            </w:tcBorders>
            <w:shd w:val="clear" w:color="000000" w:fill="808080"/>
            <w:vAlign w:val="center"/>
            <w:hideMark/>
          </w:tcPr>
          <w:p w14:paraId="1C7256BE" w14:textId="472D64BF" w:rsidR="005C5E02" w:rsidRPr="002F4BFE" w:rsidRDefault="005C5E02" w:rsidP="00CE1EF8">
            <w:pPr>
              <w:spacing w:after="0"/>
              <w:rPr>
                <w:rFonts w:ascii="Arial" w:hAnsi="Arial" w:cs="Arial"/>
                <w:color w:val="FFFFFF" w:themeColor="background1"/>
                <w:sz w:val="18"/>
                <w:szCs w:val="18"/>
              </w:rPr>
            </w:pPr>
            <w:r w:rsidRPr="002F4BFE">
              <w:rPr>
                <w:rFonts w:ascii="Arial" w:hAnsi="Arial" w:cs="Arial"/>
                <w:color w:val="FFFFFF" w:themeColor="background1"/>
                <w:sz w:val="18"/>
                <w:szCs w:val="18"/>
              </w:rPr>
              <w:t>Appropriate (optimal and adequate)</w:t>
            </w:r>
            <w:r w:rsidRPr="002F4BFE">
              <w:rPr>
                <w:rFonts w:ascii="Arial" w:hAnsi="Arial" w:cs="Arial"/>
                <w:color w:val="FFFFFF" w:themeColor="background1"/>
                <w:sz w:val="18"/>
                <w:szCs w:val="18"/>
                <w:vertAlign w:val="superscript"/>
              </w:rPr>
              <w:t>#</w:t>
            </w:r>
          </w:p>
        </w:tc>
        <w:tc>
          <w:tcPr>
            <w:tcW w:w="1695" w:type="dxa"/>
            <w:tcBorders>
              <w:top w:val="single" w:sz="12" w:space="0" w:color="808080" w:themeColor="background1" w:themeShade="80"/>
              <w:left w:val="nil"/>
              <w:bottom w:val="single" w:sz="8" w:space="0" w:color="808080"/>
            </w:tcBorders>
            <w:shd w:val="clear" w:color="auto" w:fill="auto"/>
            <w:vAlign w:val="center"/>
            <w:hideMark/>
          </w:tcPr>
          <w:p w14:paraId="69767BE1" w14:textId="77777777" w:rsidR="005C5E02" w:rsidRPr="002F4BFE" w:rsidRDefault="005C5E02" w:rsidP="004B263F">
            <w:pPr>
              <w:spacing w:after="0"/>
              <w:jc w:val="right"/>
              <w:rPr>
                <w:rFonts w:ascii="Arial" w:hAnsi="Arial" w:cs="Arial"/>
                <w:color w:val="000000"/>
                <w:sz w:val="16"/>
                <w:szCs w:val="16"/>
              </w:rPr>
            </w:pPr>
            <w:r w:rsidRPr="002F4BFE">
              <w:rPr>
                <w:rFonts w:ascii="Arial" w:hAnsi="Arial" w:cs="Arial"/>
                <w:color w:val="000000"/>
                <w:sz w:val="16"/>
                <w:szCs w:val="16"/>
              </w:rPr>
              <w:t>0.29 (-0.47, 1.04)</w:t>
            </w:r>
          </w:p>
        </w:tc>
        <w:tc>
          <w:tcPr>
            <w:tcW w:w="1240" w:type="dxa"/>
            <w:tcBorders>
              <w:top w:val="single" w:sz="4" w:space="0" w:color="auto"/>
              <w:bottom w:val="single" w:sz="4" w:space="0" w:color="auto"/>
            </w:tcBorders>
            <w:shd w:val="clear" w:color="auto" w:fill="auto"/>
            <w:vAlign w:val="center"/>
            <w:hideMark/>
          </w:tcPr>
          <w:p w14:paraId="017B642C" w14:textId="77777777" w:rsidR="005C5E02" w:rsidRPr="00CE1EF8" w:rsidRDefault="005C5E02" w:rsidP="004B263F">
            <w:pPr>
              <w:spacing w:after="0"/>
              <w:jc w:val="center"/>
              <w:rPr>
                <w:rFonts w:ascii="Arial" w:hAnsi="Arial" w:cs="Arial"/>
                <w:sz w:val="16"/>
                <w:szCs w:val="16"/>
              </w:rPr>
            </w:pPr>
            <w:r w:rsidRPr="00CE1EF8">
              <w:rPr>
                <w:rFonts w:ascii="Arial" w:hAnsi="Arial" w:cs="Arial"/>
                <w:sz w:val="16"/>
                <w:szCs w:val="16"/>
              </w:rPr>
              <w:t>0.460</w:t>
            </w:r>
          </w:p>
        </w:tc>
        <w:tc>
          <w:tcPr>
            <w:tcW w:w="1985" w:type="dxa"/>
            <w:tcBorders>
              <w:top w:val="single" w:sz="12" w:space="0" w:color="808080" w:themeColor="background1" w:themeShade="80"/>
              <w:left w:val="nil"/>
              <w:bottom w:val="single" w:sz="8" w:space="0" w:color="808080"/>
              <w:right w:val="nil"/>
            </w:tcBorders>
            <w:shd w:val="clear" w:color="auto" w:fill="auto"/>
            <w:vAlign w:val="center"/>
            <w:hideMark/>
          </w:tcPr>
          <w:p w14:paraId="75BEA201" w14:textId="77777777" w:rsidR="005C5E02" w:rsidRPr="002F4BFE" w:rsidRDefault="005C5E02" w:rsidP="004B263F">
            <w:pPr>
              <w:spacing w:after="0"/>
              <w:jc w:val="center"/>
              <w:rPr>
                <w:rFonts w:ascii="Arial" w:hAnsi="Arial" w:cs="Arial"/>
                <w:b/>
                <w:bCs/>
                <w:sz w:val="20"/>
                <w:szCs w:val="20"/>
              </w:rPr>
            </w:pPr>
            <w:r w:rsidRPr="002F4BFE">
              <w:rPr>
                <w:rFonts w:ascii="Arial" w:hAnsi="Arial" w:cs="Arial"/>
                <w:b/>
                <w:bCs/>
                <w:sz w:val="20"/>
                <w:szCs w:val="20"/>
              </w:rPr>
              <w:t>↑</w:t>
            </w:r>
          </w:p>
        </w:tc>
      </w:tr>
    </w:tbl>
    <w:p w14:paraId="709DFA57" w14:textId="77777777" w:rsidR="00ED50FD" w:rsidRPr="00557374" w:rsidRDefault="00ED50FD" w:rsidP="00ED50FD">
      <w:pPr>
        <w:pStyle w:val="Captions"/>
        <w:spacing w:before="0" w:after="0"/>
        <w:rPr>
          <w:rFonts w:ascii="Arial" w:hAnsi="Arial" w:cs="Arial"/>
          <w:sz w:val="18"/>
          <w:szCs w:val="18"/>
        </w:rPr>
      </w:pPr>
      <w:r w:rsidRPr="00557374">
        <w:rPr>
          <w:rFonts w:ascii="Arial" w:hAnsi="Arial" w:cs="Arial"/>
          <w:sz w:val="18"/>
          <w:szCs w:val="18"/>
        </w:rPr>
        <w:t>* Chi</w:t>
      </w:r>
      <w:r w:rsidRPr="00557374">
        <w:rPr>
          <w:rFonts w:ascii="Arial" w:hAnsi="Arial" w:cs="Arial"/>
          <w:sz w:val="18"/>
          <w:szCs w:val="18"/>
          <w:vertAlign w:val="superscript"/>
        </w:rPr>
        <w:t>2</w:t>
      </w:r>
      <w:r w:rsidRPr="00557374">
        <w:rPr>
          <w:rFonts w:ascii="Arial" w:hAnsi="Arial" w:cs="Arial"/>
          <w:sz w:val="18"/>
          <w:szCs w:val="18"/>
        </w:rPr>
        <w:t xml:space="preserve"> p&lt;0.05</w:t>
      </w:r>
    </w:p>
    <w:p w14:paraId="59138E11" w14:textId="77777777" w:rsidR="005C5E02" w:rsidRPr="00557374" w:rsidRDefault="005C5E02" w:rsidP="005C5E02">
      <w:pPr>
        <w:pStyle w:val="Captions"/>
        <w:spacing w:before="0" w:after="0"/>
        <w:rPr>
          <w:rFonts w:ascii="Arial" w:hAnsi="Arial" w:cs="Arial"/>
          <w:sz w:val="18"/>
          <w:szCs w:val="18"/>
        </w:rPr>
      </w:pPr>
      <w:r w:rsidRPr="00557374">
        <w:rPr>
          <w:rFonts w:ascii="Arial" w:hAnsi="Arial" w:cs="Arial"/>
          <w:sz w:val="18"/>
          <w:szCs w:val="18"/>
          <w:vertAlign w:val="superscript"/>
        </w:rPr>
        <w:t>†</w:t>
      </w:r>
      <w:r w:rsidRPr="00557374">
        <w:rPr>
          <w:rFonts w:ascii="Arial" w:hAnsi="Arial" w:cs="Arial"/>
          <w:sz w:val="18"/>
          <w:szCs w:val="18"/>
        </w:rPr>
        <w:t xml:space="preserve"> Where surgical prophylaxis was selected as the indication</w:t>
      </w:r>
    </w:p>
    <w:p w14:paraId="5E3E0D8C" w14:textId="77777777" w:rsidR="005C5E02" w:rsidRPr="00557374" w:rsidRDefault="005C5E02" w:rsidP="005C5E02">
      <w:pPr>
        <w:pStyle w:val="Captions"/>
        <w:spacing w:before="0" w:after="0"/>
        <w:rPr>
          <w:rFonts w:ascii="Arial" w:hAnsi="Arial" w:cs="Arial"/>
          <w:sz w:val="18"/>
          <w:szCs w:val="18"/>
        </w:rPr>
      </w:pPr>
      <w:r w:rsidRPr="00557374">
        <w:rPr>
          <w:rFonts w:ascii="Arial" w:hAnsi="Arial" w:cs="Arial"/>
          <w:color w:val="000000"/>
          <w:sz w:val="18"/>
          <w:szCs w:val="18"/>
          <w:vertAlign w:val="superscript"/>
        </w:rPr>
        <w:t>§</w:t>
      </w:r>
      <w:r w:rsidRPr="00557374">
        <w:rPr>
          <w:rFonts w:ascii="Arial" w:hAnsi="Arial" w:cs="Arial"/>
          <w:sz w:val="18"/>
          <w:szCs w:val="18"/>
        </w:rPr>
        <w:t xml:space="preserve"> Prescriptions for which compliance was assessable. Excludes prescriptions for which guidelines were not available, as well as prescriptions that were ‘directed therapy’ or ‘not assessable’.</w:t>
      </w:r>
    </w:p>
    <w:p w14:paraId="7799DBE1" w14:textId="0D9A98DE" w:rsidR="00ED50FD" w:rsidRPr="00557374" w:rsidRDefault="005C5E02" w:rsidP="005C5E02">
      <w:pPr>
        <w:pStyle w:val="Captions"/>
        <w:spacing w:before="0" w:after="0"/>
        <w:rPr>
          <w:sz w:val="18"/>
          <w:szCs w:val="18"/>
          <w:vertAlign w:val="superscript"/>
        </w:rPr>
      </w:pPr>
      <w:r w:rsidRPr="00557374">
        <w:rPr>
          <w:rFonts w:ascii="Arial" w:hAnsi="Arial" w:cs="Arial"/>
          <w:sz w:val="18"/>
          <w:szCs w:val="18"/>
          <w:vertAlign w:val="superscript"/>
        </w:rPr>
        <w:t>#</w:t>
      </w:r>
      <w:r w:rsidRPr="00557374">
        <w:rPr>
          <w:rFonts w:ascii="Arial" w:hAnsi="Arial" w:cs="Arial"/>
          <w:sz w:val="18"/>
          <w:szCs w:val="18"/>
        </w:rPr>
        <w:t xml:space="preserve"> Prescriptions for which appropriateness was assessable. Excludes prescriptions deemed to be ‘not assessable’</w:t>
      </w:r>
    </w:p>
    <w:p w14:paraId="69BD5D92" w14:textId="77777777" w:rsidR="00D92032" w:rsidRDefault="00D92032" w:rsidP="00D92032">
      <w:pPr>
        <w:pStyle w:val="Heading2"/>
      </w:pPr>
      <w:r>
        <w:lastRenderedPageBreak/>
        <w:t>Most commonly prescribed antimicrobials</w:t>
      </w:r>
    </w:p>
    <w:p w14:paraId="02BB0D73" w14:textId="00F22C5E" w:rsidR="00CD3078" w:rsidRDefault="004528F4" w:rsidP="00F73F34">
      <w:pPr>
        <w:spacing w:after="0"/>
      </w:pPr>
      <w:r>
        <w:t xml:space="preserve">Australia experienced </w:t>
      </w:r>
      <w:r w:rsidR="00A7246E">
        <w:t xml:space="preserve">a number of </w:t>
      </w:r>
      <w:r>
        <w:t>a</w:t>
      </w:r>
      <w:r w:rsidR="00DD4AEF">
        <w:t xml:space="preserve">ntimicrobial drug shortages </w:t>
      </w:r>
      <w:r>
        <w:t>throughout 2017</w:t>
      </w:r>
      <w:r w:rsidR="00D1022B">
        <w:t>. These shortages</w:t>
      </w:r>
      <w:r>
        <w:t xml:space="preserve"> i</w:t>
      </w:r>
      <w:r w:rsidR="00DD4AEF">
        <w:t xml:space="preserve">mpacted on the </w:t>
      </w:r>
      <w:r>
        <w:t>ability of clinicians to prescribe in accordance</w:t>
      </w:r>
      <w:r w:rsidR="00CD00F6">
        <w:t xml:space="preserve"> with</w:t>
      </w:r>
      <w:r>
        <w:t xml:space="preserve"> guideline recommendations</w:t>
      </w:r>
      <w:r w:rsidR="000675E0" w:rsidRPr="00A96EC6">
        <w:t>.</w:t>
      </w:r>
      <w:r w:rsidR="00341021" w:rsidRPr="00A96EC6">
        <w:rPr>
          <w:vertAlign w:val="superscript"/>
        </w:rPr>
        <w:t>10</w:t>
      </w:r>
      <w:r w:rsidR="00C5016A">
        <w:rPr>
          <w:rFonts w:ascii="Times New Roman" w:hAnsi="Times New Roman"/>
          <w:sz w:val="24"/>
          <w:szCs w:val="24"/>
        </w:rPr>
        <w:t xml:space="preserve"> </w:t>
      </w:r>
      <w:r>
        <w:t>As a result, the 20 most commonly pre</w:t>
      </w:r>
      <w:r w:rsidR="002D154E">
        <w:t xml:space="preserve">scribed antimicrobials (Figure </w:t>
      </w:r>
      <w:r w:rsidR="002A31D0">
        <w:t>6</w:t>
      </w:r>
      <w:r>
        <w:t xml:space="preserve">) </w:t>
      </w:r>
      <w:r w:rsidR="002756B7">
        <w:t xml:space="preserve">show considerable variation </w:t>
      </w:r>
      <w:r w:rsidR="00D1022B">
        <w:t xml:space="preserve">from </w:t>
      </w:r>
      <w:r>
        <w:t xml:space="preserve">previous years.  </w:t>
      </w:r>
    </w:p>
    <w:p w14:paraId="0522CA80" w14:textId="77777777" w:rsidR="00F73F34" w:rsidRDefault="00F73F34" w:rsidP="00F73F34">
      <w:pPr>
        <w:spacing w:after="0"/>
      </w:pPr>
    </w:p>
    <w:p w14:paraId="5606D1AA" w14:textId="1966F5BD" w:rsidR="00CD00F6" w:rsidRDefault="004528F4" w:rsidP="00AC588F">
      <w:r>
        <w:t>The fall in piperacillin</w:t>
      </w:r>
      <w:r w:rsidR="00D1022B" w:rsidRPr="00D1022B">
        <w:t>–</w:t>
      </w:r>
      <w:r>
        <w:t>t</w:t>
      </w:r>
      <w:r w:rsidR="00AC588F">
        <w:t xml:space="preserve">azobactam use </w:t>
      </w:r>
      <w:r w:rsidR="00026BA9">
        <w:t xml:space="preserve">from 7.1% in 2016 </w:t>
      </w:r>
      <w:r w:rsidR="00AC588F">
        <w:t>to 4.5%</w:t>
      </w:r>
      <w:r>
        <w:t xml:space="preserve"> </w:t>
      </w:r>
      <w:r w:rsidR="008F6229">
        <w:t xml:space="preserve">of </w:t>
      </w:r>
      <w:r w:rsidR="00026BA9">
        <w:t xml:space="preserve">total </w:t>
      </w:r>
      <w:r w:rsidR="008F6229">
        <w:t xml:space="preserve">antimicrobials prescribed in </w:t>
      </w:r>
      <w:r w:rsidR="00026BA9">
        <w:t>NAPS contributors</w:t>
      </w:r>
      <w:r w:rsidR="00BA2216">
        <w:t xml:space="preserve"> in 2017</w:t>
      </w:r>
      <w:r w:rsidR="008F6229">
        <w:t>,</w:t>
      </w:r>
      <w:r w:rsidR="00D1022B">
        <w:t xml:space="preserve"> </w:t>
      </w:r>
      <w:r>
        <w:t xml:space="preserve">is </w:t>
      </w:r>
      <w:r w:rsidR="00A7246E">
        <w:t xml:space="preserve">consistent with the </w:t>
      </w:r>
      <w:r>
        <w:t>prolonged supply is</w:t>
      </w:r>
      <w:r w:rsidR="00A7246E">
        <w:t>sue with this</w:t>
      </w:r>
      <w:r>
        <w:t xml:space="preserve"> medication.</w:t>
      </w:r>
      <w:r w:rsidR="00AC588F">
        <w:t xml:space="preserve"> Prescribers appear to have increased their use of</w:t>
      </w:r>
      <w:r w:rsidR="00CD00F6">
        <w:t xml:space="preserve"> ceftriaxone, </w:t>
      </w:r>
      <w:r w:rsidR="00AC588F">
        <w:t>metronidazole</w:t>
      </w:r>
      <w:r w:rsidR="00A11E15">
        <w:t xml:space="preserve"> (oral and parenteral)</w:t>
      </w:r>
      <w:r w:rsidR="00CD00F6">
        <w:t xml:space="preserve"> and amoxicillin</w:t>
      </w:r>
      <w:r w:rsidR="00D1022B">
        <w:t>–</w:t>
      </w:r>
      <w:r w:rsidR="00CD00F6">
        <w:t>clavulan</w:t>
      </w:r>
      <w:r w:rsidR="009530C1">
        <w:t>ic acid</w:t>
      </w:r>
      <w:r w:rsidR="00AC588F">
        <w:t xml:space="preserve"> </w:t>
      </w:r>
      <w:r w:rsidR="00A11E15">
        <w:t xml:space="preserve">(oral and parenteral) </w:t>
      </w:r>
      <w:r w:rsidR="00AC588F">
        <w:t xml:space="preserve">in response to the </w:t>
      </w:r>
      <w:r w:rsidR="00A5193B">
        <w:t>limited availability of</w:t>
      </w:r>
      <w:r w:rsidR="00AC588F">
        <w:t xml:space="preserve"> piperacillin</w:t>
      </w:r>
      <w:r w:rsidR="00D1022B" w:rsidRPr="00D1022B">
        <w:t>–</w:t>
      </w:r>
      <w:r w:rsidR="00AC588F">
        <w:t>tazobactam</w:t>
      </w:r>
      <w:r w:rsidR="00CD00F6">
        <w:t>. A small increase in ciprofloxacin use may also have accompanied the change</w:t>
      </w:r>
      <w:r w:rsidR="00C5016A">
        <w:t xml:space="preserve">, or alternatively could have been triggered by </w:t>
      </w:r>
      <w:r w:rsidR="00C5016A" w:rsidRPr="00F34399">
        <w:t xml:space="preserve">the </w:t>
      </w:r>
      <w:r w:rsidR="00F34399">
        <w:t xml:space="preserve">ongoing </w:t>
      </w:r>
      <w:r w:rsidR="00C5016A" w:rsidRPr="00F34399">
        <w:t>norfloxacin sho</w:t>
      </w:r>
      <w:r w:rsidR="00F34399">
        <w:t>rtage</w:t>
      </w:r>
      <w:r w:rsidR="00CD00F6" w:rsidRPr="00F34399">
        <w:t xml:space="preserve">. </w:t>
      </w:r>
      <w:r w:rsidR="00AC588F" w:rsidRPr="00F34399">
        <w:t>The piperacillin</w:t>
      </w:r>
      <w:r w:rsidR="00D1022B" w:rsidRPr="00D1022B">
        <w:t>–</w:t>
      </w:r>
      <w:r w:rsidR="00AC588F" w:rsidRPr="00F34399">
        <w:t>tazobactam shortage placed pressure on the supply of</w:t>
      </w:r>
      <w:r w:rsidR="00AC588F">
        <w:t xml:space="preserve"> alternative antibiotics with broad-spectrum Gram</w:t>
      </w:r>
      <w:r w:rsidR="00CD3078">
        <w:t>-</w:t>
      </w:r>
      <w:r w:rsidR="00AC588F">
        <w:t xml:space="preserve">negative coverage, such as gentamicin and cefepime, </w:t>
      </w:r>
      <w:r w:rsidR="00CD3078">
        <w:t>and</w:t>
      </w:r>
      <w:r w:rsidR="00AC588F">
        <w:t xml:space="preserve"> subsequently led to stock shortages of these medications. However, </w:t>
      </w:r>
      <w:r w:rsidR="00036C59">
        <w:t xml:space="preserve">fluctuations in the usage </w:t>
      </w:r>
      <w:r w:rsidR="00D1022B">
        <w:t xml:space="preserve">of these agents </w:t>
      </w:r>
      <w:r w:rsidR="00036C59">
        <w:t xml:space="preserve">were not captured by the Hospital NAPS. </w:t>
      </w:r>
      <w:r w:rsidR="00BD09B3">
        <w:t>Meropenem, a broad spectrum antimicrobial, has moved out of the top 20 antimicrobials prescribed in 2017</w:t>
      </w:r>
      <w:r w:rsidR="005C6DE5">
        <w:t>,</w:t>
      </w:r>
      <w:r w:rsidR="00BD09B3">
        <w:t xml:space="preserve"> which is encouraging. </w:t>
      </w:r>
    </w:p>
    <w:p w14:paraId="5EA65D11" w14:textId="3BF2E5C8" w:rsidR="00D92032" w:rsidRDefault="00A7246E" w:rsidP="00AC588F">
      <w:r>
        <w:t>It is noted that</w:t>
      </w:r>
      <w:r w:rsidR="00036C59">
        <w:t xml:space="preserve"> </w:t>
      </w:r>
      <w:r w:rsidR="00A5193B">
        <w:t xml:space="preserve">the </w:t>
      </w:r>
      <w:r w:rsidR="008F6229">
        <w:t xml:space="preserve">rate of prescribing of </w:t>
      </w:r>
      <w:r w:rsidR="00036C59">
        <w:t xml:space="preserve">vancomycin </w:t>
      </w:r>
      <w:r w:rsidR="008F6229">
        <w:t xml:space="preserve">in 2017 </w:t>
      </w:r>
      <w:r w:rsidR="00036C59">
        <w:t>remained the same as for 2016 (2.6%)</w:t>
      </w:r>
      <w:r w:rsidR="008F6229">
        <w:t>,</w:t>
      </w:r>
      <w:r w:rsidR="00036C59">
        <w:t xml:space="preserve"> despite a prolonged period of unavailability</w:t>
      </w:r>
      <w:r w:rsidR="00D1022B">
        <w:t>.</w:t>
      </w:r>
      <w:r w:rsidR="006E4568">
        <w:t xml:space="preserve"> R</w:t>
      </w:r>
      <w:r w:rsidR="00036C59">
        <w:t>e</w:t>
      </w:r>
      <w:r w:rsidR="00C5016A">
        <w:t>sultant increase</w:t>
      </w:r>
      <w:r w:rsidR="006E4568">
        <w:t>s</w:t>
      </w:r>
      <w:r w:rsidR="00C5016A">
        <w:t xml:space="preserve"> in teicoplanin, daptomycin or linezolid </w:t>
      </w:r>
      <w:r w:rsidR="006E4568">
        <w:t>usage were</w:t>
      </w:r>
      <w:r w:rsidR="00036C59">
        <w:t xml:space="preserve"> </w:t>
      </w:r>
      <w:r w:rsidR="00D1022B">
        <w:t xml:space="preserve">not observed </w:t>
      </w:r>
      <w:r w:rsidR="00036C59">
        <w:t>through th</w:t>
      </w:r>
      <w:r w:rsidR="00D1022B">
        <w:t>e 2017 Hospital NAPS</w:t>
      </w:r>
      <w:r w:rsidR="00036C59">
        <w:t>.</w:t>
      </w:r>
    </w:p>
    <w:p w14:paraId="2F4D4E1D" w14:textId="780D1EFF" w:rsidR="00036C59" w:rsidRDefault="00595E1E" w:rsidP="00AC588F">
      <w:r>
        <w:t>Cefazolin use declined for the second year in a row</w:t>
      </w:r>
      <w:r w:rsidR="00D1022B">
        <w:t>,</w:t>
      </w:r>
      <w:r>
        <w:t xml:space="preserve"> and </w:t>
      </w:r>
      <w:r w:rsidR="00D1022B">
        <w:t xml:space="preserve">was </w:t>
      </w:r>
      <w:r>
        <w:t>12.0%</w:t>
      </w:r>
      <w:r w:rsidR="00D1022B">
        <w:t xml:space="preserve"> in 2017</w:t>
      </w:r>
      <w:r w:rsidR="006E4568">
        <w:t xml:space="preserve">. </w:t>
      </w:r>
      <w:r w:rsidR="00036C59">
        <w:t>The use of doxycycline continue</w:t>
      </w:r>
      <w:r w:rsidR="00D1022B">
        <w:t>d</w:t>
      </w:r>
      <w:r w:rsidR="00036C59">
        <w:t xml:space="preserve"> to increase, </w:t>
      </w:r>
      <w:r w:rsidR="008F6229">
        <w:t xml:space="preserve">and was </w:t>
      </w:r>
      <w:r w:rsidR="00CD00F6">
        <w:t>5.4%</w:t>
      </w:r>
      <w:r w:rsidR="006E4568">
        <w:t>.</w:t>
      </w:r>
      <w:r w:rsidR="00CD00F6">
        <w:t xml:space="preserve"> Doxycycline is</w:t>
      </w:r>
      <w:r w:rsidR="00036C59">
        <w:t xml:space="preserve"> frequently recommended</w:t>
      </w:r>
      <w:r w:rsidR="00CD00F6">
        <w:t xml:space="preserve"> as a</w:t>
      </w:r>
      <w:r w:rsidR="00036C59">
        <w:t xml:space="preserve"> first-line antibiotic in the </w:t>
      </w:r>
      <w:r w:rsidR="00036C59" w:rsidRPr="00A5193B">
        <w:rPr>
          <w:i/>
        </w:rPr>
        <w:t>Therapeutic Guidelines</w:t>
      </w:r>
      <w:r w:rsidR="00D1022B">
        <w:t>,</w:t>
      </w:r>
      <w:r w:rsidR="00036C59">
        <w:t xml:space="preserve"> </w:t>
      </w:r>
      <w:r w:rsidR="00D1022B">
        <w:t xml:space="preserve">so </w:t>
      </w:r>
      <w:r w:rsidR="00036C59">
        <w:t xml:space="preserve">this </w:t>
      </w:r>
      <w:r w:rsidR="00CD00F6">
        <w:t>trend is encouraging. The use of many other first-line narrow spec</w:t>
      </w:r>
      <w:r>
        <w:t>trum antibiotics remain</w:t>
      </w:r>
      <w:r w:rsidR="00D1022B">
        <w:t>ed</w:t>
      </w:r>
      <w:r>
        <w:t xml:space="preserve"> stable.</w:t>
      </w:r>
    </w:p>
    <w:p w14:paraId="43BA6874" w14:textId="22E06C64" w:rsidR="002756B7" w:rsidRDefault="002756B7">
      <w:pPr>
        <w:spacing w:after="80"/>
        <w:rPr>
          <w:b/>
        </w:rPr>
      </w:pPr>
    </w:p>
    <w:p w14:paraId="178FB8C0" w14:textId="77777777" w:rsidR="00C36529" w:rsidRDefault="00C36529">
      <w:pPr>
        <w:spacing w:after="80"/>
        <w:rPr>
          <w:b/>
        </w:rPr>
      </w:pPr>
      <w:r>
        <w:br w:type="page"/>
      </w:r>
    </w:p>
    <w:p w14:paraId="614613A3" w14:textId="35ABB6C7" w:rsidR="000D5D42" w:rsidRDefault="000D5D42" w:rsidP="000D5D42">
      <w:pPr>
        <w:pStyle w:val="FigureTitle"/>
      </w:pPr>
      <w:r w:rsidRPr="00340CA0">
        <w:lastRenderedPageBreak/>
        <w:t xml:space="preserve">Figure </w:t>
      </w:r>
      <w:r w:rsidR="002A31D0">
        <w:rPr>
          <w:noProof/>
        </w:rPr>
        <w:t>6</w:t>
      </w:r>
      <w:r w:rsidRPr="00340CA0">
        <w:tab/>
        <w:t>The 20 most commonly prescribed antimicrobials</w:t>
      </w:r>
      <w:r w:rsidR="00D1022B">
        <w:t xml:space="preserve"> in Hospital NAPS contributors</w:t>
      </w:r>
      <w:r w:rsidRPr="00340CA0">
        <w:t>, 2013</w:t>
      </w:r>
      <w:r w:rsidR="00D1022B">
        <w:t>–</w:t>
      </w:r>
      <w:r w:rsidRPr="00340CA0">
        <w:t>201</w:t>
      </w:r>
      <w:r>
        <w:t>7</w:t>
      </w:r>
    </w:p>
    <w:p w14:paraId="586C4AD3" w14:textId="77777777" w:rsidR="00CE53AE" w:rsidRDefault="00CE53AE" w:rsidP="000D5D42">
      <w:pPr>
        <w:pStyle w:val="FigureTitle"/>
      </w:pPr>
    </w:p>
    <w:p w14:paraId="2CD5E1E2" w14:textId="59A2B5D9" w:rsidR="002756B7" w:rsidRPr="00DD215E" w:rsidRDefault="00CE53AE" w:rsidP="00DD215E">
      <w:pPr>
        <w:pStyle w:val="FigureTitle"/>
      </w:pPr>
      <w:r w:rsidRPr="00AA1585">
        <w:rPr>
          <w:noProof/>
          <w:sz w:val="18"/>
          <w:szCs w:val="18"/>
        </w:rPr>
        <w:drawing>
          <wp:inline distT="0" distB="0" distL="0" distR="0" wp14:anchorId="56F21C45" wp14:editId="687EAB16">
            <wp:extent cx="6153150" cy="863917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4475FBD" w14:textId="77777777" w:rsidR="000D5D42" w:rsidRPr="009B6714" w:rsidRDefault="0025122D" w:rsidP="00C020D8">
      <w:pPr>
        <w:pStyle w:val="Heading3"/>
      </w:pPr>
      <w:r w:rsidRPr="009B6714">
        <w:lastRenderedPageBreak/>
        <w:t>Appropriateness for the</w:t>
      </w:r>
      <w:r w:rsidR="00C020D8" w:rsidRPr="009B6714">
        <w:t xml:space="preserve"> most commonly prescribed antimicrobials</w:t>
      </w:r>
    </w:p>
    <w:p w14:paraId="613097D2" w14:textId="508BEB2E" w:rsidR="00640F16" w:rsidRPr="009B6714" w:rsidRDefault="002A31D0" w:rsidP="00C020D8">
      <w:r>
        <w:t>Figure 7</w:t>
      </w:r>
      <w:r w:rsidR="00C020D8" w:rsidRPr="009B6714">
        <w:t xml:space="preserve"> shows the appropriateness for the 20 most commonly prescribed antimicrobials in 2017. The antimicrobials that are commonly prescribed for medical prophylaxis</w:t>
      </w:r>
      <w:r w:rsidR="00A7246E">
        <w:t xml:space="preserve"> (antimicrobials given to prevent infection when patients are immunosuppressed</w:t>
      </w:r>
      <w:r w:rsidR="00F0374D">
        <w:t xml:space="preserve"> </w:t>
      </w:r>
      <w:r w:rsidR="00F0374D" w:rsidRPr="00F0374D">
        <w:t>–</w:t>
      </w:r>
      <w:r w:rsidR="00A7246E">
        <w:t xml:space="preserve"> </w:t>
      </w:r>
      <w:r w:rsidR="00A5193B">
        <w:t>for example,</w:t>
      </w:r>
      <w:r w:rsidR="00A7246E">
        <w:t xml:space="preserve"> those undergoing transplantation)</w:t>
      </w:r>
      <w:r w:rsidR="00C020D8" w:rsidRPr="009B6714">
        <w:t>, such as valaciclovir, trimethoprim</w:t>
      </w:r>
      <w:r w:rsidR="00D1022B" w:rsidRPr="009B6714">
        <w:t>–</w:t>
      </w:r>
      <w:r w:rsidR="00C020D8" w:rsidRPr="009B6714">
        <w:t xml:space="preserve">sulfamethoxazole and nystatin, are usually given in accordance with </w:t>
      </w:r>
      <w:r w:rsidR="00384706" w:rsidRPr="009B6714">
        <w:t xml:space="preserve">guidelines or </w:t>
      </w:r>
      <w:r w:rsidR="00C020D8" w:rsidRPr="009B6714">
        <w:t>protocols. High rates of</w:t>
      </w:r>
      <w:r w:rsidR="00A7246E">
        <w:t xml:space="preserve"> appropriate</w:t>
      </w:r>
      <w:r w:rsidR="00A20E34">
        <w:t>ness in</w:t>
      </w:r>
      <w:r w:rsidR="00C020D8" w:rsidRPr="009B6714">
        <w:t xml:space="preserve"> prescribing have been consistently reported for these medications in the Hospital NAPS over time. </w:t>
      </w:r>
    </w:p>
    <w:p w14:paraId="203D3C0B" w14:textId="2A6B09F5" w:rsidR="00640F16" w:rsidRPr="009B6714" w:rsidRDefault="00C020D8" w:rsidP="00640F16">
      <w:r w:rsidRPr="009B6714">
        <w:t>The narrow spectrum an</w:t>
      </w:r>
      <w:r w:rsidR="00640F16" w:rsidRPr="009B6714">
        <w:t xml:space="preserve">timicrobials </w:t>
      </w:r>
      <w:r w:rsidRPr="009B6714">
        <w:t>tend</w:t>
      </w:r>
      <w:r w:rsidR="006E4568" w:rsidRPr="009B6714">
        <w:t>ed to have high</w:t>
      </w:r>
      <w:r w:rsidRPr="009B6714">
        <w:t xml:space="preserve"> rates of appropriate</w:t>
      </w:r>
      <w:r w:rsidR="00D1022B" w:rsidRPr="009B6714">
        <w:t xml:space="preserve"> use</w:t>
      </w:r>
      <w:r w:rsidRPr="009B6714">
        <w:t xml:space="preserve">, including flucloxacillin (84.3%), benzylpenicillin (83.9%), trimethoprim (79.6%) and doxycycline (74.1%). </w:t>
      </w:r>
      <w:r w:rsidR="00D1022B" w:rsidRPr="009B6714">
        <w:t xml:space="preserve">In 2017, </w:t>
      </w:r>
      <w:r w:rsidR="00640F16" w:rsidRPr="009B6714">
        <w:t>the</w:t>
      </w:r>
      <w:r w:rsidR="00D1022B" w:rsidRPr="009B6714">
        <w:t>re were very high rates of appropriate</w:t>
      </w:r>
      <w:r w:rsidR="006E4568" w:rsidRPr="009B6714">
        <w:t>ness</w:t>
      </w:r>
      <w:r w:rsidR="00D1022B" w:rsidRPr="009B6714">
        <w:t xml:space="preserve"> </w:t>
      </w:r>
      <w:r w:rsidR="008F6229" w:rsidRPr="009B6714">
        <w:t xml:space="preserve">of prescribing </w:t>
      </w:r>
      <w:r w:rsidR="006E4568" w:rsidRPr="009B6714">
        <w:t>for</w:t>
      </w:r>
      <w:r w:rsidR="00640F16" w:rsidRPr="009B6714">
        <w:t xml:space="preserve"> vancomycin and </w:t>
      </w:r>
      <w:r w:rsidR="00D1022B" w:rsidRPr="009B6714">
        <w:t>the broad</w:t>
      </w:r>
      <w:r w:rsidR="008F6229" w:rsidRPr="009B6714">
        <w:t>-</w:t>
      </w:r>
      <w:r w:rsidR="00D1022B" w:rsidRPr="009B6714">
        <w:t xml:space="preserve">spectrum agent </w:t>
      </w:r>
      <w:r w:rsidR="00640F16" w:rsidRPr="009B6714">
        <w:t>meropenem</w:t>
      </w:r>
      <w:r w:rsidR="006E4568" w:rsidRPr="009B6714">
        <w:t xml:space="preserve"> </w:t>
      </w:r>
      <w:r w:rsidR="00D1022B" w:rsidRPr="009B6714">
        <w:t>(</w:t>
      </w:r>
      <w:r w:rsidR="00640F16" w:rsidRPr="009B6714">
        <w:t>84.8% and 83.1% respectively</w:t>
      </w:r>
      <w:r w:rsidR="00D1022B" w:rsidRPr="009B6714">
        <w:t>)</w:t>
      </w:r>
      <w:r w:rsidR="00640F16" w:rsidRPr="009B6714">
        <w:t xml:space="preserve">. </w:t>
      </w:r>
    </w:p>
    <w:p w14:paraId="683522EC" w14:textId="0F161DBE" w:rsidR="0025122D" w:rsidRDefault="00C020D8" w:rsidP="001F6995">
      <w:pPr>
        <w:rPr>
          <w:rFonts w:ascii="Arial" w:hAnsi="Arial" w:cs="Arial"/>
        </w:rPr>
        <w:sectPr w:rsidR="0025122D" w:rsidSect="00C36529">
          <w:pgSz w:w="11906" w:h="16838" w:code="9"/>
          <w:pgMar w:top="1134" w:right="1134" w:bottom="1134" w:left="1134" w:header="709" w:footer="709" w:gutter="0"/>
          <w:cols w:space="708"/>
          <w:docGrid w:linePitch="360"/>
        </w:sectPr>
      </w:pPr>
      <w:r w:rsidRPr="009B6714">
        <w:t>In line with the 2016</w:t>
      </w:r>
      <w:r w:rsidR="00A5193B">
        <w:t xml:space="preserve"> Hospital NAPS</w:t>
      </w:r>
      <w:r w:rsidRPr="009B6714">
        <w:t xml:space="preserve"> report, the antimicrobials with the highest rates of inappropriate prescribing were cefalexin (43.3%), amoxicillin–clavulan</w:t>
      </w:r>
      <w:r w:rsidR="00CE53AE" w:rsidRPr="009B6714">
        <w:t>ic acid</w:t>
      </w:r>
      <w:r w:rsidRPr="009B6714">
        <w:t xml:space="preserve"> (29.4%), cefazolin (28.9%) and ceftriaxone (28.1%).</w:t>
      </w:r>
      <w:r w:rsidR="00384706" w:rsidRPr="009B6714">
        <w:t xml:space="preserve"> </w:t>
      </w:r>
      <w:r w:rsidR="001F6995" w:rsidRPr="009B6714">
        <w:t xml:space="preserve">This </w:t>
      </w:r>
      <w:r w:rsidR="00A20E34">
        <w:t xml:space="preserve">information </w:t>
      </w:r>
      <w:r w:rsidR="001F6995" w:rsidRPr="009B6714">
        <w:t xml:space="preserve">highlights the importance of AMS programs focusing on the use of these agents, </w:t>
      </w:r>
      <w:r w:rsidR="00A20E34">
        <w:t>in addition to</w:t>
      </w:r>
      <w:r w:rsidR="006C38C6" w:rsidRPr="009B6714">
        <w:t xml:space="preserve"> </w:t>
      </w:r>
      <w:r w:rsidR="001F6995" w:rsidRPr="009B6714">
        <w:t xml:space="preserve">antimicrobials that have </w:t>
      </w:r>
      <w:r w:rsidR="006C38C6" w:rsidRPr="009B6714">
        <w:t xml:space="preserve">traditionally </w:t>
      </w:r>
      <w:r w:rsidR="001F6995" w:rsidRPr="009B6714">
        <w:t>been highly</w:t>
      </w:r>
      <w:r w:rsidR="001F6995">
        <w:t xml:space="preserve"> restricted. </w:t>
      </w:r>
      <w:bookmarkStart w:id="23" w:name="_Toc460597409"/>
    </w:p>
    <w:p w14:paraId="5989A906" w14:textId="11D2D5DA" w:rsidR="00C020D8" w:rsidRDefault="00C020D8" w:rsidP="00C020D8">
      <w:pPr>
        <w:pStyle w:val="FigureName"/>
        <w:jc w:val="both"/>
        <w:rPr>
          <w:rFonts w:ascii="Arial" w:hAnsi="Arial" w:cs="Arial"/>
        </w:rPr>
      </w:pPr>
      <w:r w:rsidRPr="00340CA0">
        <w:rPr>
          <w:rFonts w:ascii="Arial" w:hAnsi="Arial" w:cs="Arial"/>
        </w:rPr>
        <w:lastRenderedPageBreak/>
        <w:t xml:space="preserve">Figure </w:t>
      </w:r>
      <w:r w:rsidR="002A31D0">
        <w:rPr>
          <w:rFonts w:ascii="Arial" w:hAnsi="Arial" w:cs="Arial"/>
          <w:noProof/>
        </w:rPr>
        <w:t>7</w:t>
      </w:r>
      <w:r w:rsidR="00557374">
        <w:rPr>
          <w:rFonts w:ascii="Arial" w:hAnsi="Arial" w:cs="Arial"/>
          <w:noProof/>
        </w:rPr>
        <w:t xml:space="preserve">: </w:t>
      </w:r>
      <w:r w:rsidR="004F216E">
        <w:rPr>
          <w:rFonts w:ascii="Arial" w:hAnsi="Arial" w:cs="Arial"/>
        </w:rPr>
        <w:t>Appropriateness for the</w:t>
      </w:r>
      <w:r w:rsidRPr="00340CA0">
        <w:rPr>
          <w:rFonts w:ascii="Arial" w:hAnsi="Arial" w:cs="Arial"/>
        </w:rPr>
        <w:t xml:space="preserve"> most commonly prescribed antimicrobials</w:t>
      </w:r>
      <w:bookmarkEnd w:id="23"/>
      <w:r w:rsidR="00D1022B">
        <w:rPr>
          <w:rFonts w:ascii="Arial" w:hAnsi="Arial" w:cs="Arial"/>
        </w:rPr>
        <w:t xml:space="preserve"> in Hospital NAPS contributor hospitals</w:t>
      </w:r>
      <w:r>
        <w:rPr>
          <w:rFonts w:ascii="Arial" w:hAnsi="Arial" w:cs="Arial"/>
        </w:rPr>
        <w:t>, 2017</w:t>
      </w:r>
    </w:p>
    <w:p w14:paraId="0315D813" w14:textId="19914CB0" w:rsidR="0025122D" w:rsidRDefault="00CE1EF8" w:rsidP="00C36529">
      <w:pPr>
        <w:rPr>
          <w:rFonts w:cs="Arial"/>
          <w:b/>
          <w:iCs/>
          <w:color w:val="1178A2"/>
          <w:kern w:val="28"/>
          <w:sz w:val="32"/>
          <w:szCs w:val="28"/>
        </w:rPr>
      </w:pPr>
      <w:r>
        <w:rPr>
          <w:noProof/>
        </w:rPr>
        <w:drawing>
          <wp:inline distT="0" distB="0" distL="0" distR="0" wp14:anchorId="55132C27" wp14:editId="242F6568">
            <wp:extent cx="8896350" cy="55054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0EFAEF" w14:textId="77777777" w:rsidR="008C56C5" w:rsidRDefault="008C56C5" w:rsidP="00D92032">
      <w:pPr>
        <w:pStyle w:val="Heading2"/>
        <w:sectPr w:rsidR="008C56C5" w:rsidSect="00C36529">
          <w:pgSz w:w="16838" w:h="11906" w:orient="landscape" w:code="9"/>
          <w:pgMar w:top="1134" w:right="1134" w:bottom="1134" w:left="1134" w:header="709" w:footer="709" w:gutter="0"/>
          <w:cols w:space="708"/>
          <w:docGrid w:linePitch="360"/>
        </w:sectPr>
      </w:pPr>
    </w:p>
    <w:p w14:paraId="71BD9F34" w14:textId="77777777" w:rsidR="00D92032" w:rsidRDefault="00D92032" w:rsidP="00D92032">
      <w:pPr>
        <w:pStyle w:val="Heading2"/>
      </w:pPr>
      <w:r>
        <w:lastRenderedPageBreak/>
        <w:t>Most common indications for antimicrobial prescribing</w:t>
      </w:r>
    </w:p>
    <w:p w14:paraId="129192E4" w14:textId="052102DD" w:rsidR="00413216" w:rsidRDefault="00413216" w:rsidP="00413216">
      <w:r>
        <w:t xml:space="preserve">The </w:t>
      </w:r>
      <w:r w:rsidRPr="00340CA0">
        <w:t>most common indications for antimicrobial use</w:t>
      </w:r>
      <w:r>
        <w:t xml:space="preserve"> have been remarkably consistent across the </w:t>
      </w:r>
      <w:r w:rsidR="00D1022B">
        <w:t>five</w:t>
      </w:r>
      <w:r w:rsidR="0025173B">
        <w:t xml:space="preserve"> years that</w:t>
      </w:r>
      <w:r w:rsidR="008C56C5">
        <w:t xml:space="preserve"> </w:t>
      </w:r>
      <w:r w:rsidR="00A5193B">
        <w:t>the</w:t>
      </w:r>
      <w:r w:rsidR="0025173B">
        <w:t xml:space="preserve"> </w:t>
      </w:r>
      <w:r>
        <w:t xml:space="preserve">Hospital NAPS has been </w:t>
      </w:r>
      <w:r w:rsidR="00A5193B">
        <w:t>conducted</w:t>
      </w:r>
      <w:r w:rsidR="002D154E">
        <w:t xml:space="preserve"> (Figure </w:t>
      </w:r>
      <w:r w:rsidR="002A31D0">
        <w:t>8</w:t>
      </w:r>
      <w:r>
        <w:t>)</w:t>
      </w:r>
      <w:r w:rsidR="001B117B">
        <w:t>, whereas the most commonly prescribed antim</w:t>
      </w:r>
      <w:r w:rsidR="002D154E">
        <w:t xml:space="preserve">icrobials </w:t>
      </w:r>
      <w:r w:rsidR="007A65E3">
        <w:t>have</w:t>
      </w:r>
      <w:r w:rsidR="002D154E">
        <w:t xml:space="preserve"> fluctuate</w:t>
      </w:r>
      <w:r w:rsidR="007A65E3">
        <w:t>d</w:t>
      </w:r>
      <w:r w:rsidR="002D154E">
        <w:t xml:space="preserve"> (Figure </w:t>
      </w:r>
      <w:r w:rsidR="002A31D0">
        <w:t>6</w:t>
      </w:r>
      <w:r w:rsidR="001B117B">
        <w:t>)</w:t>
      </w:r>
      <w:r>
        <w:t>. This demonstrates that</w:t>
      </w:r>
      <w:r w:rsidR="0025173B">
        <w:t xml:space="preserve"> the choice of antimicrobials </w:t>
      </w:r>
      <w:r w:rsidR="000A3C27">
        <w:t xml:space="preserve">for treatment of </w:t>
      </w:r>
      <w:r w:rsidR="0025173B">
        <w:t xml:space="preserve">infective presentations </w:t>
      </w:r>
      <w:r w:rsidR="00D1022B">
        <w:t xml:space="preserve">is </w:t>
      </w:r>
      <w:r w:rsidR="0025173B">
        <w:t xml:space="preserve">changing over time, possibly in </w:t>
      </w:r>
      <w:r w:rsidR="007A65E3">
        <w:t xml:space="preserve">response to either </w:t>
      </w:r>
      <w:r w:rsidR="006E4568">
        <w:t>medication shortages or changes in local g</w:t>
      </w:r>
      <w:r w:rsidR="0025173B">
        <w:t>uideline recommendations.</w:t>
      </w:r>
      <w:r w:rsidR="00F73F34">
        <w:t xml:space="preserve"> Other factors, such as the de</w:t>
      </w:r>
      <w:r w:rsidR="00A5193B">
        <w:t>velopment of AMS initiatives (for example</w:t>
      </w:r>
      <w:r w:rsidR="00F0374D">
        <w:t>,</w:t>
      </w:r>
      <w:r w:rsidR="00F73F34">
        <w:t xml:space="preserve"> the NSQHS Standards and </w:t>
      </w:r>
      <w:r w:rsidR="00A5193B">
        <w:t>state and</w:t>
      </w:r>
      <w:r w:rsidR="00F73F34">
        <w:t xml:space="preserve"> </w:t>
      </w:r>
      <w:r w:rsidR="00A5193B">
        <w:t>t</w:t>
      </w:r>
      <w:r w:rsidR="00F73F34">
        <w:t xml:space="preserve">erritory quality improvement strategies) may have also influenced this. </w:t>
      </w:r>
    </w:p>
    <w:p w14:paraId="75BCF830" w14:textId="2998A6CE" w:rsidR="001B117B" w:rsidRDefault="001B117B" w:rsidP="00413216">
      <w:r>
        <w:t xml:space="preserve">Surgical prophylaxis </w:t>
      </w:r>
      <w:r w:rsidR="00B0795B">
        <w:t>remains</w:t>
      </w:r>
      <w:r>
        <w:t xml:space="preserve"> the most common reason for a patient to receive an antimicrobial prescription during their hospital stay</w:t>
      </w:r>
      <w:r w:rsidR="00A5193B">
        <w:t>;</w:t>
      </w:r>
      <w:r>
        <w:t xml:space="preserve"> </w:t>
      </w:r>
      <w:r w:rsidR="00BF651F">
        <w:t xml:space="preserve">the rate </w:t>
      </w:r>
      <w:r>
        <w:t>reduc</w:t>
      </w:r>
      <w:r w:rsidR="00BF651F">
        <w:t>ed to 13.0%</w:t>
      </w:r>
      <w:r>
        <w:t xml:space="preserve"> </w:t>
      </w:r>
      <w:r w:rsidR="00D1022B">
        <w:t xml:space="preserve">in 2017 </w:t>
      </w:r>
      <w:r>
        <w:t>after peaking at 15.6%</w:t>
      </w:r>
      <w:r w:rsidR="00BF651F">
        <w:t xml:space="preserve"> in 2015</w:t>
      </w:r>
      <w:r>
        <w:t>. Conversely, the rate of prescribing for community</w:t>
      </w:r>
      <w:r w:rsidR="00D1022B">
        <w:t>-</w:t>
      </w:r>
      <w:r>
        <w:t xml:space="preserve">acquired pneumonia </w:t>
      </w:r>
      <w:r w:rsidR="00D1022B">
        <w:t xml:space="preserve">has </w:t>
      </w:r>
      <w:r>
        <w:t>gradually increas</w:t>
      </w:r>
      <w:r w:rsidR="00D1022B">
        <w:t>ed</w:t>
      </w:r>
      <w:r>
        <w:t xml:space="preserve"> over time</w:t>
      </w:r>
      <w:r w:rsidR="00D1022B">
        <w:t>,</w:t>
      </w:r>
      <w:r>
        <w:t xml:space="preserve"> and reached 12.5% in the </w:t>
      </w:r>
      <w:r w:rsidR="00D1022B">
        <w:t>2017</w:t>
      </w:r>
      <w:r>
        <w:t xml:space="preserve"> survey</w:t>
      </w:r>
      <w:r w:rsidR="00BF651F">
        <w:t>. The other indications for which antimicrobials are commonly prescribed have remained relatively static</w:t>
      </w:r>
      <w:r w:rsidR="00D1022B">
        <w:t xml:space="preserve"> since 2013</w:t>
      </w:r>
      <w:r w:rsidR="00BF651F">
        <w:t>.</w:t>
      </w:r>
    </w:p>
    <w:p w14:paraId="6D8A2E97" w14:textId="77777777" w:rsidR="00D1022B" w:rsidRDefault="00D1022B">
      <w:pPr>
        <w:spacing w:after="80"/>
        <w:rPr>
          <w:b/>
        </w:rPr>
      </w:pPr>
      <w:r>
        <w:br w:type="page"/>
      </w:r>
    </w:p>
    <w:p w14:paraId="692A3916" w14:textId="4E30990E" w:rsidR="002756B7" w:rsidRDefault="00443E13" w:rsidP="002756B7">
      <w:pPr>
        <w:pStyle w:val="FigureTitle"/>
      </w:pPr>
      <w:r>
        <w:lastRenderedPageBreak/>
        <w:t xml:space="preserve">Figure </w:t>
      </w:r>
      <w:r w:rsidR="002A31D0">
        <w:t>8</w:t>
      </w:r>
      <w:r w:rsidR="00557374">
        <w:t xml:space="preserve">: </w:t>
      </w:r>
      <w:r w:rsidR="002756B7">
        <w:t>The 20 most common</w:t>
      </w:r>
      <w:r w:rsidR="00686788">
        <w:t xml:space="preserve"> indications for prescribing antimicrobials</w:t>
      </w:r>
      <w:r w:rsidR="00D1022B">
        <w:t xml:space="preserve"> in Hospital NAPS contributors</w:t>
      </w:r>
      <w:r w:rsidR="002756B7">
        <w:t>, 2013</w:t>
      </w:r>
      <w:r w:rsidR="00D1022B">
        <w:t>–</w:t>
      </w:r>
      <w:r w:rsidR="002756B7">
        <w:t>2017</w:t>
      </w:r>
    </w:p>
    <w:p w14:paraId="13DCDFEE" w14:textId="77777777" w:rsidR="008C56C5" w:rsidRDefault="008C56C5" w:rsidP="00413216">
      <w:pPr>
        <w:rPr>
          <w:noProof/>
        </w:rPr>
      </w:pPr>
      <w:r>
        <w:rPr>
          <w:noProof/>
        </w:rPr>
        <w:t xml:space="preserve"> </w:t>
      </w:r>
      <w:r>
        <w:rPr>
          <w:noProof/>
        </w:rPr>
        <w:drawing>
          <wp:inline distT="0" distB="0" distL="0" distR="0" wp14:anchorId="610378B8" wp14:editId="1F4555CE">
            <wp:extent cx="6105525" cy="8562975"/>
            <wp:effectExtent l="0" t="0" r="317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D5D6B74" w14:textId="4D19788A" w:rsidR="00CE1EF8" w:rsidRPr="00C36529" w:rsidRDefault="00CE1EF8" w:rsidP="00413216">
      <w:pPr>
        <w:rPr>
          <w:sz w:val="18"/>
        </w:rPr>
      </w:pPr>
      <w:r w:rsidRPr="00C36529">
        <w:rPr>
          <w:noProof/>
          <w:sz w:val="18"/>
        </w:rPr>
        <w:lastRenderedPageBreak/>
        <w:t xml:space="preserve">COPD = chronic obstructive pulmonary disease  </w:t>
      </w:r>
    </w:p>
    <w:p w14:paraId="1B876642" w14:textId="77777777" w:rsidR="00D92032" w:rsidRDefault="00D92032" w:rsidP="00D92032">
      <w:pPr>
        <w:pStyle w:val="Heading3"/>
      </w:pPr>
      <w:r>
        <w:t>Appropriateness of prescribing for the 20 most common indications</w:t>
      </w:r>
    </w:p>
    <w:p w14:paraId="40A791C3" w14:textId="5E7783E4" w:rsidR="00725F85" w:rsidRDefault="00BF651F" w:rsidP="00790E03">
      <w:r>
        <w:t>Of the 20 most common indications for prescribing antimicrobials</w:t>
      </w:r>
      <w:r w:rsidR="00D1022B">
        <w:t xml:space="preserve"> in 2017</w:t>
      </w:r>
      <w:r>
        <w:t xml:space="preserve">, the conditions for which the highest proportions of prescriptions </w:t>
      </w:r>
      <w:r w:rsidR="00D1022B">
        <w:t xml:space="preserve">were </w:t>
      </w:r>
      <w:r>
        <w:t>assessed as inappropriate were</w:t>
      </w:r>
      <w:r w:rsidR="005D039E">
        <w:t>:</w:t>
      </w:r>
      <w:r>
        <w:t xml:space="preserve"> surgical prophylaxis (40.3%)</w:t>
      </w:r>
      <w:r w:rsidR="00F0374D">
        <w:t>;</w:t>
      </w:r>
      <w:r>
        <w:t xml:space="preserve"> infective exacerbation of </w:t>
      </w:r>
      <w:r w:rsidR="00D1022B">
        <w:t>chronic obstructive pulmonary disease (</w:t>
      </w:r>
      <w:r>
        <w:t>COPD</w:t>
      </w:r>
      <w:r w:rsidR="00D1022B">
        <w:t>)</w:t>
      </w:r>
      <w:r>
        <w:t xml:space="preserve"> (37.8%)</w:t>
      </w:r>
      <w:r w:rsidR="00F0374D">
        <w:t>;</w:t>
      </w:r>
      <w:r>
        <w:t xml:space="preserve"> and trauma (29.3%)</w:t>
      </w:r>
      <w:r w:rsidR="002A31D0">
        <w:t xml:space="preserve"> (Figure 9</w:t>
      </w:r>
      <w:r>
        <w:t xml:space="preserve">). In contrast, </w:t>
      </w:r>
      <w:r w:rsidR="00F64AF7">
        <w:t>conditions with well-accepted and highly-protocolised treatment guidelines continue</w:t>
      </w:r>
      <w:r w:rsidR="00D1022B">
        <w:t>d</w:t>
      </w:r>
      <w:r w:rsidR="00F64AF7">
        <w:t xml:space="preserve"> to have the </w:t>
      </w:r>
      <w:r>
        <w:t>highest rates of appropriate prescribing</w:t>
      </w:r>
      <w:r w:rsidR="00F64AF7">
        <w:t>. These include</w:t>
      </w:r>
      <w:r w:rsidR="005D039E">
        <w:t>:</w:t>
      </w:r>
      <w:r w:rsidR="00F64AF7">
        <w:t xml:space="preserve"> medical prophylaxis (88.2</w:t>
      </w:r>
      <w:r w:rsidR="00BD09B3">
        <w:t>%);</w:t>
      </w:r>
      <w:r>
        <w:t xml:space="preserve"> </w:t>
      </w:r>
      <w:r w:rsidR="00BD09B3">
        <w:t>appendicitis (87.0%); peritonitis (86.6%);</w:t>
      </w:r>
      <w:r w:rsidR="00F64AF7">
        <w:t xml:space="preserve"> osteomyelitis (86.5%)</w:t>
      </w:r>
      <w:r w:rsidR="00BD09B3">
        <w:t>;</w:t>
      </w:r>
      <w:r w:rsidR="00F64AF7">
        <w:t xml:space="preserve"> and sepsis (86.4</w:t>
      </w:r>
      <w:r>
        <w:t>%).</w:t>
      </w:r>
      <w:r w:rsidR="00026BA9">
        <w:t xml:space="preserve"> </w:t>
      </w:r>
    </w:p>
    <w:p w14:paraId="238F6685" w14:textId="2A0BB718" w:rsidR="00365453" w:rsidRDefault="00026BA9" w:rsidP="00790E03">
      <w:r>
        <w:t xml:space="preserve">Infective exacerbation of COPD remains a persistent issue for inappropriate prescribing in Australia and abroad. </w:t>
      </w:r>
      <w:r w:rsidR="00790E03">
        <w:t>The AIHW reports that there were 86,000 hospitalisations for COPD in 2016</w:t>
      </w:r>
      <w:r w:rsidR="00F90F1E">
        <w:t>–</w:t>
      </w:r>
      <w:r w:rsidR="00790E03">
        <w:t>2017 which highlights how common this illness is.</w:t>
      </w:r>
      <w:r w:rsidR="00790E03" w:rsidRPr="00790E03">
        <w:t xml:space="preserve"> </w:t>
      </w:r>
      <w:r w:rsidR="00790E03">
        <w:t xml:space="preserve">The </w:t>
      </w:r>
      <w:r w:rsidR="00790E03" w:rsidRPr="00FA50B2">
        <w:rPr>
          <w:i/>
        </w:rPr>
        <w:t>Therapeutic Guideline</w:t>
      </w:r>
      <w:r w:rsidR="00790E03">
        <w:rPr>
          <w:i/>
        </w:rPr>
        <w:t xml:space="preserve">s: </w:t>
      </w:r>
      <w:r w:rsidR="000A3C27">
        <w:rPr>
          <w:i/>
        </w:rPr>
        <w:t xml:space="preserve">Antibiotic </w:t>
      </w:r>
      <w:r w:rsidR="00790E03">
        <w:t>recommends that antibiotics may not be required for many exacerbations.</w:t>
      </w:r>
      <w:r w:rsidR="00725F85">
        <w:t xml:space="preserve"> </w:t>
      </w:r>
    </w:p>
    <w:p w14:paraId="4F5CBE54" w14:textId="07D54801" w:rsidR="00365453" w:rsidRDefault="00365453" w:rsidP="00790E03">
      <w:pPr>
        <w:sectPr w:rsidR="00365453" w:rsidSect="00C36529">
          <w:pgSz w:w="11906" w:h="16838" w:code="9"/>
          <w:pgMar w:top="1134" w:right="1134" w:bottom="1134" w:left="1134" w:header="709" w:footer="709" w:gutter="0"/>
          <w:cols w:space="708"/>
          <w:docGrid w:linePitch="360"/>
        </w:sectPr>
      </w:pPr>
      <w:r>
        <w:t xml:space="preserve">Appropriateness for aspiration pneumonia reduced from 80.7% in 2016 to 72.1% in 2017. This </w:t>
      </w:r>
      <w:r w:rsidR="00A5193B">
        <w:t>suggests</w:t>
      </w:r>
      <w:r>
        <w:t xml:space="preserve"> optimising respiratory prescribing </w:t>
      </w:r>
      <w:r w:rsidR="00A5193B">
        <w:t>is</w:t>
      </w:r>
      <w:r>
        <w:t xml:space="preserve"> a priority area for</w:t>
      </w:r>
      <w:r w:rsidR="00A5193B">
        <w:t xml:space="preserve"> improvement</w:t>
      </w:r>
      <w:r>
        <w:t xml:space="preserve"> action. </w:t>
      </w:r>
    </w:p>
    <w:p w14:paraId="3387DEAF" w14:textId="07CD2AE9" w:rsidR="00270BE3" w:rsidRDefault="00443E13" w:rsidP="00270BE3">
      <w:pPr>
        <w:pStyle w:val="FigureTitle"/>
      </w:pPr>
      <w:r>
        <w:lastRenderedPageBreak/>
        <w:t xml:space="preserve">Figure </w:t>
      </w:r>
      <w:r w:rsidR="002A31D0">
        <w:t>9</w:t>
      </w:r>
      <w:r w:rsidR="00557374">
        <w:t xml:space="preserve">: </w:t>
      </w:r>
      <w:r w:rsidR="00270BE3">
        <w:t>Appropriateness of prescribing for the 20 most common indications</w:t>
      </w:r>
      <w:r w:rsidR="00D1022B">
        <w:t xml:space="preserve"> in Hospital NAPS contributors</w:t>
      </w:r>
      <w:r w:rsidR="00270BE3">
        <w:t>, 2017</w:t>
      </w:r>
    </w:p>
    <w:p w14:paraId="7E76BDE8" w14:textId="77777777" w:rsidR="00270BE3" w:rsidRDefault="00270BE3" w:rsidP="00270BE3">
      <w:pPr>
        <w:pStyle w:val="FigureTitle"/>
      </w:pPr>
    </w:p>
    <w:p w14:paraId="1D6E3721" w14:textId="7D801B93" w:rsidR="00CE1EF8" w:rsidRDefault="00CE1EF8" w:rsidP="00460FF4">
      <w:pPr>
        <w:pStyle w:val="Captions"/>
        <w:rPr>
          <w:noProof/>
        </w:rPr>
      </w:pPr>
      <w:r>
        <w:rPr>
          <w:noProof/>
        </w:rPr>
        <w:drawing>
          <wp:inline distT="0" distB="0" distL="0" distR="0" wp14:anchorId="36AEC4C6" wp14:editId="69F1BC86">
            <wp:extent cx="9315450" cy="540067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60616C" w14:textId="145F0C79" w:rsidR="003E555C" w:rsidRDefault="00460FF4" w:rsidP="00460FF4">
      <w:pPr>
        <w:pStyle w:val="Captions"/>
        <w:sectPr w:rsidR="003E555C" w:rsidSect="00C36529">
          <w:pgSz w:w="16838" w:h="11906" w:orient="landscape" w:code="9"/>
          <w:pgMar w:top="1134" w:right="1134" w:bottom="1134" w:left="1134" w:header="709" w:footer="709" w:gutter="0"/>
          <w:cols w:space="708"/>
          <w:docGrid w:linePitch="360"/>
        </w:sectPr>
      </w:pPr>
      <w:r w:rsidRPr="00460FF4">
        <w:t xml:space="preserve"> </w:t>
      </w:r>
      <w:r w:rsidRPr="00C36529">
        <w:rPr>
          <w:sz w:val="18"/>
        </w:rPr>
        <w:t>COPD = chronic obstructive pulmonary disease</w:t>
      </w:r>
    </w:p>
    <w:p w14:paraId="088634B2" w14:textId="77777777" w:rsidR="00D92032" w:rsidRDefault="00144EF5" w:rsidP="00D92032">
      <w:pPr>
        <w:pStyle w:val="Heading3"/>
      </w:pPr>
      <w:r>
        <w:lastRenderedPageBreak/>
        <w:t>Compliance with guidelines for the 20 most common indications</w:t>
      </w:r>
    </w:p>
    <w:p w14:paraId="4C4933E9" w14:textId="6769D671" w:rsidR="007808C5" w:rsidRDefault="002D154E" w:rsidP="00460FF4">
      <w:r>
        <w:t>Figure 1</w:t>
      </w:r>
      <w:r w:rsidR="002A31D0">
        <w:t>0</w:t>
      </w:r>
      <w:r w:rsidR="00460FF4" w:rsidRPr="00F341E4">
        <w:t xml:space="preserve"> shows the</w:t>
      </w:r>
      <w:r w:rsidR="009F2ECC">
        <w:t xml:space="preserve"> percentage of</w:t>
      </w:r>
      <w:r w:rsidR="00460FF4" w:rsidRPr="00F341E4">
        <w:t xml:space="preserve"> prescription</w:t>
      </w:r>
      <w:r w:rsidR="009F2ECC">
        <w:t>s</w:t>
      </w:r>
      <w:r w:rsidR="00460FF4" w:rsidRPr="00F341E4">
        <w:t xml:space="preserve"> assessed as compliant with guidelines for the 20 </w:t>
      </w:r>
      <w:r w:rsidR="00F341E4">
        <w:t xml:space="preserve">indications </w:t>
      </w:r>
      <w:r w:rsidR="00460FF4" w:rsidRPr="00F341E4">
        <w:t>most common</w:t>
      </w:r>
      <w:r w:rsidR="00F341E4">
        <w:t>ly requiring</w:t>
      </w:r>
      <w:r w:rsidR="00460FF4" w:rsidRPr="00F341E4">
        <w:t xml:space="preserve"> antimicrobial</w:t>
      </w:r>
      <w:r w:rsidR="00F341E4">
        <w:t xml:space="preserve"> therapy</w:t>
      </w:r>
      <w:r w:rsidR="00D1022B">
        <w:t xml:space="preserve"> in 2017</w:t>
      </w:r>
      <w:r w:rsidR="00F341E4">
        <w:t>.</w:t>
      </w:r>
      <w:r w:rsidR="00460FF4" w:rsidRPr="00F341E4">
        <w:t xml:space="preserve"> </w:t>
      </w:r>
      <w:r w:rsidR="007808C5">
        <w:t>Pr</w:t>
      </w:r>
      <w:r w:rsidR="00F90F1E">
        <w:t>escriptions can be assessed as inappropriate</w:t>
      </w:r>
      <w:r w:rsidR="007808C5">
        <w:t xml:space="preserve"> </w:t>
      </w:r>
      <w:r w:rsidR="004E4647">
        <w:t>despite being</w:t>
      </w:r>
      <w:r w:rsidR="007808C5">
        <w:t xml:space="preserve"> compliant with guidelines or directed therapy. Common clinical scenarios for this can be a prescription that follows guidelines but doesn’t consider a documented medical or travel history that the assessor has seen. Another scenario may be a prescription that is directed therapy</w:t>
      </w:r>
      <w:r w:rsidR="00F90F1E">
        <w:t>,</w:t>
      </w:r>
      <w:r w:rsidR="007808C5">
        <w:t xml:space="preserve"> as it is informed by a microbiology result but the prescriber could have chosen a narrower spectrum antimicrobial and so it is inappropriate. </w:t>
      </w:r>
    </w:p>
    <w:p w14:paraId="73BAD78A" w14:textId="6683D0E6" w:rsidR="007808C5" w:rsidRDefault="00694A59" w:rsidP="00460FF4">
      <w:r>
        <w:t>Indications with a high degree of appropriateness often also ha</w:t>
      </w:r>
      <w:r w:rsidR="00D1022B">
        <w:t>d</w:t>
      </w:r>
      <w:r>
        <w:t xml:space="preserve"> a high degree of guideline compliance, such</w:t>
      </w:r>
      <w:r w:rsidR="00BD09B3">
        <w:t xml:space="preserve"> as medical prophylaxis (83.8%);</w:t>
      </w:r>
      <w:r>
        <w:t xml:space="preserve"> febrile neutropenia (77.5%)</w:t>
      </w:r>
      <w:r w:rsidR="00BD09B3">
        <w:t>;</w:t>
      </w:r>
      <w:r w:rsidR="005757B1">
        <w:t xml:space="preserve"> and cutaneous and mucosal candidiasis (73.9%)</w:t>
      </w:r>
      <w:r>
        <w:t xml:space="preserve">. </w:t>
      </w:r>
    </w:p>
    <w:p w14:paraId="1FA03695" w14:textId="6254901B" w:rsidR="00460FF4" w:rsidRDefault="009F2ECC" w:rsidP="00460FF4">
      <w:r>
        <w:t>Certain indications with low levels of guideline compliance</w:t>
      </w:r>
      <w:r w:rsidR="005D039E">
        <w:t>,</w:t>
      </w:r>
      <w:r>
        <w:t xml:space="preserve"> but high levels of directed therapy</w:t>
      </w:r>
      <w:r w:rsidR="005D039E">
        <w:t>,</w:t>
      </w:r>
      <w:r>
        <w:t xml:space="preserve"> also tend</w:t>
      </w:r>
      <w:r w:rsidR="00D1022B">
        <w:t>ed</w:t>
      </w:r>
      <w:r>
        <w:t xml:space="preserve"> to be assessed as appropriate overall</w:t>
      </w:r>
      <w:r w:rsidR="00D1022B">
        <w:t xml:space="preserve">. These included </w:t>
      </w:r>
      <w:r w:rsidR="00BD09B3">
        <w:t>osteomyelitis</w:t>
      </w:r>
      <w:r w:rsidR="000A3C27">
        <w:t>,</w:t>
      </w:r>
      <w:r>
        <w:t xml:space="preserve"> sepsis</w:t>
      </w:r>
      <w:r w:rsidR="000A3C27">
        <w:t>,</w:t>
      </w:r>
      <w:r>
        <w:t xml:space="preserve"> and urinary tract infection. </w:t>
      </w:r>
      <w:r w:rsidR="00460FF4" w:rsidRPr="00F341E4">
        <w:t>Indications with high levels of guideline</w:t>
      </w:r>
      <w:r w:rsidR="00F341E4">
        <w:t xml:space="preserve"> </w:t>
      </w:r>
      <w:r w:rsidR="00F341E4" w:rsidRPr="00F341E4">
        <w:t xml:space="preserve">non-compliance </w:t>
      </w:r>
      <w:r w:rsidR="00460FF4" w:rsidRPr="00F341E4">
        <w:t>were similar to those with high levels of inappropriateness: in</w:t>
      </w:r>
      <w:r w:rsidR="00F341E4">
        <w:t>fecti</w:t>
      </w:r>
      <w:r w:rsidR="00BD09B3">
        <w:t>ve exacerbation of COPD (49.6%)</w:t>
      </w:r>
      <w:r w:rsidR="000A3C27">
        <w:t>,</w:t>
      </w:r>
      <w:r w:rsidR="00F341E4">
        <w:t xml:space="preserve"> surgical prophylaxis (45</w:t>
      </w:r>
      <w:r w:rsidR="00BD09B3">
        <w:t>.2%)</w:t>
      </w:r>
      <w:r w:rsidR="000A3C27">
        <w:t>,</w:t>
      </w:r>
      <w:r w:rsidR="00460FF4" w:rsidRPr="00F341E4">
        <w:t xml:space="preserve"> </w:t>
      </w:r>
      <w:r w:rsidR="003E731E">
        <w:t xml:space="preserve">and </w:t>
      </w:r>
      <w:r w:rsidR="00F341E4" w:rsidRPr="00F341E4">
        <w:t>cholecystit</w:t>
      </w:r>
      <w:r w:rsidR="00F341E4">
        <w:t>is (36.8</w:t>
      </w:r>
      <w:r w:rsidR="00F341E4" w:rsidRPr="00F341E4">
        <w:t>%)</w:t>
      </w:r>
      <w:r w:rsidR="00460FF4" w:rsidRPr="00F341E4">
        <w:t xml:space="preserve">. </w:t>
      </w:r>
    </w:p>
    <w:p w14:paraId="605AA228" w14:textId="77777777" w:rsidR="00BC370D" w:rsidRDefault="00BC370D" w:rsidP="00DA77CF">
      <w:pPr>
        <w:pStyle w:val="FigureTitle"/>
        <w:sectPr w:rsidR="00BC370D" w:rsidSect="00C36529">
          <w:pgSz w:w="11906" w:h="16838" w:code="9"/>
          <w:pgMar w:top="1134" w:right="1134" w:bottom="1134" w:left="1134" w:header="709" w:footer="709" w:gutter="0"/>
          <w:cols w:space="708"/>
          <w:docGrid w:linePitch="360"/>
        </w:sectPr>
      </w:pPr>
    </w:p>
    <w:p w14:paraId="100BC2EF" w14:textId="7A4BBE0B" w:rsidR="0025357D" w:rsidRDefault="00DA77CF" w:rsidP="00DA77CF">
      <w:pPr>
        <w:pStyle w:val="FigureTitle"/>
      </w:pPr>
      <w:r>
        <w:lastRenderedPageBreak/>
        <w:t xml:space="preserve">Figure </w:t>
      </w:r>
      <w:r w:rsidR="002A31D0">
        <w:t>10</w:t>
      </w:r>
      <w:r w:rsidR="00557374">
        <w:t xml:space="preserve">: </w:t>
      </w:r>
      <w:r w:rsidR="00BC370D">
        <w:t xml:space="preserve">Compliance with guidelines for the 20 indications </w:t>
      </w:r>
      <w:r w:rsidR="00F341E4">
        <w:t xml:space="preserve">most commonly </w:t>
      </w:r>
      <w:r w:rsidR="00BC370D">
        <w:t>requiring antimicrobials</w:t>
      </w:r>
      <w:r w:rsidR="00D1022B">
        <w:t xml:space="preserve"> in Hospital NAPS contributors</w:t>
      </w:r>
      <w:r w:rsidR="00BC370D">
        <w:t>, 2017</w:t>
      </w:r>
    </w:p>
    <w:p w14:paraId="2E41FB9B" w14:textId="77777777" w:rsidR="0025357D" w:rsidRDefault="0025357D" w:rsidP="00460FF4">
      <w:r>
        <w:rPr>
          <w:noProof/>
        </w:rPr>
        <w:drawing>
          <wp:inline distT="0" distB="0" distL="0" distR="0" wp14:anchorId="6074A298" wp14:editId="4853A054">
            <wp:extent cx="9267825" cy="5553075"/>
            <wp:effectExtent l="0" t="0" r="317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5E264D" w14:textId="77777777" w:rsidR="00460FF4" w:rsidRPr="001831BC" w:rsidRDefault="00BC370D" w:rsidP="00BC370D">
      <w:pPr>
        <w:pStyle w:val="Captions"/>
        <w:rPr>
          <w:sz w:val="18"/>
        </w:rPr>
      </w:pPr>
      <w:r w:rsidRPr="001831BC">
        <w:rPr>
          <w:sz w:val="18"/>
        </w:rPr>
        <w:t>COPD = chronic obstructive pulmonary disease</w:t>
      </w:r>
    </w:p>
    <w:p w14:paraId="1AF02C45" w14:textId="77777777" w:rsidR="00A42510" w:rsidRDefault="00A42510" w:rsidP="00144EF5">
      <w:pPr>
        <w:pStyle w:val="Heading1"/>
        <w:sectPr w:rsidR="00A42510" w:rsidSect="00C36529">
          <w:pgSz w:w="16838" w:h="11906" w:orient="landscape" w:code="9"/>
          <w:pgMar w:top="1134" w:right="1134" w:bottom="1134" w:left="1134" w:header="709" w:footer="709" w:gutter="0"/>
          <w:cols w:space="708"/>
          <w:docGrid w:linePitch="360"/>
        </w:sectPr>
      </w:pPr>
    </w:p>
    <w:p w14:paraId="0ADF13CF" w14:textId="77777777" w:rsidR="00F41B71" w:rsidRDefault="00F41B71" w:rsidP="00144EF5">
      <w:pPr>
        <w:pStyle w:val="Heading1"/>
      </w:pPr>
      <w:bookmarkStart w:id="24" w:name="_Toc526841667"/>
      <w:r>
        <w:lastRenderedPageBreak/>
        <w:t>Discussion</w:t>
      </w:r>
      <w:bookmarkEnd w:id="24"/>
    </w:p>
    <w:p w14:paraId="6B334A9F" w14:textId="5664CE1B" w:rsidR="004E4647" w:rsidRDefault="004E4647" w:rsidP="006C38C6">
      <w:r>
        <w:rPr>
          <w:rFonts w:ascii="Segoe UI" w:hAnsi="Segoe UI" w:cs="Segoe UI"/>
          <w:color w:val="000000"/>
        </w:rPr>
        <w:t>The 2017 Hospital NAPS marks the fifth year of the survey and demonstrates that the collaboration between the Commission and the NCAS has resulted in a sustainable program that supports the ongoing challenges of AMS in Australian hospitals.</w:t>
      </w:r>
    </w:p>
    <w:p w14:paraId="1EF5E786" w14:textId="5F3D5D84" w:rsidR="00AC1069" w:rsidRDefault="005D039E" w:rsidP="006C38C6">
      <w:r>
        <w:t xml:space="preserve">NAPS is a valuable tool for health service organisations to monitor the </w:t>
      </w:r>
      <w:r w:rsidR="00FE5FD2">
        <w:t xml:space="preserve">performance </w:t>
      </w:r>
      <w:r>
        <w:t>of their AMS programs</w:t>
      </w:r>
      <w:r w:rsidR="00F90F1E">
        <w:t>,</w:t>
      </w:r>
      <w:r w:rsidR="00B0795B">
        <w:t xml:space="preserve"> as </w:t>
      </w:r>
      <w:r w:rsidR="00F90F1E">
        <w:t>it contributes to demonstrating that a health service organisation is meeting</w:t>
      </w:r>
      <w:r w:rsidR="00B0795B">
        <w:t xml:space="preserve"> the requirements of the NSQHS Standards</w:t>
      </w:r>
      <w:r>
        <w:t>.</w:t>
      </w:r>
      <w:r w:rsidR="00FE5FD2">
        <w:t xml:space="preserve"> However, </w:t>
      </w:r>
      <w:r w:rsidR="00B5671D">
        <w:t>participation by public hospitals has been relatively static since 2015, a</w:t>
      </w:r>
      <w:r w:rsidR="00AC1069">
        <w:t xml:space="preserve">s has the total number of participating hospitals. At the same time, the number of prescriptions for which data are submitted to NAPS has increased each year. </w:t>
      </w:r>
    </w:p>
    <w:p w14:paraId="2B079D47" w14:textId="689BFD48" w:rsidR="00BE132E" w:rsidRDefault="00B175EE" w:rsidP="006C38C6">
      <w:r w:rsidRPr="00B175EE">
        <w:t xml:space="preserve">Participation in the NAPS is voluntary, and hospitals may choose not to participate every year or to alternate between the different </w:t>
      </w:r>
      <w:r>
        <w:t xml:space="preserve">available </w:t>
      </w:r>
      <w:r w:rsidRPr="00B175EE">
        <w:t>NAPS surveys</w:t>
      </w:r>
      <w:r>
        <w:t xml:space="preserve">. </w:t>
      </w:r>
      <w:r w:rsidR="00AC1069">
        <w:t xml:space="preserve">Analyses of </w:t>
      </w:r>
      <w:r>
        <w:t xml:space="preserve">2016 and 2017 Hospital NAPS </w:t>
      </w:r>
      <w:r w:rsidR="00AC1069">
        <w:t xml:space="preserve">participation data by NCAS indicate that the static size of the </w:t>
      </w:r>
      <w:r>
        <w:t xml:space="preserve">Hospital NAPS </w:t>
      </w:r>
      <w:r w:rsidR="00AC1069">
        <w:t>cohort has been complemented by the up</w:t>
      </w:r>
      <w:r>
        <w:t xml:space="preserve">take </w:t>
      </w:r>
      <w:r w:rsidR="00AC1069">
        <w:t>of the Surgical NAPS</w:t>
      </w:r>
      <w:r>
        <w:t xml:space="preserve"> since it was introduced in 2016. Surgical NAPS</w:t>
      </w:r>
      <w:r w:rsidR="00AC1069">
        <w:t xml:space="preserve"> is an audit tool </w:t>
      </w:r>
      <w:r>
        <w:t xml:space="preserve">that may be more useful for </w:t>
      </w:r>
      <w:r w:rsidR="00B0795B">
        <w:t xml:space="preserve">some </w:t>
      </w:r>
      <w:r>
        <w:t xml:space="preserve">health service organisations. </w:t>
      </w:r>
      <w:r w:rsidRPr="00B175EE">
        <w:t>Surgical NAPS</w:t>
      </w:r>
      <w:r w:rsidR="004E4647">
        <w:t xml:space="preserve"> is an audit tool that allows clinicians to examine surgical prophylaxis prescribing in more depth. Surgical NAPS</w:t>
      </w:r>
      <w:r w:rsidRPr="00B175EE">
        <w:t xml:space="preserve"> participation </w:t>
      </w:r>
      <w:r w:rsidR="00281A6B">
        <w:t>increased between 2016 and 2017;</w:t>
      </w:r>
      <w:r w:rsidRPr="00B175EE">
        <w:t xml:space="preserve"> </w:t>
      </w:r>
      <w:r w:rsidR="00281A6B">
        <w:t>t</w:t>
      </w:r>
      <w:r w:rsidRPr="00B175EE">
        <w:t>his increase does not appear to have had a major impact on Hospital NAPS participation rates.</w:t>
      </w:r>
      <w:r w:rsidR="00AC1069" w:rsidRPr="00AC1069">
        <w:t xml:space="preserve"> </w:t>
      </w:r>
      <w:r w:rsidR="00AC1069">
        <w:t xml:space="preserve"> </w:t>
      </w:r>
    </w:p>
    <w:p w14:paraId="7B70742B" w14:textId="382B8963" w:rsidR="00FE5FD2" w:rsidRDefault="00AC1069" w:rsidP="00FE5FD2">
      <w:r>
        <w:t>The high level of participation by principal referral hospitals, public acute group A and B hospitals</w:t>
      </w:r>
      <w:r w:rsidR="00B175EE">
        <w:t>,</w:t>
      </w:r>
      <w:r>
        <w:t xml:space="preserve"> private acute group A and B hospitals </w:t>
      </w:r>
      <w:r w:rsidR="00B175EE">
        <w:t>and specialist women’s hospitals</w:t>
      </w:r>
      <w:r w:rsidR="00281A6B">
        <w:t xml:space="preserve"> provides valuable</w:t>
      </w:r>
      <w:r w:rsidR="00B175EE">
        <w:t xml:space="preserve"> findings in relation to appropriateness of antimicrobial prescribing in those settings</w:t>
      </w:r>
      <w:r w:rsidR="00F90F1E">
        <w:t>.</w:t>
      </w:r>
      <w:r w:rsidR="00281A6B">
        <w:t xml:space="preserve"> </w:t>
      </w:r>
      <w:r w:rsidR="00FE5FD2">
        <w:t>A</w:t>
      </w:r>
      <w:r w:rsidR="00B175EE">
        <w:t>s a</w:t>
      </w:r>
      <w:r w:rsidR="00FE5FD2">
        <w:t xml:space="preserve">pproximately one third of all eligible public and private hospitals participated in the 2017 Hospital NAPS, and </w:t>
      </w:r>
      <w:r w:rsidR="00B175EE">
        <w:t xml:space="preserve">the participation rates vary between the </w:t>
      </w:r>
      <w:r w:rsidR="00FE5FD2">
        <w:t>states and territories</w:t>
      </w:r>
      <w:r w:rsidR="00DD1E28">
        <w:t xml:space="preserve">, there are opportunities for increasing </w:t>
      </w:r>
      <w:r w:rsidR="00281A6B">
        <w:t>participation. The Commission continues to work with the public and private sectors to increase participation.</w:t>
      </w:r>
    </w:p>
    <w:p w14:paraId="4EE0A932" w14:textId="72D04994" w:rsidR="00FE5FD2" w:rsidRDefault="00FE5FD2" w:rsidP="00FE5FD2">
      <w:r w:rsidRPr="00FE5FD2">
        <w:t xml:space="preserve">Analyses of </w:t>
      </w:r>
      <w:r w:rsidR="00DD1E28">
        <w:t xml:space="preserve">Hospital NAPS </w:t>
      </w:r>
      <w:r w:rsidRPr="00FE5FD2">
        <w:t>data collected from 2013 to 2017 show</w:t>
      </w:r>
      <w:r w:rsidR="000A47D7">
        <w:t>ed</w:t>
      </w:r>
      <w:r w:rsidRPr="00FE5FD2">
        <w:t xml:space="preserve"> improvements over that period for a number of key quality indicators for antimicrobial prescribing.</w:t>
      </w:r>
      <w:r w:rsidR="00DD1E28">
        <w:t xml:space="preserve"> These include increases in the rate of d</w:t>
      </w:r>
      <w:r>
        <w:t>ocumentation of indication for prescribing antimicrobials in participating hospitals</w:t>
      </w:r>
      <w:r w:rsidR="00DD1E28">
        <w:t xml:space="preserve">, and in </w:t>
      </w:r>
      <w:r>
        <w:t>the rate of documentation of an antimicrobial review or stop date</w:t>
      </w:r>
      <w:r w:rsidR="00DD1E28">
        <w:t xml:space="preserve">. In </w:t>
      </w:r>
      <w:r w:rsidR="000A47D7">
        <w:t xml:space="preserve">2017, in </w:t>
      </w:r>
      <w:r w:rsidR="00DD1E28">
        <w:t>response to these improvements in the qu</w:t>
      </w:r>
      <w:r w:rsidR="00F90F1E">
        <w:t xml:space="preserve">ality of documentation, </w:t>
      </w:r>
      <w:r w:rsidR="00DD1E28">
        <w:t>f</w:t>
      </w:r>
      <w:r>
        <w:t xml:space="preserve">ewer prescriptions were deemed to be not assessable. </w:t>
      </w:r>
    </w:p>
    <w:p w14:paraId="1BC7BA88" w14:textId="45FE3067" w:rsidR="00FE5FD2" w:rsidRDefault="00DD1E28" w:rsidP="00FE5FD2">
      <w:r>
        <w:t xml:space="preserve">There has also been an improvement in the rate of prescribing of antimicrobials for surgical prophylaxis for longer than 24 hours, and a downward trend from 2013 to 2017 toward the </w:t>
      </w:r>
      <w:r w:rsidR="00F0374D">
        <w:t>target</w:t>
      </w:r>
      <w:r>
        <w:t xml:space="preserve"> for this indicator of </w:t>
      </w:r>
      <w:r w:rsidR="004E4647">
        <w:t xml:space="preserve">less than </w:t>
      </w:r>
      <w:r>
        <w:t>5%. However, in 2017</w:t>
      </w:r>
      <w:r w:rsidR="00FE5FD2">
        <w:t xml:space="preserve">, almost one third of antimicrobial </w:t>
      </w:r>
      <w:r w:rsidR="00FE5FD2" w:rsidRPr="00FE5FD2">
        <w:t xml:space="preserve">prescriptions </w:t>
      </w:r>
      <w:r w:rsidR="00FE5FD2">
        <w:t xml:space="preserve">for surgical prophylaxis were continued beyond 24 hours of therapy. </w:t>
      </w:r>
    </w:p>
    <w:p w14:paraId="584BC54D" w14:textId="79E390B0" w:rsidR="00FE5FD2" w:rsidRDefault="00FE5FD2" w:rsidP="00FE5FD2">
      <w:pPr>
        <w:pStyle w:val="Normal-beforebullets"/>
      </w:pPr>
      <w:r>
        <w:t>The number of prescriptions assessed as compliant with guidelines</w:t>
      </w:r>
      <w:r w:rsidR="00F0374D">
        <w:t>,</w:t>
      </w:r>
      <w:r>
        <w:t xml:space="preserve"> and as appropriate</w:t>
      </w:r>
      <w:r w:rsidR="00F0374D">
        <w:t>,</w:t>
      </w:r>
      <w:r>
        <w:t xml:space="preserve"> remained relatively unchanged from 2013 to 2017. The most common reasons for inappropriate prescribing in hospitals that contributed to NAPS in 2017 were: spe</w:t>
      </w:r>
      <w:r w:rsidR="00281A6B">
        <w:t>ctrum too broad;</w:t>
      </w:r>
      <w:r>
        <w:t xml:space="preserve"> wrong dose or frequency</w:t>
      </w:r>
      <w:r w:rsidR="00281A6B">
        <w:t>;</w:t>
      </w:r>
      <w:r>
        <w:t xml:space="preserve"> and</w:t>
      </w:r>
      <w:r w:rsidR="00281A6B">
        <w:t>,</w:t>
      </w:r>
      <w:r>
        <w:t xml:space="preserve"> antimicrobials not required.</w:t>
      </w:r>
    </w:p>
    <w:p w14:paraId="6DDD0944" w14:textId="77777777" w:rsidR="00FE5FD2" w:rsidRDefault="00FE5FD2" w:rsidP="00FE5FD2">
      <w:pPr>
        <w:pStyle w:val="Normal-beforebullets"/>
      </w:pPr>
    </w:p>
    <w:p w14:paraId="7DFE5AE4" w14:textId="77777777" w:rsidR="00C25758" w:rsidRDefault="00FE5FD2" w:rsidP="00C25758">
      <w:pPr>
        <w:pStyle w:val="Normal-beforebullets"/>
      </w:pPr>
      <w:r w:rsidRPr="00DA70FB">
        <w:t>To further investigate the reasons why appropriateness of prescribing and compliance with guidelines have remained static since 2013</w:t>
      </w:r>
      <w:r>
        <w:t>,</w:t>
      </w:r>
      <w:r w:rsidRPr="00DA70FB">
        <w:t xml:space="preserve"> in contrast </w:t>
      </w:r>
      <w:r>
        <w:t xml:space="preserve">to </w:t>
      </w:r>
      <w:r w:rsidRPr="00DA70FB">
        <w:t xml:space="preserve">other key indicators, </w:t>
      </w:r>
      <w:r w:rsidR="00C25758">
        <w:t xml:space="preserve">NCAS performed </w:t>
      </w:r>
      <w:r w:rsidRPr="00DA70FB">
        <w:t xml:space="preserve">analyses </w:t>
      </w:r>
      <w:r>
        <w:t xml:space="preserve">for </w:t>
      </w:r>
      <w:r w:rsidRPr="00DA70FB">
        <w:t xml:space="preserve">the subgroups of facilities that had either participated in the Hospital NAPS on more than one occasion in the last five years or participated in the Hospital NAPS in both 2016 and 2017. </w:t>
      </w:r>
    </w:p>
    <w:p w14:paraId="54F04224" w14:textId="77777777" w:rsidR="00C25758" w:rsidRDefault="00C25758" w:rsidP="00C25758">
      <w:pPr>
        <w:pStyle w:val="Normal-beforebullets"/>
      </w:pPr>
    </w:p>
    <w:p w14:paraId="31FC7B33" w14:textId="06320DCF" w:rsidR="00C25758" w:rsidRDefault="00FE5FD2" w:rsidP="00C25758">
      <w:pPr>
        <w:pStyle w:val="Normal-beforebullets"/>
      </w:pPr>
      <w:r w:rsidRPr="00DA70FB">
        <w:t>These analyses revealed that key markers for prescribing appropriateness improved in hospitals that were repeat participants in the Hospital NAPS.</w:t>
      </w:r>
      <w:r w:rsidR="00C25758">
        <w:t xml:space="preserve"> These findings suggest that regular auditing of antimicrobial prescribing does result in improved appropriateness of prescribing and </w:t>
      </w:r>
      <w:r w:rsidR="00CB5592">
        <w:t xml:space="preserve">compliance </w:t>
      </w:r>
      <w:r w:rsidR="00C25758">
        <w:t>with guidelines.</w:t>
      </w:r>
    </w:p>
    <w:p w14:paraId="680FB806" w14:textId="77777777" w:rsidR="00C25758" w:rsidRDefault="00C25758" w:rsidP="00C25758">
      <w:pPr>
        <w:pStyle w:val="Normal-beforebullets"/>
      </w:pPr>
    </w:p>
    <w:p w14:paraId="1F9B2A52" w14:textId="77777777" w:rsidR="00C36529" w:rsidRDefault="00C36529">
      <w:pPr>
        <w:spacing w:after="80"/>
      </w:pPr>
      <w:r>
        <w:lastRenderedPageBreak/>
        <w:br w:type="page"/>
      </w:r>
    </w:p>
    <w:p w14:paraId="246D48BD" w14:textId="27DB355E" w:rsidR="00A6288D" w:rsidRPr="00F41B71" w:rsidRDefault="00CB5592" w:rsidP="006C38C6">
      <w:r>
        <w:lastRenderedPageBreak/>
        <w:t xml:space="preserve">While these results are encouraging, </w:t>
      </w:r>
      <w:r w:rsidR="00495417">
        <w:t xml:space="preserve">the survey has </w:t>
      </w:r>
      <w:r>
        <w:t xml:space="preserve">also </w:t>
      </w:r>
      <w:r w:rsidR="00495417">
        <w:t>highlighted the</w:t>
      </w:r>
      <w:r>
        <w:t xml:space="preserve"> ongoing</w:t>
      </w:r>
      <w:r w:rsidR="00495417">
        <w:t xml:space="preserve"> need for improved prescribing </w:t>
      </w:r>
      <w:r w:rsidR="00BE3B66">
        <w:t>for selected antimicrobials, particularly cefalexin, amoxicillin–clavulan</w:t>
      </w:r>
      <w:r w:rsidR="009530C1">
        <w:t>ic acid</w:t>
      </w:r>
      <w:r w:rsidR="00BE3B66">
        <w:t xml:space="preserve">, cefazolin and ceftriaxone. This may be challenging </w:t>
      </w:r>
      <w:r w:rsidR="00281A6B">
        <w:t xml:space="preserve">where there </w:t>
      </w:r>
      <w:r w:rsidR="00F90F1E">
        <w:t>are</w:t>
      </w:r>
      <w:r w:rsidR="00281A6B">
        <w:t xml:space="preserve"> periods of extended</w:t>
      </w:r>
      <w:r w:rsidR="00BE3B66">
        <w:t xml:space="preserve"> antimicrobial drug shortages.</w:t>
      </w:r>
    </w:p>
    <w:p w14:paraId="3E13B23E" w14:textId="2E8B037C" w:rsidR="00C25758" w:rsidRPr="00C36529" w:rsidRDefault="00327636">
      <w:pPr>
        <w:spacing w:after="80"/>
      </w:pPr>
      <w:r w:rsidRPr="00C36529">
        <w:t xml:space="preserve">The Commission is planning targeted action </w:t>
      </w:r>
      <w:r w:rsidR="00BE3B66" w:rsidRPr="00C36529">
        <w:t xml:space="preserve">with regard to the use of antimicrobials </w:t>
      </w:r>
      <w:r w:rsidR="00902CBC" w:rsidRPr="00C36529">
        <w:t>in prolonged post-operative surgical prophylaxis</w:t>
      </w:r>
      <w:r w:rsidRPr="00C36529">
        <w:t xml:space="preserve">. Targeted strategies will also be considered in relation to </w:t>
      </w:r>
      <w:r w:rsidR="00902CBC" w:rsidRPr="00C36529">
        <w:t xml:space="preserve">the </w:t>
      </w:r>
      <w:r w:rsidR="00BE3B66" w:rsidRPr="00C36529">
        <w:t>treat</w:t>
      </w:r>
      <w:r w:rsidR="00902CBC" w:rsidRPr="00C36529">
        <w:t>ment of</w:t>
      </w:r>
      <w:r w:rsidR="00BE3B66" w:rsidRPr="00C36529">
        <w:t xml:space="preserve"> infective exacerbations of </w:t>
      </w:r>
      <w:r w:rsidR="00F90F1E" w:rsidRPr="00C36529">
        <w:t>COPD</w:t>
      </w:r>
      <w:r w:rsidR="00BE3B66" w:rsidRPr="00C36529">
        <w:t>, cholecystitis</w:t>
      </w:r>
      <w:r w:rsidR="00902CBC" w:rsidRPr="00C36529">
        <w:t>,</w:t>
      </w:r>
      <w:r w:rsidR="00BE3B66" w:rsidRPr="00C36529">
        <w:t xml:space="preserve"> and traumatic injuries</w:t>
      </w:r>
      <w:r w:rsidR="00902CBC" w:rsidRPr="00C36529">
        <w:t>.</w:t>
      </w:r>
      <w:r w:rsidR="00BE3B66" w:rsidRPr="00C36529">
        <w:t xml:space="preserve"> These conditions had poor rates of prescribing appropriateness and guideline compliance.</w:t>
      </w:r>
    </w:p>
    <w:p w14:paraId="509F8E93" w14:textId="56E46245" w:rsidR="000A47D7" w:rsidRPr="00C36529" w:rsidRDefault="003D7A1B" w:rsidP="000A47D7">
      <w:r w:rsidRPr="00C36529">
        <w:t xml:space="preserve">The 2017 Hospital NAPS analyses </w:t>
      </w:r>
      <w:r w:rsidR="000A47D7" w:rsidRPr="00C36529">
        <w:t xml:space="preserve">have identified the following priority areas for targeted quality improvement initiatives for antimicrobial prescribing: </w:t>
      </w:r>
    </w:p>
    <w:p w14:paraId="142D7D17" w14:textId="77777777" w:rsidR="000A47D7" w:rsidRPr="00C36529" w:rsidRDefault="000A47D7" w:rsidP="000A47D7">
      <w:pPr>
        <w:pStyle w:val="ListParagraph"/>
        <w:numPr>
          <w:ilvl w:val="0"/>
          <w:numId w:val="39"/>
        </w:numPr>
        <w:spacing w:after="0"/>
        <w:rPr>
          <w:rFonts w:ascii="Arial" w:hAnsi="Arial"/>
          <w:color w:val="000000" w:themeColor="text1"/>
          <w:sz w:val="22"/>
          <w:szCs w:val="22"/>
          <w:lang w:eastAsia="en-US"/>
        </w:rPr>
      </w:pPr>
      <w:r w:rsidRPr="00C36529">
        <w:rPr>
          <w:rFonts w:ascii="Arial" w:hAnsi="Arial"/>
          <w:color w:val="000000" w:themeColor="text1"/>
          <w:sz w:val="22"/>
          <w:szCs w:val="22"/>
          <w:lang w:eastAsia="en-US"/>
        </w:rPr>
        <w:t>Documentation of indication</w:t>
      </w:r>
    </w:p>
    <w:p w14:paraId="30248D1C" w14:textId="77777777" w:rsidR="000A47D7" w:rsidRPr="00C36529" w:rsidRDefault="000A47D7" w:rsidP="000A47D7">
      <w:pPr>
        <w:pStyle w:val="ListParagraph"/>
        <w:numPr>
          <w:ilvl w:val="0"/>
          <w:numId w:val="39"/>
        </w:numPr>
        <w:spacing w:after="0"/>
        <w:rPr>
          <w:rFonts w:ascii="Arial" w:hAnsi="Arial"/>
          <w:color w:val="000000" w:themeColor="text1"/>
          <w:sz w:val="22"/>
          <w:szCs w:val="22"/>
          <w:lang w:eastAsia="en-US"/>
        </w:rPr>
      </w:pPr>
      <w:r w:rsidRPr="00C36529">
        <w:rPr>
          <w:rFonts w:ascii="Arial" w:hAnsi="Arial"/>
          <w:color w:val="000000" w:themeColor="text1"/>
          <w:sz w:val="22"/>
          <w:szCs w:val="22"/>
          <w:lang w:eastAsia="en-US"/>
        </w:rPr>
        <w:t xml:space="preserve">Documentation of review or stop date </w:t>
      </w:r>
    </w:p>
    <w:p w14:paraId="05463607" w14:textId="77777777" w:rsidR="000A47D7" w:rsidRPr="00C36529" w:rsidRDefault="000A47D7" w:rsidP="000A47D7">
      <w:pPr>
        <w:pStyle w:val="ListParagraph"/>
        <w:numPr>
          <w:ilvl w:val="0"/>
          <w:numId w:val="39"/>
        </w:numPr>
        <w:spacing w:after="0"/>
        <w:rPr>
          <w:rFonts w:ascii="Arial" w:hAnsi="Arial"/>
          <w:color w:val="000000" w:themeColor="text1"/>
          <w:sz w:val="22"/>
          <w:szCs w:val="22"/>
          <w:lang w:eastAsia="en-US"/>
        </w:rPr>
      </w:pPr>
      <w:r w:rsidRPr="00C36529">
        <w:rPr>
          <w:rFonts w:ascii="Arial" w:hAnsi="Arial"/>
          <w:color w:val="000000" w:themeColor="text1"/>
          <w:sz w:val="22"/>
          <w:szCs w:val="22"/>
          <w:lang w:eastAsia="en-US"/>
        </w:rPr>
        <w:t xml:space="preserve">Compliance with guidelines </w:t>
      </w:r>
    </w:p>
    <w:p w14:paraId="71936FA0" w14:textId="77777777" w:rsidR="000A47D7" w:rsidRPr="00C36529" w:rsidRDefault="000A47D7" w:rsidP="000A47D7">
      <w:pPr>
        <w:pStyle w:val="ListParagraph"/>
        <w:numPr>
          <w:ilvl w:val="0"/>
          <w:numId w:val="39"/>
        </w:numPr>
        <w:spacing w:after="0"/>
        <w:rPr>
          <w:rFonts w:ascii="Arial" w:hAnsi="Arial"/>
          <w:color w:val="000000" w:themeColor="text1"/>
          <w:sz w:val="22"/>
          <w:szCs w:val="22"/>
          <w:lang w:eastAsia="en-US"/>
        </w:rPr>
      </w:pPr>
      <w:r w:rsidRPr="00C36529">
        <w:rPr>
          <w:rFonts w:ascii="Arial" w:hAnsi="Arial"/>
          <w:color w:val="000000" w:themeColor="text1"/>
          <w:sz w:val="22"/>
          <w:szCs w:val="22"/>
          <w:lang w:eastAsia="en-US"/>
        </w:rPr>
        <w:t xml:space="preserve">Appropriateness of prescribing, particularly inappropriate broad spectrum antimicrobial use and duration of therapy </w:t>
      </w:r>
    </w:p>
    <w:p w14:paraId="402E3919" w14:textId="77777777" w:rsidR="000A47D7" w:rsidRPr="00C36529" w:rsidRDefault="000A47D7" w:rsidP="000A47D7">
      <w:pPr>
        <w:pStyle w:val="ListParagraph"/>
        <w:numPr>
          <w:ilvl w:val="0"/>
          <w:numId w:val="39"/>
        </w:numPr>
        <w:spacing w:after="0"/>
        <w:rPr>
          <w:rFonts w:ascii="Arial" w:hAnsi="Arial"/>
          <w:color w:val="000000" w:themeColor="text1"/>
          <w:sz w:val="22"/>
          <w:szCs w:val="22"/>
          <w:lang w:eastAsia="en-US"/>
        </w:rPr>
      </w:pPr>
      <w:r w:rsidRPr="00C36529">
        <w:rPr>
          <w:rFonts w:ascii="Arial" w:hAnsi="Arial"/>
          <w:color w:val="000000" w:themeColor="text1"/>
          <w:sz w:val="22"/>
          <w:szCs w:val="22"/>
          <w:lang w:eastAsia="en-US"/>
        </w:rPr>
        <w:t>Improved prescribing, particularly for cefalexin, amoxicillin–clavulanic acid, cefazolin and ceftriaxone</w:t>
      </w:r>
    </w:p>
    <w:p w14:paraId="4851442E" w14:textId="77777777" w:rsidR="000A47D7" w:rsidRPr="00C36529" w:rsidRDefault="000A47D7" w:rsidP="000A47D7">
      <w:pPr>
        <w:pStyle w:val="ListParagraph"/>
        <w:numPr>
          <w:ilvl w:val="0"/>
          <w:numId w:val="39"/>
        </w:numPr>
        <w:spacing w:after="0"/>
        <w:rPr>
          <w:rFonts w:ascii="Arial" w:hAnsi="Arial"/>
          <w:color w:val="000000" w:themeColor="text1"/>
          <w:sz w:val="22"/>
          <w:szCs w:val="22"/>
          <w:lang w:eastAsia="en-US"/>
        </w:rPr>
      </w:pPr>
      <w:r w:rsidRPr="00C36529">
        <w:rPr>
          <w:rFonts w:ascii="Arial" w:hAnsi="Arial"/>
          <w:color w:val="000000" w:themeColor="text1"/>
          <w:sz w:val="22"/>
          <w:szCs w:val="22"/>
          <w:lang w:eastAsia="en-US"/>
        </w:rPr>
        <w:t>Improved prescribing for indications, particularly surgical prophylaxis, infective exacerbations of chronic obstructive pulmonary disease, traumatic injuries and various types of pneumonia.</w:t>
      </w:r>
    </w:p>
    <w:p w14:paraId="0F6EE35B" w14:textId="77777777" w:rsidR="00D6630C" w:rsidRPr="00C36529" w:rsidRDefault="00D6630C" w:rsidP="00D6630C">
      <w:pPr>
        <w:spacing w:after="0"/>
      </w:pPr>
    </w:p>
    <w:p w14:paraId="2FB4B3A7" w14:textId="77777777" w:rsidR="00D6630C" w:rsidRDefault="00D6630C" w:rsidP="00D6630C">
      <w:pPr>
        <w:spacing w:after="0"/>
      </w:pPr>
      <w:r w:rsidRPr="00C36529">
        <w:t>To address these priority areas for action, the Commission will:</w:t>
      </w:r>
    </w:p>
    <w:p w14:paraId="756AD88D" w14:textId="77777777" w:rsidR="00C36529" w:rsidRPr="00C36529" w:rsidRDefault="00C36529" w:rsidP="00D6630C">
      <w:pPr>
        <w:spacing w:after="0"/>
        <w:rPr>
          <w:rFonts w:ascii="Arial" w:hAnsi="Arial" w:cs="Arial"/>
        </w:rPr>
      </w:pPr>
    </w:p>
    <w:p w14:paraId="425CD7B3" w14:textId="77777777" w:rsidR="00D6630C" w:rsidRPr="00C36529" w:rsidRDefault="00D6630C" w:rsidP="00D6630C">
      <w:pPr>
        <w:numPr>
          <w:ilvl w:val="0"/>
          <w:numId w:val="30"/>
        </w:numPr>
        <w:spacing w:after="0"/>
        <w:contextualSpacing/>
        <w:rPr>
          <w:rFonts w:ascii="Arial" w:eastAsiaTheme="minorHAnsi" w:hAnsi="Arial" w:cs="Arial"/>
          <w:color w:val="000000"/>
        </w:rPr>
      </w:pPr>
      <w:r w:rsidRPr="00C36529">
        <w:rPr>
          <w:rFonts w:ascii="Arial" w:eastAsiaTheme="minorHAnsi" w:hAnsi="Arial" w:cs="Arial"/>
          <w:color w:val="000000"/>
        </w:rPr>
        <w:t>Communicate the findings to states and territories and private hospital provider organisations to highlight the priority areas for their antimicrobial stewardship programs</w:t>
      </w:r>
    </w:p>
    <w:p w14:paraId="7ECBB32F" w14:textId="77777777" w:rsidR="00D6630C" w:rsidRPr="00C36529" w:rsidRDefault="00D6630C" w:rsidP="00D6630C">
      <w:pPr>
        <w:numPr>
          <w:ilvl w:val="0"/>
          <w:numId w:val="29"/>
        </w:numPr>
        <w:spacing w:after="0"/>
        <w:contextualSpacing/>
        <w:rPr>
          <w:rFonts w:eastAsiaTheme="minorHAnsi" w:cstheme="minorHAnsi"/>
          <w:color w:val="000000"/>
        </w:rPr>
      </w:pPr>
      <w:r w:rsidRPr="00C36529">
        <w:rPr>
          <w:rFonts w:eastAsiaTheme="minorHAnsi" w:cstheme="minorHAnsi"/>
          <w:color w:val="000000"/>
        </w:rPr>
        <w:t>Encourage public and private health service organisations to routinely review their NAPS results, and implement targeted strategies for departments with the highest rates of inappropriate prescribing, and non-compliance with guidelines</w:t>
      </w:r>
    </w:p>
    <w:p w14:paraId="67A60503" w14:textId="77777777" w:rsidR="00D6630C" w:rsidRPr="00C36529" w:rsidRDefault="00D6630C" w:rsidP="00D6630C">
      <w:pPr>
        <w:numPr>
          <w:ilvl w:val="0"/>
          <w:numId w:val="29"/>
        </w:numPr>
        <w:spacing w:after="0"/>
        <w:contextualSpacing/>
        <w:rPr>
          <w:rFonts w:eastAsiaTheme="minorHAnsi" w:cstheme="minorHAnsi"/>
          <w:color w:val="000000"/>
        </w:rPr>
      </w:pPr>
      <w:r w:rsidRPr="00C36529">
        <w:rPr>
          <w:rFonts w:eastAsiaTheme="minorHAnsi" w:cstheme="minorHAnsi"/>
          <w:color w:val="000000"/>
        </w:rPr>
        <w:t xml:space="preserve">Promote action 3.16c of the NSQHS </w:t>
      </w:r>
      <w:r w:rsidRPr="00C36529">
        <w:t xml:space="preserve">Preventing and Controlling </w:t>
      </w:r>
      <w:r w:rsidRPr="00C36529">
        <w:rPr>
          <w:rFonts w:eastAsiaTheme="minorHAnsi" w:cstheme="minorHAnsi"/>
          <w:color w:val="000000"/>
        </w:rPr>
        <w:t>Healthcare-Associated Infection Standard, which requires action to improve appropriateness of antimicrobial prescribing</w:t>
      </w:r>
    </w:p>
    <w:p w14:paraId="671B365A" w14:textId="77777777" w:rsidR="00D6630C" w:rsidRPr="00C36529" w:rsidRDefault="00D6630C" w:rsidP="00D6630C">
      <w:pPr>
        <w:numPr>
          <w:ilvl w:val="0"/>
          <w:numId w:val="29"/>
        </w:numPr>
        <w:spacing w:after="0"/>
        <w:contextualSpacing/>
        <w:rPr>
          <w:rFonts w:cstheme="minorHAnsi"/>
        </w:rPr>
      </w:pPr>
      <w:r w:rsidRPr="00C36529">
        <w:rPr>
          <w:rFonts w:eastAsiaTheme="minorHAnsi" w:cstheme="minorHAnsi"/>
          <w:color w:val="000000"/>
        </w:rPr>
        <w:t>Collaborate with the Royal Australasian College of Surgeons and other key stake holders to improve prescribing of antimicrobials for surgical prophylaxis</w:t>
      </w:r>
    </w:p>
    <w:p w14:paraId="1A011AFA" w14:textId="77777777" w:rsidR="00D6630C" w:rsidRPr="00C36529" w:rsidRDefault="00D6630C" w:rsidP="00D6630C">
      <w:pPr>
        <w:numPr>
          <w:ilvl w:val="0"/>
          <w:numId w:val="29"/>
        </w:numPr>
        <w:rPr>
          <w:rFonts w:cstheme="minorHAnsi"/>
        </w:rPr>
      </w:pPr>
      <w:r w:rsidRPr="00C36529">
        <w:rPr>
          <w:rFonts w:eastAsiaTheme="minorHAnsi" w:cstheme="minorHAnsi"/>
          <w:color w:val="000000"/>
        </w:rPr>
        <w:t xml:space="preserve">Work with states and territories and expert clinical groups to develop strategies and guidelines to improve the appropriateness of antimicrobial prescribing for respiratory conditions and traumatic injuries; prescribing of broad spectrum antimicrobials and duration of therapy; and prescribing of </w:t>
      </w:r>
      <w:r w:rsidRPr="00C36529">
        <w:rPr>
          <w:rFonts w:cstheme="minorHAnsi"/>
        </w:rPr>
        <w:t>cefalexin, amoxicillin–clavulanic acid, cefazolin and ceftriaxone.</w:t>
      </w:r>
    </w:p>
    <w:p w14:paraId="37749B19" w14:textId="77777777" w:rsidR="00D6630C" w:rsidRDefault="00D6630C" w:rsidP="00D6630C">
      <w:pPr>
        <w:spacing w:after="0"/>
      </w:pPr>
      <w:r w:rsidRPr="00C36529">
        <w:rPr>
          <w:rFonts w:cstheme="minorHAnsi"/>
        </w:rPr>
        <w:t>The Commission will also</w:t>
      </w:r>
      <w:r w:rsidRPr="00C36529">
        <w:t xml:space="preserve"> work with the states and territories and the</w:t>
      </w:r>
      <w:r w:rsidRPr="00C25758">
        <w:t xml:space="preserve"> private sector to promote ongoing monitoring of antimicrobial usage and appropriateness of use in Australian hospitals</w:t>
      </w:r>
      <w:r>
        <w:t xml:space="preserve">, as required by </w:t>
      </w:r>
      <w:r w:rsidRPr="00E037C8">
        <w:t xml:space="preserve">the </w:t>
      </w:r>
      <w:r>
        <w:t>NSQHS</w:t>
      </w:r>
      <w:r w:rsidRPr="00E037C8">
        <w:t xml:space="preserve"> Preventing and Controlling Healthcare-Associated Infection</w:t>
      </w:r>
      <w:r>
        <w:t xml:space="preserve"> Standard</w:t>
      </w:r>
      <w:r w:rsidRPr="00C25758">
        <w:t>.</w:t>
      </w:r>
      <w:r w:rsidRPr="00BD09B3">
        <w:rPr>
          <w:vertAlign w:val="superscript"/>
        </w:rPr>
        <w:t>1</w:t>
      </w:r>
      <w:r w:rsidRPr="009C381C">
        <w:t xml:space="preserve"> This Standard requires all Australian hospitals to implement an antimicro</w:t>
      </w:r>
      <w:r>
        <w:t xml:space="preserve">bial stewardship program. </w:t>
      </w:r>
    </w:p>
    <w:p w14:paraId="684C427C" w14:textId="77777777" w:rsidR="000A47D7" w:rsidRDefault="000A47D7" w:rsidP="003D7A1B"/>
    <w:p w14:paraId="0F8C50C2" w14:textId="2C14C24C" w:rsidR="00495417" w:rsidRDefault="00495417">
      <w:pPr>
        <w:spacing w:after="80"/>
        <w:rPr>
          <w:rFonts w:cs="Arial"/>
          <w:b/>
          <w:bCs/>
          <w:color w:val="1178A2"/>
          <w:kern w:val="28"/>
          <w:sz w:val="40"/>
          <w:szCs w:val="32"/>
        </w:rPr>
      </w:pPr>
      <w:r>
        <w:br w:type="page"/>
      </w:r>
    </w:p>
    <w:p w14:paraId="1502CAA4" w14:textId="77777777" w:rsidR="00451469" w:rsidRPr="00340CA0" w:rsidRDefault="00451469" w:rsidP="00451469">
      <w:pPr>
        <w:pStyle w:val="Heading1"/>
      </w:pPr>
      <w:bookmarkStart w:id="25" w:name="_Toc505330105"/>
      <w:bookmarkStart w:id="26" w:name="_Toc513217333"/>
      <w:bookmarkStart w:id="27" w:name="_Toc513217465"/>
      <w:bookmarkStart w:id="28" w:name="_Toc526841668"/>
      <w:r w:rsidRPr="00340CA0">
        <w:lastRenderedPageBreak/>
        <w:t>Appendix 1</w:t>
      </w:r>
      <w:r w:rsidRPr="00340CA0">
        <w:tab/>
        <w:t xml:space="preserve"> </w:t>
      </w:r>
      <w:r>
        <w:t>Hospital NAPS</w:t>
      </w:r>
      <w:r w:rsidRPr="00340CA0">
        <w:t xml:space="preserve"> data collection form</w:t>
      </w:r>
      <w:bookmarkEnd w:id="25"/>
      <w:bookmarkEnd w:id="26"/>
      <w:bookmarkEnd w:id="27"/>
      <w:bookmarkEnd w:id="28"/>
    </w:p>
    <w:p w14:paraId="2724B6D8" w14:textId="77777777" w:rsidR="00451469" w:rsidRDefault="00341021">
      <w:pPr>
        <w:spacing w:after="80"/>
        <w:rPr>
          <w:rFonts w:ascii="Arial" w:hAnsi="Arial" w:cs="Arial"/>
          <w:b/>
          <w:bCs/>
          <w:color w:val="1178A2"/>
          <w:kern w:val="28"/>
          <w:sz w:val="40"/>
          <w:szCs w:val="32"/>
        </w:rPr>
      </w:pPr>
      <w:bookmarkStart w:id="29" w:name="_Toc505330106"/>
      <w:bookmarkStart w:id="30" w:name="_Toc513217334"/>
      <w:bookmarkStart w:id="31" w:name="_Toc513217466"/>
      <w:r>
        <w:rPr>
          <w:noProof/>
        </w:rPr>
        <w:drawing>
          <wp:inline distT="0" distB="0" distL="0" distR="0" wp14:anchorId="776410FD" wp14:editId="72A32787">
            <wp:extent cx="8378422" cy="6084202"/>
            <wp:effectExtent l="4127" t="0" r="7938" b="7937"/>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rot="16200000">
                      <a:off x="0" y="0"/>
                      <a:ext cx="8396156" cy="6097080"/>
                    </a:xfrm>
                    <a:prstGeom prst="rect">
                      <a:avLst/>
                    </a:prstGeom>
                  </pic:spPr>
                </pic:pic>
              </a:graphicData>
            </a:graphic>
          </wp:inline>
        </w:drawing>
      </w:r>
      <w:r w:rsidR="00451469">
        <w:rPr>
          <w:rFonts w:ascii="Arial" w:hAnsi="Arial"/>
        </w:rPr>
        <w:br w:type="page"/>
      </w:r>
    </w:p>
    <w:p w14:paraId="468737F6" w14:textId="77777777" w:rsidR="00451469" w:rsidRPr="00340CA0" w:rsidRDefault="00451469" w:rsidP="00451469">
      <w:pPr>
        <w:pStyle w:val="Heading1"/>
        <w:ind w:left="432" w:hanging="432"/>
        <w:rPr>
          <w:rFonts w:ascii="Arial" w:hAnsi="Arial"/>
        </w:rPr>
      </w:pPr>
      <w:bookmarkStart w:id="32" w:name="_Toc526841669"/>
      <w:r w:rsidRPr="00340CA0">
        <w:rPr>
          <w:rFonts w:ascii="Arial" w:hAnsi="Arial"/>
        </w:rPr>
        <w:lastRenderedPageBreak/>
        <w:t>Appendix 2</w:t>
      </w:r>
      <w:r w:rsidRPr="00340CA0">
        <w:rPr>
          <w:rFonts w:ascii="Arial" w:hAnsi="Arial"/>
        </w:rPr>
        <w:tab/>
        <w:t xml:space="preserve"> </w:t>
      </w:r>
      <w:r>
        <w:rPr>
          <w:rFonts w:ascii="Arial" w:hAnsi="Arial"/>
        </w:rPr>
        <w:t xml:space="preserve">Hospital NAPS definitions of </w:t>
      </w:r>
      <w:r w:rsidRPr="00340CA0">
        <w:rPr>
          <w:rFonts w:ascii="Arial" w:hAnsi="Arial"/>
        </w:rPr>
        <w:t>appropriateness</w:t>
      </w:r>
      <w:bookmarkEnd w:id="29"/>
      <w:bookmarkEnd w:id="30"/>
      <w:bookmarkEnd w:id="31"/>
      <w:bookmarkEnd w:id="32"/>
      <w:r w:rsidRPr="00340CA0">
        <w:rPr>
          <w:rFonts w:ascii="Arial" w:hAnsi="Arial"/>
        </w:rPr>
        <w:t xml:space="preserve"> </w:t>
      </w:r>
    </w:p>
    <w:p w14:paraId="4C7ABABF" w14:textId="77777777" w:rsidR="00451469" w:rsidRDefault="00341021">
      <w:pPr>
        <w:spacing w:after="80"/>
      </w:pPr>
      <w:r>
        <w:rPr>
          <w:noProof/>
        </w:rPr>
        <w:drawing>
          <wp:inline distT="0" distB="0" distL="0" distR="0" wp14:anchorId="1559E291" wp14:editId="7761399F">
            <wp:extent cx="8361742" cy="5844287"/>
            <wp:effectExtent l="1587" t="0" r="2858" b="2857"/>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rot="16200000">
                      <a:off x="0" y="0"/>
                      <a:ext cx="8393363" cy="5866388"/>
                    </a:xfrm>
                    <a:prstGeom prst="rect">
                      <a:avLst/>
                    </a:prstGeom>
                  </pic:spPr>
                </pic:pic>
              </a:graphicData>
            </a:graphic>
          </wp:inline>
        </w:drawing>
      </w:r>
      <w:r w:rsidR="00451469">
        <w:br w:type="page"/>
      </w:r>
    </w:p>
    <w:p w14:paraId="5CC08B93" w14:textId="3A29F375" w:rsidR="00925BE9" w:rsidRDefault="00925BE9" w:rsidP="00925BE9">
      <w:pPr>
        <w:pStyle w:val="Heading1"/>
      </w:pPr>
      <w:bookmarkStart w:id="33" w:name="_Toc526841670"/>
      <w:r>
        <w:lastRenderedPageBreak/>
        <w:t>Appendix 3</w:t>
      </w:r>
      <w:r w:rsidR="00981111">
        <w:tab/>
      </w:r>
      <w:r w:rsidR="00981111">
        <w:tab/>
      </w:r>
      <w:r>
        <w:t>Tables and Figures</w:t>
      </w:r>
      <w:bookmarkEnd w:id="33"/>
    </w:p>
    <w:p w14:paraId="3DAF1846" w14:textId="77777777" w:rsidR="00A96EC6" w:rsidRPr="00186F1F" w:rsidRDefault="00A96EC6" w:rsidP="00A96EC6">
      <w:pPr>
        <w:rPr>
          <w:rFonts w:ascii="Arial" w:hAnsi="Arial" w:cs="Arial"/>
          <w:b/>
        </w:rPr>
      </w:pPr>
      <w:r w:rsidRPr="00186F1F">
        <w:rPr>
          <w:rFonts w:ascii="Arial" w:hAnsi="Arial" w:cs="Arial"/>
          <w:b/>
        </w:rPr>
        <w:t>Figures</w:t>
      </w:r>
    </w:p>
    <w:p w14:paraId="01431617" w14:textId="13A9D6F8" w:rsidR="00A96EC6" w:rsidRPr="00A96EC6" w:rsidRDefault="003547BA" w:rsidP="003547BA">
      <w:pPr>
        <w:pStyle w:val="ListParagraph"/>
        <w:numPr>
          <w:ilvl w:val="0"/>
          <w:numId w:val="35"/>
        </w:numPr>
        <w:spacing w:after="0"/>
        <w:ind w:left="567" w:hanging="567"/>
        <w:rPr>
          <w:rFonts w:ascii="Arial" w:hAnsi="Arial" w:cs="Arial"/>
          <w:sz w:val="22"/>
        </w:rPr>
      </w:pPr>
      <w:r>
        <w:rPr>
          <w:rFonts w:ascii="Arial" w:hAnsi="Arial" w:cs="Arial"/>
          <w:sz w:val="22"/>
        </w:rPr>
        <w:t>Figure 1: N</w:t>
      </w:r>
      <w:r w:rsidR="00A96EC6" w:rsidRPr="00A96EC6">
        <w:rPr>
          <w:rFonts w:ascii="Arial" w:hAnsi="Arial" w:cs="Arial"/>
          <w:sz w:val="22"/>
        </w:rPr>
        <w:t>umber of public and private hospitals that have contributed to Hospital NAPS, 2013–2017</w:t>
      </w:r>
    </w:p>
    <w:p w14:paraId="05B32FF9" w14:textId="6D173DB6" w:rsidR="00A96EC6" w:rsidRPr="00A96EC6" w:rsidRDefault="00A96EC6" w:rsidP="003547BA">
      <w:pPr>
        <w:pStyle w:val="ListParagraph"/>
        <w:numPr>
          <w:ilvl w:val="0"/>
          <w:numId w:val="35"/>
        </w:numPr>
        <w:spacing w:after="0"/>
        <w:ind w:left="567" w:hanging="567"/>
        <w:rPr>
          <w:rFonts w:ascii="Arial" w:hAnsi="Arial" w:cs="Arial"/>
          <w:sz w:val="22"/>
        </w:rPr>
      </w:pPr>
      <w:r w:rsidRPr="00A96EC6">
        <w:rPr>
          <w:rFonts w:ascii="Arial" w:hAnsi="Arial" w:cs="Arial"/>
          <w:sz w:val="22"/>
        </w:rPr>
        <w:t>Figure 2</w:t>
      </w:r>
      <w:r w:rsidR="003547BA">
        <w:rPr>
          <w:rFonts w:ascii="Arial" w:hAnsi="Arial" w:cs="Arial"/>
          <w:sz w:val="22"/>
        </w:rPr>
        <w:t xml:space="preserve">: </w:t>
      </w:r>
      <w:r w:rsidRPr="00A96EC6">
        <w:rPr>
          <w:rFonts w:ascii="Arial" w:hAnsi="Arial" w:cs="Arial"/>
          <w:sz w:val="22"/>
        </w:rPr>
        <w:t>Public hospital participation in Hospital NAPS by remoteness area, 2013–2017</w:t>
      </w:r>
    </w:p>
    <w:p w14:paraId="46441F1A" w14:textId="62E604DF" w:rsidR="00A96EC6" w:rsidRPr="00A96EC6" w:rsidRDefault="00A96EC6" w:rsidP="003547BA">
      <w:pPr>
        <w:pStyle w:val="ListParagraph"/>
        <w:numPr>
          <w:ilvl w:val="0"/>
          <w:numId w:val="35"/>
        </w:numPr>
        <w:spacing w:after="0"/>
        <w:ind w:left="567" w:hanging="567"/>
        <w:rPr>
          <w:rFonts w:ascii="Arial" w:hAnsi="Arial" w:cs="Arial"/>
          <w:sz w:val="22"/>
        </w:rPr>
      </w:pPr>
      <w:r w:rsidRPr="00A96EC6">
        <w:rPr>
          <w:rFonts w:ascii="Arial" w:hAnsi="Arial" w:cs="Arial"/>
          <w:sz w:val="22"/>
        </w:rPr>
        <w:t>Figure 3</w:t>
      </w:r>
      <w:r w:rsidR="003547BA">
        <w:rPr>
          <w:rFonts w:ascii="Arial" w:hAnsi="Arial" w:cs="Arial"/>
          <w:sz w:val="22"/>
        </w:rPr>
        <w:t xml:space="preserve">: </w:t>
      </w:r>
      <w:r w:rsidRPr="00A96EC6">
        <w:rPr>
          <w:rFonts w:ascii="Arial" w:hAnsi="Arial" w:cs="Arial"/>
          <w:sz w:val="22"/>
        </w:rPr>
        <w:t xml:space="preserve">Number of hospitals participating in the Hospital NAPS and Surgical NAPS by survey type, 2017 </w:t>
      </w:r>
    </w:p>
    <w:p w14:paraId="3E69FDE7" w14:textId="4CD5128A" w:rsidR="00A96EC6" w:rsidRPr="00A96EC6" w:rsidRDefault="00A96EC6" w:rsidP="003547BA">
      <w:pPr>
        <w:pStyle w:val="ListParagraph"/>
        <w:numPr>
          <w:ilvl w:val="0"/>
          <w:numId w:val="35"/>
        </w:numPr>
        <w:spacing w:after="0"/>
        <w:ind w:left="567" w:hanging="567"/>
        <w:rPr>
          <w:rFonts w:ascii="Arial" w:hAnsi="Arial" w:cs="Arial"/>
          <w:sz w:val="22"/>
        </w:rPr>
      </w:pPr>
      <w:r w:rsidRPr="00A96EC6">
        <w:rPr>
          <w:rFonts w:ascii="Arial" w:hAnsi="Arial" w:cs="Arial"/>
          <w:sz w:val="22"/>
        </w:rPr>
        <w:t>Figure 4</w:t>
      </w:r>
      <w:r w:rsidR="003547BA">
        <w:rPr>
          <w:rFonts w:ascii="Arial" w:hAnsi="Arial" w:cs="Arial"/>
          <w:sz w:val="22"/>
        </w:rPr>
        <w:t xml:space="preserve">: </w:t>
      </w:r>
      <w:r w:rsidRPr="00A96EC6">
        <w:rPr>
          <w:rFonts w:ascii="Arial" w:hAnsi="Arial" w:cs="Arial"/>
          <w:sz w:val="22"/>
        </w:rPr>
        <w:t xml:space="preserve">Total public and private hospital participation in the Hospital NAPS and/or the Surgical NAPS, 2016–2017 </w:t>
      </w:r>
    </w:p>
    <w:p w14:paraId="033E53CC" w14:textId="004FCB83" w:rsidR="00A96EC6" w:rsidRPr="00A96EC6" w:rsidRDefault="00A96EC6" w:rsidP="003547BA">
      <w:pPr>
        <w:pStyle w:val="ListParagraph"/>
        <w:numPr>
          <w:ilvl w:val="0"/>
          <w:numId w:val="35"/>
        </w:numPr>
        <w:spacing w:after="0"/>
        <w:ind w:left="567" w:hanging="567"/>
        <w:rPr>
          <w:rFonts w:ascii="Arial" w:hAnsi="Arial" w:cs="Arial"/>
          <w:sz w:val="22"/>
        </w:rPr>
      </w:pPr>
      <w:r w:rsidRPr="00A96EC6">
        <w:rPr>
          <w:rFonts w:ascii="Arial" w:hAnsi="Arial" w:cs="Arial"/>
          <w:sz w:val="22"/>
        </w:rPr>
        <w:t>Figure 5</w:t>
      </w:r>
      <w:r w:rsidR="003547BA">
        <w:rPr>
          <w:rFonts w:ascii="Arial" w:hAnsi="Arial" w:cs="Arial"/>
          <w:sz w:val="22"/>
        </w:rPr>
        <w:t xml:space="preserve">: </w:t>
      </w:r>
      <w:r w:rsidRPr="00A96EC6">
        <w:rPr>
          <w:rFonts w:ascii="Arial" w:hAnsi="Arial" w:cs="Arial"/>
          <w:sz w:val="22"/>
        </w:rPr>
        <w:t xml:space="preserve">Hospital NAPS key indicators %, 2013–2017 </w:t>
      </w:r>
    </w:p>
    <w:p w14:paraId="09217A87" w14:textId="5ED4E324" w:rsidR="00A96EC6" w:rsidRPr="00A96EC6" w:rsidRDefault="00A96EC6" w:rsidP="003547BA">
      <w:pPr>
        <w:pStyle w:val="ListParagraph"/>
        <w:numPr>
          <w:ilvl w:val="0"/>
          <w:numId w:val="35"/>
        </w:numPr>
        <w:spacing w:after="0"/>
        <w:ind w:left="567" w:hanging="567"/>
        <w:rPr>
          <w:rFonts w:ascii="Arial" w:hAnsi="Arial" w:cs="Arial"/>
          <w:sz w:val="22"/>
        </w:rPr>
      </w:pPr>
      <w:r w:rsidRPr="00A96EC6">
        <w:rPr>
          <w:rFonts w:ascii="Arial" w:hAnsi="Arial" w:cs="Arial"/>
          <w:sz w:val="22"/>
        </w:rPr>
        <w:t>Figure 6</w:t>
      </w:r>
      <w:r w:rsidR="003547BA">
        <w:rPr>
          <w:rFonts w:ascii="Arial" w:hAnsi="Arial" w:cs="Arial"/>
          <w:sz w:val="22"/>
        </w:rPr>
        <w:t xml:space="preserve">: </w:t>
      </w:r>
      <w:r w:rsidRPr="00A96EC6">
        <w:rPr>
          <w:rFonts w:ascii="Arial" w:hAnsi="Arial" w:cs="Arial"/>
          <w:sz w:val="22"/>
        </w:rPr>
        <w:t xml:space="preserve">The 20 most commonly prescribed antimicrobials in Hospital NAPS contributors, 2013–2017 </w:t>
      </w:r>
    </w:p>
    <w:p w14:paraId="6466301C" w14:textId="2644F520" w:rsidR="00A96EC6" w:rsidRPr="00A96EC6" w:rsidRDefault="00A96EC6" w:rsidP="003547BA">
      <w:pPr>
        <w:pStyle w:val="ListParagraph"/>
        <w:numPr>
          <w:ilvl w:val="0"/>
          <w:numId w:val="35"/>
        </w:numPr>
        <w:spacing w:after="0"/>
        <w:ind w:left="567" w:hanging="567"/>
        <w:rPr>
          <w:rFonts w:ascii="Arial" w:hAnsi="Arial" w:cs="Arial"/>
          <w:sz w:val="22"/>
        </w:rPr>
      </w:pPr>
      <w:r w:rsidRPr="00A96EC6">
        <w:rPr>
          <w:rFonts w:ascii="Arial" w:hAnsi="Arial" w:cs="Arial"/>
          <w:sz w:val="22"/>
        </w:rPr>
        <w:t>Figure 7</w:t>
      </w:r>
      <w:r w:rsidR="003547BA">
        <w:rPr>
          <w:rFonts w:ascii="Arial" w:hAnsi="Arial" w:cs="Arial"/>
          <w:sz w:val="22"/>
        </w:rPr>
        <w:t xml:space="preserve">: </w:t>
      </w:r>
      <w:r w:rsidRPr="00A96EC6">
        <w:rPr>
          <w:rFonts w:ascii="Arial" w:hAnsi="Arial" w:cs="Arial"/>
          <w:sz w:val="22"/>
        </w:rPr>
        <w:t xml:space="preserve">Appropriateness for the most commonly prescribed antimicrobials in Hospital NAPS contributor hospitals, 2017 </w:t>
      </w:r>
    </w:p>
    <w:p w14:paraId="3F50934E" w14:textId="4F081508" w:rsidR="00A96EC6" w:rsidRPr="00A96EC6" w:rsidRDefault="00A96EC6" w:rsidP="003547BA">
      <w:pPr>
        <w:pStyle w:val="ListParagraph"/>
        <w:numPr>
          <w:ilvl w:val="0"/>
          <w:numId w:val="35"/>
        </w:numPr>
        <w:spacing w:after="0"/>
        <w:ind w:left="567" w:hanging="567"/>
        <w:rPr>
          <w:rFonts w:ascii="Arial" w:hAnsi="Arial" w:cs="Arial"/>
          <w:sz w:val="22"/>
        </w:rPr>
      </w:pPr>
      <w:r w:rsidRPr="00A96EC6">
        <w:rPr>
          <w:rFonts w:ascii="Arial" w:hAnsi="Arial" w:cs="Arial"/>
          <w:sz w:val="22"/>
        </w:rPr>
        <w:t>Figure 8</w:t>
      </w:r>
      <w:r w:rsidR="003547BA">
        <w:rPr>
          <w:rFonts w:ascii="Arial" w:hAnsi="Arial" w:cs="Arial"/>
          <w:sz w:val="22"/>
        </w:rPr>
        <w:t xml:space="preserve">: </w:t>
      </w:r>
      <w:r w:rsidRPr="00A96EC6">
        <w:rPr>
          <w:rFonts w:ascii="Arial" w:hAnsi="Arial" w:cs="Arial"/>
          <w:sz w:val="22"/>
        </w:rPr>
        <w:t xml:space="preserve">The 20 most common indications for prescribing antimicrobials in Hospital NAPS contributors, 2013–2017 </w:t>
      </w:r>
    </w:p>
    <w:p w14:paraId="112FEC88" w14:textId="357223B9" w:rsidR="00A96EC6" w:rsidRPr="00A96EC6" w:rsidRDefault="00A96EC6" w:rsidP="003547BA">
      <w:pPr>
        <w:pStyle w:val="ListParagraph"/>
        <w:numPr>
          <w:ilvl w:val="0"/>
          <w:numId w:val="35"/>
        </w:numPr>
        <w:spacing w:after="0"/>
        <w:ind w:left="567" w:hanging="567"/>
        <w:rPr>
          <w:rFonts w:ascii="Arial" w:hAnsi="Arial" w:cs="Arial"/>
          <w:sz w:val="22"/>
        </w:rPr>
      </w:pPr>
      <w:r w:rsidRPr="00A96EC6">
        <w:rPr>
          <w:rFonts w:ascii="Arial" w:hAnsi="Arial" w:cs="Arial"/>
          <w:sz w:val="22"/>
        </w:rPr>
        <w:t>Figure 9</w:t>
      </w:r>
      <w:r w:rsidR="003547BA">
        <w:rPr>
          <w:rFonts w:ascii="Arial" w:hAnsi="Arial" w:cs="Arial"/>
          <w:sz w:val="22"/>
        </w:rPr>
        <w:t xml:space="preserve">: </w:t>
      </w:r>
      <w:r w:rsidRPr="00A96EC6">
        <w:rPr>
          <w:rFonts w:ascii="Arial" w:hAnsi="Arial" w:cs="Arial"/>
          <w:sz w:val="22"/>
        </w:rPr>
        <w:t xml:space="preserve">Appropriateness of prescribing for the 20 most common indications in Hospital NAPS contributors, 2017 </w:t>
      </w:r>
    </w:p>
    <w:p w14:paraId="7691E509" w14:textId="547D3244" w:rsidR="00A96EC6" w:rsidRPr="00A96EC6" w:rsidRDefault="00A96EC6" w:rsidP="003547BA">
      <w:pPr>
        <w:pStyle w:val="ListParagraph"/>
        <w:numPr>
          <w:ilvl w:val="0"/>
          <w:numId w:val="35"/>
        </w:numPr>
        <w:spacing w:after="0"/>
        <w:ind w:left="567" w:hanging="567"/>
        <w:rPr>
          <w:rFonts w:ascii="Arial" w:hAnsi="Arial" w:cs="Arial"/>
          <w:sz w:val="22"/>
        </w:rPr>
      </w:pPr>
      <w:r w:rsidRPr="00A96EC6">
        <w:rPr>
          <w:rFonts w:ascii="Arial" w:hAnsi="Arial" w:cs="Arial"/>
          <w:sz w:val="22"/>
        </w:rPr>
        <w:t>Figure 10</w:t>
      </w:r>
      <w:r w:rsidR="003547BA">
        <w:rPr>
          <w:rFonts w:ascii="Arial" w:hAnsi="Arial" w:cs="Arial"/>
          <w:sz w:val="22"/>
        </w:rPr>
        <w:t xml:space="preserve">: </w:t>
      </w:r>
      <w:r w:rsidRPr="00A96EC6">
        <w:rPr>
          <w:rFonts w:ascii="Arial" w:hAnsi="Arial" w:cs="Arial"/>
          <w:sz w:val="22"/>
        </w:rPr>
        <w:t xml:space="preserve">Compliance with guidelines for the 20 indications most commonly requiring antimicrobials in Hospital NAPS contributors, 2017 </w:t>
      </w:r>
    </w:p>
    <w:p w14:paraId="560C7CFC" w14:textId="77777777" w:rsidR="00A96EC6" w:rsidRPr="00186F1F" w:rsidRDefault="00A96EC6" w:rsidP="00A96EC6">
      <w:pPr>
        <w:pStyle w:val="FigureTitle"/>
        <w:rPr>
          <w:rFonts w:ascii="Arial" w:hAnsi="Arial" w:cs="Arial"/>
        </w:rPr>
      </w:pPr>
    </w:p>
    <w:p w14:paraId="3823ACFC" w14:textId="77777777" w:rsidR="00A96EC6" w:rsidRPr="00186F1F" w:rsidRDefault="00A96EC6" w:rsidP="00A96EC6">
      <w:pPr>
        <w:rPr>
          <w:rFonts w:ascii="Arial" w:hAnsi="Arial" w:cs="Arial"/>
          <w:b/>
        </w:rPr>
      </w:pPr>
      <w:r w:rsidRPr="00186F1F">
        <w:rPr>
          <w:rFonts w:ascii="Arial" w:hAnsi="Arial" w:cs="Arial"/>
          <w:b/>
        </w:rPr>
        <w:t>Tables</w:t>
      </w:r>
    </w:p>
    <w:p w14:paraId="4BB0066E" w14:textId="70FBC11D" w:rsidR="00A96EC6" w:rsidRPr="00A96EC6" w:rsidRDefault="00A96EC6" w:rsidP="003547BA">
      <w:pPr>
        <w:pStyle w:val="ListParagraph"/>
        <w:numPr>
          <w:ilvl w:val="0"/>
          <w:numId w:val="34"/>
        </w:numPr>
        <w:spacing w:after="0"/>
        <w:ind w:left="567" w:hanging="567"/>
        <w:rPr>
          <w:rFonts w:ascii="Arial" w:hAnsi="Arial" w:cs="Arial"/>
          <w:sz w:val="22"/>
        </w:rPr>
      </w:pPr>
      <w:r w:rsidRPr="00A96EC6">
        <w:rPr>
          <w:rFonts w:ascii="Arial" w:hAnsi="Arial" w:cs="Arial"/>
          <w:sz w:val="22"/>
        </w:rPr>
        <w:t>Table 1</w:t>
      </w:r>
      <w:r w:rsidR="003547BA">
        <w:rPr>
          <w:rFonts w:ascii="Arial" w:hAnsi="Arial" w:cs="Arial"/>
          <w:sz w:val="22"/>
        </w:rPr>
        <w:t xml:space="preserve">: </w:t>
      </w:r>
      <w:r w:rsidRPr="00A96EC6">
        <w:rPr>
          <w:rFonts w:ascii="Arial" w:hAnsi="Arial" w:cs="Arial"/>
          <w:sz w:val="22"/>
        </w:rPr>
        <w:t>Public and private hospitals that contributed to Hospital NAPS by state, territory, and remoteness area, 2017</w:t>
      </w:r>
    </w:p>
    <w:p w14:paraId="3AF37D5B" w14:textId="129FC896" w:rsidR="00A96EC6" w:rsidRPr="00A96EC6" w:rsidRDefault="00A96EC6" w:rsidP="003547BA">
      <w:pPr>
        <w:pStyle w:val="ListParagraph"/>
        <w:numPr>
          <w:ilvl w:val="0"/>
          <w:numId w:val="34"/>
        </w:numPr>
        <w:spacing w:after="0"/>
        <w:ind w:left="567" w:hanging="567"/>
        <w:rPr>
          <w:rFonts w:ascii="Arial" w:hAnsi="Arial" w:cs="Arial"/>
          <w:sz w:val="22"/>
        </w:rPr>
      </w:pPr>
      <w:r w:rsidRPr="00A96EC6">
        <w:rPr>
          <w:rFonts w:ascii="Arial" w:hAnsi="Arial" w:cs="Arial"/>
          <w:sz w:val="22"/>
        </w:rPr>
        <w:t>Table 2</w:t>
      </w:r>
      <w:r w:rsidR="003547BA">
        <w:rPr>
          <w:rFonts w:ascii="Arial" w:hAnsi="Arial" w:cs="Arial"/>
          <w:sz w:val="22"/>
        </w:rPr>
        <w:t xml:space="preserve">: </w:t>
      </w:r>
      <w:r w:rsidRPr="00A96EC6">
        <w:rPr>
          <w:rFonts w:ascii="Arial" w:hAnsi="Arial" w:cs="Arial"/>
          <w:sz w:val="22"/>
        </w:rPr>
        <w:t xml:space="preserve">Public and private hospitals that contributed to Hospital NAPS by peer group, 2017 </w:t>
      </w:r>
    </w:p>
    <w:p w14:paraId="2A1CEC45" w14:textId="7FFF6307" w:rsidR="00A96EC6" w:rsidRPr="00A96EC6" w:rsidRDefault="00A96EC6" w:rsidP="003547BA">
      <w:pPr>
        <w:pStyle w:val="ListParagraph"/>
        <w:numPr>
          <w:ilvl w:val="0"/>
          <w:numId w:val="34"/>
        </w:numPr>
        <w:spacing w:after="0"/>
        <w:ind w:left="567" w:hanging="567"/>
        <w:rPr>
          <w:rFonts w:ascii="Arial" w:hAnsi="Arial" w:cs="Arial"/>
          <w:sz w:val="22"/>
        </w:rPr>
      </w:pPr>
      <w:r w:rsidRPr="00A96EC6">
        <w:rPr>
          <w:rFonts w:ascii="Arial" w:hAnsi="Arial" w:cs="Arial"/>
          <w:sz w:val="22"/>
        </w:rPr>
        <w:t>Table 3</w:t>
      </w:r>
      <w:r w:rsidR="003547BA">
        <w:rPr>
          <w:rFonts w:ascii="Arial" w:hAnsi="Arial" w:cs="Arial"/>
          <w:sz w:val="22"/>
        </w:rPr>
        <w:t xml:space="preserve">: </w:t>
      </w:r>
      <w:r w:rsidRPr="00A96EC6">
        <w:rPr>
          <w:rFonts w:ascii="Arial" w:hAnsi="Arial" w:cs="Arial"/>
          <w:sz w:val="22"/>
        </w:rPr>
        <w:t xml:space="preserve">Results for key indicators for Hospital NAPS contributors, by state and territory, remoteness area and AIHW peer group, 2017 </w:t>
      </w:r>
    </w:p>
    <w:p w14:paraId="32A0CF3C" w14:textId="6B6B81CB" w:rsidR="00A96EC6" w:rsidRPr="00A96EC6" w:rsidRDefault="00A96EC6" w:rsidP="003547BA">
      <w:pPr>
        <w:pStyle w:val="ListParagraph"/>
        <w:numPr>
          <w:ilvl w:val="0"/>
          <w:numId w:val="34"/>
        </w:numPr>
        <w:spacing w:after="0"/>
        <w:ind w:left="567" w:hanging="567"/>
        <w:rPr>
          <w:rFonts w:ascii="Arial" w:hAnsi="Arial" w:cs="Arial"/>
          <w:sz w:val="22"/>
        </w:rPr>
      </w:pPr>
      <w:r w:rsidRPr="00A96EC6">
        <w:rPr>
          <w:rFonts w:ascii="Arial" w:hAnsi="Arial" w:cs="Arial"/>
          <w:sz w:val="22"/>
        </w:rPr>
        <w:t>Table 4</w:t>
      </w:r>
      <w:r w:rsidR="003547BA">
        <w:rPr>
          <w:rFonts w:ascii="Arial" w:hAnsi="Arial" w:cs="Arial"/>
          <w:sz w:val="22"/>
        </w:rPr>
        <w:t xml:space="preserve">: </w:t>
      </w:r>
      <w:r w:rsidRPr="00A96EC6">
        <w:rPr>
          <w:rFonts w:ascii="Arial" w:hAnsi="Arial" w:cs="Arial"/>
          <w:sz w:val="22"/>
        </w:rPr>
        <w:t>Compliance with guidelines and appropriateness in Hospital NAPS contributors, by state and territory, remoteness area and AIHW peer group, 2017</w:t>
      </w:r>
    </w:p>
    <w:p w14:paraId="5E3B052A" w14:textId="5CD82DFB" w:rsidR="00A96EC6" w:rsidRPr="00A96EC6" w:rsidRDefault="00A96EC6" w:rsidP="003547BA">
      <w:pPr>
        <w:pStyle w:val="ListParagraph"/>
        <w:numPr>
          <w:ilvl w:val="0"/>
          <w:numId w:val="34"/>
        </w:numPr>
        <w:spacing w:after="0"/>
        <w:ind w:left="567" w:hanging="567"/>
        <w:rPr>
          <w:rFonts w:ascii="Arial" w:hAnsi="Arial" w:cs="Arial"/>
          <w:sz w:val="22"/>
        </w:rPr>
      </w:pPr>
      <w:r w:rsidRPr="00A96EC6">
        <w:rPr>
          <w:rFonts w:ascii="Arial" w:hAnsi="Arial" w:cs="Arial"/>
          <w:sz w:val="22"/>
        </w:rPr>
        <w:t>Table 5</w:t>
      </w:r>
      <w:r w:rsidR="003547BA">
        <w:rPr>
          <w:rFonts w:ascii="Arial" w:hAnsi="Arial" w:cs="Arial"/>
          <w:sz w:val="22"/>
        </w:rPr>
        <w:t xml:space="preserve">: </w:t>
      </w:r>
      <w:r w:rsidRPr="00A96EC6">
        <w:rPr>
          <w:rFonts w:ascii="Arial" w:hAnsi="Arial" w:cs="Arial"/>
          <w:sz w:val="22"/>
        </w:rPr>
        <w:t>Reasons for a reported prescription being assessed as inappropriate by Hospital NAPS contributors, 2017</w:t>
      </w:r>
    </w:p>
    <w:p w14:paraId="19420A55" w14:textId="3027373D" w:rsidR="00A96EC6" w:rsidRPr="00A96EC6" w:rsidRDefault="00A96EC6" w:rsidP="003547BA">
      <w:pPr>
        <w:pStyle w:val="ListParagraph"/>
        <w:numPr>
          <w:ilvl w:val="0"/>
          <w:numId w:val="34"/>
        </w:numPr>
        <w:spacing w:after="0"/>
        <w:ind w:left="567" w:hanging="567"/>
        <w:rPr>
          <w:rFonts w:ascii="Arial" w:hAnsi="Arial" w:cs="Arial"/>
          <w:sz w:val="22"/>
        </w:rPr>
      </w:pPr>
      <w:r w:rsidRPr="00A96EC6">
        <w:rPr>
          <w:rFonts w:ascii="Arial" w:hAnsi="Arial" w:cs="Arial"/>
          <w:sz w:val="22"/>
        </w:rPr>
        <w:t>Table 6</w:t>
      </w:r>
      <w:r w:rsidR="003547BA">
        <w:rPr>
          <w:rFonts w:ascii="Arial" w:hAnsi="Arial" w:cs="Arial"/>
          <w:sz w:val="22"/>
        </w:rPr>
        <w:t xml:space="preserve">: </w:t>
      </w:r>
      <w:r w:rsidRPr="00A96EC6">
        <w:rPr>
          <w:rFonts w:ascii="Arial" w:hAnsi="Arial" w:cs="Arial"/>
          <w:sz w:val="22"/>
        </w:rPr>
        <w:t xml:space="preserve">Hospital NAPS compliance with guidelines and prescription appropriateness, 2013–2017 </w:t>
      </w:r>
    </w:p>
    <w:p w14:paraId="15930BD7" w14:textId="47B3A845" w:rsidR="00A96EC6" w:rsidRPr="00A96EC6" w:rsidRDefault="00A96EC6" w:rsidP="003547BA">
      <w:pPr>
        <w:pStyle w:val="ListParagraph"/>
        <w:numPr>
          <w:ilvl w:val="0"/>
          <w:numId w:val="34"/>
        </w:numPr>
        <w:spacing w:after="0"/>
        <w:ind w:left="567" w:hanging="567"/>
        <w:rPr>
          <w:rFonts w:ascii="Arial" w:hAnsi="Arial" w:cs="Arial"/>
          <w:sz w:val="22"/>
        </w:rPr>
      </w:pPr>
      <w:r w:rsidRPr="00A96EC6">
        <w:rPr>
          <w:rFonts w:ascii="Arial" w:hAnsi="Arial" w:cs="Arial"/>
          <w:sz w:val="22"/>
        </w:rPr>
        <w:t>Table</w:t>
      </w:r>
      <w:r w:rsidR="003547BA">
        <w:rPr>
          <w:rFonts w:ascii="Arial" w:hAnsi="Arial" w:cs="Arial"/>
          <w:sz w:val="22"/>
        </w:rPr>
        <w:t xml:space="preserve"> </w:t>
      </w:r>
      <w:r w:rsidRPr="00A96EC6">
        <w:rPr>
          <w:rFonts w:ascii="Arial" w:hAnsi="Arial" w:cs="Arial"/>
          <w:sz w:val="22"/>
        </w:rPr>
        <w:t>7</w:t>
      </w:r>
      <w:r w:rsidR="003547BA">
        <w:rPr>
          <w:rFonts w:ascii="Arial" w:hAnsi="Arial" w:cs="Arial"/>
          <w:sz w:val="22"/>
        </w:rPr>
        <w:t xml:space="preserve">: </w:t>
      </w:r>
      <w:r w:rsidRPr="00A96EC6">
        <w:rPr>
          <w:rFonts w:ascii="Arial" w:hAnsi="Arial" w:cs="Arial"/>
          <w:sz w:val="22"/>
        </w:rPr>
        <w:t xml:space="preserve">Hospital NAPS key indicators, 2013–2017 </w:t>
      </w:r>
    </w:p>
    <w:p w14:paraId="4539E9FB" w14:textId="29B65AC2" w:rsidR="00A96EC6" w:rsidRPr="00A96EC6" w:rsidRDefault="00A96EC6" w:rsidP="003547BA">
      <w:pPr>
        <w:pStyle w:val="ListParagraph"/>
        <w:numPr>
          <w:ilvl w:val="0"/>
          <w:numId w:val="34"/>
        </w:numPr>
        <w:spacing w:after="0"/>
        <w:ind w:left="567" w:hanging="567"/>
        <w:rPr>
          <w:rFonts w:ascii="Arial" w:hAnsi="Arial" w:cs="Arial"/>
          <w:sz w:val="22"/>
        </w:rPr>
      </w:pPr>
      <w:r w:rsidRPr="00A96EC6">
        <w:rPr>
          <w:rFonts w:ascii="Arial" w:hAnsi="Arial" w:cs="Arial"/>
          <w:sz w:val="22"/>
        </w:rPr>
        <w:t>Table 8</w:t>
      </w:r>
      <w:r w:rsidR="003547BA">
        <w:rPr>
          <w:rFonts w:ascii="Arial" w:hAnsi="Arial" w:cs="Arial"/>
          <w:sz w:val="22"/>
        </w:rPr>
        <w:t xml:space="preserve">: </w:t>
      </w:r>
      <w:r w:rsidRPr="00A96EC6">
        <w:rPr>
          <w:rFonts w:ascii="Arial" w:hAnsi="Arial" w:cs="Arial"/>
          <w:sz w:val="22"/>
        </w:rPr>
        <w:t>Percentage change in compliance with guidelines and prescription appropriateness for facilities that contributed at least twice to the Hospital NAPS between 2013 and 2017</w:t>
      </w:r>
    </w:p>
    <w:p w14:paraId="59D228D6" w14:textId="36CF940F" w:rsidR="00A96EC6" w:rsidRPr="00A96EC6" w:rsidRDefault="00A96EC6" w:rsidP="003547BA">
      <w:pPr>
        <w:pStyle w:val="ListParagraph"/>
        <w:numPr>
          <w:ilvl w:val="0"/>
          <w:numId w:val="34"/>
        </w:numPr>
        <w:spacing w:after="0"/>
        <w:ind w:left="567" w:hanging="567"/>
        <w:rPr>
          <w:rFonts w:ascii="Arial" w:hAnsi="Arial" w:cs="Arial"/>
          <w:sz w:val="22"/>
        </w:rPr>
      </w:pPr>
      <w:r w:rsidRPr="00A96EC6">
        <w:rPr>
          <w:rFonts w:ascii="Arial" w:hAnsi="Arial" w:cs="Arial"/>
          <w:sz w:val="22"/>
        </w:rPr>
        <w:t>Table 9</w:t>
      </w:r>
      <w:r w:rsidR="003547BA">
        <w:rPr>
          <w:rFonts w:ascii="Arial" w:hAnsi="Arial" w:cs="Arial"/>
          <w:sz w:val="22"/>
        </w:rPr>
        <w:t xml:space="preserve">: </w:t>
      </w:r>
      <w:r w:rsidRPr="00A96EC6">
        <w:rPr>
          <w:rFonts w:ascii="Arial" w:hAnsi="Arial" w:cs="Arial"/>
          <w:sz w:val="22"/>
        </w:rPr>
        <w:t xml:space="preserve">Percentage change in key indicators for facilities that contributed at least twice to the Hospital NAPS between 2013 and 2017 </w:t>
      </w:r>
    </w:p>
    <w:p w14:paraId="6E756DBC" w14:textId="60EE240C" w:rsidR="00A96EC6" w:rsidRPr="00A96EC6" w:rsidRDefault="00A96EC6" w:rsidP="003547BA">
      <w:pPr>
        <w:pStyle w:val="ListParagraph"/>
        <w:numPr>
          <w:ilvl w:val="0"/>
          <w:numId w:val="34"/>
        </w:numPr>
        <w:spacing w:after="0"/>
        <w:ind w:left="567" w:hanging="567"/>
        <w:rPr>
          <w:rFonts w:ascii="Arial" w:hAnsi="Arial" w:cs="Arial"/>
          <w:sz w:val="22"/>
        </w:rPr>
      </w:pPr>
      <w:r w:rsidRPr="00A96EC6">
        <w:rPr>
          <w:rFonts w:ascii="Arial" w:hAnsi="Arial" w:cs="Arial"/>
          <w:sz w:val="22"/>
        </w:rPr>
        <w:t>Table 10</w:t>
      </w:r>
      <w:r w:rsidR="003547BA">
        <w:rPr>
          <w:rFonts w:ascii="Arial" w:hAnsi="Arial" w:cs="Arial"/>
          <w:sz w:val="22"/>
        </w:rPr>
        <w:t xml:space="preserve">: </w:t>
      </w:r>
      <w:r w:rsidRPr="00A96EC6">
        <w:rPr>
          <w:rFonts w:ascii="Arial" w:hAnsi="Arial" w:cs="Arial"/>
          <w:sz w:val="22"/>
        </w:rPr>
        <w:t xml:space="preserve">Percentage change in compliance with guidelines and prescription appropriateness for facilities that participated in both the 2016 and 2017 Hospital NAPS  </w:t>
      </w:r>
    </w:p>
    <w:p w14:paraId="29FFB6E4" w14:textId="659B910C" w:rsidR="00A96EC6" w:rsidRPr="00A96EC6" w:rsidRDefault="00A96EC6" w:rsidP="003547BA">
      <w:pPr>
        <w:pStyle w:val="ListParagraph"/>
        <w:numPr>
          <w:ilvl w:val="0"/>
          <w:numId w:val="34"/>
        </w:numPr>
        <w:spacing w:after="0"/>
        <w:ind w:left="567" w:hanging="567"/>
        <w:rPr>
          <w:rFonts w:ascii="Arial" w:hAnsi="Arial" w:cs="Arial"/>
          <w:sz w:val="22"/>
        </w:rPr>
      </w:pPr>
      <w:r w:rsidRPr="00A96EC6">
        <w:rPr>
          <w:rFonts w:ascii="Arial" w:hAnsi="Arial" w:cs="Arial"/>
          <w:sz w:val="22"/>
        </w:rPr>
        <w:t>Table 11</w:t>
      </w:r>
      <w:r w:rsidR="003547BA">
        <w:rPr>
          <w:rFonts w:ascii="Arial" w:hAnsi="Arial" w:cs="Arial"/>
          <w:sz w:val="22"/>
        </w:rPr>
        <w:t xml:space="preserve">: </w:t>
      </w:r>
      <w:r w:rsidRPr="00A96EC6">
        <w:rPr>
          <w:rFonts w:ascii="Arial" w:hAnsi="Arial" w:cs="Arial"/>
          <w:sz w:val="22"/>
        </w:rPr>
        <w:t xml:space="preserve">Percentage change in key indicators for facilities that participated in both the 2016 and 2017 Hospital NAPS </w:t>
      </w:r>
    </w:p>
    <w:p w14:paraId="725F54CA" w14:textId="5039791A" w:rsidR="00925BE9" w:rsidRPr="00A96EC6" w:rsidRDefault="00925BE9" w:rsidP="00A96EC6">
      <w:pPr>
        <w:pStyle w:val="Normal-beforebullets"/>
      </w:pPr>
      <w:r>
        <w:t xml:space="preserve"> </w:t>
      </w:r>
      <w:r>
        <w:br w:type="page"/>
      </w:r>
    </w:p>
    <w:p w14:paraId="1B5B1E2F" w14:textId="77777777" w:rsidR="00144EF5" w:rsidRDefault="00565B40" w:rsidP="00144EF5">
      <w:pPr>
        <w:pStyle w:val="Heading1"/>
      </w:pPr>
      <w:bookmarkStart w:id="34" w:name="_Toc526841671"/>
      <w:r>
        <w:lastRenderedPageBreak/>
        <w:t>References</w:t>
      </w:r>
      <w:bookmarkEnd w:id="34"/>
    </w:p>
    <w:p w14:paraId="11A1C107" w14:textId="77777777" w:rsidR="0096319D" w:rsidRPr="00341021" w:rsidRDefault="0096319D" w:rsidP="00341021">
      <w:pPr>
        <w:pStyle w:val="Numberedlists"/>
      </w:pPr>
      <w:r w:rsidRPr="00341021">
        <w:t>Australian Commission on Safety and Quality in Health Care. National Safety and Quality Health Service Standards. 2nd ed. Sydney: ACSQHC; 2017.</w:t>
      </w:r>
    </w:p>
    <w:p w14:paraId="0576D5C1" w14:textId="77777777" w:rsidR="00084885" w:rsidRPr="00341021" w:rsidRDefault="00084885" w:rsidP="00341021">
      <w:pPr>
        <w:pStyle w:val="Numberedlists"/>
      </w:pPr>
      <w:r w:rsidRPr="00341021">
        <w:t>Australian Commission on Safety and Quality in Health Care (2014). Antimicrobial prescribing practice in Australia: results of the 2013 National Antimicrobial Prescribing Survey, ACSQHC, Sydney.</w:t>
      </w:r>
    </w:p>
    <w:p w14:paraId="3AF30709" w14:textId="77777777" w:rsidR="00084885" w:rsidRPr="00341021" w:rsidRDefault="00084885" w:rsidP="00341021">
      <w:pPr>
        <w:pStyle w:val="Numberedlists"/>
      </w:pPr>
      <w:r w:rsidRPr="00341021">
        <w:t>Australian Commission on Safety and Quality in Health Care (2015). Antimicrobial prescribing practice in Australian hospitals: results of the 2014 National Antimicrobial Prescribing Survey, ACSQHC, Sydney.</w:t>
      </w:r>
    </w:p>
    <w:p w14:paraId="1861A768" w14:textId="77777777" w:rsidR="006D4B7B" w:rsidRPr="00341021" w:rsidRDefault="006D4B7B" w:rsidP="00341021">
      <w:pPr>
        <w:pStyle w:val="Numberedlists"/>
      </w:pPr>
      <w:r w:rsidRPr="00341021">
        <w:t>National Centre for Antimicrobial Stewardship and Australian Commission on Safety and Quality in Health Care. Antimicrobial prescribing practice in Australian hospitals: Results of the 2015 National Antimicrobial Prescribing Survey. Sydney: ACSQHC; 2016</w:t>
      </w:r>
    </w:p>
    <w:p w14:paraId="75601107" w14:textId="77777777" w:rsidR="00084885" w:rsidRPr="00341021" w:rsidRDefault="006D4B7B" w:rsidP="00341021">
      <w:pPr>
        <w:pStyle w:val="Numberedlists"/>
      </w:pPr>
      <w:r w:rsidRPr="00341021">
        <w:t>National Centre for Antimicrobial Stewardship and Australian Commission on Safety and Quality in Health Care. Antimicrobial prescribing practice in Australian hospitals: Results of the 2016 National Antimicrobial Prescribing Survey. Sydney: ACSQHC; 2018</w:t>
      </w:r>
    </w:p>
    <w:p w14:paraId="017A27FE" w14:textId="77777777" w:rsidR="006D4B7B" w:rsidRPr="00341021" w:rsidRDefault="006D4B7B" w:rsidP="00341021">
      <w:pPr>
        <w:pStyle w:val="Numberedlists"/>
      </w:pPr>
      <w:r w:rsidRPr="00341021">
        <w:t>National Centre for Antimicrobial Stewardship and Australian Commission on Safety and Quality in Health Care. Surgical National Antimicrobial Prescribing Survey: results of the 2016 pilot. Sydney: ACSQHC; 2017</w:t>
      </w:r>
      <w:r w:rsidR="00084885" w:rsidRPr="00341021">
        <w:t>.</w:t>
      </w:r>
    </w:p>
    <w:p w14:paraId="465CE4DC" w14:textId="66F78FEF" w:rsidR="00084885" w:rsidRDefault="000675E0" w:rsidP="00341021">
      <w:pPr>
        <w:pStyle w:val="Numberedlists"/>
      </w:pPr>
      <w:r w:rsidRPr="00341021">
        <w:t xml:space="preserve">Australian Bureau of Statistics. </w:t>
      </w:r>
      <w:r w:rsidR="0071063B" w:rsidRPr="00341021">
        <w:t>The Australian statistical geography standard (ASGS) remoteness structure [Internet]. Australian Bureau of Statistics; 2016 [updated 2018 Mar 15; cit</w:t>
      </w:r>
      <w:r w:rsidR="003547BA">
        <w:t xml:space="preserve">ed 2018 Jul 6]. Available from: </w:t>
      </w:r>
      <w:hyperlink r:id="rId36" w:history="1">
        <w:r w:rsidR="003547BA" w:rsidRPr="009804C3">
          <w:rPr>
            <w:rStyle w:val="Hyperlink"/>
          </w:rPr>
          <w:t>www.abs.gov.au/websitedbs/d3310114.nsf/home/remoteness+structure</w:t>
        </w:r>
      </w:hyperlink>
    </w:p>
    <w:p w14:paraId="068BCBB2" w14:textId="3E844B07" w:rsidR="003547BA" w:rsidRDefault="00084885" w:rsidP="003547BA">
      <w:pPr>
        <w:pStyle w:val="Numberedlists"/>
        <w:rPr>
          <w:rStyle w:val="Hyperlink"/>
          <w:color w:val="auto"/>
          <w:u w:val="none"/>
        </w:rPr>
      </w:pPr>
      <w:r w:rsidRPr="00341021">
        <w:t xml:space="preserve">Australian Institute of Health and Welfare. Australia’s hospitals at a glance 2015-16. Canberra: AIHW, 2017. Available from: </w:t>
      </w:r>
      <w:hyperlink r:id="rId37" w:history="1">
        <w:r w:rsidR="003547BA" w:rsidRPr="009804C3">
          <w:rPr>
            <w:rStyle w:val="Hyperlink"/>
          </w:rPr>
          <w:t>www.aihw.gov.au/reports/hospitals/australias-hospitals-at-a-glance-2015-16/contents/table-of-contents</w:t>
        </w:r>
      </w:hyperlink>
    </w:p>
    <w:p w14:paraId="36013385" w14:textId="77777777" w:rsidR="00341021" w:rsidRPr="00341021" w:rsidRDefault="00341021" w:rsidP="00341021">
      <w:pPr>
        <w:pStyle w:val="Numberedlists"/>
        <w:rPr>
          <w:rStyle w:val="Hyperlink"/>
          <w:color w:val="auto"/>
          <w:u w:val="none"/>
        </w:rPr>
      </w:pPr>
      <w:proofErr w:type="spellStart"/>
      <w:r w:rsidRPr="00341021">
        <w:t>eTG</w:t>
      </w:r>
      <w:proofErr w:type="spellEnd"/>
      <w:r w:rsidRPr="00341021">
        <w:t xml:space="preserve"> complete [Internet]. Melbourne: Therapeutic Guidelines Limited; 2015 Jul. Available from: </w:t>
      </w:r>
      <w:hyperlink r:id="rId38" w:history="1">
        <w:r w:rsidRPr="00341021">
          <w:rPr>
            <w:rStyle w:val="Hyperlink"/>
            <w:color w:val="auto"/>
            <w:u w:val="none"/>
          </w:rPr>
          <w:t>https://www.tg.org.au/</w:t>
        </w:r>
      </w:hyperlink>
    </w:p>
    <w:p w14:paraId="40866421" w14:textId="3DF8764A" w:rsidR="003547BA" w:rsidRDefault="000675E0" w:rsidP="003547BA">
      <w:pPr>
        <w:pStyle w:val="Numberedlists"/>
      </w:pPr>
      <w:r w:rsidRPr="00341021">
        <w:rPr>
          <w:rStyle w:val="Hyperlink"/>
          <w:color w:val="auto"/>
          <w:u w:val="none"/>
        </w:rPr>
        <w:t>The Society of Hospital Pharmacists Australia</w:t>
      </w:r>
      <w:r w:rsidR="001D596A" w:rsidRPr="00341021">
        <w:rPr>
          <w:rStyle w:val="Hyperlink"/>
          <w:color w:val="auto"/>
          <w:u w:val="none"/>
        </w:rPr>
        <w:t xml:space="preserve">. </w:t>
      </w:r>
      <w:r w:rsidRPr="00341021">
        <w:rPr>
          <w:rStyle w:val="Hyperlink"/>
          <w:color w:val="auto"/>
          <w:u w:val="none"/>
        </w:rPr>
        <w:t>Medicine Shortages in Australia</w:t>
      </w:r>
      <w:r w:rsidR="001D596A" w:rsidRPr="00341021">
        <w:rPr>
          <w:rStyle w:val="Hyperlink"/>
          <w:color w:val="auto"/>
          <w:u w:val="none"/>
        </w:rPr>
        <w:t xml:space="preserve">: a snapshot of shortages in Australian hospitals. Melbourne: SHPA, 2017. </w:t>
      </w:r>
      <w:hyperlink r:id="rId39" w:history="1">
        <w:r w:rsidR="003547BA" w:rsidRPr="009804C3">
          <w:rPr>
            <w:rStyle w:val="Hyperlink"/>
          </w:rPr>
          <w:t>www.shpa.org.au/sites/default/files/uploaded-content/website-content/Fact-sheets-position-statements/medicines_shortages_in_australia-_shpa_snapshot_-_june_2017.pdf</w:t>
        </w:r>
      </w:hyperlink>
      <w:r w:rsidR="003547BA">
        <w:t xml:space="preserve"> </w:t>
      </w:r>
      <w:r w:rsidR="003547BA" w:rsidRPr="003547BA">
        <w:rPr>
          <w:rStyle w:val="Hyperlink"/>
          <w:color w:val="auto"/>
          <w:u w:val="none"/>
        </w:rPr>
        <w:t>(accessed July 2018).</w:t>
      </w:r>
    </w:p>
    <w:p w14:paraId="2B6E75C1" w14:textId="77777777" w:rsidR="00451469" w:rsidRPr="0071063B" w:rsidRDefault="00451469" w:rsidP="00341021">
      <w:pPr>
        <w:pStyle w:val="Numberedlists"/>
        <w:numPr>
          <w:ilvl w:val="0"/>
          <w:numId w:val="0"/>
        </w:numPr>
      </w:pPr>
    </w:p>
    <w:sectPr w:rsidR="00451469" w:rsidRPr="0071063B" w:rsidSect="00C36529">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BD3C6" w14:textId="77777777" w:rsidR="0038649A" w:rsidRDefault="0038649A" w:rsidP="000B0274">
      <w:r>
        <w:separator/>
      </w:r>
    </w:p>
  </w:endnote>
  <w:endnote w:type="continuationSeparator" w:id="0">
    <w:p w14:paraId="1AC4E01E" w14:textId="77777777" w:rsidR="0038649A" w:rsidRDefault="0038649A"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154875"/>
      <w:docPartObj>
        <w:docPartGallery w:val="Page Numbers (Bottom of Page)"/>
        <w:docPartUnique/>
      </w:docPartObj>
    </w:sdtPr>
    <w:sdtEndPr>
      <w:rPr>
        <w:noProof/>
      </w:rPr>
    </w:sdtEndPr>
    <w:sdtContent>
      <w:p w14:paraId="03C0EB3B" w14:textId="473E9A82" w:rsidR="0038649A" w:rsidRDefault="0038649A" w:rsidP="00956066">
        <w:pPr>
          <w:pStyle w:val="Footer"/>
          <w:jc w:val="right"/>
        </w:pPr>
        <w:r>
          <w:fldChar w:fldCharType="begin"/>
        </w:r>
        <w:r>
          <w:instrText xml:space="preserve"> PAGE   \* MERGEFORMAT </w:instrText>
        </w:r>
        <w:r>
          <w:fldChar w:fldCharType="separate"/>
        </w:r>
        <w:r w:rsidR="00066146">
          <w:rPr>
            <w:noProof/>
          </w:rPr>
          <w:t>43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43A2D" w14:textId="77777777" w:rsidR="0038649A" w:rsidRPr="006803BA" w:rsidRDefault="0038649A" w:rsidP="000B0274">
    <w:r w:rsidRPr="006803BA">
      <w:t>Insert title</w:t>
    </w:r>
    <w:r>
      <w:tab/>
    </w:r>
    <w:r>
      <w:tab/>
    </w:r>
    <w:r w:rsidRPr="006803BA">
      <w:fldChar w:fldCharType="begin"/>
    </w:r>
    <w:r w:rsidRPr="006803BA">
      <w:instrText xml:space="preserve"> PAGE   \* MERGEFORMAT </w:instrText>
    </w:r>
    <w:r w:rsidRPr="006803BA">
      <w:fldChar w:fldCharType="separate"/>
    </w:r>
    <w:r>
      <w:rPr>
        <w:noProof/>
      </w:rPr>
      <w:t>0</w:t>
    </w:r>
    <w:r w:rsidRPr="006803BA">
      <w:rPr>
        <w:noProof/>
      </w:rPr>
      <w:fldChar w:fldCharType="end"/>
    </w:r>
  </w:p>
  <w:p w14:paraId="0F08B6AA" w14:textId="77777777" w:rsidR="0038649A" w:rsidRDefault="0038649A" w:rsidP="000B02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8F35F6" w14:textId="77777777" w:rsidR="0038649A" w:rsidRDefault="0038649A" w:rsidP="000B0274">
      <w:r>
        <w:separator/>
      </w:r>
    </w:p>
  </w:footnote>
  <w:footnote w:type="continuationSeparator" w:id="0">
    <w:p w14:paraId="4C6E7208" w14:textId="77777777" w:rsidR="0038649A" w:rsidRDefault="0038649A" w:rsidP="000B0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63772" w14:textId="08108892" w:rsidR="0038649A" w:rsidRDefault="003864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966FD5A"/>
    <w:lvl w:ilvl="0">
      <w:start w:val="1"/>
      <w:numFmt w:val="decimal"/>
      <w:lvlText w:val="%1."/>
      <w:lvlJc w:val="left"/>
      <w:pPr>
        <w:tabs>
          <w:tab w:val="num" w:pos="1492"/>
        </w:tabs>
        <w:ind w:left="1492" w:hanging="360"/>
      </w:pPr>
    </w:lvl>
  </w:abstractNum>
  <w:abstractNum w:abstractNumId="1">
    <w:nsid w:val="FFFFFF7D"/>
    <w:multiLevelType w:val="singleLevel"/>
    <w:tmpl w:val="58F89A46"/>
    <w:lvl w:ilvl="0">
      <w:start w:val="1"/>
      <w:numFmt w:val="decimal"/>
      <w:lvlText w:val="%1."/>
      <w:lvlJc w:val="left"/>
      <w:pPr>
        <w:tabs>
          <w:tab w:val="num" w:pos="1209"/>
        </w:tabs>
        <w:ind w:left="1209" w:hanging="360"/>
      </w:pPr>
    </w:lvl>
  </w:abstractNum>
  <w:abstractNum w:abstractNumId="2">
    <w:nsid w:val="FFFFFF7E"/>
    <w:multiLevelType w:val="singleLevel"/>
    <w:tmpl w:val="739C9CE6"/>
    <w:lvl w:ilvl="0">
      <w:start w:val="1"/>
      <w:numFmt w:val="decimal"/>
      <w:lvlText w:val="%1."/>
      <w:lvlJc w:val="left"/>
      <w:pPr>
        <w:tabs>
          <w:tab w:val="num" w:pos="926"/>
        </w:tabs>
        <w:ind w:left="926" w:hanging="360"/>
      </w:pPr>
    </w:lvl>
  </w:abstractNum>
  <w:abstractNum w:abstractNumId="3">
    <w:nsid w:val="FFFFFF7F"/>
    <w:multiLevelType w:val="singleLevel"/>
    <w:tmpl w:val="8578B1C6"/>
    <w:lvl w:ilvl="0">
      <w:start w:val="1"/>
      <w:numFmt w:val="decimal"/>
      <w:lvlText w:val="%1."/>
      <w:lvlJc w:val="left"/>
      <w:pPr>
        <w:tabs>
          <w:tab w:val="num" w:pos="643"/>
        </w:tabs>
        <w:ind w:left="643" w:hanging="360"/>
      </w:pPr>
    </w:lvl>
  </w:abstractNum>
  <w:abstractNum w:abstractNumId="4">
    <w:nsid w:val="FFFFFF80"/>
    <w:multiLevelType w:val="singleLevel"/>
    <w:tmpl w:val="3104CD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3A88D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4087C6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06E33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50EF306"/>
    <w:lvl w:ilvl="0">
      <w:start w:val="1"/>
      <w:numFmt w:val="decimal"/>
      <w:lvlText w:val="%1."/>
      <w:lvlJc w:val="left"/>
      <w:pPr>
        <w:tabs>
          <w:tab w:val="num" w:pos="360"/>
        </w:tabs>
        <w:ind w:left="360" w:hanging="360"/>
      </w:pPr>
    </w:lvl>
  </w:abstractNum>
  <w:abstractNum w:abstractNumId="9">
    <w:nsid w:val="FFFFFF89"/>
    <w:multiLevelType w:val="singleLevel"/>
    <w:tmpl w:val="36EA2B9A"/>
    <w:lvl w:ilvl="0">
      <w:start w:val="1"/>
      <w:numFmt w:val="bullet"/>
      <w:lvlText w:val=""/>
      <w:lvlJc w:val="left"/>
      <w:pPr>
        <w:tabs>
          <w:tab w:val="num" w:pos="360"/>
        </w:tabs>
        <w:ind w:left="360" w:hanging="360"/>
      </w:pPr>
      <w:rPr>
        <w:rFonts w:ascii="Symbol" w:hAnsi="Symbol" w:hint="default"/>
      </w:rPr>
    </w:lvl>
  </w:abstractNum>
  <w:abstractNum w:abstractNumId="1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70744F2"/>
    <w:multiLevelType w:val="hybridMultilevel"/>
    <w:tmpl w:val="B2C47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nsid w:val="11174CEB"/>
    <w:multiLevelType w:val="hybridMultilevel"/>
    <w:tmpl w:val="6B5C0CFE"/>
    <w:lvl w:ilvl="0" w:tplc="80EEC816">
      <w:start w:val="1"/>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32A6272"/>
    <w:multiLevelType w:val="hybridMultilevel"/>
    <w:tmpl w:val="00DC4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4B80DAF"/>
    <w:multiLevelType w:val="multilevel"/>
    <w:tmpl w:val="79D2EACE"/>
    <w:lvl w:ilvl="0">
      <w:start w:val="1"/>
      <w:numFmt w:val="decimal"/>
      <w:lvlText w:val="%1"/>
      <w:lvlJc w:val="left"/>
      <w:pPr>
        <w:ind w:left="360" w:hanging="360"/>
      </w:pPr>
      <w:rPr>
        <w:rFonts w:hint="default"/>
      </w:rPr>
    </w:lvl>
    <w:lvl w:ilvl="1">
      <w:start w:val="1"/>
      <w:numFmt w:val="lowerRoman"/>
      <w:lvlText w:val="%2"/>
      <w:lvlJc w:val="left"/>
      <w:pPr>
        <w:ind w:left="567" w:hanging="283"/>
      </w:pPr>
      <w:rPr>
        <w:rFonts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5936BCC"/>
    <w:multiLevelType w:val="hybridMultilevel"/>
    <w:tmpl w:val="96AA6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7C0546D"/>
    <w:multiLevelType w:val="multilevel"/>
    <w:tmpl w:val="47585D02"/>
    <w:lvl w:ilvl="0">
      <w:start w:val="1"/>
      <w:numFmt w:val="bullet"/>
      <w:lvlText w:val=""/>
      <w:lvlJc w:val="left"/>
      <w:pPr>
        <w:ind w:left="567" w:hanging="283"/>
      </w:pPr>
      <w:rPr>
        <w:rFonts w:ascii="Symbol" w:hAnsi="Symbol" w:hint="default"/>
        <w:sz w:val="22"/>
      </w:rPr>
    </w:lvl>
    <w:lvl w:ilvl="1">
      <w:start w:val="1"/>
      <w:numFmt w:val="bullet"/>
      <w:lvlText w:val="-"/>
      <w:lvlJc w:val="left"/>
      <w:pPr>
        <w:ind w:left="851" w:hanging="284"/>
      </w:pPr>
      <w:rPr>
        <w:rFonts w:ascii="Courier New" w:hAnsi="Courier New"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9">
    <w:nsid w:val="1C714585"/>
    <w:multiLevelType w:val="hybridMultilevel"/>
    <w:tmpl w:val="C3DA0A86"/>
    <w:lvl w:ilvl="0" w:tplc="F36611F8">
      <w:numFmt w:val="bullet"/>
      <w:lvlText w:val="•"/>
      <w:lvlJc w:val="left"/>
      <w:pPr>
        <w:ind w:left="720" w:hanging="360"/>
      </w:pPr>
      <w:rPr>
        <w:rFonts w:ascii="Arial" w:eastAsia="Times New Roman" w:hAnsi="Arial" w:cs="Arial" w:hint="default"/>
        <w:color w:val="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34C484F"/>
    <w:multiLevelType w:val="multilevel"/>
    <w:tmpl w:val="EABE25FA"/>
    <w:numStyleLink w:val="Listbullets"/>
  </w:abstractNum>
  <w:abstractNum w:abstractNumId="21">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nsid w:val="2751010B"/>
    <w:multiLevelType w:val="hybridMultilevel"/>
    <w:tmpl w:val="848C8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7AF2BAF"/>
    <w:multiLevelType w:val="hybridMultilevel"/>
    <w:tmpl w:val="4E2684A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nsid w:val="35664225"/>
    <w:multiLevelType w:val="hybridMultilevel"/>
    <w:tmpl w:val="D52C9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23371A7"/>
    <w:multiLevelType w:val="hybridMultilevel"/>
    <w:tmpl w:val="D1183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B500B43"/>
    <w:multiLevelType w:val="hybridMultilevel"/>
    <w:tmpl w:val="5CBE4196"/>
    <w:lvl w:ilvl="0" w:tplc="0C090003">
      <w:start w:val="1"/>
      <w:numFmt w:val="bullet"/>
      <w:lvlText w:val="o"/>
      <w:lvlJc w:val="left"/>
      <w:pPr>
        <w:ind w:left="780" w:hanging="360"/>
      </w:pPr>
      <w:rPr>
        <w:rFonts w:ascii="Courier New" w:hAnsi="Courier New" w:cs="Courier New"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43E1DAC"/>
    <w:multiLevelType w:val="hybridMultilevel"/>
    <w:tmpl w:val="ED72C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787300F"/>
    <w:multiLevelType w:val="hybridMultilevel"/>
    <w:tmpl w:val="F524195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nsid w:val="59F30498"/>
    <w:multiLevelType w:val="hybridMultilevel"/>
    <w:tmpl w:val="EFC60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0AB3DE0"/>
    <w:multiLevelType w:val="hybridMultilevel"/>
    <w:tmpl w:val="9002060E"/>
    <w:lvl w:ilvl="0" w:tplc="BD68ED14">
      <w:start w:val="1"/>
      <w:numFmt w:val="bullet"/>
      <w:lvlText w:val=""/>
      <w:lvlJc w:val="left"/>
      <w:pPr>
        <w:ind w:left="720" w:hanging="360"/>
      </w:pPr>
      <w:rPr>
        <w:rFonts w:ascii="Symbol" w:hAnsi="Symbol" w:hint="default"/>
        <w:color w:val="FF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B794773"/>
    <w:multiLevelType w:val="multilevel"/>
    <w:tmpl w:val="0C09001D"/>
    <w:numStyleLink w:val="Bullet"/>
  </w:abstractNum>
  <w:abstractNum w:abstractNumId="34">
    <w:nsid w:val="70356B54"/>
    <w:multiLevelType w:val="multilevel"/>
    <w:tmpl w:val="A0B4CBEC"/>
    <w:lvl w:ilvl="0">
      <w:start w:val="1"/>
      <w:numFmt w:val="bullet"/>
      <w:lvlText w:val=""/>
      <w:lvlJc w:val="left"/>
      <w:pPr>
        <w:ind w:left="227" w:firstLine="0"/>
      </w:pPr>
      <w:rPr>
        <w:rFonts w:ascii="Symbol" w:hAnsi="Symbol" w:hint="default"/>
      </w:rPr>
    </w:lvl>
    <w:lvl w:ilvl="1">
      <w:start w:val="1"/>
      <w:numFmt w:val="bullet"/>
      <w:lvlText w:val="-"/>
      <w:lvlJc w:val="left"/>
      <w:pPr>
        <w:ind w:left="567" w:hanging="57"/>
      </w:pPr>
      <w:rPr>
        <w:rFonts w:ascii="Courier New" w:hAnsi="Courier New" w:hint="default"/>
      </w:rPr>
    </w:lvl>
    <w:lvl w:ilvl="2">
      <w:start w:val="1"/>
      <w:numFmt w:val="bullet"/>
      <w:lvlText w:val="-"/>
      <w:lvlJc w:val="left"/>
      <w:pPr>
        <w:ind w:left="624" w:firstLine="0"/>
      </w:pPr>
      <w:rPr>
        <w:rFonts w:ascii="Arial" w:hAnsi="Arial" w:hint="default"/>
      </w:rPr>
    </w:lvl>
    <w:lvl w:ilvl="3">
      <w:start w:val="1"/>
      <w:numFmt w:val="decimal"/>
      <w:lvlText w:val="(%4)"/>
      <w:lvlJc w:val="left"/>
      <w:pPr>
        <w:ind w:left="851" w:firstLine="0"/>
      </w:pPr>
      <w:rPr>
        <w:rFonts w:hint="default"/>
      </w:rPr>
    </w:lvl>
    <w:lvl w:ilvl="4">
      <w:start w:val="1"/>
      <w:numFmt w:val="lowerLetter"/>
      <w:lvlText w:val="(%5)"/>
      <w:lvlJc w:val="left"/>
      <w:pPr>
        <w:ind w:left="1078" w:firstLine="0"/>
      </w:pPr>
      <w:rPr>
        <w:rFonts w:hint="default"/>
      </w:rPr>
    </w:lvl>
    <w:lvl w:ilvl="5">
      <w:start w:val="1"/>
      <w:numFmt w:val="lowerRoman"/>
      <w:lvlText w:val="(%6)"/>
      <w:lvlJc w:val="left"/>
      <w:pPr>
        <w:ind w:left="1305" w:firstLine="0"/>
      </w:pPr>
      <w:rPr>
        <w:rFonts w:hint="default"/>
      </w:rPr>
    </w:lvl>
    <w:lvl w:ilvl="6">
      <w:start w:val="1"/>
      <w:numFmt w:val="decimal"/>
      <w:lvlText w:val="%7."/>
      <w:lvlJc w:val="left"/>
      <w:pPr>
        <w:ind w:left="1532" w:firstLine="0"/>
      </w:pPr>
      <w:rPr>
        <w:rFonts w:hint="default"/>
      </w:rPr>
    </w:lvl>
    <w:lvl w:ilvl="7">
      <w:start w:val="1"/>
      <w:numFmt w:val="lowerLetter"/>
      <w:lvlText w:val="%8."/>
      <w:lvlJc w:val="left"/>
      <w:pPr>
        <w:ind w:left="1759" w:firstLine="0"/>
      </w:pPr>
      <w:rPr>
        <w:rFonts w:hint="default"/>
      </w:rPr>
    </w:lvl>
    <w:lvl w:ilvl="8">
      <w:start w:val="1"/>
      <w:numFmt w:val="lowerRoman"/>
      <w:lvlText w:val="%9."/>
      <w:lvlJc w:val="left"/>
      <w:pPr>
        <w:ind w:left="1986" w:firstLine="0"/>
      </w:pPr>
      <w:rPr>
        <w:rFonts w:hint="default"/>
      </w:rPr>
    </w:lvl>
  </w:abstractNum>
  <w:abstractNum w:abstractNumId="35">
    <w:nsid w:val="70B75E97"/>
    <w:multiLevelType w:val="hybridMultilevel"/>
    <w:tmpl w:val="2026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A196678"/>
    <w:multiLevelType w:val="hybridMultilevel"/>
    <w:tmpl w:val="D0A04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32"/>
  </w:num>
  <w:num w:numId="3">
    <w:abstractNumId w:val="11"/>
  </w:num>
  <w:num w:numId="4">
    <w:abstractNumId w:val="10"/>
  </w:num>
  <w:num w:numId="5">
    <w:abstractNumId w:val="20"/>
  </w:num>
  <w:num w:numId="6">
    <w:abstractNumId w:val="16"/>
  </w:num>
  <w:num w:numId="7">
    <w:abstractNumId w:val="12"/>
  </w:num>
  <w:num w:numId="8">
    <w:abstractNumId w:val="21"/>
  </w:num>
  <w:num w:numId="9">
    <w:abstractNumId w:val="28"/>
  </w:num>
  <w:num w:numId="10">
    <w:abstractNumId w:val="10"/>
  </w:num>
  <w:num w:numId="11">
    <w:abstractNumId w:val="34"/>
  </w:num>
  <w:num w:numId="12">
    <w:abstractNumId w:val="26"/>
  </w:num>
  <w:num w:numId="13">
    <w:abstractNumId w:val="33"/>
  </w:num>
  <w:num w:numId="14">
    <w:abstractNumId w:val="1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8"/>
  </w:num>
  <w:num w:numId="26">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23"/>
  </w:num>
  <w:num w:numId="29">
    <w:abstractNumId w:val="36"/>
  </w:num>
  <w:num w:numId="30">
    <w:abstractNumId w:val="29"/>
  </w:num>
  <w:num w:numId="31">
    <w:abstractNumId w:val="22"/>
  </w:num>
  <w:num w:numId="32">
    <w:abstractNumId w:val="30"/>
  </w:num>
  <w:num w:numId="33">
    <w:abstractNumId w:val="14"/>
  </w:num>
  <w:num w:numId="34">
    <w:abstractNumId w:val="15"/>
  </w:num>
  <w:num w:numId="35">
    <w:abstractNumId w:val="25"/>
  </w:num>
  <w:num w:numId="36">
    <w:abstractNumId w:val="31"/>
  </w:num>
  <w:num w:numId="37">
    <w:abstractNumId w:val="27"/>
  </w:num>
  <w:num w:numId="38">
    <w:abstractNumId w:val="24"/>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839"/>
    <w:rsid w:val="00003743"/>
    <w:rsid w:val="000072B0"/>
    <w:rsid w:val="00007541"/>
    <w:rsid w:val="00020DBD"/>
    <w:rsid w:val="000242E3"/>
    <w:rsid w:val="00026BA9"/>
    <w:rsid w:val="0003613D"/>
    <w:rsid w:val="00036C59"/>
    <w:rsid w:val="00037D2D"/>
    <w:rsid w:val="000406F8"/>
    <w:rsid w:val="00041867"/>
    <w:rsid w:val="00041989"/>
    <w:rsid w:val="00043671"/>
    <w:rsid w:val="00061412"/>
    <w:rsid w:val="00062E45"/>
    <w:rsid w:val="00066146"/>
    <w:rsid w:val="00067456"/>
    <w:rsid w:val="000675E0"/>
    <w:rsid w:val="0007248C"/>
    <w:rsid w:val="000749F3"/>
    <w:rsid w:val="0007605E"/>
    <w:rsid w:val="000819B9"/>
    <w:rsid w:val="00084885"/>
    <w:rsid w:val="00084C10"/>
    <w:rsid w:val="00090ADB"/>
    <w:rsid w:val="00094828"/>
    <w:rsid w:val="000A3C27"/>
    <w:rsid w:val="000A3F0D"/>
    <w:rsid w:val="000A47D7"/>
    <w:rsid w:val="000B0274"/>
    <w:rsid w:val="000B65B3"/>
    <w:rsid w:val="000B76B1"/>
    <w:rsid w:val="000C15A9"/>
    <w:rsid w:val="000C1DD4"/>
    <w:rsid w:val="000C573F"/>
    <w:rsid w:val="000D017D"/>
    <w:rsid w:val="000D32AF"/>
    <w:rsid w:val="000D40EC"/>
    <w:rsid w:val="000D5497"/>
    <w:rsid w:val="000D5D42"/>
    <w:rsid w:val="000D74A7"/>
    <w:rsid w:val="000E2F2E"/>
    <w:rsid w:val="000E312D"/>
    <w:rsid w:val="000F0DA9"/>
    <w:rsid w:val="000F12D2"/>
    <w:rsid w:val="000F28CD"/>
    <w:rsid w:val="000F2BB3"/>
    <w:rsid w:val="000F36CA"/>
    <w:rsid w:val="000F5E99"/>
    <w:rsid w:val="00111E31"/>
    <w:rsid w:val="00112BE0"/>
    <w:rsid w:val="001131A1"/>
    <w:rsid w:val="00117CA8"/>
    <w:rsid w:val="00130C01"/>
    <w:rsid w:val="00135096"/>
    <w:rsid w:val="00136840"/>
    <w:rsid w:val="0014066C"/>
    <w:rsid w:val="001424D7"/>
    <w:rsid w:val="00142CFB"/>
    <w:rsid w:val="00144EF5"/>
    <w:rsid w:val="00151FA3"/>
    <w:rsid w:val="00154438"/>
    <w:rsid w:val="001560DC"/>
    <w:rsid w:val="00160897"/>
    <w:rsid w:val="00170E5F"/>
    <w:rsid w:val="00174781"/>
    <w:rsid w:val="00175448"/>
    <w:rsid w:val="00175B76"/>
    <w:rsid w:val="00177323"/>
    <w:rsid w:val="001805CD"/>
    <w:rsid w:val="00182087"/>
    <w:rsid w:val="001831BC"/>
    <w:rsid w:val="001921ED"/>
    <w:rsid w:val="00196687"/>
    <w:rsid w:val="00196AC8"/>
    <w:rsid w:val="001A2ABA"/>
    <w:rsid w:val="001A2BB5"/>
    <w:rsid w:val="001A2CEB"/>
    <w:rsid w:val="001A3374"/>
    <w:rsid w:val="001A7D32"/>
    <w:rsid w:val="001B117B"/>
    <w:rsid w:val="001B1666"/>
    <w:rsid w:val="001B295C"/>
    <w:rsid w:val="001B3443"/>
    <w:rsid w:val="001B762E"/>
    <w:rsid w:val="001C6663"/>
    <w:rsid w:val="001C6AE3"/>
    <w:rsid w:val="001D4A11"/>
    <w:rsid w:val="001D596A"/>
    <w:rsid w:val="001D6558"/>
    <w:rsid w:val="001D7143"/>
    <w:rsid w:val="001D7FD7"/>
    <w:rsid w:val="001E0727"/>
    <w:rsid w:val="001E1042"/>
    <w:rsid w:val="001E388E"/>
    <w:rsid w:val="001E4DD9"/>
    <w:rsid w:val="001E57DD"/>
    <w:rsid w:val="001E5850"/>
    <w:rsid w:val="001E6CF4"/>
    <w:rsid w:val="001E7795"/>
    <w:rsid w:val="001E77C4"/>
    <w:rsid w:val="001F6995"/>
    <w:rsid w:val="0020332F"/>
    <w:rsid w:val="00212039"/>
    <w:rsid w:val="00220803"/>
    <w:rsid w:val="00233539"/>
    <w:rsid w:val="00236206"/>
    <w:rsid w:val="002374A5"/>
    <w:rsid w:val="00237ADF"/>
    <w:rsid w:val="00243620"/>
    <w:rsid w:val="00245D81"/>
    <w:rsid w:val="002467A0"/>
    <w:rsid w:val="00247AE6"/>
    <w:rsid w:val="0025122D"/>
    <w:rsid w:val="0025173B"/>
    <w:rsid w:val="0025357D"/>
    <w:rsid w:val="00255596"/>
    <w:rsid w:val="00255E01"/>
    <w:rsid w:val="002573F5"/>
    <w:rsid w:val="00261F43"/>
    <w:rsid w:val="002649D9"/>
    <w:rsid w:val="002662B4"/>
    <w:rsid w:val="00267635"/>
    <w:rsid w:val="00270BE3"/>
    <w:rsid w:val="00273F96"/>
    <w:rsid w:val="002756B7"/>
    <w:rsid w:val="00276F10"/>
    <w:rsid w:val="00281A6B"/>
    <w:rsid w:val="00281FD4"/>
    <w:rsid w:val="002840CC"/>
    <w:rsid w:val="00295279"/>
    <w:rsid w:val="002A0FE6"/>
    <w:rsid w:val="002A31D0"/>
    <w:rsid w:val="002B2816"/>
    <w:rsid w:val="002B469A"/>
    <w:rsid w:val="002B4C42"/>
    <w:rsid w:val="002B66AC"/>
    <w:rsid w:val="002B7779"/>
    <w:rsid w:val="002C0380"/>
    <w:rsid w:val="002C350A"/>
    <w:rsid w:val="002C561C"/>
    <w:rsid w:val="002C5821"/>
    <w:rsid w:val="002C6AF0"/>
    <w:rsid w:val="002D154E"/>
    <w:rsid w:val="002E134D"/>
    <w:rsid w:val="002E181A"/>
    <w:rsid w:val="002E3511"/>
    <w:rsid w:val="002E6A48"/>
    <w:rsid w:val="002F2363"/>
    <w:rsid w:val="002F3877"/>
    <w:rsid w:val="002F3AE3"/>
    <w:rsid w:val="002F5465"/>
    <w:rsid w:val="002F7E6F"/>
    <w:rsid w:val="00300B7A"/>
    <w:rsid w:val="003021DB"/>
    <w:rsid w:val="003045E7"/>
    <w:rsid w:val="00304FEC"/>
    <w:rsid w:val="00305B4F"/>
    <w:rsid w:val="0030786C"/>
    <w:rsid w:val="003100FA"/>
    <w:rsid w:val="00311235"/>
    <w:rsid w:val="00312A62"/>
    <w:rsid w:val="00313037"/>
    <w:rsid w:val="00316683"/>
    <w:rsid w:val="003167D5"/>
    <w:rsid w:val="003203DD"/>
    <w:rsid w:val="00326612"/>
    <w:rsid w:val="00327636"/>
    <w:rsid w:val="00332142"/>
    <w:rsid w:val="00334198"/>
    <w:rsid w:val="00334CE1"/>
    <w:rsid w:val="003404DA"/>
    <w:rsid w:val="00341021"/>
    <w:rsid w:val="0034265E"/>
    <w:rsid w:val="00343C5C"/>
    <w:rsid w:val="0035148B"/>
    <w:rsid w:val="003547BA"/>
    <w:rsid w:val="003557F6"/>
    <w:rsid w:val="0036244F"/>
    <w:rsid w:val="00365453"/>
    <w:rsid w:val="00366393"/>
    <w:rsid w:val="00366A63"/>
    <w:rsid w:val="00381E70"/>
    <w:rsid w:val="00384706"/>
    <w:rsid w:val="0038649A"/>
    <w:rsid w:val="003873C6"/>
    <w:rsid w:val="00393EDB"/>
    <w:rsid w:val="00394DA3"/>
    <w:rsid w:val="003A105D"/>
    <w:rsid w:val="003A27CA"/>
    <w:rsid w:val="003A2C6B"/>
    <w:rsid w:val="003A7645"/>
    <w:rsid w:val="003B2036"/>
    <w:rsid w:val="003B6675"/>
    <w:rsid w:val="003C297A"/>
    <w:rsid w:val="003C51CB"/>
    <w:rsid w:val="003C5FFB"/>
    <w:rsid w:val="003D17F9"/>
    <w:rsid w:val="003D25CE"/>
    <w:rsid w:val="003D3659"/>
    <w:rsid w:val="003D437B"/>
    <w:rsid w:val="003D7A1B"/>
    <w:rsid w:val="003E555C"/>
    <w:rsid w:val="003E731E"/>
    <w:rsid w:val="003E76C8"/>
    <w:rsid w:val="003E7C3A"/>
    <w:rsid w:val="003F00BF"/>
    <w:rsid w:val="003F2ADD"/>
    <w:rsid w:val="003F2C57"/>
    <w:rsid w:val="00412E9D"/>
    <w:rsid w:val="00413216"/>
    <w:rsid w:val="0041334D"/>
    <w:rsid w:val="00413C77"/>
    <w:rsid w:val="004154A8"/>
    <w:rsid w:val="00415B5F"/>
    <w:rsid w:val="004206A5"/>
    <w:rsid w:val="00424A68"/>
    <w:rsid w:val="00424C9C"/>
    <w:rsid w:val="00432277"/>
    <w:rsid w:val="004332D1"/>
    <w:rsid w:val="00443E13"/>
    <w:rsid w:val="00447D31"/>
    <w:rsid w:val="00451469"/>
    <w:rsid w:val="004528F4"/>
    <w:rsid w:val="00455FDE"/>
    <w:rsid w:val="0045718D"/>
    <w:rsid w:val="00460FF4"/>
    <w:rsid w:val="00462859"/>
    <w:rsid w:val="00465A75"/>
    <w:rsid w:val="00470AB8"/>
    <w:rsid w:val="00471611"/>
    <w:rsid w:val="00473DE6"/>
    <w:rsid w:val="00477D6C"/>
    <w:rsid w:val="00485253"/>
    <w:rsid w:val="004854B9"/>
    <w:rsid w:val="004867E2"/>
    <w:rsid w:val="00486826"/>
    <w:rsid w:val="00487A57"/>
    <w:rsid w:val="004924F9"/>
    <w:rsid w:val="004935FF"/>
    <w:rsid w:val="00495417"/>
    <w:rsid w:val="004963AF"/>
    <w:rsid w:val="004A0670"/>
    <w:rsid w:val="004A0D17"/>
    <w:rsid w:val="004A4D4C"/>
    <w:rsid w:val="004B263F"/>
    <w:rsid w:val="004B2999"/>
    <w:rsid w:val="004B40B5"/>
    <w:rsid w:val="004B5346"/>
    <w:rsid w:val="004B6C98"/>
    <w:rsid w:val="004C1560"/>
    <w:rsid w:val="004C7B9B"/>
    <w:rsid w:val="004D282A"/>
    <w:rsid w:val="004D4424"/>
    <w:rsid w:val="004D5360"/>
    <w:rsid w:val="004E16D2"/>
    <w:rsid w:val="004E4647"/>
    <w:rsid w:val="004E58C1"/>
    <w:rsid w:val="004F13D4"/>
    <w:rsid w:val="004F216E"/>
    <w:rsid w:val="004F75AE"/>
    <w:rsid w:val="00500170"/>
    <w:rsid w:val="00500860"/>
    <w:rsid w:val="00501971"/>
    <w:rsid w:val="00510D32"/>
    <w:rsid w:val="0051267A"/>
    <w:rsid w:val="00516535"/>
    <w:rsid w:val="0052107C"/>
    <w:rsid w:val="005221B7"/>
    <w:rsid w:val="0052391B"/>
    <w:rsid w:val="00530694"/>
    <w:rsid w:val="00530928"/>
    <w:rsid w:val="00534F35"/>
    <w:rsid w:val="005403FB"/>
    <w:rsid w:val="00544A4E"/>
    <w:rsid w:val="00546213"/>
    <w:rsid w:val="005507AF"/>
    <w:rsid w:val="005508F0"/>
    <w:rsid w:val="00553E33"/>
    <w:rsid w:val="00555428"/>
    <w:rsid w:val="00557374"/>
    <w:rsid w:val="00561D6E"/>
    <w:rsid w:val="005650DC"/>
    <w:rsid w:val="00565B40"/>
    <w:rsid w:val="00566B97"/>
    <w:rsid w:val="00566C2E"/>
    <w:rsid w:val="00574009"/>
    <w:rsid w:val="005757B1"/>
    <w:rsid w:val="0057682A"/>
    <w:rsid w:val="005779DF"/>
    <w:rsid w:val="005949EA"/>
    <w:rsid w:val="00595E1E"/>
    <w:rsid w:val="0059724C"/>
    <w:rsid w:val="005A170C"/>
    <w:rsid w:val="005A2E4F"/>
    <w:rsid w:val="005A48A2"/>
    <w:rsid w:val="005C1496"/>
    <w:rsid w:val="005C3CA0"/>
    <w:rsid w:val="005C45EA"/>
    <w:rsid w:val="005C4869"/>
    <w:rsid w:val="005C5E02"/>
    <w:rsid w:val="005C6AAE"/>
    <w:rsid w:val="005C6DE5"/>
    <w:rsid w:val="005D039E"/>
    <w:rsid w:val="005D4B2C"/>
    <w:rsid w:val="005D5302"/>
    <w:rsid w:val="005E0C32"/>
    <w:rsid w:val="005E2614"/>
    <w:rsid w:val="005E353B"/>
    <w:rsid w:val="005E5729"/>
    <w:rsid w:val="005E70D6"/>
    <w:rsid w:val="005E7BA3"/>
    <w:rsid w:val="005F2836"/>
    <w:rsid w:val="005F4698"/>
    <w:rsid w:val="00603501"/>
    <w:rsid w:val="00603A69"/>
    <w:rsid w:val="00607B0B"/>
    <w:rsid w:val="0061011A"/>
    <w:rsid w:val="00613B4A"/>
    <w:rsid w:val="00620F92"/>
    <w:rsid w:val="00622241"/>
    <w:rsid w:val="00624310"/>
    <w:rsid w:val="006273CD"/>
    <w:rsid w:val="0062753A"/>
    <w:rsid w:val="006317C9"/>
    <w:rsid w:val="00634F26"/>
    <w:rsid w:val="00637C1C"/>
    <w:rsid w:val="00640F16"/>
    <w:rsid w:val="00646C53"/>
    <w:rsid w:val="006501D2"/>
    <w:rsid w:val="006554D0"/>
    <w:rsid w:val="00665196"/>
    <w:rsid w:val="00670E24"/>
    <w:rsid w:val="00677829"/>
    <w:rsid w:val="006803BA"/>
    <w:rsid w:val="006819B4"/>
    <w:rsid w:val="00683067"/>
    <w:rsid w:val="00683211"/>
    <w:rsid w:val="00686788"/>
    <w:rsid w:val="00686B74"/>
    <w:rsid w:val="00692AA7"/>
    <w:rsid w:val="006943ED"/>
    <w:rsid w:val="00694A59"/>
    <w:rsid w:val="00695D8A"/>
    <w:rsid w:val="006A3251"/>
    <w:rsid w:val="006A3DB9"/>
    <w:rsid w:val="006A44CE"/>
    <w:rsid w:val="006C38C6"/>
    <w:rsid w:val="006C3D14"/>
    <w:rsid w:val="006C45B8"/>
    <w:rsid w:val="006C5469"/>
    <w:rsid w:val="006C789D"/>
    <w:rsid w:val="006D0FB0"/>
    <w:rsid w:val="006D4B7B"/>
    <w:rsid w:val="006D732F"/>
    <w:rsid w:val="006E4568"/>
    <w:rsid w:val="006E688D"/>
    <w:rsid w:val="006F48AC"/>
    <w:rsid w:val="006F59E3"/>
    <w:rsid w:val="006F790A"/>
    <w:rsid w:val="007028EC"/>
    <w:rsid w:val="007029F2"/>
    <w:rsid w:val="00704F4F"/>
    <w:rsid w:val="007052A0"/>
    <w:rsid w:val="0070703E"/>
    <w:rsid w:val="0071063B"/>
    <w:rsid w:val="0071181F"/>
    <w:rsid w:val="0071637F"/>
    <w:rsid w:val="007205C3"/>
    <w:rsid w:val="0072267D"/>
    <w:rsid w:val="007236CF"/>
    <w:rsid w:val="00724939"/>
    <w:rsid w:val="00725F85"/>
    <w:rsid w:val="00727F03"/>
    <w:rsid w:val="007358CA"/>
    <w:rsid w:val="007360BF"/>
    <w:rsid w:val="00737C4B"/>
    <w:rsid w:val="007434FD"/>
    <w:rsid w:val="00744BF4"/>
    <w:rsid w:val="00751061"/>
    <w:rsid w:val="00752DB4"/>
    <w:rsid w:val="007545C7"/>
    <w:rsid w:val="0075751E"/>
    <w:rsid w:val="0076005C"/>
    <w:rsid w:val="007635C1"/>
    <w:rsid w:val="007638DA"/>
    <w:rsid w:val="00765D11"/>
    <w:rsid w:val="00766B42"/>
    <w:rsid w:val="00770A6C"/>
    <w:rsid w:val="0077720C"/>
    <w:rsid w:val="0078070C"/>
    <w:rsid w:val="007808C5"/>
    <w:rsid w:val="00781001"/>
    <w:rsid w:val="00784541"/>
    <w:rsid w:val="007860BD"/>
    <w:rsid w:val="00790E03"/>
    <w:rsid w:val="00793B2B"/>
    <w:rsid w:val="00795B64"/>
    <w:rsid w:val="007968CC"/>
    <w:rsid w:val="00796FB7"/>
    <w:rsid w:val="007A3797"/>
    <w:rsid w:val="007A3EC3"/>
    <w:rsid w:val="007A459F"/>
    <w:rsid w:val="007A582D"/>
    <w:rsid w:val="007A65E3"/>
    <w:rsid w:val="007B04A9"/>
    <w:rsid w:val="007B16AC"/>
    <w:rsid w:val="007B2D3A"/>
    <w:rsid w:val="007D62C2"/>
    <w:rsid w:val="007E000D"/>
    <w:rsid w:val="007E0F97"/>
    <w:rsid w:val="007E3423"/>
    <w:rsid w:val="007F71F8"/>
    <w:rsid w:val="0080398E"/>
    <w:rsid w:val="0080595E"/>
    <w:rsid w:val="00813504"/>
    <w:rsid w:val="00817C9E"/>
    <w:rsid w:val="00820E64"/>
    <w:rsid w:val="008222E6"/>
    <w:rsid w:val="008264EB"/>
    <w:rsid w:val="00827924"/>
    <w:rsid w:val="00830756"/>
    <w:rsid w:val="00836014"/>
    <w:rsid w:val="0084462F"/>
    <w:rsid w:val="00844E9A"/>
    <w:rsid w:val="00850819"/>
    <w:rsid w:val="0085143C"/>
    <w:rsid w:val="00852726"/>
    <w:rsid w:val="00854AAC"/>
    <w:rsid w:val="00864568"/>
    <w:rsid w:val="008846F6"/>
    <w:rsid w:val="008860D0"/>
    <w:rsid w:val="00890A09"/>
    <w:rsid w:val="00890C89"/>
    <w:rsid w:val="00892471"/>
    <w:rsid w:val="00897BF8"/>
    <w:rsid w:val="008A261E"/>
    <w:rsid w:val="008A58F9"/>
    <w:rsid w:val="008B155B"/>
    <w:rsid w:val="008C05DB"/>
    <w:rsid w:val="008C11AB"/>
    <w:rsid w:val="008C34FA"/>
    <w:rsid w:val="008C56C5"/>
    <w:rsid w:val="008E5D6A"/>
    <w:rsid w:val="008E68FF"/>
    <w:rsid w:val="008F23F6"/>
    <w:rsid w:val="008F6229"/>
    <w:rsid w:val="00900A0A"/>
    <w:rsid w:val="00900CD5"/>
    <w:rsid w:val="00902CBC"/>
    <w:rsid w:val="00906ECD"/>
    <w:rsid w:val="009078D8"/>
    <w:rsid w:val="0091137C"/>
    <w:rsid w:val="00917BBE"/>
    <w:rsid w:val="00925BE9"/>
    <w:rsid w:val="00934FC7"/>
    <w:rsid w:val="009424A5"/>
    <w:rsid w:val="009428A9"/>
    <w:rsid w:val="009530C1"/>
    <w:rsid w:val="00956066"/>
    <w:rsid w:val="00957F18"/>
    <w:rsid w:val="00957F1F"/>
    <w:rsid w:val="0096319D"/>
    <w:rsid w:val="00964277"/>
    <w:rsid w:val="00974714"/>
    <w:rsid w:val="00977D26"/>
    <w:rsid w:val="00981111"/>
    <w:rsid w:val="009874D0"/>
    <w:rsid w:val="00991D6F"/>
    <w:rsid w:val="0099327B"/>
    <w:rsid w:val="009A007B"/>
    <w:rsid w:val="009A263C"/>
    <w:rsid w:val="009A350D"/>
    <w:rsid w:val="009A75EF"/>
    <w:rsid w:val="009B053D"/>
    <w:rsid w:val="009B369C"/>
    <w:rsid w:val="009B59AC"/>
    <w:rsid w:val="009B64E3"/>
    <w:rsid w:val="009B6714"/>
    <w:rsid w:val="009B7869"/>
    <w:rsid w:val="009C1275"/>
    <w:rsid w:val="009C2539"/>
    <w:rsid w:val="009C381C"/>
    <w:rsid w:val="009C5691"/>
    <w:rsid w:val="009D01AC"/>
    <w:rsid w:val="009D12D9"/>
    <w:rsid w:val="009D5FE7"/>
    <w:rsid w:val="009E1536"/>
    <w:rsid w:val="009E1F38"/>
    <w:rsid w:val="009E5633"/>
    <w:rsid w:val="009E6B78"/>
    <w:rsid w:val="009F0DB0"/>
    <w:rsid w:val="009F2ECC"/>
    <w:rsid w:val="009F3776"/>
    <w:rsid w:val="009F5557"/>
    <w:rsid w:val="009F5EB9"/>
    <w:rsid w:val="00A0287A"/>
    <w:rsid w:val="00A0554C"/>
    <w:rsid w:val="00A06EE5"/>
    <w:rsid w:val="00A10F5A"/>
    <w:rsid w:val="00A11E15"/>
    <w:rsid w:val="00A15082"/>
    <w:rsid w:val="00A164A6"/>
    <w:rsid w:val="00A20E34"/>
    <w:rsid w:val="00A34B91"/>
    <w:rsid w:val="00A40263"/>
    <w:rsid w:val="00A4199A"/>
    <w:rsid w:val="00A42510"/>
    <w:rsid w:val="00A4512D"/>
    <w:rsid w:val="00A5193B"/>
    <w:rsid w:val="00A51C39"/>
    <w:rsid w:val="00A6176F"/>
    <w:rsid w:val="00A6288D"/>
    <w:rsid w:val="00A645FB"/>
    <w:rsid w:val="00A6766E"/>
    <w:rsid w:val="00A67D52"/>
    <w:rsid w:val="00A705AF"/>
    <w:rsid w:val="00A7246E"/>
    <w:rsid w:val="00A7491D"/>
    <w:rsid w:val="00A75B58"/>
    <w:rsid w:val="00A76B53"/>
    <w:rsid w:val="00A77349"/>
    <w:rsid w:val="00A77A36"/>
    <w:rsid w:val="00A83827"/>
    <w:rsid w:val="00A864B8"/>
    <w:rsid w:val="00A91A88"/>
    <w:rsid w:val="00A91CDF"/>
    <w:rsid w:val="00A931E2"/>
    <w:rsid w:val="00A93546"/>
    <w:rsid w:val="00A93A18"/>
    <w:rsid w:val="00A964DB"/>
    <w:rsid w:val="00A96EC6"/>
    <w:rsid w:val="00A97650"/>
    <w:rsid w:val="00AA1585"/>
    <w:rsid w:val="00AA535C"/>
    <w:rsid w:val="00AA56A8"/>
    <w:rsid w:val="00AA6DC2"/>
    <w:rsid w:val="00AA7B58"/>
    <w:rsid w:val="00AB00A7"/>
    <w:rsid w:val="00AB0BA8"/>
    <w:rsid w:val="00AB32B8"/>
    <w:rsid w:val="00AB35FB"/>
    <w:rsid w:val="00AB40AB"/>
    <w:rsid w:val="00AB6ED9"/>
    <w:rsid w:val="00AC1069"/>
    <w:rsid w:val="00AC50B3"/>
    <w:rsid w:val="00AC588F"/>
    <w:rsid w:val="00AC7ACE"/>
    <w:rsid w:val="00AD52A0"/>
    <w:rsid w:val="00AE3E8D"/>
    <w:rsid w:val="00AE54CB"/>
    <w:rsid w:val="00AF1214"/>
    <w:rsid w:val="00AF322B"/>
    <w:rsid w:val="00AF4957"/>
    <w:rsid w:val="00AF4C26"/>
    <w:rsid w:val="00AF6154"/>
    <w:rsid w:val="00AF657C"/>
    <w:rsid w:val="00B046C1"/>
    <w:rsid w:val="00B0795B"/>
    <w:rsid w:val="00B101A3"/>
    <w:rsid w:val="00B175EE"/>
    <w:rsid w:val="00B20D51"/>
    <w:rsid w:val="00B222FA"/>
    <w:rsid w:val="00B24DF4"/>
    <w:rsid w:val="00B2510B"/>
    <w:rsid w:val="00B2665E"/>
    <w:rsid w:val="00B328AF"/>
    <w:rsid w:val="00B328D4"/>
    <w:rsid w:val="00B32DD1"/>
    <w:rsid w:val="00B3720C"/>
    <w:rsid w:val="00B400B3"/>
    <w:rsid w:val="00B40680"/>
    <w:rsid w:val="00B41409"/>
    <w:rsid w:val="00B42851"/>
    <w:rsid w:val="00B47076"/>
    <w:rsid w:val="00B512E8"/>
    <w:rsid w:val="00B52808"/>
    <w:rsid w:val="00B53232"/>
    <w:rsid w:val="00B55D2A"/>
    <w:rsid w:val="00B5671D"/>
    <w:rsid w:val="00B56B37"/>
    <w:rsid w:val="00B61133"/>
    <w:rsid w:val="00B62B85"/>
    <w:rsid w:val="00B6541B"/>
    <w:rsid w:val="00B76D11"/>
    <w:rsid w:val="00B94E30"/>
    <w:rsid w:val="00B95A67"/>
    <w:rsid w:val="00B977B2"/>
    <w:rsid w:val="00BA2216"/>
    <w:rsid w:val="00BA2271"/>
    <w:rsid w:val="00BA34CE"/>
    <w:rsid w:val="00BA3B66"/>
    <w:rsid w:val="00BA4AEE"/>
    <w:rsid w:val="00BB5AE9"/>
    <w:rsid w:val="00BC07E4"/>
    <w:rsid w:val="00BC21A2"/>
    <w:rsid w:val="00BC370D"/>
    <w:rsid w:val="00BC4555"/>
    <w:rsid w:val="00BC71BF"/>
    <w:rsid w:val="00BD09B3"/>
    <w:rsid w:val="00BE132E"/>
    <w:rsid w:val="00BE3B66"/>
    <w:rsid w:val="00BE45CA"/>
    <w:rsid w:val="00BE5600"/>
    <w:rsid w:val="00BF02CB"/>
    <w:rsid w:val="00BF56A6"/>
    <w:rsid w:val="00BF60D2"/>
    <w:rsid w:val="00BF651F"/>
    <w:rsid w:val="00C020D8"/>
    <w:rsid w:val="00C03B4C"/>
    <w:rsid w:val="00C058DB"/>
    <w:rsid w:val="00C06314"/>
    <w:rsid w:val="00C12642"/>
    <w:rsid w:val="00C12687"/>
    <w:rsid w:val="00C23604"/>
    <w:rsid w:val="00C2450D"/>
    <w:rsid w:val="00C247AD"/>
    <w:rsid w:val="00C25758"/>
    <w:rsid w:val="00C31839"/>
    <w:rsid w:val="00C32DB9"/>
    <w:rsid w:val="00C3538A"/>
    <w:rsid w:val="00C35FDE"/>
    <w:rsid w:val="00C361F2"/>
    <w:rsid w:val="00C36529"/>
    <w:rsid w:val="00C41227"/>
    <w:rsid w:val="00C4214C"/>
    <w:rsid w:val="00C4357F"/>
    <w:rsid w:val="00C436EE"/>
    <w:rsid w:val="00C5016A"/>
    <w:rsid w:val="00C51BE7"/>
    <w:rsid w:val="00C74A2E"/>
    <w:rsid w:val="00C8438A"/>
    <w:rsid w:val="00C87311"/>
    <w:rsid w:val="00C911AD"/>
    <w:rsid w:val="00C95F8F"/>
    <w:rsid w:val="00C96C12"/>
    <w:rsid w:val="00CA4F0E"/>
    <w:rsid w:val="00CB0684"/>
    <w:rsid w:val="00CB35AF"/>
    <w:rsid w:val="00CB5592"/>
    <w:rsid w:val="00CB5999"/>
    <w:rsid w:val="00CB5B1A"/>
    <w:rsid w:val="00CB733F"/>
    <w:rsid w:val="00CC229A"/>
    <w:rsid w:val="00CC3A6C"/>
    <w:rsid w:val="00CC42AF"/>
    <w:rsid w:val="00CC697B"/>
    <w:rsid w:val="00CD00F6"/>
    <w:rsid w:val="00CD1754"/>
    <w:rsid w:val="00CD259D"/>
    <w:rsid w:val="00CD2DCD"/>
    <w:rsid w:val="00CD3078"/>
    <w:rsid w:val="00CD30DA"/>
    <w:rsid w:val="00CD30E1"/>
    <w:rsid w:val="00CD6929"/>
    <w:rsid w:val="00CD7B43"/>
    <w:rsid w:val="00CE1EF8"/>
    <w:rsid w:val="00CE3328"/>
    <w:rsid w:val="00CE375A"/>
    <w:rsid w:val="00CE53AE"/>
    <w:rsid w:val="00CE5D30"/>
    <w:rsid w:val="00CF0EE9"/>
    <w:rsid w:val="00D0685B"/>
    <w:rsid w:val="00D100CE"/>
    <w:rsid w:val="00D1022B"/>
    <w:rsid w:val="00D13923"/>
    <w:rsid w:val="00D24922"/>
    <w:rsid w:val="00D32B6E"/>
    <w:rsid w:val="00D36254"/>
    <w:rsid w:val="00D366B3"/>
    <w:rsid w:val="00D36C3A"/>
    <w:rsid w:val="00D41E34"/>
    <w:rsid w:val="00D42B9A"/>
    <w:rsid w:val="00D43369"/>
    <w:rsid w:val="00D4584B"/>
    <w:rsid w:val="00D469E4"/>
    <w:rsid w:val="00D60D25"/>
    <w:rsid w:val="00D61865"/>
    <w:rsid w:val="00D61D1F"/>
    <w:rsid w:val="00D6630C"/>
    <w:rsid w:val="00D714F5"/>
    <w:rsid w:val="00D722B9"/>
    <w:rsid w:val="00D72F69"/>
    <w:rsid w:val="00D73FE2"/>
    <w:rsid w:val="00D7465B"/>
    <w:rsid w:val="00D77220"/>
    <w:rsid w:val="00D825AF"/>
    <w:rsid w:val="00D8386F"/>
    <w:rsid w:val="00D92032"/>
    <w:rsid w:val="00D9466B"/>
    <w:rsid w:val="00D96327"/>
    <w:rsid w:val="00D966A2"/>
    <w:rsid w:val="00DA6E86"/>
    <w:rsid w:val="00DA70FB"/>
    <w:rsid w:val="00DA77CF"/>
    <w:rsid w:val="00DB26E8"/>
    <w:rsid w:val="00DB5911"/>
    <w:rsid w:val="00DC0D24"/>
    <w:rsid w:val="00DC1D0E"/>
    <w:rsid w:val="00DD1E28"/>
    <w:rsid w:val="00DD215E"/>
    <w:rsid w:val="00DD4AEF"/>
    <w:rsid w:val="00DD5426"/>
    <w:rsid w:val="00DD5DA6"/>
    <w:rsid w:val="00DD7B7D"/>
    <w:rsid w:val="00DE05A8"/>
    <w:rsid w:val="00DE3127"/>
    <w:rsid w:val="00DE42C5"/>
    <w:rsid w:val="00E037C8"/>
    <w:rsid w:val="00E065F2"/>
    <w:rsid w:val="00E13539"/>
    <w:rsid w:val="00E13C5C"/>
    <w:rsid w:val="00E15DCC"/>
    <w:rsid w:val="00E15E99"/>
    <w:rsid w:val="00E17254"/>
    <w:rsid w:val="00E21515"/>
    <w:rsid w:val="00E236C6"/>
    <w:rsid w:val="00E241A2"/>
    <w:rsid w:val="00E25C6C"/>
    <w:rsid w:val="00E2776C"/>
    <w:rsid w:val="00E31922"/>
    <w:rsid w:val="00E338A3"/>
    <w:rsid w:val="00E35268"/>
    <w:rsid w:val="00E376EE"/>
    <w:rsid w:val="00E37984"/>
    <w:rsid w:val="00E40F95"/>
    <w:rsid w:val="00E4312B"/>
    <w:rsid w:val="00E46F47"/>
    <w:rsid w:val="00E501D9"/>
    <w:rsid w:val="00E52B89"/>
    <w:rsid w:val="00E53AF6"/>
    <w:rsid w:val="00E60EE1"/>
    <w:rsid w:val="00E6113A"/>
    <w:rsid w:val="00E62246"/>
    <w:rsid w:val="00E62349"/>
    <w:rsid w:val="00E708F6"/>
    <w:rsid w:val="00E716B4"/>
    <w:rsid w:val="00E71D43"/>
    <w:rsid w:val="00E83FB4"/>
    <w:rsid w:val="00E86B67"/>
    <w:rsid w:val="00E90AC3"/>
    <w:rsid w:val="00E9579B"/>
    <w:rsid w:val="00E97BDA"/>
    <w:rsid w:val="00EA3885"/>
    <w:rsid w:val="00EA5E02"/>
    <w:rsid w:val="00EA5FD0"/>
    <w:rsid w:val="00EB1F65"/>
    <w:rsid w:val="00EB26FF"/>
    <w:rsid w:val="00EC3878"/>
    <w:rsid w:val="00EC52C9"/>
    <w:rsid w:val="00EC6F63"/>
    <w:rsid w:val="00EC7010"/>
    <w:rsid w:val="00ED1B43"/>
    <w:rsid w:val="00ED50FD"/>
    <w:rsid w:val="00ED7B6D"/>
    <w:rsid w:val="00EE356F"/>
    <w:rsid w:val="00EE397E"/>
    <w:rsid w:val="00EF1C95"/>
    <w:rsid w:val="00EF1E62"/>
    <w:rsid w:val="00EF4376"/>
    <w:rsid w:val="00EF4616"/>
    <w:rsid w:val="00EF4F82"/>
    <w:rsid w:val="00F00A54"/>
    <w:rsid w:val="00F024C3"/>
    <w:rsid w:val="00F02C66"/>
    <w:rsid w:val="00F030D4"/>
    <w:rsid w:val="00F0374D"/>
    <w:rsid w:val="00F078B7"/>
    <w:rsid w:val="00F111A7"/>
    <w:rsid w:val="00F21962"/>
    <w:rsid w:val="00F238F2"/>
    <w:rsid w:val="00F30712"/>
    <w:rsid w:val="00F332B3"/>
    <w:rsid w:val="00F340D7"/>
    <w:rsid w:val="00F341E4"/>
    <w:rsid w:val="00F34399"/>
    <w:rsid w:val="00F34D63"/>
    <w:rsid w:val="00F35E88"/>
    <w:rsid w:val="00F41A4F"/>
    <w:rsid w:val="00F41B71"/>
    <w:rsid w:val="00F41C35"/>
    <w:rsid w:val="00F43535"/>
    <w:rsid w:val="00F549D7"/>
    <w:rsid w:val="00F551DD"/>
    <w:rsid w:val="00F556DB"/>
    <w:rsid w:val="00F560D5"/>
    <w:rsid w:val="00F57530"/>
    <w:rsid w:val="00F60299"/>
    <w:rsid w:val="00F64AF7"/>
    <w:rsid w:val="00F7191B"/>
    <w:rsid w:val="00F73D95"/>
    <w:rsid w:val="00F73F34"/>
    <w:rsid w:val="00F77888"/>
    <w:rsid w:val="00F90F1E"/>
    <w:rsid w:val="00F9546F"/>
    <w:rsid w:val="00F95769"/>
    <w:rsid w:val="00FA51E5"/>
    <w:rsid w:val="00FA70F0"/>
    <w:rsid w:val="00FA72C4"/>
    <w:rsid w:val="00FB3B01"/>
    <w:rsid w:val="00FC0024"/>
    <w:rsid w:val="00FC47C0"/>
    <w:rsid w:val="00FC6BC2"/>
    <w:rsid w:val="00FC7F5D"/>
    <w:rsid w:val="00FD06BC"/>
    <w:rsid w:val="00FE3043"/>
    <w:rsid w:val="00FE5281"/>
    <w:rsid w:val="00FE5CA3"/>
    <w:rsid w:val="00FE5FD2"/>
    <w:rsid w:val="00FF133A"/>
    <w:rsid w:val="00FF5BAC"/>
    <w:rsid w:val="00FF60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FB9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uiPriority="0" w:qFormat="1"/>
    <w:lsdException w:name="heading 4" w:locked="0" w:uiPriority="0" w:qFormat="1"/>
    <w:lsdException w:name="heading 5" w:locked="0" w:uiPriority="0" w:qFormat="1"/>
    <w:lsdException w:name="heading 6" w:uiPriority="0"/>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footnote text" w:locked="0" w:uiPriority="0"/>
    <w:lsdException w:name="annotation text" w:uiPriority="99"/>
    <w:lsdException w:name="header" w:uiPriority="0"/>
    <w:lsdException w:name="footer" w:locked="0" w:uiPriority="99"/>
    <w:lsdException w:name="caption" w:qFormat="1"/>
    <w:lsdException w:name="footnote reference" w:locked="0" w:uiPriority="0"/>
    <w:lsdException w:name="annotation reference" w:uiPriority="99"/>
    <w:lsdException w:name="endnote text" w:uiPriority="99"/>
    <w:lsdException w:name="macro" w:semiHidden="0" w:unhideWhenUsed="0"/>
    <w:lsdException w:name="List Bullet" w:semiHidden="0" w:unhideWhenUsed="0"/>
    <w:lsdException w:name="List Number" w:semiHidden="0" w:unhideWhenUsed="0"/>
    <w:lsdException w:name="Title" w:locked="0" w:semiHidden="0" w:uiPriority="0" w:unhideWhenUsed="0" w:qFormat="1"/>
    <w:lsdException w:name="Default Paragraph Font" w:locked="0"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lsdException w:name="Hyperlink" w:locked="0" w:uiPriority="99"/>
    <w:lsdException w:name="FollowedHyperlink" w:locked="0" w:uiPriority="0"/>
    <w:lsdException w:name="Strong" w:locked="0" w:semiHidden="0" w:uiPriority="0" w:unhideWhenUsed="0" w:qFormat="1"/>
    <w:lsdException w:name="Emphasis" w:locked="0" w:semiHidden="0" w:uiPriority="0" w:unhideWhenUsed="0"/>
    <w:lsdException w:name="HTML Top of Form" w:locked="0" w:uiPriority="0"/>
    <w:lsdException w:name="HTML Bottom of Form" w:locked="0" w:uiPriority="0"/>
    <w:lsdException w:name="Normal (Web)" w:uiPriority="99"/>
    <w:lsdException w:name="Normal Table" w:locked="0" w:uiPriority="0"/>
    <w:lsdException w:name="No List" w:locked="0"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locked="0"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lsdException w:name="Table Grid" w:uiPriority="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locked="0" w:semiHidden="0" w:uiPriority="29"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iPriority="32" w:unhideWhenUsed="0" w:qFormat="1"/>
    <w:lsdException w:name="Book Title" w:semiHidden="0" w:unhideWhenUsed="0"/>
    <w:lsdException w:name="TOC Heading" w:locked="0" w:uiPriority="39" w:qFormat="1"/>
  </w:latentStyles>
  <w:style w:type="paragraph" w:default="1" w:styleId="Normal">
    <w:name w:val="Normal"/>
    <w:qFormat/>
    <w:rsid w:val="00B328AF"/>
    <w:pPr>
      <w:spacing w:after="200"/>
    </w:pPr>
  </w:style>
  <w:style w:type="paragraph" w:styleId="Heading1">
    <w:name w:val="heading 1"/>
    <w:basedOn w:val="Normal"/>
    <w:next w:val="Normal"/>
    <w:link w:val="Heading1Char"/>
    <w:qFormat/>
    <w:rsid w:val="00A15082"/>
    <w:pPr>
      <w:keepNext/>
      <w:spacing w:before="240" w:after="240"/>
      <w:outlineLvl w:val="0"/>
    </w:pPr>
    <w:rPr>
      <w:rFonts w:cs="Arial"/>
      <w:b/>
      <w:bCs/>
      <w:color w:val="1178A2"/>
      <w:kern w:val="28"/>
      <w:sz w:val="40"/>
      <w:szCs w:val="32"/>
    </w:rPr>
  </w:style>
  <w:style w:type="paragraph" w:styleId="Heading2">
    <w:name w:val="heading 2"/>
    <w:basedOn w:val="Heading1"/>
    <w:next w:val="Normal"/>
    <w:qFormat/>
    <w:rsid w:val="00A15082"/>
    <w:pPr>
      <w:outlineLvl w:val="1"/>
    </w:pPr>
    <w:rPr>
      <w:bCs w:val="0"/>
      <w:iCs/>
      <w:sz w:val="32"/>
      <w:szCs w:val="28"/>
    </w:rPr>
  </w:style>
  <w:style w:type="paragraph" w:styleId="Heading3">
    <w:name w:val="heading 3"/>
    <w:basedOn w:val="Heading2"/>
    <w:next w:val="Normal"/>
    <w:qFormat/>
    <w:rsid w:val="00A15082"/>
    <w:pPr>
      <w:outlineLvl w:val="2"/>
    </w:pPr>
    <w:rPr>
      <w:bCs/>
      <w:sz w:val="28"/>
      <w:szCs w:val="26"/>
    </w:rPr>
  </w:style>
  <w:style w:type="paragraph" w:styleId="Heading4">
    <w:name w:val="heading 4"/>
    <w:basedOn w:val="Normal"/>
    <w:next w:val="Normal"/>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544A4E"/>
    <w:pPr>
      <w:numPr>
        <w:numId w:val="14"/>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5C1496"/>
    <w:pPr>
      <w:spacing w:before="120" w:after="120"/>
    </w:pPr>
    <w:rPr>
      <w:rFonts w:cstheme="minorHAnsi"/>
      <w:b/>
      <w:bCs/>
      <w:color w:val="1178A2"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tabs>
        <w:tab w:val="right" w:pos="9016"/>
      </w:tabs>
      <w:spacing w:before="120" w:after="120"/>
      <w:ind w:left="221"/>
    </w:pPr>
    <w:rPr>
      <w:rFonts w:cstheme="minorHAnsi"/>
      <w:szCs w:val="20"/>
    </w:rPr>
  </w:style>
  <w:style w:type="paragraph" w:styleId="TOC3">
    <w:name w:val="toc 3"/>
    <w:basedOn w:val="Normal"/>
    <w:next w:val="Normal"/>
    <w:autoRedefine/>
    <w:uiPriority w:val="39"/>
    <w:qFormat/>
    <w:rsid w:val="002E6A48"/>
    <w:pPr>
      <w:tabs>
        <w:tab w:val="left" w:pos="8902"/>
      </w:tabs>
      <w:spacing w:after="0"/>
      <w:ind w:left="442"/>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uiPriority w:val="99"/>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keepLines/>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4"/>
      </w:numPr>
    </w:pPr>
  </w:style>
  <w:style w:type="paragraph" w:customStyle="1" w:styleId="Numberedlists">
    <w:name w:val="Numbered lists"/>
    <w:basedOn w:val="Normal"/>
    <w:link w:val="NumberedlistsChar"/>
    <w:qFormat/>
    <w:rsid w:val="00A4199A"/>
    <w:pPr>
      <w:numPr>
        <w:numId w:val="12"/>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7"/>
      </w:numPr>
    </w:pPr>
  </w:style>
  <w:style w:type="numbering" w:customStyle="1" w:styleId="Bullets">
    <w:name w:val="Bullets"/>
    <w:uiPriority w:val="99"/>
    <w:locked/>
    <w:rsid w:val="000D017D"/>
    <w:pPr>
      <w:numPr>
        <w:numId w:val="8"/>
      </w:numPr>
    </w:pPr>
  </w:style>
  <w:style w:type="numbering" w:customStyle="1" w:styleId="BulletsLevel1">
    <w:name w:val="Bullets Level 1"/>
    <w:uiPriority w:val="99"/>
    <w:locked/>
    <w:rsid w:val="000D017D"/>
    <w:pPr>
      <w:numPr>
        <w:numId w:val="9"/>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table" w:styleId="TableColumns2">
    <w:name w:val="Table Columns 2"/>
    <w:basedOn w:val="TableNormal"/>
    <w:locked/>
    <w:rsid w:val="00501971"/>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example1">
    <w:name w:val="example1"/>
    <w:basedOn w:val="DefaultParagraphFont"/>
    <w:rsid w:val="000F36CA"/>
  </w:style>
  <w:style w:type="paragraph" w:styleId="EndnoteText">
    <w:name w:val="endnote text"/>
    <w:basedOn w:val="Normal"/>
    <w:link w:val="EndnoteTextChar"/>
    <w:uiPriority w:val="99"/>
    <w:locked/>
    <w:rsid w:val="00F9546F"/>
    <w:pPr>
      <w:spacing w:after="0"/>
    </w:pPr>
    <w:rPr>
      <w:sz w:val="20"/>
      <w:szCs w:val="20"/>
    </w:rPr>
  </w:style>
  <w:style w:type="character" w:customStyle="1" w:styleId="EndnoteTextChar">
    <w:name w:val="Endnote Text Char"/>
    <w:basedOn w:val="DefaultParagraphFont"/>
    <w:link w:val="EndnoteText"/>
    <w:uiPriority w:val="99"/>
    <w:rsid w:val="00F9546F"/>
    <w:rPr>
      <w:sz w:val="20"/>
      <w:szCs w:val="20"/>
    </w:rPr>
  </w:style>
  <w:style w:type="character" w:styleId="EndnoteReference">
    <w:name w:val="endnote reference"/>
    <w:basedOn w:val="DefaultParagraphFont"/>
    <w:uiPriority w:val="98"/>
    <w:locked/>
    <w:rsid w:val="00F9546F"/>
    <w:rPr>
      <w:vertAlign w:val="superscript"/>
    </w:rPr>
  </w:style>
  <w:style w:type="paragraph" w:styleId="ListParagraph">
    <w:name w:val="List Paragraph"/>
    <w:basedOn w:val="Normal"/>
    <w:uiPriority w:val="34"/>
    <w:qFormat/>
    <w:locked/>
    <w:rsid w:val="000F5E99"/>
    <w:pPr>
      <w:spacing w:after="240"/>
      <w:ind w:left="720"/>
      <w:contextualSpacing/>
    </w:pPr>
    <w:rPr>
      <w:rFonts w:ascii="Times New Roman" w:eastAsiaTheme="minorHAnsi" w:hAnsi="Times New Roman" w:cstheme="minorBidi"/>
      <w:color w:val="000000"/>
      <w:sz w:val="24"/>
      <w:szCs w:val="20"/>
    </w:rPr>
  </w:style>
  <w:style w:type="character" w:styleId="CommentReference">
    <w:name w:val="annotation reference"/>
    <w:basedOn w:val="DefaultParagraphFont"/>
    <w:uiPriority w:val="99"/>
    <w:unhideWhenUsed/>
    <w:locked/>
    <w:rsid w:val="000F5E99"/>
    <w:rPr>
      <w:sz w:val="16"/>
      <w:szCs w:val="16"/>
    </w:rPr>
  </w:style>
  <w:style w:type="paragraph" w:styleId="CommentText">
    <w:name w:val="annotation text"/>
    <w:basedOn w:val="Normal"/>
    <w:link w:val="CommentTextChar"/>
    <w:uiPriority w:val="99"/>
    <w:unhideWhenUsed/>
    <w:locked/>
    <w:rsid w:val="000F5E99"/>
    <w:pPr>
      <w:spacing w:after="240"/>
    </w:pPr>
    <w:rPr>
      <w:rFonts w:ascii="Times New Roman" w:eastAsiaTheme="minorHAnsi" w:hAnsi="Times New Roman" w:cstheme="minorBidi"/>
      <w:color w:val="000000"/>
      <w:sz w:val="20"/>
      <w:szCs w:val="20"/>
    </w:rPr>
  </w:style>
  <w:style w:type="character" w:customStyle="1" w:styleId="CommentTextChar">
    <w:name w:val="Comment Text Char"/>
    <w:basedOn w:val="DefaultParagraphFont"/>
    <w:link w:val="CommentText"/>
    <w:uiPriority w:val="99"/>
    <w:rsid w:val="000F5E99"/>
    <w:rPr>
      <w:rFonts w:ascii="Times New Roman" w:eastAsiaTheme="minorHAnsi" w:hAnsi="Times New Roman" w:cstheme="minorBidi"/>
      <w:color w:val="000000"/>
      <w:sz w:val="20"/>
      <w:szCs w:val="20"/>
    </w:rPr>
  </w:style>
  <w:style w:type="paragraph" w:customStyle="1" w:styleId="FigureName">
    <w:name w:val="FigureName"/>
    <w:basedOn w:val="Normal"/>
    <w:next w:val="Normal"/>
    <w:rsid w:val="00900A0A"/>
    <w:pPr>
      <w:keepNext/>
      <w:keepLines/>
      <w:tabs>
        <w:tab w:val="left" w:pos="1080"/>
      </w:tabs>
      <w:spacing w:before="120" w:after="120"/>
      <w:ind w:left="1077" w:hanging="1077"/>
    </w:pPr>
    <w:rPr>
      <w:rFonts w:ascii="Times New Roman" w:eastAsiaTheme="minorHAnsi" w:hAnsi="Times New Roman" w:cstheme="minorBidi"/>
      <w:b/>
      <w:bCs/>
      <w:color w:val="000000"/>
      <w:szCs w:val="20"/>
    </w:rPr>
  </w:style>
  <w:style w:type="paragraph" w:customStyle="1" w:styleId="TableName">
    <w:name w:val="TableName"/>
    <w:basedOn w:val="Normal"/>
    <w:rsid w:val="00900A0A"/>
    <w:pPr>
      <w:keepNext/>
      <w:tabs>
        <w:tab w:val="left" w:pos="1080"/>
      </w:tabs>
      <w:spacing w:before="120" w:after="120"/>
      <w:ind w:left="1080" w:hanging="1080"/>
    </w:pPr>
    <w:rPr>
      <w:rFonts w:ascii="Times New Roman Bold" w:eastAsiaTheme="minorHAnsi" w:hAnsi="Times New Roman Bold" w:cstheme="minorBidi"/>
      <w:b/>
      <w:bCs/>
      <w:color w:val="000000"/>
      <w:szCs w:val="21"/>
    </w:rPr>
  </w:style>
  <w:style w:type="paragraph" w:styleId="CommentSubject">
    <w:name w:val="annotation subject"/>
    <w:basedOn w:val="CommentText"/>
    <w:next w:val="CommentText"/>
    <w:link w:val="CommentSubjectChar"/>
    <w:uiPriority w:val="98"/>
    <w:locked/>
    <w:rsid w:val="000D32AF"/>
    <w:pPr>
      <w:spacing w:after="200"/>
    </w:pPr>
    <w:rPr>
      <w:rFonts w:asciiTheme="minorHAnsi" w:eastAsia="Times New Roman" w:hAnsiTheme="minorHAnsi" w:cs="Times New Roman"/>
      <w:b/>
      <w:bCs/>
      <w:color w:val="auto"/>
    </w:rPr>
  </w:style>
  <w:style w:type="character" w:customStyle="1" w:styleId="CommentSubjectChar">
    <w:name w:val="Comment Subject Char"/>
    <w:basedOn w:val="CommentTextChar"/>
    <w:link w:val="CommentSubject"/>
    <w:uiPriority w:val="98"/>
    <w:rsid w:val="000D32AF"/>
    <w:rPr>
      <w:rFonts w:ascii="Times New Roman" w:eastAsiaTheme="minorHAnsi" w:hAnsi="Times New Roman" w:cstheme="minorBidi"/>
      <w:b/>
      <w:bCs/>
      <w:color w:val="000000"/>
      <w:sz w:val="20"/>
      <w:szCs w:val="20"/>
    </w:rPr>
  </w:style>
  <w:style w:type="paragraph" w:styleId="Revision">
    <w:name w:val="Revision"/>
    <w:hidden/>
    <w:uiPriority w:val="99"/>
    <w:semiHidden/>
    <w:rsid w:val="00F341E4"/>
    <w:pPr>
      <w:spacing w:after="0"/>
    </w:pPr>
  </w:style>
  <w:style w:type="character" w:customStyle="1" w:styleId="Heading1Char">
    <w:name w:val="Heading 1 Char"/>
    <w:basedOn w:val="DefaultParagraphFont"/>
    <w:link w:val="Heading1"/>
    <w:rsid w:val="00451469"/>
    <w:rPr>
      <w:rFonts w:cs="Arial"/>
      <w:b/>
      <w:bCs/>
      <w:color w:val="1178A2"/>
      <w:kern w:val="28"/>
      <w:sz w:val="40"/>
      <w:szCs w:val="32"/>
    </w:rPr>
  </w:style>
  <w:style w:type="paragraph" w:styleId="NormalWeb">
    <w:name w:val="Normal (Web)"/>
    <w:basedOn w:val="Normal"/>
    <w:uiPriority w:val="99"/>
    <w:semiHidden/>
    <w:unhideWhenUsed/>
    <w:locked/>
    <w:rsid w:val="00CE375A"/>
    <w:pPr>
      <w:spacing w:before="100" w:beforeAutospacing="1" w:after="100" w:afterAutospacing="1"/>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uiPriority="0" w:qFormat="1"/>
    <w:lsdException w:name="heading 4" w:locked="0" w:uiPriority="0" w:qFormat="1"/>
    <w:lsdException w:name="heading 5" w:locked="0" w:uiPriority="0" w:qFormat="1"/>
    <w:lsdException w:name="heading 6" w:uiPriority="0"/>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footnote text" w:locked="0" w:uiPriority="0"/>
    <w:lsdException w:name="annotation text" w:uiPriority="99"/>
    <w:lsdException w:name="header" w:uiPriority="0"/>
    <w:lsdException w:name="footer" w:locked="0" w:uiPriority="99"/>
    <w:lsdException w:name="caption" w:qFormat="1"/>
    <w:lsdException w:name="footnote reference" w:locked="0" w:uiPriority="0"/>
    <w:lsdException w:name="annotation reference" w:uiPriority="99"/>
    <w:lsdException w:name="endnote text" w:uiPriority="99"/>
    <w:lsdException w:name="macro" w:semiHidden="0" w:unhideWhenUsed="0"/>
    <w:lsdException w:name="List Bullet" w:semiHidden="0" w:unhideWhenUsed="0"/>
    <w:lsdException w:name="List Number" w:semiHidden="0" w:unhideWhenUsed="0"/>
    <w:lsdException w:name="Title" w:locked="0" w:semiHidden="0" w:uiPriority="0" w:unhideWhenUsed="0" w:qFormat="1"/>
    <w:lsdException w:name="Default Paragraph Font" w:locked="0"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lsdException w:name="Hyperlink" w:locked="0" w:uiPriority="99"/>
    <w:lsdException w:name="FollowedHyperlink" w:locked="0" w:uiPriority="0"/>
    <w:lsdException w:name="Strong" w:locked="0" w:semiHidden="0" w:uiPriority="0" w:unhideWhenUsed="0" w:qFormat="1"/>
    <w:lsdException w:name="Emphasis" w:locked="0" w:semiHidden="0" w:uiPriority="0" w:unhideWhenUsed="0"/>
    <w:lsdException w:name="HTML Top of Form" w:locked="0" w:uiPriority="0"/>
    <w:lsdException w:name="HTML Bottom of Form" w:locked="0" w:uiPriority="0"/>
    <w:lsdException w:name="Normal (Web)" w:uiPriority="99"/>
    <w:lsdException w:name="Normal Table" w:locked="0" w:uiPriority="0"/>
    <w:lsdException w:name="No List" w:locked="0"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locked="0"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lsdException w:name="Table Grid" w:uiPriority="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locked="0" w:semiHidden="0" w:uiPriority="29"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iPriority="32" w:unhideWhenUsed="0" w:qFormat="1"/>
    <w:lsdException w:name="Book Title" w:semiHidden="0" w:unhideWhenUsed="0"/>
    <w:lsdException w:name="TOC Heading" w:locked="0" w:uiPriority="39" w:qFormat="1"/>
  </w:latentStyles>
  <w:style w:type="paragraph" w:default="1" w:styleId="Normal">
    <w:name w:val="Normal"/>
    <w:qFormat/>
    <w:rsid w:val="00B328AF"/>
    <w:pPr>
      <w:spacing w:after="200"/>
    </w:pPr>
  </w:style>
  <w:style w:type="paragraph" w:styleId="Heading1">
    <w:name w:val="heading 1"/>
    <w:basedOn w:val="Normal"/>
    <w:next w:val="Normal"/>
    <w:link w:val="Heading1Char"/>
    <w:qFormat/>
    <w:rsid w:val="00A15082"/>
    <w:pPr>
      <w:keepNext/>
      <w:spacing w:before="240" w:after="240"/>
      <w:outlineLvl w:val="0"/>
    </w:pPr>
    <w:rPr>
      <w:rFonts w:cs="Arial"/>
      <w:b/>
      <w:bCs/>
      <w:color w:val="1178A2"/>
      <w:kern w:val="28"/>
      <w:sz w:val="40"/>
      <w:szCs w:val="32"/>
    </w:rPr>
  </w:style>
  <w:style w:type="paragraph" w:styleId="Heading2">
    <w:name w:val="heading 2"/>
    <w:basedOn w:val="Heading1"/>
    <w:next w:val="Normal"/>
    <w:qFormat/>
    <w:rsid w:val="00A15082"/>
    <w:pPr>
      <w:outlineLvl w:val="1"/>
    </w:pPr>
    <w:rPr>
      <w:bCs w:val="0"/>
      <w:iCs/>
      <w:sz w:val="32"/>
      <w:szCs w:val="28"/>
    </w:rPr>
  </w:style>
  <w:style w:type="paragraph" w:styleId="Heading3">
    <w:name w:val="heading 3"/>
    <w:basedOn w:val="Heading2"/>
    <w:next w:val="Normal"/>
    <w:qFormat/>
    <w:rsid w:val="00A15082"/>
    <w:pPr>
      <w:outlineLvl w:val="2"/>
    </w:pPr>
    <w:rPr>
      <w:bCs/>
      <w:sz w:val="28"/>
      <w:szCs w:val="26"/>
    </w:rPr>
  </w:style>
  <w:style w:type="paragraph" w:styleId="Heading4">
    <w:name w:val="heading 4"/>
    <w:basedOn w:val="Normal"/>
    <w:next w:val="Normal"/>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544A4E"/>
    <w:pPr>
      <w:numPr>
        <w:numId w:val="14"/>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5C1496"/>
    <w:pPr>
      <w:spacing w:before="120" w:after="120"/>
    </w:pPr>
    <w:rPr>
      <w:rFonts w:cstheme="minorHAnsi"/>
      <w:b/>
      <w:bCs/>
      <w:color w:val="1178A2"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tabs>
        <w:tab w:val="right" w:pos="9016"/>
      </w:tabs>
      <w:spacing w:before="120" w:after="120"/>
      <w:ind w:left="221"/>
    </w:pPr>
    <w:rPr>
      <w:rFonts w:cstheme="minorHAnsi"/>
      <w:szCs w:val="20"/>
    </w:rPr>
  </w:style>
  <w:style w:type="paragraph" w:styleId="TOC3">
    <w:name w:val="toc 3"/>
    <w:basedOn w:val="Normal"/>
    <w:next w:val="Normal"/>
    <w:autoRedefine/>
    <w:uiPriority w:val="39"/>
    <w:qFormat/>
    <w:rsid w:val="002E6A48"/>
    <w:pPr>
      <w:tabs>
        <w:tab w:val="left" w:pos="8902"/>
      </w:tabs>
      <w:spacing w:after="0"/>
      <w:ind w:left="442"/>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uiPriority w:val="99"/>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keepLines/>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4"/>
      </w:numPr>
    </w:pPr>
  </w:style>
  <w:style w:type="paragraph" w:customStyle="1" w:styleId="Numberedlists">
    <w:name w:val="Numbered lists"/>
    <w:basedOn w:val="Normal"/>
    <w:link w:val="NumberedlistsChar"/>
    <w:qFormat/>
    <w:rsid w:val="00A4199A"/>
    <w:pPr>
      <w:numPr>
        <w:numId w:val="12"/>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7"/>
      </w:numPr>
    </w:pPr>
  </w:style>
  <w:style w:type="numbering" w:customStyle="1" w:styleId="Bullets">
    <w:name w:val="Bullets"/>
    <w:uiPriority w:val="99"/>
    <w:locked/>
    <w:rsid w:val="000D017D"/>
    <w:pPr>
      <w:numPr>
        <w:numId w:val="8"/>
      </w:numPr>
    </w:pPr>
  </w:style>
  <w:style w:type="numbering" w:customStyle="1" w:styleId="BulletsLevel1">
    <w:name w:val="Bullets Level 1"/>
    <w:uiPriority w:val="99"/>
    <w:locked/>
    <w:rsid w:val="000D017D"/>
    <w:pPr>
      <w:numPr>
        <w:numId w:val="9"/>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table" w:styleId="TableColumns2">
    <w:name w:val="Table Columns 2"/>
    <w:basedOn w:val="TableNormal"/>
    <w:locked/>
    <w:rsid w:val="00501971"/>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example1">
    <w:name w:val="example1"/>
    <w:basedOn w:val="DefaultParagraphFont"/>
    <w:rsid w:val="000F36CA"/>
  </w:style>
  <w:style w:type="paragraph" w:styleId="EndnoteText">
    <w:name w:val="endnote text"/>
    <w:basedOn w:val="Normal"/>
    <w:link w:val="EndnoteTextChar"/>
    <w:uiPriority w:val="99"/>
    <w:locked/>
    <w:rsid w:val="00F9546F"/>
    <w:pPr>
      <w:spacing w:after="0"/>
    </w:pPr>
    <w:rPr>
      <w:sz w:val="20"/>
      <w:szCs w:val="20"/>
    </w:rPr>
  </w:style>
  <w:style w:type="character" w:customStyle="1" w:styleId="EndnoteTextChar">
    <w:name w:val="Endnote Text Char"/>
    <w:basedOn w:val="DefaultParagraphFont"/>
    <w:link w:val="EndnoteText"/>
    <w:uiPriority w:val="99"/>
    <w:rsid w:val="00F9546F"/>
    <w:rPr>
      <w:sz w:val="20"/>
      <w:szCs w:val="20"/>
    </w:rPr>
  </w:style>
  <w:style w:type="character" w:styleId="EndnoteReference">
    <w:name w:val="endnote reference"/>
    <w:basedOn w:val="DefaultParagraphFont"/>
    <w:uiPriority w:val="98"/>
    <w:locked/>
    <w:rsid w:val="00F9546F"/>
    <w:rPr>
      <w:vertAlign w:val="superscript"/>
    </w:rPr>
  </w:style>
  <w:style w:type="paragraph" w:styleId="ListParagraph">
    <w:name w:val="List Paragraph"/>
    <w:basedOn w:val="Normal"/>
    <w:uiPriority w:val="34"/>
    <w:qFormat/>
    <w:locked/>
    <w:rsid w:val="000F5E99"/>
    <w:pPr>
      <w:spacing w:after="240"/>
      <w:ind w:left="720"/>
      <w:contextualSpacing/>
    </w:pPr>
    <w:rPr>
      <w:rFonts w:ascii="Times New Roman" w:eastAsiaTheme="minorHAnsi" w:hAnsi="Times New Roman" w:cstheme="minorBidi"/>
      <w:color w:val="000000"/>
      <w:sz w:val="24"/>
      <w:szCs w:val="20"/>
    </w:rPr>
  </w:style>
  <w:style w:type="character" w:styleId="CommentReference">
    <w:name w:val="annotation reference"/>
    <w:basedOn w:val="DefaultParagraphFont"/>
    <w:uiPriority w:val="99"/>
    <w:unhideWhenUsed/>
    <w:locked/>
    <w:rsid w:val="000F5E99"/>
    <w:rPr>
      <w:sz w:val="16"/>
      <w:szCs w:val="16"/>
    </w:rPr>
  </w:style>
  <w:style w:type="paragraph" w:styleId="CommentText">
    <w:name w:val="annotation text"/>
    <w:basedOn w:val="Normal"/>
    <w:link w:val="CommentTextChar"/>
    <w:uiPriority w:val="99"/>
    <w:unhideWhenUsed/>
    <w:locked/>
    <w:rsid w:val="000F5E99"/>
    <w:pPr>
      <w:spacing w:after="240"/>
    </w:pPr>
    <w:rPr>
      <w:rFonts w:ascii="Times New Roman" w:eastAsiaTheme="minorHAnsi" w:hAnsi="Times New Roman" w:cstheme="minorBidi"/>
      <w:color w:val="000000"/>
      <w:sz w:val="20"/>
      <w:szCs w:val="20"/>
    </w:rPr>
  </w:style>
  <w:style w:type="character" w:customStyle="1" w:styleId="CommentTextChar">
    <w:name w:val="Comment Text Char"/>
    <w:basedOn w:val="DefaultParagraphFont"/>
    <w:link w:val="CommentText"/>
    <w:uiPriority w:val="99"/>
    <w:rsid w:val="000F5E99"/>
    <w:rPr>
      <w:rFonts w:ascii="Times New Roman" w:eastAsiaTheme="minorHAnsi" w:hAnsi="Times New Roman" w:cstheme="minorBidi"/>
      <w:color w:val="000000"/>
      <w:sz w:val="20"/>
      <w:szCs w:val="20"/>
    </w:rPr>
  </w:style>
  <w:style w:type="paragraph" w:customStyle="1" w:styleId="FigureName">
    <w:name w:val="FigureName"/>
    <w:basedOn w:val="Normal"/>
    <w:next w:val="Normal"/>
    <w:rsid w:val="00900A0A"/>
    <w:pPr>
      <w:keepNext/>
      <w:keepLines/>
      <w:tabs>
        <w:tab w:val="left" w:pos="1080"/>
      </w:tabs>
      <w:spacing w:before="120" w:after="120"/>
      <w:ind w:left="1077" w:hanging="1077"/>
    </w:pPr>
    <w:rPr>
      <w:rFonts w:ascii="Times New Roman" w:eastAsiaTheme="minorHAnsi" w:hAnsi="Times New Roman" w:cstheme="minorBidi"/>
      <w:b/>
      <w:bCs/>
      <w:color w:val="000000"/>
      <w:szCs w:val="20"/>
    </w:rPr>
  </w:style>
  <w:style w:type="paragraph" w:customStyle="1" w:styleId="TableName">
    <w:name w:val="TableName"/>
    <w:basedOn w:val="Normal"/>
    <w:rsid w:val="00900A0A"/>
    <w:pPr>
      <w:keepNext/>
      <w:tabs>
        <w:tab w:val="left" w:pos="1080"/>
      </w:tabs>
      <w:spacing w:before="120" w:after="120"/>
      <w:ind w:left="1080" w:hanging="1080"/>
    </w:pPr>
    <w:rPr>
      <w:rFonts w:ascii="Times New Roman Bold" w:eastAsiaTheme="minorHAnsi" w:hAnsi="Times New Roman Bold" w:cstheme="minorBidi"/>
      <w:b/>
      <w:bCs/>
      <w:color w:val="000000"/>
      <w:szCs w:val="21"/>
    </w:rPr>
  </w:style>
  <w:style w:type="paragraph" w:styleId="CommentSubject">
    <w:name w:val="annotation subject"/>
    <w:basedOn w:val="CommentText"/>
    <w:next w:val="CommentText"/>
    <w:link w:val="CommentSubjectChar"/>
    <w:uiPriority w:val="98"/>
    <w:locked/>
    <w:rsid w:val="000D32AF"/>
    <w:pPr>
      <w:spacing w:after="200"/>
    </w:pPr>
    <w:rPr>
      <w:rFonts w:asciiTheme="minorHAnsi" w:eastAsia="Times New Roman" w:hAnsiTheme="minorHAnsi" w:cs="Times New Roman"/>
      <w:b/>
      <w:bCs/>
      <w:color w:val="auto"/>
    </w:rPr>
  </w:style>
  <w:style w:type="character" w:customStyle="1" w:styleId="CommentSubjectChar">
    <w:name w:val="Comment Subject Char"/>
    <w:basedOn w:val="CommentTextChar"/>
    <w:link w:val="CommentSubject"/>
    <w:uiPriority w:val="98"/>
    <w:rsid w:val="000D32AF"/>
    <w:rPr>
      <w:rFonts w:ascii="Times New Roman" w:eastAsiaTheme="minorHAnsi" w:hAnsi="Times New Roman" w:cstheme="minorBidi"/>
      <w:b/>
      <w:bCs/>
      <w:color w:val="000000"/>
      <w:sz w:val="20"/>
      <w:szCs w:val="20"/>
    </w:rPr>
  </w:style>
  <w:style w:type="paragraph" w:styleId="Revision">
    <w:name w:val="Revision"/>
    <w:hidden/>
    <w:uiPriority w:val="99"/>
    <w:semiHidden/>
    <w:rsid w:val="00F341E4"/>
    <w:pPr>
      <w:spacing w:after="0"/>
    </w:pPr>
  </w:style>
  <w:style w:type="character" w:customStyle="1" w:styleId="Heading1Char">
    <w:name w:val="Heading 1 Char"/>
    <w:basedOn w:val="DefaultParagraphFont"/>
    <w:link w:val="Heading1"/>
    <w:rsid w:val="00451469"/>
    <w:rPr>
      <w:rFonts w:cs="Arial"/>
      <w:b/>
      <w:bCs/>
      <w:color w:val="1178A2"/>
      <w:kern w:val="28"/>
      <w:sz w:val="40"/>
      <w:szCs w:val="32"/>
    </w:rPr>
  </w:style>
  <w:style w:type="paragraph" w:styleId="NormalWeb">
    <w:name w:val="Normal (Web)"/>
    <w:basedOn w:val="Normal"/>
    <w:uiPriority w:val="99"/>
    <w:semiHidden/>
    <w:unhideWhenUsed/>
    <w:locked/>
    <w:rsid w:val="00CE375A"/>
    <w:pPr>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53194">
      <w:bodyDiv w:val="1"/>
      <w:marLeft w:val="0"/>
      <w:marRight w:val="0"/>
      <w:marTop w:val="0"/>
      <w:marBottom w:val="0"/>
      <w:divBdr>
        <w:top w:val="none" w:sz="0" w:space="0" w:color="auto"/>
        <w:left w:val="none" w:sz="0" w:space="0" w:color="auto"/>
        <w:bottom w:val="none" w:sz="0" w:space="0" w:color="auto"/>
        <w:right w:val="none" w:sz="0" w:space="0" w:color="auto"/>
      </w:divBdr>
    </w:div>
    <w:div w:id="193659265">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59816154">
      <w:bodyDiv w:val="1"/>
      <w:marLeft w:val="0"/>
      <w:marRight w:val="0"/>
      <w:marTop w:val="0"/>
      <w:marBottom w:val="0"/>
      <w:divBdr>
        <w:top w:val="none" w:sz="0" w:space="0" w:color="auto"/>
        <w:left w:val="none" w:sz="0" w:space="0" w:color="auto"/>
        <w:bottom w:val="none" w:sz="0" w:space="0" w:color="auto"/>
        <w:right w:val="none" w:sz="0" w:space="0" w:color="auto"/>
      </w:divBdr>
    </w:div>
    <w:div w:id="469325217">
      <w:bodyDiv w:val="1"/>
      <w:marLeft w:val="0"/>
      <w:marRight w:val="0"/>
      <w:marTop w:val="0"/>
      <w:marBottom w:val="0"/>
      <w:divBdr>
        <w:top w:val="none" w:sz="0" w:space="0" w:color="auto"/>
        <w:left w:val="none" w:sz="0" w:space="0" w:color="auto"/>
        <w:bottom w:val="none" w:sz="0" w:space="0" w:color="auto"/>
        <w:right w:val="none" w:sz="0" w:space="0" w:color="auto"/>
      </w:divBdr>
    </w:div>
    <w:div w:id="695154410">
      <w:bodyDiv w:val="1"/>
      <w:marLeft w:val="0"/>
      <w:marRight w:val="0"/>
      <w:marTop w:val="0"/>
      <w:marBottom w:val="0"/>
      <w:divBdr>
        <w:top w:val="none" w:sz="0" w:space="0" w:color="auto"/>
        <w:left w:val="none" w:sz="0" w:space="0" w:color="auto"/>
        <w:bottom w:val="none" w:sz="0" w:space="0" w:color="auto"/>
        <w:right w:val="none" w:sz="0" w:space="0" w:color="auto"/>
      </w:divBdr>
    </w:div>
    <w:div w:id="951018313">
      <w:bodyDiv w:val="1"/>
      <w:marLeft w:val="0"/>
      <w:marRight w:val="0"/>
      <w:marTop w:val="0"/>
      <w:marBottom w:val="0"/>
      <w:divBdr>
        <w:top w:val="none" w:sz="0" w:space="0" w:color="auto"/>
        <w:left w:val="none" w:sz="0" w:space="0" w:color="auto"/>
        <w:bottom w:val="none" w:sz="0" w:space="0" w:color="auto"/>
        <w:right w:val="none" w:sz="0" w:space="0" w:color="auto"/>
      </w:divBdr>
    </w:div>
    <w:div w:id="1046295070">
      <w:bodyDiv w:val="1"/>
      <w:marLeft w:val="0"/>
      <w:marRight w:val="0"/>
      <w:marTop w:val="0"/>
      <w:marBottom w:val="0"/>
      <w:divBdr>
        <w:top w:val="none" w:sz="0" w:space="0" w:color="auto"/>
        <w:left w:val="none" w:sz="0" w:space="0" w:color="auto"/>
        <w:bottom w:val="none" w:sz="0" w:space="0" w:color="auto"/>
        <w:right w:val="none" w:sz="0" w:space="0" w:color="auto"/>
      </w:divBdr>
    </w:div>
    <w:div w:id="1055399196">
      <w:bodyDiv w:val="1"/>
      <w:marLeft w:val="0"/>
      <w:marRight w:val="0"/>
      <w:marTop w:val="0"/>
      <w:marBottom w:val="0"/>
      <w:divBdr>
        <w:top w:val="none" w:sz="0" w:space="0" w:color="auto"/>
        <w:left w:val="none" w:sz="0" w:space="0" w:color="auto"/>
        <w:bottom w:val="none" w:sz="0" w:space="0" w:color="auto"/>
        <w:right w:val="none" w:sz="0" w:space="0" w:color="auto"/>
      </w:divBdr>
    </w:div>
    <w:div w:id="1200045351">
      <w:bodyDiv w:val="1"/>
      <w:marLeft w:val="0"/>
      <w:marRight w:val="0"/>
      <w:marTop w:val="0"/>
      <w:marBottom w:val="0"/>
      <w:divBdr>
        <w:top w:val="none" w:sz="0" w:space="0" w:color="auto"/>
        <w:left w:val="none" w:sz="0" w:space="0" w:color="auto"/>
        <w:bottom w:val="none" w:sz="0" w:space="0" w:color="auto"/>
        <w:right w:val="none" w:sz="0" w:space="0" w:color="auto"/>
      </w:divBdr>
    </w:div>
    <w:div w:id="1208954315">
      <w:bodyDiv w:val="1"/>
      <w:marLeft w:val="0"/>
      <w:marRight w:val="0"/>
      <w:marTop w:val="0"/>
      <w:marBottom w:val="0"/>
      <w:divBdr>
        <w:top w:val="none" w:sz="0" w:space="0" w:color="auto"/>
        <w:left w:val="none" w:sz="0" w:space="0" w:color="auto"/>
        <w:bottom w:val="none" w:sz="0" w:space="0" w:color="auto"/>
        <w:right w:val="none" w:sz="0" w:space="0" w:color="auto"/>
      </w:divBdr>
    </w:div>
    <w:div w:id="122660225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463039643">
      <w:bodyDiv w:val="1"/>
      <w:marLeft w:val="0"/>
      <w:marRight w:val="0"/>
      <w:marTop w:val="0"/>
      <w:marBottom w:val="0"/>
      <w:divBdr>
        <w:top w:val="none" w:sz="0" w:space="0" w:color="auto"/>
        <w:left w:val="none" w:sz="0" w:space="0" w:color="auto"/>
        <w:bottom w:val="none" w:sz="0" w:space="0" w:color="auto"/>
        <w:right w:val="none" w:sz="0" w:space="0" w:color="auto"/>
      </w:divBdr>
    </w:div>
    <w:div w:id="1546720058">
      <w:bodyDiv w:val="1"/>
      <w:marLeft w:val="0"/>
      <w:marRight w:val="0"/>
      <w:marTop w:val="0"/>
      <w:marBottom w:val="0"/>
      <w:divBdr>
        <w:top w:val="none" w:sz="0" w:space="0" w:color="auto"/>
        <w:left w:val="none" w:sz="0" w:space="0" w:color="auto"/>
        <w:bottom w:val="none" w:sz="0" w:space="0" w:color="auto"/>
        <w:right w:val="none" w:sz="0" w:space="0" w:color="auto"/>
      </w:divBdr>
    </w:div>
    <w:div w:id="1565214308">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689600843">
      <w:bodyDiv w:val="1"/>
      <w:marLeft w:val="0"/>
      <w:marRight w:val="0"/>
      <w:marTop w:val="0"/>
      <w:marBottom w:val="0"/>
      <w:divBdr>
        <w:top w:val="none" w:sz="0" w:space="0" w:color="auto"/>
        <w:left w:val="none" w:sz="0" w:space="0" w:color="auto"/>
        <w:bottom w:val="none" w:sz="0" w:space="0" w:color="auto"/>
        <w:right w:val="none" w:sz="0" w:space="0" w:color="auto"/>
      </w:divBdr>
    </w:div>
    <w:div w:id="1774981138">
      <w:bodyDiv w:val="1"/>
      <w:marLeft w:val="0"/>
      <w:marRight w:val="0"/>
      <w:marTop w:val="0"/>
      <w:marBottom w:val="0"/>
      <w:divBdr>
        <w:top w:val="none" w:sz="0" w:space="0" w:color="auto"/>
        <w:left w:val="none" w:sz="0" w:space="0" w:color="auto"/>
        <w:bottom w:val="none" w:sz="0" w:space="0" w:color="auto"/>
        <w:right w:val="none" w:sz="0" w:space="0" w:color="auto"/>
      </w:divBdr>
    </w:div>
    <w:div w:id="1796098191">
      <w:bodyDiv w:val="1"/>
      <w:marLeft w:val="0"/>
      <w:marRight w:val="0"/>
      <w:marTop w:val="0"/>
      <w:marBottom w:val="0"/>
      <w:divBdr>
        <w:top w:val="none" w:sz="0" w:space="0" w:color="auto"/>
        <w:left w:val="none" w:sz="0" w:space="0" w:color="auto"/>
        <w:bottom w:val="none" w:sz="0" w:space="0" w:color="auto"/>
        <w:right w:val="none" w:sz="0" w:space="0" w:color="auto"/>
      </w:divBdr>
    </w:div>
    <w:div w:id="2084790869">
      <w:bodyDiv w:val="1"/>
      <w:marLeft w:val="0"/>
      <w:marRight w:val="0"/>
      <w:marTop w:val="0"/>
      <w:marBottom w:val="0"/>
      <w:divBdr>
        <w:top w:val="none" w:sz="0" w:space="0" w:color="auto"/>
        <w:left w:val="none" w:sz="0" w:space="0" w:color="auto"/>
        <w:bottom w:val="none" w:sz="0" w:space="0" w:color="auto"/>
        <w:right w:val="none" w:sz="0" w:space="0" w:color="auto"/>
      </w:divBdr>
    </w:div>
    <w:div w:id="2101902403">
      <w:bodyDiv w:val="1"/>
      <w:marLeft w:val="0"/>
      <w:marRight w:val="0"/>
      <w:marTop w:val="0"/>
      <w:marBottom w:val="0"/>
      <w:divBdr>
        <w:top w:val="none" w:sz="0" w:space="0" w:color="auto"/>
        <w:left w:val="none" w:sz="0" w:space="0" w:color="auto"/>
        <w:bottom w:val="none" w:sz="0" w:space="0" w:color="auto"/>
        <w:right w:val="none" w:sz="0" w:space="0" w:color="auto"/>
      </w:divBdr>
    </w:div>
    <w:div w:id="212965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microsoft.com/office/2007/relationships/diagramDrawing" Target="diagrams/drawing1.xml"/><Relationship Id="rId39" Type="http://schemas.openxmlformats.org/officeDocument/2006/relationships/hyperlink" Target="http://www.shpa.org.au/sites/default/files/uploaded-content/website-content/Fact-sheets-position-statements/medicines_shortages_in_australia-_shpa_snapshot_-_june_2017.pdf"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diagramColors" Target="diagrams/colors1.xml"/><Relationship Id="rId33" Type="http://schemas.openxmlformats.org/officeDocument/2006/relationships/chart" Target="charts/chart9.xml"/><Relationship Id="rId38" Type="http://schemas.openxmlformats.org/officeDocument/2006/relationships/hyperlink" Target="https://www.tg.org.au/" TargetMode="External"/><Relationship Id="rId2" Type="http://schemas.openxmlformats.org/officeDocument/2006/relationships/numbering" Target="numbering.xml"/><Relationship Id="rId16" Type="http://schemas.openxmlformats.org/officeDocument/2006/relationships/hyperlink" Target="mailto:communications@safetyandquality.gov.au" TargetMode="External"/><Relationship Id="rId20" Type="http://schemas.openxmlformats.org/officeDocument/2006/relationships/footer" Target="footer2.xml"/><Relationship Id="rId29" Type="http://schemas.openxmlformats.org/officeDocument/2006/relationships/chart" Target="charts/chart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QuickStyle" Target="diagrams/quickStyle1.xml"/><Relationship Id="rId32" Type="http://schemas.openxmlformats.org/officeDocument/2006/relationships/chart" Target="charts/chart8.xml"/><Relationship Id="rId37" Type="http://schemas.openxmlformats.org/officeDocument/2006/relationships/hyperlink" Target="http://www.aihw.gov.au/reports/hospitals/australias-hospitals-at-a-glance-2015-16/contents/table-of-contents"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diagramLayout" Target="diagrams/layout1.xml"/><Relationship Id="rId28" Type="http://schemas.openxmlformats.org/officeDocument/2006/relationships/chart" Target="charts/chart4.xml"/><Relationship Id="rId36" Type="http://schemas.openxmlformats.org/officeDocument/2006/relationships/hyperlink" Target="http://www.abs.gov.au/websitedbs/d3310114.nsf/home/remoteness+structure" TargetMode="Externa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reativecommons.org/licenses/by-nc-nd/4.0/" TargetMode="External"/><Relationship Id="rId22" Type="http://schemas.openxmlformats.org/officeDocument/2006/relationships/diagramData" Target="diagrams/data1.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chartUserShapes" Target="../drawings/drawing1.xml"/><Relationship Id="rId1" Type="http://schemas.openxmlformats.org/officeDocument/2006/relationships/package" Target="../embeddings/Microsoft_Excel_Worksheet2.xlsx"/><Relationship Id="rId4"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ssg.org.au\allfiles\SDrives\RMH\Guidance\_QMS%20Action%20Day\Products%20Projects%20(PRD)\NAPS\NAPS%20hospital\Reports\Graphs%20and%20tables%20Hospital%20NAPS%20data%202013-2017_RI.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Users\XENOSK\AppData\Local\Microsoft\Windows\Temporary%20Internet%20Files\Content.Outlook\P2OOT1HI\Deliverable%206-June%202018%20Hospital%20NAPS%20graph%20data%202017.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file:///\\ssg.org.au\allfiles\SDrives\RMH\Guidance\_QMS%20Action%20Day\Products%20Projects%20(PRD)\NAPS\NAPS%20hospital\Reports\Graphs%20and%20tables%20Hospital%20NAPS%20data%202013-2017_RI.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D:\Users\XENOSK\AppData\Local\Microsoft\Windows\Temporary%20Internet%20Files\Content.Outlook\P2OOT1HI\Deliverable%206-June%202018%20Hospital%20NAPS%20graph%20data%202017.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 in Microsoft Word]Figure 1'!$B$4</c:f>
              <c:strCache>
                <c:ptCount val="1"/>
                <c:pt idx="0">
                  <c:v>Public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'[Chart in Microsoft Word]Figure 1'!$C$2:$G$3</c:f>
              <c:multiLvlStrCache>
                <c:ptCount val="5"/>
                <c:lvl>
                  <c:pt idx="0">
                    <c:v>2013</c:v>
                  </c:pt>
                  <c:pt idx="1">
                    <c:v>2014</c:v>
                  </c:pt>
                  <c:pt idx="2">
                    <c:v>2015</c:v>
                  </c:pt>
                  <c:pt idx="3">
                    <c:v>2016</c:v>
                  </c:pt>
                  <c:pt idx="4">
                    <c:v>2017</c:v>
                  </c:pt>
                </c:lvl>
                <c:lvl>
                  <c:pt idx="0">
                    <c:v>Year of audit date</c:v>
                  </c:pt>
                </c:lvl>
              </c:multiLvlStrCache>
            </c:multiLvlStrRef>
          </c:cat>
          <c:val>
            <c:numRef>
              <c:f>'[Chart in Microsoft Word]Figure 1'!$C$4:$G$4</c:f>
              <c:numCache>
                <c:formatCode>General</c:formatCode>
                <c:ptCount val="5"/>
                <c:pt idx="0">
                  <c:v>119</c:v>
                </c:pt>
                <c:pt idx="1">
                  <c:v>189</c:v>
                </c:pt>
                <c:pt idx="2">
                  <c:v>228</c:v>
                </c:pt>
                <c:pt idx="3">
                  <c:v>234</c:v>
                </c:pt>
                <c:pt idx="4">
                  <c:v>228</c:v>
                </c:pt>
              </c:numCache>
            </c:numRef>
          </c:val>
        </c:ser>
        <c:ser>
          <c:idx val="1"/>
          <c:order val="1"/>
          <c:tx>
            <c:strRef>
              <c:f>'[Chart in Microsoft Word]Figure 1'!$B$5</c:f>
              <c:strCache>
                <c:ptCount val="1"/>
                <c:pt idx="0">
                  <c:v>Private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'[Chart in Microsoft Word]Figure 1'!$C$2:$G$3</c:f>
              <c:multiLvlStrCache>
                <c:ptCount val="5"/>
                <c:lvl>
                  <c:pt idx="0">
                    <c:v>2013</c:v>
                  </c:pt>
                  <c:pt idx="1">
                    <c:v>2014</c:v>
                  </c:pt>
                  <c:pt idx="2">
                    <c:v>2015</c:v>
                  </c:pt>
                  <c:pt idx="3">
                    <c:v>2016</c:v>
                  </c:pt>
                  <c:pt idx="4">
                    <c:v>2017</c:v>
                  </c:pt>
                </c:lvl>
                <c:lvl>
                  <c:pt idx="0">
                    <c:v>Year of audit date</c:v>
                  </c:pt>
                </c:lvl>
              </c:multiLvlStrCache>
            </c:multiLvlStrRef>
          </c:cat>
          <c:val>
            <c:numRef>
              <c:f>'[Chart in Microsoft Word]Figure 1'!$C$5:$G$5</c:f>
              <c:numCache>
                <c:formatCode>General</c:formatCode>
                <c:ptCount val="5"/>
                <c:pt idx="0">
                  <c:v>18</c:v>
                </c:pt>
                <c:pt idx="1">
                  <c:v>41</c:v>
                </c:pt>
                <c:pt idx="2">
                  <c:v>75</c:v>
                </c:pt>
                <c:pt idx="3">
                  <c:v>91</c:v>
                </c:pt>
                <c:pt idx="4">
                  <c:v>86</c:v>
                </c:pt>
              </c:numCache>
            </c:numRef>
          </c:val>
        </c:ser>
        <c:dLbls>
          <c:dLblPos val="ctr"/>
          <c:showLegendKey val="0"/>
          <c:showVal val="1"/>
          <c:showCatName val="0"/>
          <c:showSerName val="0"/>
          <c:showPercent val="0"/>
          <c:showBubbleSize val="0"/>
        </c:dLbls>
        <c:gapWidth val="150"/>
        <c:overlap val="100"/>
        <c:axId val="149347712"/>
        <c:axId val="43259008"/>
      </c:barChart>
      <c:catAx>
        <c:axId val="14934771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59008"/>
        <c:crosses val="autoZero"/>
        <c:auto val="1"/>
        <c:lblAlgn val="ctr"/>
        <c:lblOffset val="100"/>
        <c:noMultiLvlLbl val="0"/>
      </c:catAx>
      <c:valAx>
        <c:axId val="4325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Number of hospitals</a:t>
                </a:r>
              </a:p>
            </c:rich>
          </c:tx>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347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'C:\Users\rod_s\OneDrive\1. Rod''s Work Desktop\0. Current working documents\[Graphs and tables Hospital NAPS data 2013-2017.xlsx]Figure 2'!$B$7</c:f>
              <c:strCache>
                <c:ptCount val="1"/>
                <c:pt idx="0">
                  <c:v>Major Cities</c:v>
                </c:pt>
              </c:strCache>
            </c:strRef>
          </c:tx>
          <c:spPr>
            <a:ln>
              <a:solidFill>
                <a:schemeClr val="accent1">
                  <a:lumMod val="75000"/>
                </a:schemeClr>
              </a:solidFill>
            </a:ln>
          </c:spPr>
          <c:marker>
            <c:symbol val="none"/>
          </c:marker>
          <c:cat>
            <c:numRef>
              <c:f>('C:\Users\rod_s\OneDrive\1. Rod''s Work Desktop\0. Current working documents\[Graphs and tables Hospital NAPS data 2013-2017.xlsx]Figure 2'!$D$6,'C:\Users\rod_s\OneDrive\1. Rod''s Work Desktop\0. Current working documents\[Graphs and tables Hospital NAPS data 2013-2017.xlsx]Figure 2'!$F$6,'C:\Users\rod_s\OneDrive\1. Rod''s Work Desktop\0. Current working documents\[Graphs and tables Hospital NAPS data 2013-2017.xlsx]Figure 2'!$H$6,'C:\Users\rod_s\OneDrive\1. Rod''s Work Desktop\0. Current working documents\[Graphs and tables Hospital NAPS data 2013-2017.xlsx]Figure 2'!$J$6,'C:\Users\rod_s\OneDrive\1. Rod''s Work Desktop\0. Current working documents\[Graphs and tables Hospital NAPS data 2013-2017.xlsx]Figure 2'!$L$6)</c:f>
              <c:numCache>
                <c:formatCode>General</c:formatCode>
                <c:ptCount val="5"/>
                <c:pt idx="0">
                  <c:v>2013</c:v>
                </c:pt>
                <c:pt idx="1">
                  <c:v>2014</c:v>
                </c:pt>
                <c:pt idx="2">
                  <c:v>2015</c:v>
                </c:pt>
                <c:pt idx="3">
                  <c:v>2016</c:v>
                </c:pt>
                <c:pt idx="4">
                  <c:v>2017</c:v>
                </c:pt>
              </c:numCache>
            </c:numRef>
          </c:cat>
          <c:val>
            <c:numRef>
              <c:f>'[3]Figure 2'!$C$7:$M$7</c:f>
              <c:numCache>
                <c:formatCode>General</c:formatCode>
                <c:ptCount val="5"/>
                <c:pt idx="0">
                  <c:v>0.38095238095238093</c:v>
                </c:pt>
                <c:pt idx="1">
                  <c:v>0.49404761904761907</c:v>
                </c:pt>
                <c:pt idx="2">
                  <c:v>0.50595238095238093</c:v>
                </c:pt>
                <c:pt idx="3">
                  <c:v>0.54761904761904767</c:v>
                </c:pt>
                <c:pt idx="4">
                  <c:v>0.55952380952380953</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C568-4EE5-8FB1-E2AEB3215F88}"/>
            </c:ext>
          </c:extLst>
        </c:ser>
        <c:ser>
          <c:idx val="3"/>
          <c:order val="1"/>
          <c:tx>
            <c:strRef>
              <c:f>'C:\Users\rod_s\OneDrive\1. Rod''s Work Desktop\0. Current working documents\[Graphs and tables Hospital NAPS data 2013-2017.xlsx]Figure 2'!$B$8</c:f>
              <c:strCache>
                <c:ptCount val="1"/>
                <c:pt idx="0">
                  <c:v>Inner Regional</c:v>
                </c:pt>
              </c:strCache>
            </c:strRef>
          </c:tx>
          <c:spPr>
            <a:ln>
              <a:solidFill>
                <a:schemeClr val="accent4">
                  <a:lumMod val="60000"/>
                  <a:lumOff val="40000"/>
                </a:schemeClr>
              </a:solidFill>
            </a:ln>
          </c:spPr>
          <c:marker>
            <c:symbol val="none"/>
          </c:marker>
          <c:cat>
            <c:numRef>
              <c:f>('C:\Users\rod_s\OneDrive\1. Rod''s Work Desktop\0. Current working documents\[Graphs and tables Hospital NAPS data 2013-2017.xlsx]Figure 2'!$D$6,'C:\Users\rod_s\OneDrive\1. Rod''s Work Desktop\0. Current working documents\[Graphs and tables Hospital NAPS data 2013-2017.xlsx]Figure 2'!$F$6,'C:\Users\rod_s\OneDrive\1. Rod''s Work Desktop\0. Current working documents\[Graphs and tables Hospital NAPS data 2013-2017.xlsx]Figure 2'!$H$6,'C:\Users\rod_s\OneDrive\1. Rod''s Work Desktop\0. Current working documents\[Graphs and tables Hospital NAPS data 2013-2017.xlsx]Figure 2'!$J$6,'C:\Users\rod_s\OneDrive\1. Rod''s Work Desktop\0. Current working documents\[Graphs and tables Hospital NAPS data 2013-2017.xlsx]Figure 2'!$L$6)</c:f>
              <c:numCache>
                <c:formatCode>General</c:formatCode>
                <c:ptCount val="5"/>
                <c:pt idx="0">
                  <c:v>2013</c:v>
                </c:pt>
                <c:pt idx="1">
                  <c:v>2014</c:v>
                </c:pt>
                <c:pt idx="2">
                  <c:v>2015</c:v>
                </c:pt>
                <c:pt idx="3">
                  <c:v>2016</c:v>
                </c:pt>
                <c:pt idx="4">
                  <c:v>2017</c:v>
                </c:pt>
              </c:numCache>
            </c:numRef>
          </c:cat>
          <c:val>
            <c:numRef>
              <c:f>'[3]Figure 2'!$C$8:$M$8</c:f>
              <c:numCache>
                <c:formatCode>General</c:formatCode>
                <c:ptCount val="5"/>
                <c:pt idx="0">
                  <c:v>0.23809523809523808</c:v>
                </c:pt>
                <c:pt idx="1">
                  <c:v>0.31746031746031744</c:v>
                </c:pt>
                <c:pt idx="2">
                  <c:v>0.39153439153439151</c:v>
                </c:pt>
                <c:pt idx="3">
                  <c:v>0.37566137566137564</c:v>
                </c:pt>
                <c:pt idx="4">
                  <c:v>0.41798941798941797</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C568-4EE5-8FB1-E2AEB3215F88}"/>
            </c:ext>
          </c:extLst>
        </c:ser>
        <c:ser>
          <c:idx val="5"/>
          <c:order val="2"/>
          <c:tx>
            <c:strRef>
              <c:f>'C:\Users\rod_s\OneDrive\1. Rod''s Work Desktop\0. Current working documents\[Graphs and tables Hospital NAPS data 2013-2017.xlsx]Figure 2'!$B$9</c:f>
              <c:strCache>
                <c:ptCount val="1"/>
                <c:pt idx="0">
                  <c:v>Outer Regional</c:v>
                </c:pt>
              </c:strCache>
            </c:strRef>
          </c:tx>
          <c:spPr>
            <a:ln>
              <a:solidFill>
                <a:schemeClr val="accent6">
                  <a:lumMod val="60000"/>
                  <a:lumOff val="40000"/>
                </a:schemeClr>
              </a:solidFill>
            </a:ln>
          </c:spPr>
          <c:marker>
            <c:symbol val="none"/>
          </c:marker>
          <c:cat>
            <c:numRef>
              <c:f>('C:\Users\rod_s\OneDrive\1. Rod''s Work Desktop\0. Current working documents\[Graphs and tables Hospital NAPS data 2013-2017.xlsx]Figure 2'!$D$6,'C:\Users\rod_s\OneDrive\1. Rod''s Work Desktop\0. Current working documents\[Graphs and tables Hospital NAPS data 2013-2017.xlsx]Figure 2'!$F$6,'C:\Users\rod_s\OneDrive\1. Rod''s Work Desktop\0. Current working documents\[Graphs and tables Hospital NAPS data 2013-2017.xlsx]Figure 2'!$H$6,'C:\Users\rod_s\OneDrive\1. Rod''s Work Desktop\0. Current working documents\[Graphs and tables Hospital NAPS data 2013-2017.xlsx]Figure 2'!$J$6,'C:\Users\rod_s\OneDrive\1. Rod''s Work Desktop\0. Current working documents\[Graphs and tables Hospital NAPS data 2013-2017.xlsx]Figure 2'!$L$6)</c:f>
              <c:numCache>
                <c:formatCode>General</c:formatCode>
                <c:ptCount val="5"/>
                <c:pt idx="0">
                  <c:v>2013</c:v>
                </c:pt>
                <c:pt idx="1">
                  <c:v>2014</c:v>
                </c:pt>
                <c:pt idx="2">
                  <c:v>2015</c:v>
                </c:pt>
                <c:pt idx="3">
                  <c:v>2016</c:v>
                </c:pt>
                <c:pt idx="4">
                  <c:v>2017</c:v>
                </c:pt>
              </c:numCache>
            </c:numRef>
          </c:cat>
          <c:val>
            <c:numRef>
              <c:f>'[3]Figure 2'!$C$9:$M$9</c:f>
              <c:numCache>
                <c:formatCode>General</c:formatCode>
                <c:ptCount val="5"/>
                <c:pt idx="0">
                  <c:v>6.5727699530516437E-2</c:v>
                </c:pt>
                <c:pt idx="1">
                  <c:v>0.15492957746478872</c:v>
                </c:pt>
                <c:pt idx="2">
                  <c:v>0.20657276995305165</c:v>
                </c:pt>
                <c:pt idx="3">
                  <c:v>0.2300469483568075</c:v>
                </c:pt>
                <c:pt idx="4">
                  <c:v>0.22065727699530516</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C568-4EE5-8FB1-E2AEB3215F88}"/>
            </c:ext>
          </c:extLst>
        </c:ser>
        <c:ser>
          <c:idx val="7"/>
          <c:order val="3"/>
          <c:tx>
            <c:strRef>
              <c:f>'C:\Users\rod_s\OneDrive\1. Rod''s Work Desktop\0. Current working documents\[Graphs and tables Hospital NAPS data 2013-2017.xlsx]Figure 2'!$B$10</c:f>
              <c:strCache>
                <c:ptCount val="1"/>
                <c:pt idx="0">
                  <c:v>Remote</c:v>
                </c:pt>
              </c:strCache>
            </c:strRef>
          </c:tx>
          <c:spPr>
            <a:ln>
              <a:solidFill>
                <a:schemeClr val="tx2">
                  <a:lumMod val="60000"/>
                  <a:lumOff val="40000"/>
                </a:schemeClr>
              </a:solidFill>
            </a:ln>
          </c:spPr>
          <c:marker>
            <c:symbol val="none"/>
          </c:marker>
          <c:cat>
            <c:numRef>
              <c:f>('C:\Users\rod_s\OneDrive\1. Rod''s Work Desktop\0. Current working documents\[Graphs and tables Hospital NAPS data 2013-2017.xlsx]Figure 2'!$D$6,'C:\Users\rod_s\OneDrive\1. Rod''s Work Desktop\0. Current working documents\[Graphs and tables Hospital NAPS data 2013-2017.xlsx]Figure 2'!$F$6,'C:\Users\rod_s\OneDrive\1. Rod''s Work Desktop\0. Current working documents\[Graphs and tables Hospital NAPS data 2013-2017.xlsx]Figure 2'!$H$6,'C:\Users\rod_s\OneDrive\1. Rod''s Work Desktop\0. Current working documents\[Graphs and tables Hospital NAPS data 2013-2017.xlsx]Figure 2'!$J$6,'C:\Users\rod_s\OneDrive\1. Rod''s Work Desktop\0. Current working documents\[Graphs and tables Hospital NAPS data 2013-2017.xlsx]Figure 2'!$L$6)</c:f>
              <c:numCache>
                <c:formatCode>General</c:formatCode>
                <c:ptCount val="5"/>
                <c:pt idx="0">
                  <c:v>2013</c:v>
                </c:pt>
                <c:pt idx="1">
                  <c:v>2014</c:v>
                </c:pt>
                <c:pt idx="2">
                  <c:v>2015</c:v>
                </c:pt>
                <c:pt idx="3">
                  <c:v>2016</c:v>
                </c:pt>
                <c:pt idx="4">
                  <c:v>2017</c:v>
                </c:pt>
              </c:numCache>
            </c:numRef>
          </c:cat>
          <c:val>
            <c:numRef>
              <c:f>'[3]Figure 2'!$C$10:$M$10</c:f>
              <c:numCache>
                <c:formatCode>General</c:formatCode>
                <c:ptCount val="5"/>
                <c:pt idx="0">
                  <c:v>9.8360655737704916E-2</c:v>
                </c:pt>
                <c:pt idx="1">
                  <c:v>0.16393442622950818</c:v>
                </c:pt>
                <c:pt idx="2">
                  <c:v>9.8360655737704916E-2</c:v>
                </c:pt>
                <c:pt idx="3">
                  <c:v>0.14754098360655737</c:v>
                </c:pt>
                <c:pt idx="4">
                  <c:v>8.1967213114754092E-2</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3-C568-4EE5-8FB1-E2AEB3215F88}"/>
            </c:ext>
          </c:extLst>
        </c:ser>
        <c:ser>
          <c:idx val="0"/>
          <c:order val="4"/>
          <c:tx>
            <c:strRef>
              <c:f>'C:\Users\rod_s\OneDrive\1. Rod''s Work Desktop\0. Current working documents\[Graphs and tables Hospital NAPS data 2013-2017.xlsx]Figure 2'!$B$11</c:f>
              <c:strCache>
                <c:ptCount val="1"/>
                <c:pt idx="0">
                  <c:v>Very Remote</c:v>
                </c:pt>
              </c:strCache>
            </c:strRef>
          </c:tx>
          <c:spPr>
            <a:ln>
              <a:solidFill>
                <a:srgbClr val="FF6699"/>
              </a:solidFill>
            </a:ln>
          </c:spPr>
          <c:marker>
            <c:symbol val="none"/>
          </c:marker>
          <c:cat>
            <c:numRef>
              <c:f>('C:\Users\rod_s\OneDrive\1. Rod''s Work Desktop\0. Current working documents\[Graphs and tables Hospital NAPS data 2013-2017.xlsx]Figure 2'!$D$6,'C:\Users\rod_s\OneDrive\1. Rod''s Work Desktop\0. Current working documents\[Graphs and tables Hospital NAPS data 2013-2017.xlsx]Figure 2'!$F$6,'C:\Users\rod_s\OneDrive\1. Rod''s Work Desktop\0. Current working documents\[Graphs and tables Hospital NAPS data 2013-2017.xlsx]Figure 2'!$H$6,'C:\Users\rod_s\OneDrive\1. Rod''s Work Desktop\0. Current working documents\[Graphs and tables Hospital NAPS data 2013-2017.xlsx]Figure 2'!$J$6,'C:\Users\rod_s\OneDrive\1. Rod''s Work Desktop\0. Current working documents\[Graphs and tables Hospital NAPS data 2013-2017.xlsx]Figure 2'!$L$6)</c:f>
              <c:numCache>
                <c:formatCode>General</c:formatCode>
                <c:ptCount val="5"/>
                <c:pt idx="0">
                  <c:v>2013</c:v>
                </c:pt>
                <c:pt idx="1">
                  <c:v>2014</c:v>
                </c:pt>
                <c:pt idx="2">
                  <c:v>2015</c:v>
                </c:pt>
                <c:pt idx="3">
                  <c:v>2016</c:v>
                </c:pt>
                <c:pt idx="4">
                  <c:v>2017</c:v>
                </c:pt>
              </c:numCache>
            </c:numRef>
          </c:cat>
          <c:val>
            <c:numRef>
              <c:f>'[3]Figure 2'!$C$11:$M$11</c:f>
              <c:numCache>
                <c:formatCode>General</c:formatCode>
                <c:ptCount val="5"/>
                <c:pt idx="0">
                  <c:v>4.0816326530612242E-2</c:v>
                </c:pt>
                <c:pt idx="1">
                  <c:v>8.1632653061224483E-2</c:v>
                </c:pt>
                <c:pt idx="2">
                  <c:v>8.1632653061224483E-2</c:v>
                </c:pt>
                <c:pt idx="3">
                  <c:v>0.16326530612244897</c:v>
                </c:pt>
                <c:pt idx="4">
                  <c:v>6.1224489795918366E-2</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4-C568-4EE5-8FB1-E2AEB3215F88}"/>
            </c:ext>
          </c:extLst>
        </c:ser>
        <c:dLbls>
          <c:showLegendKey val="0"/>
          <c:showVal val="0"/>
          <c:showCatName val="0"/>
          <c:showSerName val="0"/>
          <c:showPercent val="0"/>
          <c:showBubbleSize val="0"/>
        </c:dLbls>
        <c:marker val="1"/>
        <c:smooth val="0"/>
        <c:axId val="221431296"/>
        <c:axId val="221433216"/>
        <c:extLst xmlns:c16r2="http://schemas.microsoft.com/office/drawing/2015/06/chart">
          <c:ext xmlns:c15="http://schemas.microsoft.com/office/drawing/2012/chart" uri="{02D57815-91ED-43cb-92C2-25804820EDAC}">
            <c15:filteredLineSeries>
              <c15:ser>
                <c:idx val="2"/>
                <c:order val="5"/>
                <c:tx>
                  <c:strRef>
                    <c:extLst>
                      <c:ext uri="{02D57815-91ED-43cb-92C2-25804820EDAC}">
                        <c15:formulaRef>
                          <c15:sqref>'[3]Figure 2'!$B$12</c15:sqref>
                        </c15:formulaRef>
                      </c:ext>
                    </c:extLst>
                    <c:strCache>
                      <c:ptCount val="1"/>
                      <c:pt idx="0">
                        <c:v>#REF!</c:v>
                      </c:pt>
                    </c:strCache>
                  </c:strRef>
                </c:tx>
                <c:marker>
                  <c:symbol val="none"/>
                </c:marker>
                <c:cat>
                  <c:strRef>
                    <c:extLst>
                      <c:ext uri="{02D57815-91ED-43cb-92C2-25804820EDAC}">
                        <c15:formulaRef>
                          <c15:sqref>'[3]Figure 2'!$C$6:$M$6</c15:sqref>
                        </c15:formulaRef>
                      </c:ext>
                    </c:extLst>
                    <c:strCache>
                      <c:ptCount val="5"/>
                      <c:pt idx="0">
                        <c:v>2013</c:v>
                      </c:pt>
                      <c:pt idx="1">
                        <c:v>2014</c:v>
                      </c:pt>
                      <c:pt idx="2">
                        <c:v>2015</c:v>
                      </c:pt>
                      <c:pt idx="3">
                        <c:v>2016</c:v>
                      </c:pt>
                      <c:pt idx="4">
                        <c:v>2017</c:v>
                      </c:pt>
                    </c:strCache>
                  </c:strRef>
                </c:cat>
                <c:val>
                  <c:numRef>
                    <c:extLst>
                      <c:ext uri="{02D57815-91ED-43cb-92C2-25804820EDAC}">
                        <c15:formulaRef>
                          <c15:sqref>'[3]Figure 2'!$C$12:$M$12</c15:sqref>
                        </c15:formulaRef>
                      </c:ext>
                    </c:extLst>
                    <c:numCache>
                      <c:formatCode>General</c:formatCode>
                      <c:ptCount val="5"/>
                      <c:pt idx="0">
                        <c:v>0.19264705882352942</c:v>
                      </c:pt>
                      <c:pt idx="1">
                        <c:v>0.27941176470588236</c:v>
                      </c:pt>
                      <c:pt idx="2">
                        <c:v>0.31323529411764706</c:v>
                      </c:pt>
                      <c:pt idx="3">
                        <c:v>0.33676470588235297</c:v>
                      </c:pt>
                      <c:pt idx="4">
                        <c:v>0.3352941176470588</c:v>
                      </c:pt>
                    </c:numCache>
                  </c:numRef>
                </c:val>
                <c:smooth val="0"/>
                <c:extLst>
                  <c:ext xmlns:c16="http://schemas.microsoft.com/office/drawing/2014/chart" uri="{C3380CC4-5D6E-409C-BE32-E72D297353CC}">
                    <c16:uniqueId val="{00000005-C568-4EE5-8FB1-E2AEB3215F88}"/>
                  </c:ext>
                </c:extLst>
              </c15:ser>
            </c15:filteredLineSeries>
          </c:ext>
        </c:extLst>
      </c:lineChart>
      <c:catAx>
        <c:axId val="221431296"/>
        <c:scaling>
          <c:orientation val="minMax"/>
        </c:scaling>
        <c:delete val="0"/>
        <c:axPos val="b"/>
        <c:title>
          <c:tx>
            <c:rich>
              <a:bodyPr/>
              <a:lstStyle/>
              <a:p>
                <a:pPr>
                  <a:defRPr/>
                </a:pPr>
                <a:r>
                  <a:rPr lang="en-AU"/>
                  <a:t>Year</a:t>
                </a:r>
              </a:p>
            </c:rich>
          </c:tx>
          <c:layout/>
          <c:overlay val="0"/>
        </c:title>
        <c:numFmt formatCode="General" sourceLinked="1"/>
        <c:majorTickMark val="none"/>
        <c:minorTickMark val="none"/>
        <c:tickLblPos val="nextTo"/>
        <c:crossAx val="221433216"/>
        <c:crosses val="autoZero"/>
        <c:auto val="1"/>
        <c:lblAlgn val="ctr"/>
        <c:lblOffset val="100"/>
        <c:noMultiLvlLbl val="0"/>
      </c:catAx>
      <c:valAx>
        <c:axId val="221433216"/>
        <c:scaling>
          <c:orientation val="minMax"/>
        </c:scaling>
        <c:delete val="0"/>
        <c:axPos val="l"/>
        <c:majorGridlines/>
        <c:title>
          <c:tx>
            <c:rich>
              <a:bodyPr rot="-5400000" vert="horz"/>
              <a:lstStyle/>
              <a:p>
                <a:pPr>
                  <a:defRPr/>
                </a:pPr>
                <a:r>
                  <a:rPr lang="en-AU"/>
                  <a:t>Percentage (%) participation</a:t>
                </a:r>
              </a:p>
            </c:rich>
          </c:tx>
          <c:layout/>
          <c:overlay val="0"/>
        </c:title>
        <c:numFmt formatCode="0%" sourceLinked="0"/>
        <c:majorTickMark val="none"/>
        <c:minorTickMark val="none"/>
        <c:tickLblPos val="nextTo"/>
        <c:crossAx val="221431296"/>
        <c:crosses val="autoZero"/>
        <c:crossBetween val="between"/>
      </c:valAx>
    </c:plotArea>
    <c:legend>
      <c:legendPos val="b"/>
      <c:layout/>
      <c:overlay val="0"/>
    </c:legend>
    <c:plotVisOnly val="1"/>
    <c:dispBlanksAs val="gap"/>
    <c:showDLblsOverMax val="0"/>
  </c:chart>
  <c:spPr>
    <a:ln>
      <a:noFill/>
    </a:ln>
  </c:spPr>
  <c:txPr>
    <a:bodyPr/>
    <a:lstStyle/>
    <a:p>
      <a:pPr>
        <a:defRPr>
          <a:latin typeface="Helvetica Neue" panose="02000503000000020004" pitchFamily="2" charset="0"/>
          <a:ea typeface="Helvetica Neue" panose="02000503000000020004" pitchFamily="2" charset="0"/>
          <a:cs typeface="Helvetica Neue" panose="02000503000000020004" pitchFamily="2"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5.1125532346380044E-2"/>
          <c:y val="3.6147689129873484E-2"/>
          <c:w val="0.92453863313729467"/>
          <c:h val="0.71614610334823559"/>
        </c:manualLayout>
      </c:layout>
      <c:barChart>
        <c:barDir val="col"/>
        <c:grouping val="stacked"/>
        <c:varyColors val="0"/>
        <c:ser>
          <c:idx val="0"/>
          <c:order val="0"/>
          <c:tx>
            <c:strRef>
              <c:f>Sheet4!$B$6</c:f>
              <c:strCache>
                <c:ptCount val="1"/>
                <c:pt idx="0">
                  <c:v>Public</c:v>
                </c:pt>
              </c:strCache>
            </c:strRef>
          </c:tx>
          <c:spPr>
            <a:solidFill>
              <a:schemeClr val="accent2">
                <a:lumMod val="75000"/>
              </a:schemeClr>
            </a:solidFill>
            <a:ln>
              <a:noFill/>
            </a:ln>
            <a:effectLst/>
          </c:spPr>
          <c:invertIfNegative val="0"/>
          <c:dLbls>
            <c:dLbl>
              <c:idx val="2"/>
              <c:layout/>
              <c:tx>
                <c:rich>
                  <a:bodyPr/>
                  <a:lstStyle/>
                  <a:p>
                    <a:r>
                      <a:rPr lang="en-US"/>
                      <a:t>228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68-EA49-99A4-D22B490D029B}"/>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Sheet4!$C$3:$F$4</c:f>
              <c:multiLvlStrCache>
                <c:ptCount val="4"/>
                <c:lvl>
                  <c:pt idx="0">
                    <c:v>Hospital NAPS </c:v>
                  </c:pt>
                  <c:pt idx="1">
                    <c:v>Surgical NAPS</c:v>
                  </c:pt>
                  <c:pt idx="2">
                    <c:v>Hospital NAPS</c:v>
                  </c:pt>
                  <c:pt idx="3">
                    <c:v>Surgical NAPS</c:v>
                  </c:pt>
                </c:lvl>
                <c:lvl>
                  <c:pt idx="0">
                    <c:v>2016</c:v>
                  </c:pt>
                  <c:pt idx="2">
                    <c:v>2017</c:v>
                  </c:pt>
                </c:lvl>
              </c:multiLvlStrCache>
            </c:multiLvlStrRef>
          </c:cat>
          <c:val>
            <c:numRef>
              <c:f>Sheet4!$C$6:$F$6</c:f>
              <c:numCache>
                <c:formatCode>General</c:formatCode>
                <c:ptCount val="4"/>
                <c:pt idx="0">
                  <c:v>234</c:v>
                </c:pt>
                <c:pt idx="1">
                  <c:v>51</c:v>
                </c:pt>
                <c:pt idx="2">
                  <c:v>230</c:v>
                </c:pt>
                <c:pt idx="3">
                  <c:v>56</c:v>
                </c:pt>
              </c:numCache>
            </c:numRef>
          </c:val>
          <c:extLst xmlns:c16r2="http://schemas.microsoft.com/office/drawing/2015/06/chart">
            <c:ext xmlns:c16="http://schemas.microsoft.com/office/drawing/2014/chart" uri="{C3380CC4-5D6E-409C-BE32-E72D297353CC}">
              <c16:uniqueId val="{00000000-B4F5-48CC-A652-D2242AFF1476}"/>
            </c:ext>
          </c:extLst>
        </c:ser>
        <c:ser>
          <c:idx val="1"/>
          <c:order val="1"/>
          <c:tx>
            <c:strRef>
              <c:f>Sheet4!$B$5</c:f>
              <c:strCache>
                <c:ptCount val="1"/>
                <c:pt idx="0">
                  <c:v>Private</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Sheet4!$C$3:$F$4</c:f>
              <c:multiLvlStrCache>
                <c:ptCount val="4"/>
                <c:lvl>
                  <c:pt idx="0">
                    <c:v>Hospital NAPS </c:v>
                  </c:pt>
                  <c:pt idx="1">
                    <c:v>Surgical NAPS</c:v>
                  </c:pt>
                  <c:pt idx="2">
                    <c:v>Hospital NAPS</c:v>
                  </c:pt>
                  <c:pt idx="3">
                    <c:v>Surgical NAPS</c:v>
                  </c:pt>
                </c:lvl>
                <c:lvl>
                  <c:pt idx="0">
                    <c:v>2016</c:v>
                  </c:pt>
                  <c:pt idx="2">
                    <c:v>2017</c:v>
                  </c:pt>
                </c:lvl>
              </c:multiLvlStrCache>
            </c:multiLvlStrRef>
          </c:cat>
          <c:val>
            <c:numRef>
              <c:f>Sheet4!$C$5:$F$5</c:f>
              <c:numCache>
                <c:formatCode>General</c:formatCode>
                <c:ptCount val="4"/>
                <c:pt idx="0">
                  <c:v>91</c:v>
                </c:pt>
                <c:pt idx="1">
                  <c:v>36</c:v>
                </c:pt>
                <c:pt idx="2">
                  <c:v>86</c:v>
                </c:pt>
                <c:pt idx="3">
                  <c:v>50</c:v>
                </c:pt>
              </c:numCache>
            </c:numRef>
          </c:val>
          <c:extLst xmlns:c16r2="http://schemas.microsoft.com/office/drawing/2015/06/chart">
            <c:ext xmlns:c16="http://schemas.microsoft.com/office/drawing/2014/chart" uri="{C3380CC4-5D6E-409C-BE32-E72D297353CC}">
              <c16:uniqueId val="{00000001-B4F5-48CC-A652-D2242AFF1476}"/>
            </c:ext>
          </c:extLst>
        </c:ser>
        <c:dLbls>
          <c:showLegendKey val="0"/>
          <c:showVal val="1"/>
          <c:showCatName val="0"/>
          <c:showSerName val="0"/>
          <c:showPercent val="0"/>
          <c:showBubbleSize val="0"/>
        </c:dLbls>
        <c:gapWidth val="79"/>
        <c:overlap val="100"/>
        <c:axId val="238558592"/>
        <c:axId val="238568960"/>
      </c:barChart>
      <c:catAx>
        <c:axId val="238558592"/>
        <c:scaling>
          <c:orientation val="minMax"/>
        </c:scaling>
        <c:delete val="0"/>
        <c:axPos val="b"/>
        <c:title>
          <c:tx>
            <c:rich>
              <a:bodyPr rot="0" spcFirstLastPara="1" vertOverflow="ellipsis" vert="horz" wrap="square" anchor="ctr" anchorCtr="1"/>
              <a:lstStyle/>
              <a:p>
                <a:pPr algn="l">
                  <a:defRPr sz="1000" b="1" i="0" u="none" strike="noStrike" kern="1200" baseline="0">
                    <a:solidFill>
                      <a:schemeClr val="tx1"/>
                    </a:solidFill>
                    <a:latin typeface="Helvetica Neue" panose="02000503000000020004" pitchFamily="2" charset="0"/>
                    <a:ea typeface="Helvetica Neue" panose="02000503000000020004" pitchFamily="2" charset="0"/>
                    <a:cs typeface="Helvetica Neue" panose="02000503000000020004" pitchFamily="2" charset="0"/>
                  </a:defRPr>
                </a:pPr>
                <a:r>
                  <a:rPr lang="en-AU" b="0"/>
                  <a:t>Note: sites that completed both types of survey have been counted twice </a:t>
                </a:r>
              </a:p>
              <a:p>
                <a:pPr algn="l">
                  <a:defRPr sz="1000" b="1" i="0" u="none" strike="noStrike" kern="1200" baseline="0">
                    <a:solidFill>
                      <a:schemeClr val="tx1"/>
                    </a:solidFill>
                    <a:latin typeface="Helvetica Neue" panose="02000503000000020004" pitchFamily="2" charset="0"/>
                    <a:ea typeface="Helvetica Neue" panose="02000503000000020004" pitchFamily="2" charset="0"/>
                    <a:cs typeface="Helvetica Neue" panose="02000503000000020004" pitchFamily="2" charset="0"/>
                  </a:defRPr>
                </a:pPr>
                <a:r>
                  <a:rPr lang="en-AU" b="0"/>
                  <a:t>For 2016 </a:t>
                </a:r>
                <a:r>
                  <a:rPr lang="en-AU" b="0" i="1"/>
                  <a:t>n</a:t>
                </a:r>
                <a:r>
                  <a:rPr lang="en-AU" b="0"/>
                  <a:t> = 412 and for 2017 </a:t>
                </a:r>
                <a:r>
                  <a:rPr lang="en-AU" b="0" i="1"/>
                  <a:t>n</a:t>
                </a:r>
                <a:r>
                  <a:rPr lang="en-AU" b="0"/>
                  <a:t> = 420. </a:t>
                </a:r>
              </a:p>
            </c:rich>
          </c:tx>
          <c:layout>
            <c:manualLayout>
              <c:xMode val="edge"/>
              <c:yMode val="edge"/>
              <c:x val="1.6007036553585884E-2"/>
              <c:y val="0.9138085259503852"/>
            </c:manualLayout>
          </c:layout>
          <c:overlay val="0"/>
          <c:spPr>
            <a:noFill/>
            <a:ln>
              <a:noFill/>
            </a:ln>
            <a:effectLst/>
          </c:spPr>
        </c:title>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ln>
                  <a:noFill/>
                </a:ln>
                <a:solidFill>
                  <a:schemeClr val="tx1"/>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crossAx val="238568960"/>
        <c:crosses val="autoZero"/>
        <c:auto val="1"/>
        <c:lblAlgn val="ctr"/>
        <c:lblOffset val="100"/>
        <c:noMultiLvlLbl val="0"/>
      </c:catAx>
      <c:valAx>
        <c:axId val="238568960"/>
        <c:scaling>
          <c:orientation val="minMax"/>
        </c:scaling>
        <c:delete val="1"/>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Helvetica Neue" panose="02000503000000020004" pitchFamily="2" charset="0"/>
                    <a:ea typeface="Helvetica Neue" panose="02000503000000020004" pitchFamily="2" charset="0"/>
                    <a:cs typeface="Helvetica Neue" panose="02000503000000020004" pitchFamily="2" charset="0"/>
                  </a:defRPr>
                </a:pPr>
                <a:r>
                  <a:rPr lang="en-AU"/>
                  <a:t>Number of hospitals</a:t>
                </a:r>
              </a:p>
            </c:rich>
          </c:tx>
          <c:layout/>
          <c:overlay val="0"/>
          <c:spPr>
            <a:noFill/>
            <a:ln>
              <a:noFill/>
            </a:ln>
            <a:effectLst/>
          </c:spPr>
        </c:title>
        <c:numFmt formatCode="General" sourceLinked="1"/>
        <c:majorTickMark val="out"/>
        <c:minorTickMark val="none"/>
        <c:tickLblPos val="nextTo"/>
        <c:crossAx val="238558592"/>
        <c:crosses val="autoZero"/>
        <c:crossBetween val="between"/>
      </c:valAx>
      <c:spPr>
        <a:solidFill>
          <a:schemeClr val="bg1"/>
        </a:solidFill>
        <a:ln>
          <a:noFill/>
        </a:ln>
        <a:effectLst/>
      </c:spPr>
    </c:plotArea>
    <c:legend>
      <c:legendPos val="b"/>
      <c:layout>
        <c:manualLayout>
          <c:xMode val="edge"/>
          <c:yMode val="edge"/>
          <c:x val="0.39523703922036485"/>
          <c:y val="0.84660422487511644"/>
          <c:w val="0.22378598397125493"/>
          <c:h val="4.586889340445347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latin typeface="Helvetica Neue" panose="02000503000000020004" pitchFamily="2" charset="0"/>
          <a:ea typeface="Helvetica Neue" panose="02000503000000020004" pitchFamily="2" charset="0"/>
          <a:cs typeface="Helvetica Neue" panose="02000503000000020004" pitchFamily="2"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strRef>
              <c:f>'Fig 4'!$A$6</c:f>
              <c:strCache>
                <c:ptCount val="1"/>
                <c:pt idx="0">
                  <c:v>Indication documented in medical notes</c:v>
                </c:pt>
              </c:strCache>
            </c:strRef>
          </c:tx>
          <c:spPr>
            <a:ln w="38100">
              <a:solidFill>
                <a:srgbClr val="FF3399"/>
              </a:solidFill>
            </a:ln>
          </c:spPr>
          <c:marker>
            <c:symbol val="none"/>
          </c:marker>
          <c:cat>
            <c:numRef>
              <c:f>'Fig 4'!$B$5:$F$5</c:f>
              <c:numCache>
                <c:formatCode>General</c:formatCode>
                <c:ptCount val="5"/>
                <c:pt idx="0">
                  <c:v>2013</c:v>
                </c:pt>
                <c:pt idx="1">
                  <c:v>2014</c:v>
                </c:pt>
                <c:pt idx="2">
                  <c:v>2015</c:v>
                </c:pt>
                <c:pt idx="3">
                  <c:v>2016</c:v>
                </c:pt>
                <c:pt idx="4">
                  <c:v>2017</c:v>
                </c:pt>
              </c:numCache>
            </c:numRef>
          </c:cat>
          <c:val>
            <c:numRef>
              <c:f>'Fig 4'!$B$6:$F$6</c:f>
              <c:numCache>
                <c:formatCode>General</c:formatCode>
                <c:ptCount val="5"/>
                <c:pt idx="0">
                  <c:v>70.900000000000006</c:v>
                </c:pt>
                <c:pt idx="1">
                  <c:v>74</c:v>
                </c:pt>
                <c:pt idx="2">
                  <c:v>72.5</c:v>
                </c:pt>
                <c:pt idx="3">
                  <c:v>75.599999999999994</c:v>
                </c:pt>
                <c:pt idx="4">
                  <c:v>77.7</c:v>
                </c:pt>
              </c:numCache>
            </c:numRef>
          </c:val>
          <c:smooth val="0"/>
          <c:extLst xmlns:c16r2="http://schemas.microsoft.com/office/drawing/2015/06/chart">
            <c:ext xmlns:c16="http://schemas.microsoft.com/office/drawing/2014/chart" uri="{C3380CC4-5D6E-409C-BE32-E72D297353CC}">
              <c16:uniqueId val="{00000000-3456-4DD3-B5C2-C46F77E8501E}"/>
            </c:ext>
          </c:extLst>
        </c:ser>
        <c:ser>
          <c:idx val="1"/>
          <c:order val="1"/>
          <c:tx>
            <c:strRef>
              <c:f>'Fig 4'!$A$7</c:f>
              <c:strCache>
                <c:ptCount val="1"/>
                <c:pt idx="0">
                  <c:v>Review or stop date documented *</c:v>
                </c:pt>
              </c:strCache>
            </c:strRef>
          </c:tx>
          <c:spPr>
            <a:ln w="38100"/>
          </c:spPr>
          <c:marker>
            <c:symbol val="none"/>
          </c:marker>
          <c:cat>
            <c:numRef>
              <c:f>'Fig 4'!$B$5:$F$5</c:f>
              <c:numCache>
                <c:formatCode>General</c:formatCode>
                <c:ptCount val="5"/>
                <c:pt idx="0">
                  <c:v>2013</c:v>
                </c:pt>
                <c:pt idx="1">
                  <c:v>2014</c:v>
                </c:pt>
                <c:pt idx="2">
                  <c:v>2015</c:v>
                </c:pt>
                <c:pt idx="3">
                  <c:v>2016</c:v>
                </c:pt>
                <c:pt idx="4">
                  <c:v>2017</c:v>
                </c:pt>
              </c:numCache>
            </c:numRef>
          </c:cat>
          <c:val>
            <c:numRef>
              <c:f>'Fig 4'!$B$7:$F$7</c:f>
              <c:numCache>
                <c:formatCode>General</c:formatCode>
                <c:ptCount val="5"/>
                <c:pt idx="2">
                  <c:v>35.5</c:v>
                </c:pt>
                <c:pt idx="3">
                  <c:v>38.1</c:v>
                </c:pt>
                <c:pt idx="4">
                  <c:v>40.5</c:v>
                </c:pt>
              </c:numCache>
            </c:numRef>
          </c:val>
          <c:smooth val="0"/>
          <c:extLst xmlns:c16r2="http://schemas.microsoft.com/office/drawing/2015/06/chart">
            <c:ext xmlns:c16="http://schemas.microsoft.com/office/drawing/2014/chart" uri="{C3380CC4-5D6E-409C-BE32-E72D297353CC}">
              <c16:uniqueId val="{00000001-3456-4DD3-B5C2-C46F77E8501E}"/>
            </c:ext>
          </c:extLst>
        </c:ser>
        <c:ser>
          <c:idx val="2"/>
          <c:order val="2"/>
          <c:tx>
            <c:strRef>
              <c:f>'Fig 4'!$A$8</c:f>
              <c:strCache>
                <c:ptCount val="1"/>
                <c:pt idx="0">
                  <c:v>Surgical prophylaxis given for &gt;24 hours †</c:v>
                </c:pt>
              </c:strCache>
            </c:strRef>
          </c:tx>
          <c:spPr>
            <a:ln w="38100"/>
          </c:spPr>
          <c:marker>
            <c:symbol val="none"/>
          </c:marker>
          <c:cat>
            <c:numRef>
              <c:f>'Fig 4'!$B$5:$F$5</c:f>
              <c:numCache>
                <c:formatCode>General</c:formatCode>
                <c:ptCount val="5"/>
                <c:pt idx="0">
                  <c:v>2013</c:v>
                </c:pt>
                <c:pt idx="1">
                  <c:v>2014</c:v>
                </c:pt>
                <c:pt idx="2">
                  <c:v>2015</c:v>
                </c:pt>
                <c:pt idx="3">
                  <c:v>2016</c:v>
                </c:pt>
                <c:pt idx="4">
                  <c:v>2017</c:v>
                </c:pt>
              </c:numCache>
            </c:numRef>
          </c:cat>
          <c:val>
            <c:numRef>
              <c:f>'Fig 4'!$B$8:$F$8</c:f>
              <c:numCache>
                <c:formatCode>General</c:formatCode>
                <c:ptCount val="5"/>
                <c:pt idx="0">
                  <c:v>41.8</c:v>
                </c:pt>
                <c:pt idx="1">
                  <c:v>35.9</c:v>
                </c:pt>
                <c:pt idx="2">
                  <c:v>27.4</c:v>
                </c:pt>
                <c:pt idx="3">
                  <c:v>31.1</c:v>
                </c:pt>
                <c:pt idx="4">
                  <c:v>30.5</c:v>
                </c:pt>
              </c:numCache>
            </c:numRef>
          </c:val>
          <c:smooth val="0"/>
          <c:extLst xmlns:c16r2="http://schemas.microsoft.com/office/drawing/2015/06/chart">
            <c:ext xmlns:c16="http://schemas.microsoft.com/office/drawing/2014/chart" uri="{C3380CC4-5D6E-409C-BE32-E72D297353CC}">
              <c16:uniqueId val="{00000002-3456-4DD3-B5C2-C46F77E8501E}"/>
            </c:ext>
          </c:extLst>
        </c:ser>
        <c:ser>
          <c:idx val="3"/>
          <c:order val="3"/>
          <c:tx>
            <c:strRef>
              <c:f>'Fig 4'!$A$9</c:f>
              <c:strCache>
                <c:ptCount val="1"/>
                <c:pt idx="0">
                  <c:v>Compliance with guidelines §</c:v>
                </c:pt>
              </c:strCache>
            </c:strRef>
          </c:tx>
          <c:spPr>
            <a:ln w="38100"/>
          </c:spPr>
          <c:marker>
            <c:symbol val="none"/>
          </c:marker>
          <c:cat>
            <c:numRef>
              <c:f>'Fig 4'!$B$5:$F$5</c:f>
              <c:numCache>
                <c:formatCode>General</c:formatCode>
                <c:ptCount val="5"/>
                <c:pt idx="0">
                  <c:v>2013</c:v>
                </c:pt>
                <c:pt idx="1">
                  <c:v>2014</c:v>
                </c:pt>
                <c:pt idx="2">
                  <c:v>2015</c:v>
                </c:pt>
                <c:pt idx="3">
                  <c:v>2016</c:v>
                </c:pt>
                <c:pt idx="4">
                  <c:v>2017</c:v>
                </c:pt>
              </c:numCache>
            </c:numRef>
          </c:cat>
          <c:val>
            <c:numRef>
              <c:f>'Fig 4'!$B$9:$F$9</c:f>
              <c:numCache>
                <c:formatCode>General</c:formatCode>
                <c:ptCount val="5"/>
                <c:pt idx="0">
                  <c:v>72.2</c:v>
                </c:pt>
                <c:pt idx="1">
                  <c:v>73.7</c:v>
                </c:pt>
                <c:pt idx="2">
                  <c:v>70.599999999999994</c:v>
                </c:pt>
                <c:pt idx="3">
                  <c:v>65.400000000000006</c:v>
                </c:pt>
                <c:pt idx="4">
                  <c:v>67.3</c:v>
                </c:pt>
              </c:numCache>
            </c:numRef>
          </c:val>
          <c:smooth val="0"/>
          <c:extLst xmlns:c16r2="http://schemas.microsoft.com/office/drawing/2015/06/chart">
            <c:ext xmlns:c16="http://schemas.microsoft.com/office/drawing/2014/chart" uri="{C3380CC4-5D6E-409C-BE32-E72D297353CC}">
              <c16:uniqueId val="{00000003-3456-4DD3-B5C2-C46F77E8501E}"/>
            </c:ext>
          </c:extLst>
        </c:ser>
        <c:ser>
          <c:idx val="4"/>
          <c:order val="4"/>
          <c:tx>
            <c:strRef>
              <c:f>'Fig 4'!$A$10</c:f>
              <c:strCache>
                <c:ptCount val="1"/>
                <c:pt idx="0">
                  <c:v>Appropriateness #</c:v>
                </c:pt>
              </c:strCache>
            </c:strRef>
          </c:tx>
          <c:spPr>
            <a:ln w="38100">
              <a:solidFill>
                <a:schemeClr val="accent6"/>
              </a:solidFill>
            </a:ln>
          </c:spPr>
          <c:marker>
            <c:symbol val="none"/>
          </c:marker>
          <c:cat>
            <c:numRef>
              <c:f>'Fig 4'!$B$5:$F$5</c:f>
              <c:numCache>
                <c:formatCode>General</c:formatCode>
                <c:ptCount val="5"/>
                <c:pt idx="0">
                  <c:v>2013</c:v>
                </c:pt>
                <c:pt idx="1">
                  <c:v>2014</c:v>
                </c:pt>
                <c:pt idx="2">
                  <c:v>2015</c:v>
                </c:pt>
                <c:pt idx="3">
                  <c:v>2016</c:v>
                </c:pt>
                <c:pt idx="4">
                  <c:v>2017</c:v>
                </c:pt>
              </c:numCache>
            </c:numRef>
          </c:cat>
          <c:val>
            <c:numRef>
              <c:f>'Fig 4'!$B$10:$F$10</c:f>
              <c:numCache>
                <c:formatCode>General</c:formatCode>
                <c:ptCount val="5"/>
                <c:pt idx="0">
                  <c:v>75.599999999999994</c:v>
                </c:pt>
                <c:pt idx="1">
                  <c:v>75.900000000000006</c:v>
                </c:pt>
                <c:pt idx="2">
                  <c:v>77</c:v>
                </c:pt>
                <c:pt idx="3">
                  <c:v>76.099999999999994</c:v>
                </c:pt>
                <c:pt idx="4">
                  <c:v>76.5</c:v>
                </c:pt>
              </c:numCache>
            </c:numRef>
          </c:val>
          <c:smooth val="0"/>
          <c:extLst xmlns:c16r2="http://schemas.microsoft.com/office/drawing/2015/06/chart">
            <c:ext xmlns:c16="http://schemas.microsoft.com/office/drawing/2014/chart" uri="{C3380CC4-5D6E-409C-BE32-E72D297353CC}">
              <c16:uniqueId val="{00000004-3456-4DD3-B5C2-C46F77E8501E}"/>
            </c:ext>
          </c:extLst>
        </c:ser>
        <c:dLbls>
          <c:showLegendKey val="0"/>
          <c:showVal val="0"/>
          <c:showCatName val="0"/>
          <c:showSerName val="0"/>
          <c:showPercent val="0"/>
          <c:showBubbleSize val="0"/>
        </c:dLbls>
        <c:marker val="1"/>
        <c:smooth val="0"/>
        <c:axId val="237306624"/>
        <c:axId val="237308544"/>
      </c:lineChart>
      <c:catAx>
        <c:axId val="237306624"/>
        <c:scaling>
          <c:orientation val="minMax"/>
        </c:scaling>
        <c:delete val="0"/>
        <c:axPos val="b"/>
        <c:title>
          <c:tx>
            <c:rich>
              <a:bodyPr/>
              <a:lstStyle/>
              <a:p>
                <a:pPr>
                  <a:defRPr/>
                </a:pPr>
                <a:r>
                  <a:rPr lang="en-AU"/>
                  <a:t>Year</a:t>
                </a:r>
              </a:p>
            </c:rich>
          </c:tx>
          <c:layout/>
          <c:overlay val="0"/>
        </c:title>
        <c:numFmt formatCode="General" sourceLinked="1"/>
        <c:majorTickMark val="out"/>
        <c:minorTickMark val="none"/>
        <c:tickLblPos val="nextTo"/>
        <c:crossAx val="237308544"/>
        <c:crosses val="autoZero"/>
        <c:auto val="1"/>
        <c:lblAlgn val="ctr"/>
        <c:lblOffset val="100"/>
        <c:noMultiLvlLbl val="0"/>
      </c:catAx>
      <c:valAx>
        <c:axId val="237308544"/>
        <c:scaling>
          <c:orientation val="minMax"/>
        </c:scaling>
        <c:delete val="0"/>
        <c:axPos val="l"/>
        <c:majorGridlines/>
        <c:title>
          <c:tx>
            <c:rich>
              <a:bodyPr rot="-5400000" vert="horz"/>
              <a:lstStyle/>
              <a:p>
                <a:pPr>
                  <a:defRPr/>
                </a:pPr>
                <a:r>
                  <a:rPr lang="en-AU"/>
                  <a:t>Percentage</a:t>
                </a:r>
                <a:r>
                  <a:rPr lang="en-AU" baseline="0"/>
                  <a:t> (%)</a:t>
                </a:r>
                <a:endParaRPr lang="en-AU"/>
              </a:p>
            </c:rich>
          </c:tx>
          <c:layout/>
          <c:overlay val="0"/>
        </c:title>
        <c:numFmt formatCode="General" sourceLinked="1"/>
        <c:majorTickMark val="out"/>
        <c:minorTickMark val="none"/>
        <c:tickLblPos val="nextTo"/>
        <c:crossAx val="237306624"/>
        <c:crosses val="autoZero"/>
        <c:crossBetween val="between"/>
      </c:valAx>
    </c:plotArea>
    <c:legend>
      <c:legendPos val="b"/>
      <c:layout/>
      <c:overlay val="0"/>
    </c:legend>
    <c:plotVisOnly val="1"/>
    <c:dispBlanksAs val="gap"/>
    <c:showDLblsOverMax val="0"/>
  </c:chart>
  <c:spPr>
    <a:ln w="6350">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4"/>
          <c:order val="0"/>
          <c:tx>
            <c:strRef>
              <c:f>'Figure 5 final'!$G$3</c:f>
              <c:strCache>
                <c:ptCount val="1"/>
                <c:pt idx="0">
                  <c:v>2013</c:v>
                </c:pt>
              </c:strCache>
            </c:strRef>
          </c:tx>
          <c:invertIfNegative val="0"/>
          <c:dLbls>
            <c:delete val="1"/>
          </c:dLbls>
          <c:cat>
            <c:strRef>
              <c:f>'Figure 5 final'!$B$4:$B$23</c:f>
              <c:strCache>
                <c:ptCount val="20"/>
                <c:pt idx="0">
                  <c:v>Trimethoprim</c:v>
                </c:pt>
                <c:pt idx="1">
                  <c:v>Ampicillin</c:v>
                </c:pt>
                <c:pt idx="2">
                  <c:v>Clotrimazole</c:v>
                </c:pt>
                <c:pt idx="3">
                  <c:v>Valaciclovir</c:v>
                </c:pt>
                <c:pt idx="4">
                  <c:v>Gentamicin</c:v>
                </c:pt>
                <c:pt idx="5">
                  <c:v>Vancomycin</c:v>
                </c:pt>
                <c:pt idx="6">
                  <c:v>Ciprofloxacin</c:v>
                </c:pt>
                <c:pt idx="7">
                  <c:v>Nystatin</c:v>
                </c:pt>
                <c:pt idx="8">
                  <c:v>Trimethoprim-sulfamethoxazole</c:v>
                </c:pt>
                <c:pt idx="9">
                  <c:v>Azithromycin</c:v>
                </c:pt>
                <c:pt idx="10">
                  <c:v>Amoxicillin</c:v>
                </c:pt>
                <c:pt idx="11">
                  <c:v>Benzylpenicillin</c:v>
                </c:pt>
                <c:pt idx="12">
                  <c:v>Flucloxacillin</c:v>
                </c:pt>
                <c:pt idx="13">
                  <c:v>Piperacillin-tazobactam</c:v>
                </c:pt>
                <c:pt idx="14">
                  <c:v>Cefalexin</c:v>
                </c:pt>
                <c:pt idx="15">
                  <c:v>Doxycycline</c:v>
                </c:pt>
                <c:pt idx="16">
                  <c:v>Metronidazole</c:v>
                </c:pt>
                <c:pt idx="17">
                  <c:v>Amoxicillin-clavulanic acid</c:v>
                </c:pt>
                <c:pt idx="18">
                  <c:v>Ceftriaxone</c:v>
                </c:pt>
                <c:pt idx="19">
                  <c:v>Cefazolin</c:v>
                </c:pt>
              </c:strCache>
            </c:strRef>
          </c:cat>
          <c:val>
            <c:numRef>
              <c:f>'Figure 5 final'!$G$4:$G$23</c:f>
              <c:numCache>
                <c:formatCode>0.0%</c:formatCode>
                <c:ptCount val="20"/>
                <c:pt idx="0">
                  <c:v>1.2E-2</c:v>
                </c:pt>
                <c:pt idx="1">
                  <c:v>1.7999999999999999E-2</c:v>
                </c:pt>
                <c:pt idx="2">
                  <c:v>1.2999999999999999E-2</c:v>
                </c:pt>
                <c:pt idx="3">
                  <c:v>1.2999999999999999E-2</c:v>
                </c:pt>
                <c:pt idx="4">
                  <c:v>2.8000000000000001E-2</c:v>
                </c:pt>
                <c:pt idx="5">
                  <c:v>3.4000000000000002E-2</c:v>
                </c:pt>
                <c:pt idx="6">
                  <c:v>2.9000000000000001E-2</c:v>
                </c:pt>
                <c:pt idx="7">
                  <c:v>2.5999999999999999E-2</c:v>
                </c:pt>
                <c:pt idx="8">
                  <c:v>2.5999999999999999E-2</c:v>
                </c:pt>
                <c:pt idx="9">
                  <c:v>3.2000000000000001E-2</c:v>
                </c:pt>
                <c:pt idx="10">
                  <c:v>2.9000000000000001E-2</c:v>
                </c:pt>
                <c:pt idx="11">
                  <c:v>2.4E-2</c:v>
                </c:pt>
                <c:pt idx="12">
                  <c:v>4.2999999999999997E-2</c:v>
                </c:pt>
                <c:pt idx="13">
                  <c:v>6.2E-2</c:v>
                </c:pt>
                <c:pt idx="14">
                  <c:v>4.9000000000000002E-2</c:v>
                </c:pt>
                <c:pt idx="15">
                  <c:v>3.3000000000000002E-2</c:v>
                </c:pt>
                <c:pt idx="16">
                  <c:v>7.3999999999999996E-2</c:v>
                </c:pt>
                <c:pt idx="17">
                  <c:v>6.2E-2</c:v>
                </c:pt>
                <c:pt idx="18">
                  <c:v>9.4E-2</c:v>
                </c:pt>
                <c:pt idx="19">
                  <c:v>0.1</c:v>
                </c:pt>
              </c:numCache>
            </c:numRef>
          </c:val>
          <c:extLst xmlns:c16r2="http://schemas.microsoft.com/office/drawing/2015/06/chart">
            <c:ext xmlns:c16="http://schemas.microsoft.com/office/drawing/2014/chart" uri="{C3380CC4-5D6E-409C-BE32-E72D297353CC}">
              <c16:uniqueId val="{00000000-D20C-4A3E-AAEC-75A60EA27F38}"/>
            </c:ext>
          </c:extLst>
        </c:ser>
        <c:ser>
          <c:idx val="3"/>
          <c:order val="1"/>
          <c:tx>
            <c:strRef>
              <c:f>'Figure 5 final'!$F$3</c:f>
              <c:strCache>
                <c:ptCount val="1"/>
                <c:pt idx="0">
                  <c:v>2014</c:v>
                </c:pt>
              </c:strCache>
            </c:strRef>
          </c:tx>
          <c:invertIfNegative val="0"/>
          <c:dLbls>
            <c:delete val="1"/>
          </c:dLbls>
          <c:cat>
            <c:strRef>
              <c:f>'Figure 5 final'!$B$4:$B$23</c:f>
              <c:strCache>
                <c:ptCount val="20"/>
                <c:pt idx="0">
                  <c:v>Trimethoprim</c:v>
                </c:pt>
                <c:pt idx="1">
                  <c:v>Ampicillin</c:v>
                </c:pt>
                <c:pt idx="2">
                  <c:v>Clotrimazole</c:v>
                </c:pt>
                <c:pt idx="3">
                  <c:v>Valaciclovir</c:v>
                </c:pt>
                <c:pt idx="4">
                  <c:v>Gentamicin</c:v>
                </c:pt>
                <c:pt idx="5">
                  <c:v>Vancomycin</c:v>
                </c:pt>
                <c:pt idx="6">
                  <c:v>Ciprofloxacin</c:v>
                </c:pt>
                <c:pt idx="7">
                  <c:v>Nystatin</c:v>
                </c:pt>
                <c:pt idx="8">
                  <c:v>Trimethoprim-sulfamethoxazole</c:v>
                </c:pt>
                <c:pt idx="9">
                  <c:v>Azithromycin</c:v>
                </c:pt>
                <c:pt idx="10">
                  <c:v>Amoxicillin</c:v>
                </c:pt>
                <c:pt idx="11">
                  <c:v>Benzylpenicillin</c:v>
                </c:pt>
                <c:pt idx="12">
                  <c:v>Flucloxacillin</c:v>
                </c:pt>
                <c:pt idx="13">
                  <c:v>Piperacillin-tazobactam</c:v>
                </c:pt>
                <c:pt idx="14">
                  <c:v>Cefalexin</c:v>
                </c:pt>
                <c:pt idx="15">
                  <c:v>Doxycycline</c:v>
                </c:pt>
                <c:pt idx="16">
                  <c:v>Metronidazole</c:v>
                </c:pt>
                <c:pt idx="17">
                  <c:v>Amoxicillin-clavulanic acid</c:v>
                </c:pt>
                <c:pt idx="18">
                  <c:v>Ceftriaxone</c:v>
                </c:pt>
                <c:pt idx="19">
                  <c:v>Cefazolin</c:v>
                </c:pt>
              </c:strCache>
            </c:strRef>
          </c:cat>
          <c:val>
            <c:numRef>
              <c:f>'Figure 5 final'!$F$4:$F$23</c:f>
              <c:numCache>
                <c:formatCode>0.0%</c:formatCode>
                <c:ptCount val="20"/>
                <c:pt idx="0">
                  <c:v>1.7000000000000001E-2</c:v>
                </c:pt>
                <c:pt idx="1">
                  <c:v>1.6E-2</c:v>
                </c:pt>
                <c:pt idx="2">
                  <c:v>1.2999999999999999E-2</c:v>
                </c:pt>
                <c:pt idx="3">
                  <c:v>1.2999999999999999E-2</c:v>
                </c:pt>
                <c:pt idx="4">
                  <c:v>0.03</c:v>
                </c:pt>
                <c:pt idx="5">
                  <c:v>0.03</c:v>
                </c:pt>
                <c:pt idx="6">
                  <c:v>2.7E-2</c:v>
                </c:pt>
                <c:pt idx="7">
                  <c:v>2.5999999999999999E-2</c:v>
                </c:pt>
                <c:pt idx="8">
                  <c:v>2.1999999999999999E-2</c:v>
                </c:pt>
                <c:pt idx="9">
                  <c:v>3.3000000000000002E-2</c:v>
                </c:pt>
                <c:pt idx="10">
                  <c:v>2.8000000000000001E-2</c:v>
                </c:pt>
                <c:pt idx="11">
                  <c:v>3.2000000000000001E-2</c:v>
                </c:pt>
                <c:pt idx="12">
                  <c:v>4.5999999999999999E-2</c:v>
                </c:pt>
                <c:pt idx="13">
                  <c:v>0.06</c:v>
                </c:pt>
                <c:pt idx="14">
                  <c:v>4.9000000000000002E-2</c:v>
                </c:pt>
                <c:pt idx="15">
                  <c:v>3.5999999999999997E-2</c:v>
                </c:pt>
                <c:pt idx="16">
                  <c:v>6.4000000000000001E-2</c:v>
                </c:pt>
                <c:pt idx="17">
                  <c:v>5.7000000000000002E-2</c:v>
                </c:pt>
                <c:pt idx="18">
                  <c:v>0.104</c:v>
                </c:pt>
                <c:pt idx="19">
                  <c:v>0.109</c:v>
                </c:pt>
              </c:numCache>
            </c:numRef>
          </c:val>
          <c:extLst xmlns:c16r2="http://schemas.microsoft.com/office/drawing/2015/06/chart">
            <c:ext xmlns:c16="http://schemas.microsoft.com/office/drawing/2014/chart" uri="{C3380CC4-5D6E-409C-BE32-E72D297353CC}">
              <c16:uniqueId val="{00000001-D20C-4A3E-AAEC-75A60EA27F38}"/>
            </c:ext>
          </c:extLst>
        </c:ser>
        <c:ser>
          <c:idx val="2"/>
          <c:order val="2"/>
          <c:tx>
            <c:strRef>
              <c:f>'Figure 5 final'!$E$3</c:f>
              <c:strCache>
                <c:ptCount val="1"/>
                <c:pt idx="0">
                  <c:v>2015</c:v>
                </c:pt>
              </c:strCache>
            </c:strRef>
          </c:tx>
          <c:invertIfNegative val="0"/>
          <c:dLbls>
            <c:delete val="1"/>
          </c:dLbls>
          <c:cat>
            <c:strRef>
              <c:f>'Figure 5 final'!$B$4:$B$23</c:f>
              <c:strCache>
                <c:ptCount val="20"/>
                <c:pt idx="0">
                  <c:v>Trimethoprim</c:v>
                </c:pt>
                <c:pt idx="1">
                  <c:v>Ampicillin</c:v>
                </c:pt>
                <c:pt idx="2">
                  <c:v>Clotrimazole</c:v>
                </c:pt>
                <c:pt idx="3">
                  <c:v>Valaciclovir</c:v>
                </c:pt>
                <c:pt idx="4">
                  <c:v>Gentamicin</c:v>
                </c:pt>
                <c:pt idx="5">
                  <c:v>Vancomycin</c:v>
                </c:pt>
                <c:pt idx="6">
                  <c:v>Ciprofloxacin</c:v>
                </c:pt>
                <c:pt idx="7">
                  <c:v>Nystatin</c:v>
                </c:pt>
                <c:pt idx="8">
                  <c:v>Trimethoprim-sulfamethoxazole</c:v>
                </c:pt>
                <c:pt idx="9">
                  <c:v>Azithromycin</c:v>
                </c:pt>
                <c:pt idx="10">
                  <c:v>Amoxicillin</c:v>
                </c:pt>
                <c:pt idx="11">
                  <c:v>Benzylpenicillin</c:v>
                </c:pt>
                <c:pt idx="12">
                  <c:v>Flucloxacillin</c:v>
                </c:pt>
                <c:pt idx="13">
                  <c:v>Piperacillin-tazobactam</c:v>
                </c:pt>
                <c:pt idx="14">
                  <c:v>Cefalexin</c:v>
                </c:pt>
                <c:pt idx="15">
                  <c:v>Doxycycline</c:v>
                </c:pt>
                <c:pt idx="16">
                  <c:v>Metronidazole</c:v>
                </c:pt>
                <c:pt idx="17">
                  <c:v>Amoxicillin-clavulanic acid</c:v>
                </c:pt>
                <c:pt idx="18">
                  <c:v>Ceftriaxone</c:v>
                </c:pt>
                <c:pt idx="19">
                  <c:v>Cefazolin</c:v>
                </c:pt>
              </c:strCache>
            </c:strRef>
          </c:cat>
          <c:val>
            <c:numRef>
              <c:f>'Figure 5 final'!$E$4:$E$23</c:f>
              <c:numCache>
                <c:formatCode>0.0%</c:formatCode>
                <c:ptCount val="20"/>
                <c:pt idx="0">
                  <c:v>1.4E-2</c:v>
                </c:pt>
                <c:pt idx="1">
                  <c:v>5.0000000000000001E-3</c:v>
                </c:pt>
                <c:pt idx="2">
                  <c:v>1.4999999999999999E-2</c:v>
                </c:pt>
                <c:pt idx="3">
                  <c:v>1.2999999999999999E-2</c:v>
                </c:pt>
                <c:pt idx="4">
                  <c:v>3.2000000000000001E-2</c:v>
                </c:pt>
                <c:pt idx="5">
                  <c:v>2.8000000000000001E-2</c:v>
                </c:pt>
                <c:pt idx="6">
                  <c:v>2.5000000000000001E-2</c:v>
                </c:pt>
                <c:pt idx="7">
                  <c:v>0.03</c:v>
                </c:pt>
                <c:pt idx="8">
                  <c:v>2.5999999999999999E-2</c:v>
                </c:pt>
                <c:pt idx="9">
                  <c:v>2.9000000000000001E-2</c:v>
                </c:pt>
                <c:pt idx="10">
                  <c:v>2.9000000000000001E-2</c:v>
                </c:pt>
                <c:pt idx="11">
                  <c:v>2.9000000000000001E-2</c:v>
                </c:pt>
                <c:pt idx="12">
                  <c:v>4.1000000000000002E-2</c:v>
                </c:pt>
                <c:pt idx="13">
                  <c:v>6.2E-2</c:v>
                </c:pt>
                <c:pt idx="14">
                  <c:v>0.05</c:v>
                </c:pt>
                <c:pt idx="15">
                  <c:v>3.9E-2</c:v>
                </c:pt>
                <c:pt idx="16">
                  <c:v>6.4000000000000001E-2</c:v>
                </c:pt>
                <c:pt idx="17">
                  <c:v>6.2E-2</c:v>
                </c:pt>
                <c:pt idx="18">
                  <c:v>9.7000000000000003E-2</c:v>
                </c:pt>
                <c:pt idx="19">
                  <c:v>0.13300000000000001</c:v>
                </c:pt>
              </c:numCache>
            </c:numRef>
          </c:val>
          <c:extLst xmlns:c16r2="http://schemas.microsoft.com/office/drawing/2015/06/chart">
            <c:ext xmlns:c16="http://schemas.microsoft.com/office/drawing/2014/chart" uri="{C3380CC4-5D6E-409C-BE32-E72D297353CC}">
              <c16:uniqueId val="{00000002-D20C-4A3E-AAEC-75A60EA27F38}"/>
            </c:ext>
          </c:extLst>
        </c:ser>
        <c:ser>
          <c:idx val="1"/>
          <c:order val="3"/>
          <c:tx>
            <c:strRef>
              <c:f>'Figure 5 final'!$D$3</c:f>
              <c:strCache>
                <c:ptCount val="1"/>
                <c:pt idx="0">
                  <c:v>2016</c:v>
                </c:pt>
              </c:strCache>
            </c:strRef>
          </c:tx>
          <c:invertIfNegative val="0"/>
          <c:dLbls>
            <c:delete val="1"/>
          </c:dLbls>
          <c:cat>
            <c:strRef>
              <c:f>'Figure 5 final'!$B$4:$B$23</c:f>
              <c:strCache>
                <c:ptCount val="20"/>
                <c:pt idx="0">
                  <c:v>Trimethoprim</c:v>
                </c:pt>
                <c:pt idx="1">
                  <c:v>Ampicillin</c:v>
                </c:pt>
                <c:pt idx="2">
                  <c:v>Clotrimazole</c:v>
                </c:pt>
                <c:pt idx="3">
                  <c:v>Valaciclovir</c:v>
                </c:pt>
                <c:pt idx="4">
                  <c:v>Gentamicin</c:v>
                </c:pt>
                <c:pt idx="5">
                  <c:v>Vancomycin</c:v>
                </c:pt>
                <c:pt idx="6">
                  <c:v>Ciprofloxacin</c:v>
                </c:pt>
                <c:pt idx="7">
                  <c:v>Nystatin</c:v>
                </c:pt>
                <c:pt idx="8">
                  <c:v>Trimethoprim-sulfamethoxazole</c:v>
                </c:pt>
                <c:pt idx="9">
                  <c:v>Azithromycin</c:v>
                </c:pt>
                <c:pt idx="10">
                  <c:v>Amoxicillin</c:v>
                </c:pt>
                <c:pt idx="11">
                  <c:v>Benzylpenicillin</c:v>
                </c:pt>
                <c:pt idx="12">
                  <c:v>Flucloxacillin</c:v>
                </c:pt>
                <c:pt idx="13">
                  <c:v>Piperacillin-tazobactam</c:v>
                </c:pt>
                <c:pt idx="14">
                  <c:v>Cefalexin</c:v>
                </c:pt>
                <c:pt idx="15">
                  <c:v>Doxycycline</c:v>
                </c:pt>
                <c:pt idx="16">
                  <c:v>Metronidazole</c:v>
                </c:pt>
                <c:pt idx="17">
                  <c:v>Amoxicillin-clavulanic acid</c:v>
                </c:pt>
                <c:pt idx="18">
                  <c:v>Ceftriaxone</c:v>
                </c:pt>
                <c:pt idx="19">
                  <c:v>Cefazolin</c:v>
                </c:pt>
              </c:strCache>
            </c:strRef>
          </c:cat>
          <c:val>
            <c:numRef>
              <c:f>'Figure 5 final'!$D$4:$D$23</c:f>
              <c:numCache>
                <c:formatCode>0.0%</c:formatCode>
                <c:ptCount val="20"/>
                <c:pt idx="0">
                  <c:v>1.4E-2</c:v>
                </c:pt>
                <c:pt idx="1">
                  <c:v>1.2E-2</c:v>
                </c:pt>
                <c:pt idx="2">
                  <c:v>1.4999999999999999E-2</c:v>
                </c:pt>
                <c:pt idx="3">
                  <c:v>1.4E-2</c:v>
                </c:pt>
                <c:pt idx="4">
                  <c:v>2.4E-2</c:v>
                </c:pt>
                <c:pt idx="5">
                  <c:v>2.5999999999999999E-2</c:v>
                </c:pt>
                <c:pt idx="6">
                  <c:v>2.5000000000000001E-2</c:v>
                </c:pt>
                <c:pt idx="7">
                  <c:v>3.3000000000000002E-2</c:v>
                </c:pt>
                <c:pt idx="8">
                  <c:v>2.7E-2</c:v>
                </c:pt>
                <c:pt idx="9">
                  <c:v>2.9000000000000001E-2</c:v>
                </c:pt>
                <c:pt idx="10">
                  <c:v>3.3000000000000002E-2</c:v>
                </c:pt>
                <c:pt idx="11">
                  <c:v>3.1E-2</c:v>
                </c:pt>
                <c:pt idx="12">
                  <c:v>4.1000000000000002E-2</c:v>
                </c:pt>
                <c:pt idx="13">
                  <c:v>7.0999999999999994E-2</c:v>
                </c:pt>
                <c:pt idx="14">
                  <c:v>4.9000000000000002E-2</c:v>
                </c:pt>
                <c:pt idx="15">
                  <c:v>0.05</c:v>
                </c:pt>
                <c:pt idx="16">
                  <c:v>5.6000000000000001E-2</c:v>
                </c:pt>
                <c:pt idx="17">
                  <c:v>0.06</c:v>
                </c:pt>
                <c:pt idx="18">
                  <c:v>8.5000000000000006E-2</c:v>
                </c:pt>
                <c:pt idx="19">
                  <c:v>0.126</c:v>
                </c:pt>
              </c:numCache>
            </c:numRef>
          </c:val>
          <c:extLst xmlns:c16r2="http://schemas.microsoft.com/office/drawing/2015/06/chart">
            <c:ext xmlns:c16="http://schemas.microsoft.com/office/drawing/2014/chart" uri="{C3380CC4-5D6E-409C-BE32-E72D297353CC}">
              <c16:uniqueId val="{00000003-D20C-4A3E-AAEC-75A60EA27F38}"/>
            </c:ext>
          </c:extLst>
        </c:ser>
        <c:ser>
          <c:idx val="0"/>
          <c:order val="4"/>
          <c:tx>
            <c:strRef>
              <c:f>'Figure 5 final'!$C$3</c:f>
              <c:strCache>
                <c:ptCount val="1"/>
                <c:pt idx="0">
                  <c:v>2017</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5 final'!$B$4:$B$23</c:f>
              <c:strCache>
                <c:ptCount val="20"/>
                <c:pt idx="0">
                  <c:v>Trimethoprim</c:v>
                </c:pt>
                <c:pt idx="1">
                  <c:v>Ampicillin</c:v>
                </c:pt>
                <c:pt idx="2">
                  <c:v>Clotrimazole</c:v>
                </c:pt>
                <c:pt idx="3">
                  <c:v>Valaciclovir</c:v>
                </c:pt>
                <c:pt idx="4">
                  <c:v>Gentamicin</c:v>
                </c:pt>
                <c:pt idx="5">
                  <c:v>Vancomycin</c:v>
                </c:pt>
                <c:pt idx="6">
                  <c:v>Ciprofloxacin</c:v>
                </c:pt>
                <c:pt idx="7">
                  <c:v>Nystatin</c:v>
                </c:pt>
                <c:pt idx="8">
                  <c:v>Trimethoprim-sulfamethoxazole</c:v>
                </c:pt>
                <c:pt idx="9">
                  <c:v>Azithromycin</c:v>
                </c:pt>
                <c:pt idx="10">
                  <c:v>Amoxicillin</c:v>
                </c:pt>
                <c:pt idx="11">
                  <c:v>Benzylpenicillin</c:v>
                </c:pt>
                <c:pt idx="12">
                  <c:v>Flucloxacillin</c:v>
                </c:pt>
                <c:pt idx="13">
                  <c:v>Piperacillin-tazobactam</c:v>
                </c:pt>
                <c:pt idx="14">
                  <c:v>Cefalexin</c:v>
                </c:pt>
                <c:pt idx="15">
                  <c:v>Doxycycline</c:v>
                </c:pt>
                <c:pt idx="16">
                  <c:v>Metronidazole</c:v>
                </c:pt>
                <c:pt idx="17">
                  <c:v>Amoxicillin-clavulanic acid</c:v>
                </c:pt>
                <c:pt idx="18">
                  <c:v>Ceftriaxone</c:v>
                </c:pt>
                <c:pt idx="19">
                  <c:v>Cefazolin</c:v>
                </c:pt>
              </c:strCache>
            </c:strRef>
          </c:cat>
          <c:val>
            <c:numRef>
              <c:f>'Figure 5 final'!$C$4:$C$23</c:f>
              <c:numCache>
                <c:formatCode>0.0%</c:formatCode>
                <c:ptCount val="20"/>
                <c:pt idx="0">
                  <c:v>1.4E-2</c:v>
                </c:pt>
                <c:pt idx="1">
                  <c:v>1.4999999999999999E-2</c:v>
                </c:pt>
                <c:pt idx="2">
                  <c:v>1.6E-2</c:v>
                </c:pt>
                <c:pt idx="3">
                  <c:v>1.7000000000000001E-2</c:v>
                </c:pt>
                <c:pt idx="4">
                  <c:v>2.1999999999999999E-2</c:v>
                </c:pt>
                <c:pt idx="5">
                  <c:v>2.5999999999999999E-2</c:v>
                </c:pt>
                <c:pt idx="6">
                  <c:v>2.7E-2</c:v>
                </c:pt>
                <c:pt idx="7">
                  <c:v>2.7E-2</c:v>
                </c:pt>
                <c:pt idx="8">
                  <c:v>2.8000000000000001E-2</c:v>
                </c:pt>
                <c:pt idx="9">
                  <c:v>0.03</c:v>
                </c:pt>
                <c:pt idx="10">
                  <c:v>3.1E-2</c:v>
                </c:pt>
                <c:pt idx="11">
                  <c:v>3.3000000000000002E-2</c:v>
                </c:pt>
                <c:pt idx="12">
                  <c:v>4.3999999999999997E-2</c:v>
                </c:pt>
                <c:pt idx="13">
                  <c:v>4.4999999999999998E-2</c:v>
                </c:pt>
                <c:pt idx="14">
                  <c:v>5.1999999999999998E-2</c:v>
                </c:pt>
                <c:pt idx="15">
                  <c:v>5.3999999999999999E-2</c:v>
                </c:pt>
                <c:pt idx="16">
                  <c:v>6.0999999999999999E-2</c:v>
                </c:pt>
                <c:pt idx="17">
                  <c:v>6.6000000000000003E-2</c:v>
                </c:pt>
                <c:pt idx="18">
                  <c:v>9.7000000000000003E-2</c:v>
                </c:pt>
                <c:pt idx="19">
                  <c:v>0.12</c:v>
                </c:pt>
              </c:numCache>
            </c:numRef>
          </c:val>
          <c:extLst xmlns:c16r2="http://schemas.microsoft.com/office/drawing/2015/06/chart">
            <c:ext xmlns:c16="http://schemas.microsoft.com/office/drawing/2014/chart" uri="{C3380CC4-5D6E-409C-BE32-E72D297353CC}">
              <c16:uniqueId val="{00000007-D20C-4A3E-AAEC-75A60EA27F38}"/>
            </c:ext>
          </c:extLst>
        </c:ser>
        <c:dLbls>
          <c:showLegendKey val="0"/>
          <c:showVal val="1"/>
          <c:showCatName val="0"/>
          <c:showSerName val="0"/>
          <c:showPercent val="0"/>
          <c:showBubbleSize val="0"/>
        </c:dLbls>
        <c:gapWidth val="353"/>
        <c:overlap val="-59"/>
        <c:axId val="242941952"/>
        <c:axId val="242956544"/>
      </c:barChart>
      <c:catAx>
        <c:axId val="242941952"/>
        <c:scaling>
          <c:orientation val="minMax"/>
        </c:scaling>
        <c:delete val="0"/>
        <c:axPos val="l"/>
        <c:title>
          <c:tx>
            <c:rich>
              <a:bodyPr rot="-5400000" vert="horz"/>
              <a:lstStyle/>
              <a:p>
                <a:pPr>
                  <a:defRPr/>
                </a:pPr>
                <a:r>
                  <a:rPr lang="en-AU"/>
                  <a:t>Antimicrobial</a:t>
                </a:r>
              </a:p>
            </c:rich>
          </c:tx>
          <c:layout/>
          <c:overlay val="0"/>
        </c:title>
        <c:numFmt formatCode="General" sourceLinked="1"/>
        <c:majorTickMark val="none"/>
        <c:minorTickMark val="none"/>
        <c:tickLblPos val="nextTo"/>
        <c:txPr>
          <a:bodyPr rot="-60000000" vert="horz"/>
          <a:lstStyle/>
          <a:p>
            <a:pPr>
              <a:defRPr sz="900"/>
            </a:pPr>
            <a:endParaRPr lang="en-US"/>
          </a:p>
        </c:txPr>
        <c:crossAx val="242956544"/>
        <c:crosses val="autoZero"/>
        <c:auto val="1"/>
        <c:lblAlgn val="ctr"/>
        <c:lblOffset val="100"/>
        <c:noMultiLvlLbl val="0"/>
      </c:catAx>
      <c:valAx>
        <c:axId val="242956544"/>
        <c:scaling>
          <c:orientation val="minMax"/>
        </c:scaling>
        <c:delete val="1"/>
        <c:axPos val="b"/>
        <c:title>
          <c:tx>
            <c:rich>
              <a:bodyPr/>
              <a:lstStyle/>
              <a:p>
                <a:pPr>
                  <a:defRPr/>
                </a:pPr>
                <a:r>
                  <a:rPr lang="en-AU"/>
                  <a:t>Percentage (%) of total antimicrobials prescribed in NAPS contributors</a:t>
                </a:r>
              </a:p>
            </c:rich>
          </c:tx>
          <c:layout>
            <c:manualLayout>
              <c:xMode val="edge"/>
              <c:yMode val="edge"/>
              <c:x val="0.19316254738990959"/>
              <c:y val="0.94167930397589195"/>
            </c:manualLayout>
          </c:layout>
          <c:overlay val="0"/>
        </c:title>
        <c:numFmt formatCode="0.0%" sourceLinked="1"/>
        <c:majorTickMark val="none"/>
        <c:minorTickMark val="none"/>
        <c:tickLblPos val="nextTo"/>
        <c:crossAx val="242941952"/>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'Figure 9'!$C$4</c:f>
              <c:strCache>
                <c:ptCount val="1"/>
                <c:pt idx="0">
                  <c:v>Appropriate</c:v>
                </c:pt>
              </c:strCache>
            </c:strRef>
          </c:tx>
          <c:spPr>
            <a:solidFill>
              <a:srgbClr val="0070C0"/>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9'!$B$5:$B$24</c:f>
              <c:strCache>
                <c:ptCount val="20"/>
                <c:pt idx="0">
                  <c:v>Cefalexin</c:v>
                </c:pt>
                <c:pt idx="1">
                  <c:v>Amoxicillin–clavulanic acid</c:v>
                </c:pt>
                <c:pt idx="2">
                  <c:v>Clotrimazole</c:v>
                </c:pt>
                <c:pt idx="3">
                  <c:v>Metronidazole</c:v>
                </c:pt>
                <c:pt idx="4">
                  <c:v>Ceftriaxone</c:v>
                </c:pt>
                <c:pt idx="5">
                  <c:v>Cefazolin</c:v>
                </c:pt>
                <c:pt idx="6">
                  <c:v>Amoxicillin</c:v>
                </c:pt>
                <c:pt idx="7">
                  <c:v>Azithromycin</c:v>
                </c:pt>
                <c:pt idx="8">
                  <c:v>Ampicillin</c:v>
                </c:pt>
                <c:pt idx="9">
                  <c:v>Ciprofloxacin</c:v>
                </c:pt>
                <c:pt idx="10">
                  <c:v>Doxycycline</c:v>
                </c:pt>
                <c:pt idx="11">
                  <c:v>Piperacillin–tazobactam</c:v>
                </c:pt>
                <c:pt idx="12">
                  <c:v>Gentamicin</c:v>
                </c:pt>
                <c:pt idx="13">
                  <c:v>Trimethoprim</c:v>
                </c:pt>
                <c:pt idx="14">
                  <c:v>Nystatin</c:v>
                </c:pt>
                <c:pt idx="15">
                  <c:v>Benzylpenicillin</c:v>
                </c:pt>
                <c:pt idx="16">
                  <c:v>Flucloxacillin</c:v>
                </c:pt>
                <c:pt idx="17">
                  <c:v>Vancomycin</c:v>
                </c:pt>
                <c:pt idx="18">
                  <c:v>Trimethoprim–sulfamethoxazole</c:v>
                </c:pt>
                <c:pt idx="19">
                  <c:v>Valaciclovir</c:v>
                </c:pt>
              </c:strCache>
            </c:strRef>
          </c:cat>
          <c:val>
            <c:numRef>
              <c:f>'Figure 9'!$C$5:$C$24</c:f>
              <c:numCache>
                <c:formatCode>0.0%</c:formatCode>
                <c:ptCount val="20"/>
                <c:pt idx="0">
                  <c:v>0.504</c:v>
                </c:pt>
                <c:pt idx="1">
                  <c:v>0.63700000000000001</c:v>
                </c:pt>
                <c:pt idx="2">
                  <c:v>0.66600000000000004</c:v>
                </c:pt>
                <c:pt idx="3">
                  <c:v>0.67900000000000005</c:v>
                </c:pt>
                <c:pt idx="4">
                  <c:v>0.68500000000000005</c:v>
                </c:pt>
                <c:pt idx="5">
                  <c:v>0.69199999999999995</c:v>
                </c:pt>
                <c:pt idx="6">
                  <c:v>0.69299999999999995</c:v>
                </c:pt>
                <c:pt idx="7">
                  <c:v>0.70599999999999996</c:v>
                </c:pt>
                <c:pt idx="8">
                  <c:v>0.71799999999999997</c:v>
                </c:pt>
                <c:pt idx="9">
                  <c:v>0.72599999999999998</c:v>
                </c:pt>
                <c:pt idx="10">
                  <c:v>0.74099999999999999</c:v>
                </c:pt>
                <c:pt idx="11">
                  <c:v>0.76100000000000001</c:v>
                </c:pt>
                <c:pt idx="12">
                  <c:v>0.79300000000000004</c:v>
                </c:pt>
                <c:pt idx="13">
                  <c:v>0.79600000000000004</c:v>
                </c:pt>
                <c:pt idx="14">
                  <c:v>0.82799999999999996</c:v>
                </c:pt>
                <c:pt idx="15">
                  <c:v>0.83899999999999997</c:v>
                </c:pt>
                <c:pt idx="16">
                  <c:v>0.84299999999999997</c:v>
                </c:pt>
                <c:pt idx="17">
                  <c:v>0.84799999999999998</c:v>
                </c:pt>
                <c:pt idx="18">
                  <c:v>0.872</c:v>
                </c:pt>
                <c:pt idx="19">
                  <c:v>0.92100000000000004</c:v>
                </c:pt>
              </c:numCache>
            </c:numRef>
          </c:val>
          <c:extLst xmlns:c16r2="http://schemas.microsoft.com/office/drawing/2015/06/chart">
            <c:ext xmlns:c16="http://schemas.microsoft.com/office/drawing/2014/chart" uri="{C3380CC4-5D6E-409C-BE32-E72D297353CC}">
              <c16:uniqueId val="{00000000-2ECD-164B-B796-85012A1DDCE5}"/>
            </c:ext>
          </c:extLst>
        </c:ser>
        <c:ser>
          <c:idx val="1"/>
          <c:order val="1"/>
          <c:tx>
            <c:strRef>
              <c:f>'Figure 9'!$D$4</c:f>
              <c:strCache>
                <c:ptCount val="1"/>
                <c:pt idx="0">
                  <c:v>Not assessable</c:v>
                </c:pt>
              </c:strCache>
            </c:strRef>
          </c:tx>
          <c:spPr>
            <a:solidFill>
              <a:srgbClr val="125370">
                <a:lumMod val="20000"/>
                <a:lumOff val="80000"/>
              </a:srgbClr>
            </a:solidFill>
          </c:spPr>
          <c:invertIfNegative val="0"/>
          <c:dLbls>
            <c:dLbl>
              <c:idx val="5"/>
              <c:layout>
                <c:manualLayout>
                  <c:x val="7.1813278689899611E-3"/>
                  <c:y val="-2.588996763754045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CD-164B-B796-85012A1DDCE5}"/>
                </c:ext>
              </c:extLst>
            </c:dLbl>
            <c:dLbl>
              <c:idx val="12"/>
              <c:layout>
                <c:manualLayout>
                  <c:x val="3.590663934494980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ECD-164B-B796-85012A1DDCE5}"/>
                </c:ext>
              </c:extLst>
            </c:dLbl>
            <c:dLbl>
              <c:idx val="15"/>
              <c:layout>
                <c:manualLayout>
                  <c:x val="4.7875519126599746E-3"/>
                  <c:y val="-2.588996763754021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CD-164B-B796-85012A1DDCE5}"/>
                </c:ext>
              </c:extLst>
            </c:dLbl>
            <c:dLbl>
              <c:idx val="16"/>
              <c:layout>
                <c:manualLayout>
                  <c:x val="3.590663934494980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ECD-164B-B796-85012A1DDCE5}"/>
                </c:ext>
              </c:extLst>
            </c:dLbl>
            <c:dLbl>
              <c:idx val="17"/>
              <c:layout>
                <c:manualLayout>
                  <c:x val="3.590663934494980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ECD-164B-B796-85012A1DDCE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9'!$B$5:$B$24</c:f>
              <c:strCache>
                <c:ptCount val="20"/>
                <c:pt idx="0">
                  <c:v>Cefalexin</c:v>
                </c:pt>
                <c:pt idx="1">
                  <c:v>Amoxicillin–clavulanic acid</c:v>
                </c:pt>
                <c:pt idx="2">
                  <c:v>Clotrimazole</c:v>
                </c:pt>
                <c:pt idx="3">
                  <c:v>Metronidazole</c:v>
                </c:pt>
                <c:pt idx="4">
                  <c:v>Ceftriaxone</c:v>
                </c:pt>
                <c:pt idx="5">
                  <c:v>Cefazolin</c:v>
                </c:pt>
                <c:pt idx="6">
                  <c:v>Amoxicillin</c:v>
                </c:pt>
                <c:pt idx="7">
                  <c:v>Azithromycin</c:v>
                </c:pt>
                <c:pt idx="8">
                  <c:v>Ampicillin</c:v>
                </c:pt>
                <c:pt idx="9">
                  <c:v>Ciprofloxacin</c:v>
                </c:pt>
                <c:pt idx="10">
                  <c:v>Doxycycline</c:v>
                </c:pt>
                <c:pt idx="11">
                  <c:v>Piperacillin–tazobactam</c:v>
                </c:pt>
                <c:pt idx="12">
                  <c:v>Gentamicin</c:v>
                </c:pt>
                <c:pt idx="13">
                  <c:v>Trimethoprim</c:v>
                </c:pt>
                <c:pt idx="14">
                  <c:v>Nystatin</c:v>
                </c:pt>
                <c:pt idx="15">
                  <c:v>Benzylpenicillin</c:v>
                </c:pt>
                <c:pt idx="16">
                  <c:v>Flucloxacillin</c:v>
                </c:pt>
                <c:pt idx="17">
                  <c:v>Vancomycin</c:v>
                </c:pt>
                <c:pt idx="18">
                  <c:v>Trimethoprim–sulfamethoxazole</c:v>
                </c:pt>
                <c:pt idx="19">
                  <c:v>Valaciclovir</c:v>
                </c:pt>
              </c:strCache>
            </c:strRef>
          </c:cat>
          <c:val>
            <c:numRef>
              <c:f>'Figure 9'!$D$5:$D$24</c:f>
              <c:numCache>
                <c:formatCode>0.0%</c:formatCode>
                <c:ptCount val="20"/>
                <c:pt idx="0">
                  <c:v>6.4000000000000001E-2</c:v>
                </c:pt>
                <c:pt idx="1">
                  <c:v>6.8000000000000005E-2</c:v>
                </c:pt>
                <c:pt idx="2">
                  <c:v>0.13400000000000001</c:v>
                </c:pt>
                <c:pt idx="3">
                  <c:v>4.8000000000000001E-2</c:v>
                </c:pt>
                <c:pt idx="4">
                  <c:v>3.3000000000000002E-2</c:v>
                </c:pt>
                <c:pt idx="5">
                  <c:v>1.9E-2</c:v>
                </c:pt>
                <c:pt idx="6">
                  <c:v>0.05</c:v>
                </c:pt>
                <c:pt idx="7">
                  <c:v>0.04</c:v>
                </c:pt>
                <c:pt idx="8">
                  <c:v>1.7000000000000001E-2</c:v>
                </c:pt>
                <c:pt idx="9">
                  <c:v>7.0999999999999994E-2</c:v>
                </c:pt>
                <c:pt idx="10">
                  <c:v>5.1999999999999998E-2</c:v>
                </c:pt>
                <c:pt idx="11">
                  <c:v>3.5000000000000003E-2</c:v>
                </c:pt>
                <c:pt idx="12">
                  <c:v>2.8000000000000001E-2</c:v>
                </c:pt>
                <c:pt idx="13">
                  <c:v>2.4E-2</c:v>
                </c:pt>
                <c:pt idx="14">
                  <c:v>7.0999999999999994E-2</c:v>
                </c:pt>
                <c:pt idx="15">
                  <c:v>1.7000000000000001E-2</c:v>
                </c:pt>
                <c:pt idx="16">
                  <c:v>2.1000000000000001E-2</c:v>
                </c:pt>
                <c:pt idx="17">
                  <c:v>2.8000000000000001E-2</c:v>
                </c:pt>
                <c:pt idx="18">
                  <c:v>0.06</c:v>
                </c:pt>
                <c:pt idx="19">
                  <c:v>0.05</c:v>
                </c:pt>
              </c:numCache>
            </c:numRef>
          </c:val>
          <c:extLst xmlns:c16r2="http://schemas.microsoft.com/office/drawing/2015/06/chart">
            <c:ext xmlns:c16="http://schemas.microsoft.com/office/drawing/2014/chart" uri="{C3380CC4-5D6E-409C-BE32-E72D297353CC}">
              <c16:uniqueId val="{00000006-2ECD-164B-B796-85012A1DDCE5}"/>
            </c:ext>
          </c:extLst>
        </c:ser>
        <c:ser>
          <c:idx val="2"/>
          <c:order val="2"/>
          <c:tx>
            <c:strRef>
              <c:f>'Figure 9'!$E$4</c:f>
              <c:strCache>
                <c:ptCount val="1"/>
                <c:pt idx="0">
                  <c:v>Inappropriate</c:v>
                </c:pt>
              </c:strCache>
            </c:strRef>
          </c:tx>
          <c:spPr>
            <a:solidFill>
              <a:srgbClr val="DC5827">
                <a:alpha val="64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9'!$B$5:$B$24</c:f>
              <c:strCache>
                <c:ptCount val="20"/>
                <c:pt idx="0">
                  <c:v>Cefalexin</c:v>
                </c:pt>
                <c:pt idx="1">
                  <c:v>Amoxicillin–clavulanic acid</c:v>
                </c:pt>
                <c:pt idx="2">
                  <c:v>Clotrimazole</c:v>
                </c:pt>
                <c:pt idx="3">
                  <c:v>Metronidazole</c:v>
                </c:pt>
                <c:pt idx="4">
                  <c:v>Ceftriaxone</c:v>
                </c:pt>
                <c:pt idx="5">
                  <c:v>Cefazolin</c:v>
                </c:pt>
                <c:pt idx="6">
                  <c:v>Amoxicillin</c:v>
                </c:pt>
                <c:pt idx="7">
                  <c:v>Azithromycin</c:v>
                </c:pt>
                <c:pt idx="8">
                  <c:v>Ampicillin</c:v>
                </c:pt>
                <c:pt idx="9">
                  <c:v>Ciprofloxacin</c:v>
                </c:pt>
                <c:pt idx="10">
                  <c:v>Doxycycline</c:v>
                </c:pt>
                <c:pt idx="11">
                  <c:v>Piperacillin–tazobactam</c:v>
                </c:pt>
                <c:pt idx="12">
                  <c:v>Gentamicin</c:v>
                </c:pt>
                <c:pt idx="13">
                  <c:v>Trimethoprim</c:v>
                </c:pt>
                <c:pt idx="14">
                  <c:v>Nystatin</c:v>
                </c:pt>
                <c:pt idx="15">
                  <c:v>Benzylpenicillin</c:v>
                </c:pt>
                <c:pt idx="16">
                  <c:v>Flucloxacillin</c:v>
                </c:pt>
                <c:pt idx="17">
                  <c:v>Vancomycin</c:v>
                </c:pt>
                <c:pt idx="18">
                  <c:v>Trimethoprim–sulfamethoxazole</c:v>
                </c:pt>
                <c:pt idx="19">
                  <c:v>Valaciclovir</c:v>
                </c:pt>
              </c:strCache>
            </c:strRef>
          </c:cat>
          <c:val>
            <c:numRef>
              <c:f>'Figure 9'!$E$5:$E$24</c:f>
              <c:numCache>
                <c:formatCode>0.0%</c:formatCode>
                <c:ptCount val="20"/>
                <c:pt idx="0">
                  <c:v>0.433</c:v>
                </c:pt>
                <c:pt idx="1">
                  <c:v>0.29399999999999998</c:v>
                </c:pt>
                <c:pt idx="2">
                  <c:v>0.2</c:v>
                </c:pt>
                <c:pt idx="3">
                  <c:v>0.27300000000000002</c:v>
                </c:pt>
                <c:pt idx="4">
                  <c:v>0.28100000000000003</c:v>
                </c:pt>
                <c:pt idx="5">
                  <c:v>0.28899999999999998</c:v>
                </c:pt>
                <c:pt idx="6">
                  <c:v>0.25700000000000001</c:v>
                </c:pt>
                <c:pt idx="7">
                  <c:v>0.254</c:v>
                </c:pt>
                <c:pt idx="8">
                  <c:v>0.26500000000000001</c:v>
                </c:pt>
                <c:pt idx="9">
                  <c:v>0.20300000000000001</c:v>
                </c:pt>
                <c:pt idx="10">
                  <c:v>0.20699999999999999</c:v>
                </c:pt>
                <c:pt idx="11">
                  <c:v>0.20399999999999999</c:v>
                </c:pt>
                <c:pt idx="12">
                  <c:v>0.17899999999999999</c:v>
                </c:pt>
                <c:pt idx="13">
                  <c:v>0.18</c:v>
                </c:pt>
                <c:pt idx="14">
                  <c:v>0.10100000000000001</c:v>
                </c:pt>
                <c:pt idx="15">
                  <c:v>0.14299999999999999</c:v>
                </c:pt>
                <c:pt idx="16">
                  <c:v>0.13600000000000001</c:v>
                </c:pt>
                <c:pt idx="17">
                  <c:v>0.124</c:v>
                </c:pt>
                <c:pt idx="18">
                  <c:v>6.8000000000000005E-2</c:v>
                </c:pt>
                <c:pt idx="19">
                  <c:v>2.8000000000000001E-2</c:v>
                </c:pt>
              </c:numCache>
            </c:numRef>
          </c:val>
          <c:extLst xmlns:c16r2="http://schemas.microsoft.com/office/drawing/2015/06/chart">
            <c:ext xmlns:c16="http://schemas.microsoft.com/office/drawing/2014/chart" uri="{C3380CC4-5D6E-409C-BE32-E72D297353CC}">
              <c16:uniqueId val="{00000007-2ECD-164B-B796-85012A1DDCE5}"/>
            </c:ext>
          </c:extLst>
        </c:ser>
        <c:dLbls>
          <c:showLegendKey val="0"/>
          <c:showVal val="1"/>
          <c:showCatName val="0"/>
          <c:showSerName val="0"/>
          <c:showPercent val="0"/>
          <c:showBubbleSize val="0"/>
        </c:dLbls>
        <c:gapWidth val="65"/>
        <c:overlap val="100"/>
        <c:axId val="243029120"/>
        <c:axId val="243031040"/>
      </c:barChart>
      <c:catAx>
        <c:axId val="243029120"/>
        <c:scaling>
          <c:orientation val="minMax"/>
        </c:scaling>
        <c:delete val="0"/>
        <c:axPos val="l"/>
        <c:title>
          <c:tx>
            <c:rich>
              <a:bodyPr rot="-5400000" vert="horz"/>
              <a:lstStyle/>
              <a:p>
                <a:pPr>
                  <a:defRPr/>
                </a:pPr>
                <a:r>
                  <a:rPr lang="en-US"/>
                  <a:t>Antimicrobial</a:t>
                </a:r>
              </a:p>
            </c:rich>
          </c:tx>
          <c:layout/>
          <c:overlay val="0"/>
        </c:title>
        <c:numFmt formatCode="General" sourceLinked="0"/>
        <c:majorTickMark val="out"/>
        <c:minorTickMark val="none"/>
        <c:tickLblPos val="nextTo"/>
        <c:crossAx val="243031040"/>
        <c:crosses val="autoZero"/>
        <c:auto val="1"/>
        <c:lblAlgn val="ctr"/>
        <c:lblOffset val="100"/>
        <c:noMultiLvlLbl val="0"/>
      </c:catAx>
      <c:valAx>
        <c:axId val="243031040"/>
        <c:scaling>
          <c:orientation val="minMax"/>
        </c:scaling>
        <c:delete val="0"/>
        <c:axPos val="b"/>
        <c:majorGridlines/>
        <c:title>
          <c:tx>
            <c:rich>
              <a:bodyPr/>
              <a:lstStyle/>
              <a:p>
                <a:pPr>
                  <a:defRPr/>
                </a:pPr>
                <a:r>
                  <a:rPr lang="en-AU"/>
                  <a:t>Percentage (%) appropriateness</a:t>
                </a:r>
              </a:p>
            </c:rich>
          </c:tx>
          <c:layout/>
          <c:overlay val="0"/>
        </c:title>
        <c:numFmt formatCode="0%" sourceLinked="1"/>
        <c:majorTickMark val="out"/>
        <c:minorTickMark val="none"/>
        <c:tickLblPos val="nextTo"/>
        <c:crossAx val="243029120"/>
        <c:crosses val="autoZero"/>
        <c:crossBetween val="between"/>
      </c:valAx>
    </c:plotArea>
    <c:legend>
      <c:legendPos val="b"/>
      <c:layout/>
      <c:overlay val="0"/>
    </c:legend>
    <c:plotVisOnly val="1"/>
    <c:dispBlanksAs val="gap"/>
    <c:showDLblsOverMax val="0"/>
  </c:chart>
  <c:spPr>
    <a:ln>
      <a:noFill/>
    </a:ln>
  </c:spPr>
  <c:txPr>
    <a:bodyPr/>
    <a:lstStyle/>
    <a:p>
      <a:pPr>
        <a:defRPr sz="9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v>2013</c:v>
          </c:tx>
          <c:invertIfNegative val="0"/>
          <c:dLbls>
            <c:delete val="1"/>
          </c:dLbls>
          <c:cat>
            <c:strRef>
              <c:f>'Figure 7 final'!$A$4:$A$23</c:f>
              <c:strCache>
                <c:ptCount val="20"/>
                <c:pt idx="0">
                  <c:v>Diabetic infection (including foot)</c:v>
                </c:pt>
                <c:pt idx="1">
                  <c:v>Appendicitis</c:v>
                </c:pt>
                <c:pt idx="2">
                  <c:v>Pyelonephritis</c:v>
                </c:pt>
                <c:pt idx="3">
                  <c:v>Febrile neutropenia</c:v>
                </c:pt>
                <c:pt idx="4">
                  <c:v>Peritonitis</c:v>
                </c:pt>
                <c:pt idx="5">
                  <c:v>Osteomyelitis</c:v>
                </c:pt>
                <c:pt idx="6">
                  <c:v>Trauma (includes wound)</c:v>
                </c:pt>
                <c:pt idx="7">
                  <c:v>Diverticulitis</c:v>
                </c:pt>
                <c:pt idx="8">
                  <c:v>Abscess: skin and soft tissue</c:v>
                </c:pt>
                <c:pt idx="9">
                  <c:v>Wound infection: surgical</c:v>
                </c:pt>
                <c:pt idx="10">
                  <c:v>Pneumonia: aspiration</c:v>
                </c:pt>
                <c:pt idx="11">
                  <c:v>Pneumonia: hospital acquired</c:v>
                </c:pt>
                <c:pt idx="12">
                  <c:v>Cutaneous and mucosal candidiasis</c:v>
                </c:pt>
                <c:pt idx="13">
                  <c:v>COPD: infective exacerbation</c:v>
                </c:pt>
                <c:pt idx="14">
                  <c:v>Cellulitis/Erysipelas</c:v>
                </c:pt>
                <c:pt idx="15">
                  <c:v>Sepsis</c:v>
                </c:pt>
                <c:pt idx="16">
                  <c:v>Urinary tract infection</c:v>
                </c:pt>
                <c:pt idx="17">
                  <c:v>Medical prophylaxis</c:v>
                </c:pt>
                <c:pt idx="18">
                  <c:v>Pneumonia: community acquired</c:v>
                </c:pt>
                <c:pt idx="19">
                  <c:v>Surgical prophylaxis</c:v>
                </c:pt>
              </c:strCache>
            </c:strRef>
          </c:cat>
          <c:val>
            <c:numRef>
              <c:f>'Figure 7 final'!$F$4:$F$23</c:f>
              <c:numCache>
                <c:formatCode>0.0%</c:formatCode>
                <c:ptCount val="20"/>
                <c:pt idx="0" formatCode="0.00%">
                  <c:v>9.4000000000000004E-3</c:v>
                </c:pt>
                <c:pt idx="1">
                  <c:v>1.23E-2</c:v>
                </c:pt>
                <c:pt idx="2">
                  <c:v>7.0000000000000001E-3</c:v>
                </c:pt>
                <c:pt idx="3">
                  <c:v>1.41E-2</c:v>
                </c:pt>
                <c:pt idx="4">
                  <c:v>1.12E-2</c:v>
                </c:pt>
                <c:pt idx="5">
                  <c:v>1.35E-2</c:v>
                </c:pt>
                <c:pt idx="6">
                  <c:v>1.61E-2</c:v>
                </c:pt>
                <c:pt idx="7">
                  <c:v>1.24E-2</c:v>
                </c:pt>
                <c:pt idx="8">
                  <c:v>2.2100000000000002E-2</c:v>
                </c:pt>
                <c:pt idx="9">
                  <c:v>2.2200000000000001E-2</c:v>
                </c:pt>
                <c:pt idx="10">
                  <c:v>2.41E-2</c:v>
                </c:pt>
                <c:pt idx="11">
                  <c:v>2.75E-2</c:v>
                </c:pt>
                <c:pt idx="12">
                  <c:v>2.63E-2</c:v>
                </c:pt>
                <c:pt idx="13">
                  <c:v>3.6999999999999998E-2</c:v>
                </c:pt>
                <c:pt idx="14">
                  <c:v>4.1300000000000003E-2</c:v>
                </c:pt>
                <c:pt idx="15">
                  <c:v>5.4899999999999997E-2</c:v>
                </c:pt>
                <c:pt idx="16">
                  <c:v>6.6600000000000006E-2</c:v>
                </c:pt>
                <c:pt idx="17">
                  <c:v>8.5699999999999998E-2</c:v>
                </c:pt>
                <c:pt idx="18">
                  <c:v>0.10630000000000001</c:v>
                </c:pt>
                <c:pt idx="19">
                  <c:v>0.1202</c:v>
                </c:pt>
              </c:numCache>
            </c:numRef>
          </c:val>
          <c:extLst xmlns:c16r2="http://schemas.microsoft.com/office/drawing/2015/06/chart">
            <c:ext xmlns:c16="http://schemas.microsoft.com/office/drawing/2014/chart" uri="{C3380CC4-5D6E-409C-BE32-E72D297353CC}">
              <c16:uniqueId val="{00000000-D4BC-40DC-9ED3-3DCCE3D69255}"/>
            </c:ext>
          </c:extLst>
        </c:ser>
        <c:ser>
          <c:idx val="1"/>
          <c:order val="1"/>
          <c:tx>
            <c:v>2014</c:v>
          </c:tx>
          <c:invertIfNegative val="0"/>
          <c:dLbls>
            <c:delete val="1"/>
          </c:dLbls>
          <c:cat>
            <c:strRef>
              <c:f>'Figure 7 final'!$A$4:$A$23</c:f>
              <c:strCache>
                <c:ptCount val="20"/>
                <c:pt idx="0">
                  <c:v>Diabetic infection (including foot)</c:v>
                </c:pt>
                <c:pt idx="1">
                  <c:v>Appendicitis</c:v>
                </c:pt>
                <c:pt idx="2">
                  <c:v>Pyelonephritis</c:v>
                </c:pt>
                <c:pt idx="3">
                  <c:v>Febrile neutropenia</c:v>
                </c:pt>
                <c:pt idx="4">
                  <c:v>Peritonitis</c:v>
                </c:pt>
                <c:pt idx="5">
                  <c:v>Osteomyelitis</c:v>
                </c:pt>
                <c:pt idx="6">
                  <c:v>Trauma (includes wound)</c:v>
                </c:pt>
                <c:pt idx="7">
                  <c:v>Diverticulitis</c:v>
                </c:pt>
                <c:pt idx="8">
                  <c:v>Abscess: skin and soft tissue</c:v>
                </c:pt>
                <c:pt idx="9">
                  <c:v>Wound infection: surgical</c:v>
                </c:pt>
                <c:pt idx="10">
                  <c:v>Pneumonia: aspiration</c:v>
                </c:pt>
                <c:pt idx="11">
                  <c:v>Pneumonia: hospital acquired</c:v>
                </c:pt>
                <c:pt idx="12">
                  <c:v>Cutaneous and mucosal candidiasis</c:v>
                </c:pt>
                <c:pt idx="13">
                  <c:v>COPD: infective exacerbation</c:v>
                </c:pt>
                <c:pt idx="14">
                  <c:v>Cellulitis/Erysipelas</c:v>
                </c:pt>
                <c:pt idx="15">
                  <c:v>Sepsis</c:v>
                </c:pt>
                <c:pt idx="16">
                  <c:v>Urinary tract infection</c:v>
                </c:pt>
                <c:pt idx="17">
                  <c:v>Medical prophylaxis</c:v>
                </c:pt>
                <c:pt idx="18">
                  <c:v>Pneumonia: community acquired</c:v>
                </c:pt>
                <c:pt idx="19">
                  <c:v>Surgical prophylaxis</c:v>
                </c:pt>
              </c:strCache>
            </c:strRef>
          </c:cat>
          <c:val>
            <c:numRef>
              <c:f>'Figure 7 final'!$E$4:$E$23</c:f>
              <c:numCache>
                <c:formatCode>0.0%</c:formatCode>
                <c:ptCount val="20"/>
                <c:pt idx="0" formatCode="0.00%">
                  <c:v>9.7999999999999997E-3</c:v>
                </c:pt>
                <c:pt idx="1">
                  <c:v>9.9000000000000008E-3</c:v>
                </c:pt>
                <c:pt idx="2">
                  <c:v>9.7000000000000003E-3</c:v>
                </c:pt>
                <c:pt idx="3">
                  <c:v>1.5800000000000002E-2</c:v>
                </c:pt>
                <c:pt idx="4">
                  <c:v>8.0999999999999996E-3</c:v>
                </c:pt>
                <c:pt idx="5">
                  <c:v>1.38E-2</c:v>
                </c:pt>
                <c:pt idx="6">
                  <c:v>1.67E-2</c:v>
                </c:pt>
                <c:pt idx="7">
                  <c:v>1.41E-2</c:v>
                </c:pt>
                <c:pt idx="8">
                  <c:v>1.8800000000000001E-2</c:v>
                </c:pt>
                <c:pt idx="9">
                  <c:v>2.0299999999999999E-2</c:v>
                </c:pt>
                <c:pt idx="10">
                  <c:v>2.07E-2</c:v>
                </c:pt>
                <c:pt idx="11">
                  <c:v>2.4199999999999999E-2</c:v>
                </c:pt>
                <c:pt idx="12">
                  <c:v>2.4400000000000002E-2</c:v>
                </c:pt>
                <c:pt idx="13">
                  <c:v>3.9600000000000003E-2</c:v>
                </c:pt>
                <c:pt idx="14">
                  <c:v>4.6199999999999998E-2</c:v>
                </c:pt>
                <c:pt idx="15">
                  <c:v>6.0999999999999999E-2</c:v>
                </c:pt>
                <c:pt idx="16">
                  <c:v>7.4200000000000002E-2</c:v>
                </c:pt>
                <c:pt idx="17">
                  <c:v>7.0699999999999999E-2</c:v>
                </c:pt>
                <c:pt idx="18">
                  <c:v>0.1216</c:v>
                </c:pt>
                <c:pt idx="19">
                  <c:v>0.12529999999999999</c:v>
                </c:pt>
              </c:numCache>
            </c:numRef>
          </c:val>
          <c:extLst xmlns:c16r2="http://schemas.microsoft.com/office/drawing/2015/06/chart">
            <c:ext xmlns:c16="http://schemas.microsoft.com/office/drawing/2014/chart" uri="{C3380CC4-5D6E-409C-BE32-E72D297353CC}">
              <c16:uniqueId val="{00000001-D4BC-40DC-9ED3-3DCCE3D69255}"/>
            </c:ext>
          </c:extLst>
        </c:ser>
        <c:ser>
          <c:idx val="2"/>
          <c:order val="2"/>
          <c:tx>
            <c:v>2015</c:v>
          </c:tx>
          <c:invertIfNegative val="0"/>
          <c:dLbls>
            <c:delete val="1"/>
          </c:dLbls>
          <c:cat>
            <c:strRef>
              <c:f>'Figure 7 final'!$A$4:$A$23</c:f>
              <c:strCache>
                <c:ptCount val="20"/>
                <c:pt idx="0">
                  <c:v>Diabetic infection (including foot)</c:v>
                </c:pt>
                <c:pt idx="1">
                  <c:v>Appendicitis</c:v>
                </c:pt>
                <c:pt idx="2">
                  <c:v>Pyelonephritis</c:v>
                </c:pt>
                <c:pt idx="3">
                  <c:v>Febrile neutropenia</c:v>
                </c:pt>
                <c:pt idx="4">
                  <c:v>Peritonitis</c:v>
                </c:pt>
                <c:pt idx="5">
                  <c:v>Osteomyelitis</c:v>
                </c:pt>
                <c:pt idx="6">
                  <c:v>Trauma (includes wound)</c:v>
                </c:pt>
                <c:pt idx="7">
                  <c:v>Diverticulitis</c:v>
                </c:pt>
                <c:pt idx="8">
                  <c:v>Abscess: skin and soft tissue</c:v>
                </c:pt>
                <c:pt idx="9">
                  <c:v>Wound infection: surgical</c:v>
                </c:pt>
                <c:pt idx="10">
                  <c:v>Pneumonia: aspiration</c:v>
                </c:pt>
                <c:pt idx="11">
                  <c:v>Pneumonia: hospital acquired</c:v>
                </c:pt>
                <c:pt idx="12">
                  <c:v>Cutaneous and mucosal candidiasis</c:v>
                </c:pt>
                <c:pt idx="13">
                  <c:v>COPD: infective exacerbation</c:v>
                </c:pt>
                <c:pt idx="14">
                  <c:v>Cellulitis/Erysipelas</c:v>
                </c:pt>
                <c:pt idx="15">
                  <c:v>Sepsis</c:v>
                </c:pt>
                <c:pt idx="16">
                  <c:v>Urinary tract infection</c:v>
                </c:pt>
                <c:pt idx="17">
                  <c:v>Medical prophylaxis</c:v>
                </c:pt>
                <c:pt idx="18">
                  <c:v>Pneumonia: community acquired</c:v>
                </c:pt>
                <c:pt idx="19">
                  <c:v>Surgical prophylaxis</c:v>
                </c:pt>
              </c:strCache>
            </c:strRef>
          </c:cat>
          <c:val>
            <c:numRef>
              <c:f>'Figure 7 final'!$D$4:$D$23</c:f>
              <c:numCache>
                <c:formatCode>0.0%</c:formatCode>
                <c:ptCount val="20"/>
                <c:pt idx="0" formatCode="0.00%">
                  <c:v>1.0200000000000001E-2</c:v>
                </c:pt>
                <c:pt idx="1">
                  <c:v>9.1000000000000004E-3</c:v>
                </c:pt>
                <c:pt idx="2">
                  <c:v>9.2999999999999992E-3</c:v>
                </c:pt>
                <c:pt idx="3">
                  <c:v>1.34E-2</c:v>
                </c:pt>
                <c:pt idx="4">
                  <c:v>1.06E-2</c:v>
                </c:pt>
                <c:pt idx="5">
                  <c:v>1.26E-2</c:v>
                </c:pt>
                <c:pt idx="6">
                  <c:v>1.5800000000000002E-2</c:v>
                </c:pt>
                <c:pt idx="7">
                  <c:v>1.47E-2</c:v>
                </c:pt>
                <c:pt idx="8">
                  <c:v>1.89E-2</c:v>
                </c:pt>
                <c:pt idx="9">
                  <c:v>1.8100000000000002E-2</c:v>
                </c:pt>
                <c:pt idx="10">
                  <c:v>1.9300000000000001E-2</c:v>
                </c:pt>
                <c:pt idx="11">
                  <c:v>2.5399999999999999E-2</c:v>
                </c:pt>
                <c:pt idx="12">
                  <c:v>3.4200000000000001E-2</c:v>
                </c:pt>
                <c:pt idx="13">
                  <c:v>3.6900000000000002E-2</c:v>
                </c:pt>
                <c:pt idx="14">
                  <c:v>4.1599999999999998E-2</c:v>
                </c:pt>
                <c:pt idx="15">
                  <c:v>5.6300000000000003E-2</c:v>
                </c:pt>
                <c:pt idx="16">
                  <c:v>6.3500000000000001E-2</c:v>
                </c:pt>
                <c:pt idx="17">
                  <c:v>7.22E-2</c:v>
                </c:pt>
                <c:pt idx="18">
                  <c:v>0.1113</c:v>
                </c:pt>
                <c:pt idx="19">
                  <c:v>0.15640000000000001</c:v>
                </c:pt>
              </c:numCache>
            </c:numRef>
          </c:val>
          <c:extLst xmlns:c16r2="http://schemas.microsoft.com/office/drawing/2015/06/chart">
            <c:ext xmlns:c16="http://schemas.microsoft.com/office/drawing/2014/chart" uri="{C3380CC4-5D6E-409C-BE32-E72D297353CC}">
              <c16:uniqueId val="{00000002-D4BC-40DC-9ED3-3DCCE3D69255}"/>
            </c:ext>
          </c:extLst>
        </c:ser>
        <c:ser>
          <c:idx val="3"/>
          <c:order val="3"/>
          <c:tx>
            <c:v>2016</c:v>
          </c:tx>
          <c:invertIfNegative val="0"/>
          <c:dLbls>
            <c:delete val="1"/>
          </c:dLbls>
          <c:cat>
            <c:strRef>
              <c:f>'Figure 7 final'!$A$4:$A$23</c:f>
              <c:strCache>
                <c:ptCount val="20"/>
                <c:pt idx="0">
                  <c:v>Diabetic infection (including foot)</c:v>
                </c:pt>
                <c:pt idx="1">
                  <c:v>Appendicitis</c:v>
                </c:pt>
                <c:pt idx="2">
                  <c:v>Pyelonephritis</c:v>
                </c:pt>
                <c:pt idx="3">
                  <c:v>Febrile neutropenia</c:v>
                </c:pt>
                <c:pt idx="4">
                  <c:v>Peritonitis</c:v>
                </c:pt>
                <c:pt idx="5">
                  <c:v>Osteomyelitis</c:v>
                </c:pt>
                <c:pt idx="6">
                  <c:v>Trauma (includes wound)</c:v>
                </c:pt>
                <c:pt idx="7">
                  <c:v>Diverticulitis</c:v>
                </c:pt>
                <c:pt idx="8">
                  <c:v>Abscess: skin and soft tissue</c:v>
                </c:pt>
                <c:pt idx="9">
                  <c:v>Wound infection: surgical</c:v>
                </c:pt>
                <c:pt idx="10">
                  <c:v>Pneumonia: aspiration</c:v>
                </c:pt>
                <c:pt idx="11">
                  <c:v>Pneumonia: hospital acquired</c:v>
                </c:pt>
                <c:pt idx="12">
                  <c:v>Cutaneous and mucosal candidiasis</c:v>
                </c:pt>
                <c:pt idx="13">
                  <c:v>COPD: infective exacerbation</c:v>
                </c:pt>
                <c:pt idx="14">
                  <c:v>Cellulitis/Erysipelas</c:v>
                </c:pt>
                <c:pt idx="15">
                  <c:v>Sepsis</c:v>
                </c:pt>
                <c:pt idx="16">
                  <c:v>Urinary tract infection</c:v>
                </c:pt>
                <c:pt idx="17">
                  <c:v>Medical prophylaxis</c:v>
                </c:pt>
                <c:pt idx="18">
                  <c:v>Pneumonia: community acquired</c:v>
                </c:pt>
                <c:pt idx="19">
                  <c:v>Surgical prophylaxis</c:v>
                </c:pt>
              </c:strCache>
            </c:strRef>
          </c:cat>
          <c:val>
            <c:numRef>
              <c:f>'Figure 7 final'!$C$4:$C$23</c:f>
              <c:numCache>
                <c:formatCode>0.0%</c:formatCode>
                <c:ptCount val="20"/>
                <c:pt idx="0" formatCode="0.00%">
                  <c:v>9.4999999999999998E-3</c:v>
                </c:pt>
                <c:pt idx="1">
                  <c:v>1.03E-2</c:v>
                </c:pt>
                <c:pt idx="2">
                  <c:v>8.5000000000000006E-3</c:v>
                </c:pt>
                <c:pt idx="3">
                  <c:v>1.4999999999999999E-2</c:v>
                </c:pt>
                <c:pt idx="4">
                  <c:v>1.03E-2</c:v>
                </c:pt>
                <c:pt idx="5">
                  <c:v>1.2999999999999999E-2</c:v>
                </c:pt>
                <c:pt idx="6">
                  <c:v>1.5100000000000001E-2</c:v>
                </c:pt>
                <c:pt idx="7">
                  <c:v>1.3299999999999999E-2</c:v>
                </c:pt>
                <c:pt idx="8">
                  <c:v>1.9199999999999998E-2</c:v>
                </c:pt>
                <c:pt idx="9">
                  <c:v>1.7899999999999999E-2</c:v>
                </c:pt>
                <c:pt idx="10">
                  <c:v>2.0199999999999999E-2</c:v>
                </c:pt>
                <c:pt idx="11">
                  <c:v>2.7199999999999998E-2</c:v>
                </c:pt>
                <c:pt idx="12">
                  <c:v>3.78E-2</c:v>
                </c:pt>
                <c:pt idx="13">
                  <c:v>3.5900000000000001E-2</c:v>
                </c:pt>
                <c:pt idx="14">
                  <c:v>4.2500000000000003E-2</c:v>
                </c:pt>
                <c:pt idx="15">
                  <c:v>5.6099999999999997E-2</c:v>
                </c:pt>
                <c:pt idx="16">
                  <c:v>6.0999999999999999E-2</c:v>
                </c:pt>
                <c:pt idx="17">
                  <c:v>7.3400000000000007E-2</c:v>
                </c:pt>
                <c:pt idx="18">
                  <c:v>0.11940000000000001</c:v>
                </c:pt>
                <c:pt idx="19">
                  <c:v>0.1434</c:v>
                </c:pt>
              </c:numCache>
            </c:numRef>
          </c:val>
          <c:extLst xmlns:c16r2="http://schemas.microsoft.com/office/drawing/2015/06/chart">
            <c:ext xmlns:c16="http://schemas.microsoft.com/office/drawing/2014/chart" uri="{C3380CC4-5D6E-409C-BE32-E72D297353CC}">
              <c16:uniqueId val="{00000003-D4BC-40DC-9ED3-3DCCE3D69255}"/>
            </c:ext>
          </c:extLst>
        </c:ser>
        <c:ser>
          <c:idx val="4"/>
          <c:order val="4"/>
          <c:tx>
            <c:v>2017</c:v>
          </c:tx>
          <c:invertIfNegative val="0"/>
          <c:dLbls>
            <c:spPr>
              <a:noFill/>
              <a:ln>
                <a:noFill/>
              </a:ln>
              <a:effectLst/>
            </c:spPr>
            <c:txPr>
              <a:bodyPr/>
              <a:lstStyle/>
              <a:p>
                <a:pPr>
                  <a:defRPr sz="7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7 final'!$A$4:$A$23</c:f>
              <c:strCache>
                <c:ptCount val="20"/>
                <c:pt idx="0">
                  <c:v>Diabetic infection (including foot)</c:v>
                </c:pt>
                <c:pt idx="1">
                  <c:v>Appendicitis</c:v>
                </c:pt>
                <c:pt idx="2">
                  <c:v>Pyelonephritis</c:v>
                </c:pt>
                <c:pt idx="3">
                  <c:v>Febrile neutropenia</c:v>
                </c:pt>
                <c:pt idx="4">
                  <c:v>Peritonitis</c:v>
                </c:pt>
                <c:pt idx="5">
                  <c:v>Osteomyelitis</c:v>
                </c:pt>
                <c:pt idx="6">
                  <c:v>Trauma (includes wound)</c:v>
                </c:pt>
                <c:pt idx="7">
                  <c:v>Diverticulitis</c:v>
                </c:pt>
                <c:pt idx="8">
                  <c:v>Abscess: skin and soft tissue</c:v>
                </c:pt>
                <c:pt idx="9">
                  <c:v>Wound infection: surgical</c:v>
                </c:pt>
                <c:pt idx="10">
                  <c:v>Pneumonia: aspiration</c:v>
                </c:pt>
                <c:pt idx="11">
                  <c:v>Pneumonia: hospital acquired</c:v>
                </c:pt>
                <c:pt idx="12">
                  <c:v>Cutaneous and mucosal candidiasis</c:v>
                </c:pt>
                <c:pt idx="13">
                  <c:v>COPD: infective exacerbation</c:v>
                </c:pt>
                <c:pt idx="14">
                  <c:v>Cellulitis/Erysipelas</c:v>
                </c:pt>
                <c:pt idx="15">
                  <c:v>Sepsis</c:v>
                </c:pt>
                <c:pt idx="16">
                  <c:v>Urinary tract infection</c:v>
                </c:pt>
                <c:pt idx="17">
                  <c:v>Medical prophylaxis</c:v>
                </c:pt>
                <c:pt idx="18">
                  <c:v>Pneumonia: community acquired</c:v>
                </c:pt>
                <c:pt idx="19">
                  <c:v>Surgical prophylaxis</c:v>
                </c:pt>
              </c:strCache>
            </c:strRef>
          </c:cat>
          <c:val>
            <c:numRef>
              <c:f>'Figure 7 final'!$B$4:$B$23</c:f>
              <c:numCache>
                <c:formatCode>0.0%</c:formatCode>
                <c:ptCount val="20"/>
                <c:pt idx="0" formatCode="0.00%">
                  <c:v>9.5999999999999992E-3</c:v>
                </c:pt>
                <c:pt idx="1">
                  <c:v>9.7000000000000003E-3</c:v>
                </c:pt>
                <c:pt idx="2">
                  <c:v>1.12E-2</c:v>
                </c:pt>
                <c:pt idx="3">
                  <c:v>1.17E-2</c:v>
                </c:pt>
                <c:pt idx="4">
                  <c:v>1.17E-2</c:v>
                </c:pt>
                <c:pt idx="5">
                  <c:v>1.38E-2</c:v>
                </c:pt>
                <c:pt idx="6">
                  <c:v>1.4800000000000001E-2</c:v>
                </c:pt>
                <c:pt idx="7">
                  <c:v>1.55E-2</c:v>
                </c:pt>
                <c:pt idx="8">
                  <c:v>1.7999999999999999E-2</c:v>
                </c:pt>
                <c:pt idx="9">
                  <c:v>1.9800000000000002E-2</c:v>
                </c:pt>
                <c:pt idx="10">
                  <c:v>2.1000000000000001E-2</c:v>
                </c:pt>
                <c:pt idx="11">
                  <c:v>2.5700000000000001E-2</c:v>
                </c:pt>
                <c:pt idx="12">
                  <c:v>3.3700000000000001E-2</c:v>
                </c:pt>
                <c:pt idx="13">
                  <c:v>3.7100000000000001E-2</c:v>
                </c:pt>
                <c:pt idx="14">
                  <c:v>4.2000000000000003E-2</c:v>
                </c:pt>
                <c:pt idx="15">
                  <c:v>5.8299999999999998E-2</c:v>
                </c:pt>
                <c:pt idx="16">
                  <c:v>6.4399999999999999E-2</c:v>
                </c:pt>
                <c:pt idx="17">
                  <c:v>7.2499999999999995E-2</c:v>
                </c:pt>
                <c:pt idx="18">
                  <c:v>0.12509999999999999</c:v>
                </c:pt>
                <c:pt idx="19">
                  <c:v>0.1295</c:v>
                </c:pt>
              </c:numCache>
            </c:numRef>
          </c:val>
          <c:extLst xmlns:c16r2="http://schemas.microsoft.com/office/drawing/2015/06/chart">
            <c:ext xmlns:c16="http://schemas.microsoft.com/office/drawing/2014/chart" uri="{C3380CC4-5D6E-409C-BE32-E72D297353CC}">
              <c16:uniqueId val="{00000005-D4BC-40DC-9ED3-3DCCE3D69255}"/>
            </c:ext>
          </c:extLst>
        </c:ser>
        <c:dLbls>
          <c:showLegendKey val="0"/>
          <c:showVal val="1"/>
          <c:showCatName val="0"/>
          <c:showSerName val="0"/>
          <c:showPercent val="0"/>
          <c:showBubbleSize val="0"/>
        </c:dLbls>
        <c:gapWidth val="205"/>
        <c:overlap val="-25"/>
        <c:axId val="243204480"/>
        <c:axId val="243210880"/>
      </c:barChart>
      <c:catAx>
        <c:axId val="243204480"/>
        <c:scaling>
          <c:orientation val="minMax"/>
        </c:scaling>
        <c:delete val="0"/>
        <c:axPos val="l"/>
        <c:title>
          <c:tx>
            <c:rich>
              <a:bodyPr rot="-5400000" vert="horz"/>
              <a:lstStyle/>
              <a:p>
                <a:pPr>
                  <a:defRPr/>
                </a:pPr>
                <a:r>
                  <a:rPr lang="en-AU"/>
                  <a:t>Indication</a:t>
                </a:r>
              </a:p>
            </c:rich>
          </c:tx>
          <c:layout/>
          <c:overlay val="0"/>
        </c:title>
        <c:numFmt formatCode="General" sourceLinked="0"/>
        <c:majorTickMark val="none"/>
        <c:minorTickMark val="none"/>
        <c:tickLblPos val="nextTo"/>
        <c:txPr>
          <a:bodyPr/>
          <a:lstStyle/>
          <a:p>
            <a:pPr>
              <a:defRPr sz="800"/>
            </a:pPr>
            <a:endParaRPr lang="en-US"/>
          </a:p>
        </c:txPr>
        <c:crossAx val="243210880"/>
        <c:crosses val="autoZero"/>
        <c:auto val="1"/>
        <c:lblAlgn val="ctr"/>
        <c:lblOffset val="100"/>
        <c:noMultiLvlLbl val="0"/>
      </c:catAx>
      <c:valAx>
        <c:axId val="243210880"/>
        <c:scaling>
          <c:orientation val="minMax"/>
        </c:scaling>
        <c:delete val="1"/>
        <c:axPos val="b"/>
        <c:title>
          <c:tx>
            <c:rich>
              <a:bodyPr/>
              <a:lstStyle/>
              <a:p>
                <a:pPr>
                  <a:defRPr/>
                </a:pPr>
                <a:r>
                  <a:rPr lang="en-AU" sz="900" b="1" i="0" baseline="0">
                    <a:effectLst/>
                  </a:rPr>
                  <a:t>Percentage (%) of total indications for prescriptions from NAPS contributors</a:t>
                </a:r>
                <a:endParaRPr lang="en-AU" sz="900">
                  <a:effectLst/>
                </a:endParaRPr>
              </a:p>
            </c:rich>
          </c:tx>
          <c:layout>
            <c:manualLayout>
              <c:xMode val="edge"/>
              <c:yMode val="edge"/>
              <c:x val="0.10537682789651294"/>
              <c:y val="0.93589538149836549"/>
            </c:manualLayout>
          </c:layout>
          <c:overlay val="0"/>
        </c:title>
        <c:numFmt formatCode="0.00%" sourceLinked="1"/>
        <c:majorTickMark val="out"/>
        <c:minorTickMark val="none"/>
        <c:tickLblPos val="nextTo"/>
        <c:crossAx val="243204480"/>
        <c:crosses val="autoZero"/>
        <c:crossBetween val="between"/>
      </c:valAx>
    </c:plotArea>
    <c:legend>
      <c:legendPos val="b"/>
      <c:layout/>
      <c:overlay val="0"/>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084477937190364"/>
          <c:y val="2.586971883671078E-2"/>
          <c:w val="0.78056282841945357"/>
          <c:h val="0.81877456419616101"/>
        </c:manualLayout>
      </c:layout>
      <c:barChart>
        <c:barDir val="bar"/>
        <c:grouping val="percentStacked"/>
        <c:varyColors val="0"/>
        <c:ser>
          <c:idx val="0"/>
          <c:order val="0"/>
          <c:tx>
            <c:strRef>
              <c:f>'Figure 11'!$C$27</c:f>
              <c:strCache>
                <c:ptCount val="1"/>
                <c:pt idx="0">
                  <c:v>Appropriate</c:v>
                </c:pt>
              </c:strCache>
            </c:strRef>
          </c:tx>
          <c:spPr>
            <a:solidFill>
              <a:srgbClr val="0070C0"/>
            </a:solidFill>
          </c:spPr>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11'!$B$27:$B$47</c:f>
              <c:strCache>
                <c:ptCount val="21"/>
                <c:pt idx="1">
                  <c:v>COPD: infective exacerbation</c:v>
                </c:pt>
                <c:pt idx="2">
                  <c:v>Surgical prophylaxis</c:v>
                </c:pt>
                <c:pt idx="3">
                  <c:v>Trauma (includes wound)</c:v>
                </c:pt>
                <c:pt idx="4">
                  <c:v>Abscess</c:v>
                </c:pt>
                <c:pt idx="5">
                  <c:v>Wound infection: surgical</c:v>
                </c:pt>
                <c:pt idx="6">
                  <c:v>Pneumonia: aspiration</c:v>
                </c:pt>
                <c:pt idx="7">
                  <c:v>Pneumonia: hospital acquired</c:v>
                </c:pt>
                <c:pt idx="8">
                  <c:v>Urinary tract infection</c:v>
                </c:pt>
                <c:pt idx="9">
                  <c:v>Pyelonephritis</c:v>
                </c:pt>
                <c:pt idx="10">
                  <c:v>Pneumonia: community acquired </c:v>
                </c:pt>
                <c:pt idx="11">
                  <c:v>Cellulitis/Erysipelas</c:v>
                </c:pt>
                <c:pt idx="12">
                  <c:v>Diverticulitis</c:v>
                </c:pt>
                <c:pt idx="13">
                  <c:v>Cutaneous and mucosal candidiasis</c:v>
                </c:pt>
                <c:pt idx="14">
                  <c:v>Diabetic infection (including foot)</c:v>
                </c:pt>
                <c:pt idx="15">
                  <c:v>Febrile neutropaenia</c:v>
                </c:pt>
                <c:pt idx="16">
                  <c:v>Sepsis</c:v>
                </c:pt>
                <c:pt idx="17">
                  <c:v>Osteomyelitis</c:v>
                </c:pt>
                <c:pt idx="18">
                  <c:v>Peritonitis</c:v>
                </c:pt>
                <c:pt idx="19">
                  <c:v>Appendicitis</c:v>
                </c:pt>
                <c:pt idx="20">
                  <c:v>Medical prophylaxis </c:v>
                </c:pt>
              </c:strCache>
            </c:strRef>
          </c:cat>
          <c:val>
            <c:numRef>
              <c:f>'Figure 11'!$C$27:$C$47</c:f>
              <c:numCache>
                <c:formatCode>0.0%</c:formatCode>
                <c:ptCount val="21"/>
                <c:pt idx="0" formatCode="General">
                  <c:v>0</c:v>
                </c:pt>
                <c:pt idx="1">
                  <c:v>0.57499999999999996</c:v>
                </c:pt>
                <c:pt idx="2">
                  <c:v>0.58299999999999996</c:v>
                </c:pt>
                <c:pt idx="3">
                  <c:v>0.66600000000000004</c:v>
                </c:pt>
                <c:pt idx="4">
                  <c:v>0.71099999999999997</c:v>
                </c:pt>
                <c:pt idx="5">
                  <c:v>0.71899999999999997</c:v>
                </c:pt>
                <c:pt idx="6">
                  <c:v>0.72099999999999997</c:v>
                </c:pt>
                <c:pt idx="7">
                  <c:v>0.73899999999999999</c:v>
                </c:pt>
                <c:pt idx="8">
                  <c:v>0.747</c:v>
                </c:pt>
                <c:pt idx="9">
                  <c:v>0.76600000000000001</c:v>
                </c:pt>
                <c:pt idx="10">
                  <c:v>0.76700000000000002</c:v>
                </c:pt>
                <c:pt idx="11">
                  <c:v>0.77800000000000002</c:v>
                </c:pt>
                <c:pt idx="12">
                  <c:v>0.78100000000000003</c:v>
                </c:pt>
                <c:pt idx="13">
                  <c:v>0.84299999999999997</c:v>
                </c:pt>
                <c:pt idx="14">
                  <c:v>0.85</c:v>
                </c:pt>
                <c:pt idx="15">
                  <c:v>0.86299999999999999</c:v>
                </c:pt>
                <c:pt idx="16">
                  <c:v>0.86399999999999999</c:v>
                </c:pt>
                <c:pt idx="17">
                  <c:v>0.86499999999999999</c:v>
                </c:pt>
                <c:pt idx="18">
                  <c:v>0.86599999999999999</c:v>
                </c:pt>
                <c:pt idx="19">
                  <c:v>0.87</c:v>
                </c:pt>
                <c:pt idx="20">
                  <c:v>0.88200000000000001</c:v>
                </c:pt>
              </c:numCache>
            </c:numRef>
          </c:val>
          <c:extLst xmlns:c16r2="http://schemas.microsoft.com/office/drawing/2015/06/chart">
            <c:ext xmlns:c16="http://schemas.microsoft.com/office/drawing/2014/chart" uri="{C3380CC4-5D6E-409C-BE32-E72D297353CC}">
              <c16:uniqueId val="{00000000-1C63-8747-92BA-202AFCADF628}"/>
            </c:ext>
          </c:extLst>
        </c:ser>
        <c:ser>
          <c:idx val="1"/>
          <c:order val="1"/>
          <c:tx>
            <c:strRef>
              <c:f>'Figure 11'!$D$27</c:f>
              <c:strCache>
                <c:ptCount val="1"/>
                <c:pt idx="0">
                  <c:v>Not assessable</c:v>
                </c:pt>
              </c:strCache>
            </c:strRef>
          </c:tx>
          <c:spPr>
            <a:solidFill>
              <a:srgbClr val="125370">
                <a:lumMod val="20000"/>
                <a:lumOff val="80000"/>
              </a:srgbClr>
            </a:solidFill>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63-8747-92BA-202AFCADF628}"/>
                </c:ext>
              </c:extLst>
            </c:dLbl>
            <c:spPr>
              <a:no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11'!$B$27:$B$47</c:f>
              <c:strCache>
                <c:ptCount val="21"/>
                <c:pt idx="1">
                  <c:v>COPD: infective exacerbation</c:v>
                </c:pt>
                <c:pt idx="2">
                  <c:v>Surgical prophylaxis</c:v>
                </c:pt>
                <c:pt idx="3">
                  <c:v>Trauma (includes wound)</c:v>
                </c:pt>
                <c:pt idx="4">
                  <c:v>Abscess</c:v>
                </c:pt>
                <c:pt idx="5">
                  <c:v>Wound infection: surgical</c:v>
                </c:pt>
                <c:pt idx="6">
                  <c:v>Pneumonia: aspiration</c:v>
                </c:pt>
                <c:pt idx="7">
                  <c:v>Pneumonia: hospital acquired</c:v>
                </c:pt>
                <c:pt idx="8">
                  <c:v>Urinary tract infection</c:v>
                </c:pt>
                <c:pt idx="9">
                  <c:v>Pyelonephritis</c:v>
                </c:pt>
                <c:pt idx="10">
                  <c:v>Pneumonia: community acquired </c:v>
                </c:pt>
                <c:pt idx="11">
                  <c:v>Cellulitis/Erysipelas</c:v>
                </c:pt>
                <c:pt idx="12">
                  <c:v>Diverticulitis</c:v>
                </c:pt>
                <c:pt idx="13">
                  <c:v>Cutaneous and mucosal candidiasis</c:v>
                </c:pt>
                <c:pt idx="14">
                  <c:v>Diabetic infection (including foot)</c:v>
                </c:pt>
                <c:pt idx="15">
                  <c:v>Febrile neutropaenia</c:v>
                </c:pt>
                <c:pt idx="16">
                  <c:v>Sepsis</c:v>
                </c:pt>
                <c:pt idx="17">
                  <c:v>Osteomyelitis</c:v>
                </c:pt>
                <c:pt idx="18">
                  <c:v>Peritonitis</c:v>
                </c:pt>
                <c:pt idx="19">
                  <c:v>Appendicitis</c:v>
                </c:pt>
                <c:pt idx="20">
                  <c:v>Medical prophylaxis </c:v>
                </c:pt>
              </c:strCache>
            </c:strRef>
          </c:cat>
          <c:val>
            <c:numRef>
              <c:f>'Figure 11'!$D$27:$D$47</c:f>
              <c:numCache>
                <c:formatCode>0.0%</c:formatCode>
                <c:ptCount val="21"/>
                <c:pt idx="0" formatCode="General">
                  <c:v>0</c:v>
                </c:pt>
                <c:pt idx="1">
                  <c:v>4.7E-2</c:v>
                </c:pt>
                <c:pt idx="2">
                  <c:v>1.4E-2</c:v>
                </c:pt>
                <c:pt idx="3">
                  <c:v>4.1000000000000002E-2</c:v>
                </c:pt>
                <c:pt idx="4">
                  <c:v>4.2000000000000003E-2</c:v>
                </c:pt>
                <c:pt idx="5">
                  <c:v>3.1E-2</c:v>
                </c:pt>
                <c:pt idx="6">
                  <c:v>1.4E-2</c:v>
                </c:pt>
                <c:pt idx="7">
                  <c:v>8.9999999999999993E-3</c:v>
                </c:pt>
                <c:pt idx="8">
                  <c:v>1.4E-2</c:v>
                </c:pt>
                <c:pt idx="9">
                  <c:v>0.02</c:v>
                </c:pt>
                <c:pt idx="10">
                  <c:v>6.0000000000000001E-3</c:v>
                </c:pt>
                <c:pt idx="11">
                  <c:v>1.7000000000000001E-2</c:v>
                </c:pt>
                <c:pt idx="12">
                  <c:v>2E-3</c:v>
                </c:pt>
                <c:pt idx="13">
                  <c:v>3.1E-2</c:v>
                </c:pt>
                <c:pt idx="14">
                  <c:v>8.0000000000000002E-3</c:v>
                </c:pt>
                <c:pt idx="15">
                  <c:v>0.01</c:v>
                </c:pt>
                <c:pt idx="16">
                  <c:v>1.4999999999999999E-2</c:v>
                </c:pt>
                <c:pt idx="17">
                  <c:v>2.1999999999999999E-2</c:v>
                </c:pt>
                <c:pt idx="18">
                  <c:v>1.6E-2</c:v>
                </c:pt>
                <c:pt idx="19">
                  <c:v>0</c:v>
                </c:pt>
                <c:pt idx="20">
                  <c:v>5.7000000000000002E-2</c:v>
                </c:pt>
              </c:numCache>
            </c:numRef>
          </c:val>
          <c:extLst xmlns:c16r2="http://schemas.microsoft.com/office/drawing/2015/06/chart">
            <c:ext xmlns:c16="http://schemas.microsoft.com/office/drawing/2014/chart" uri="{C3380CC4-5D6E-409C-BE32-E72D297353CC}">
              <c16:uniqueId val="{00000002-1C63-8747-92BA-202AFCADF628}"/>
            </c:ext>
          </c:extLst>
        </c:ser>
        <c:ser>
          <c:idx val="2"/>
          <c:order val="2"/>
          <c:tx>
            <c:strRef>
              <c:f>'Figure 11'!$E$27</c:f>
              <c:strCache>
                <c:ptCount val="1"/>
                <c:pt idx="0">
                  <c:v>Inappropriate</c:v>
                </c:pt>
              </c:strCache>
            </c:strRef>
          </c:tx>
          <c:spPr>
            <a:solidFill>
              <a:srgbClr val="DC5827"/>
            </a:solidFill>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63-8747-92BA-202AFCADF628}"/>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11'!$B$27:$B$47</c:f>
              <c:strCache>
                <c:ptCount val="21"/>
                <c:pt idx="1">
                  <c:v>COPD: infective exacerbation</c:v>
                </c:pt>
                <c:pt idx="2">
                  <c:v>Surgical prophylaxis</c:v>
                </c:pt>
                <c:pt idx="3">
                  <c:v>Trauma (includes wound)</c:v>
                </c:pt>
                <c:pt idx="4">
                  <c:v>Abscess</c:v>
                </c:pt>
                <c:pt idx="5">
                  <c:v>Wound infection: surgical</c:v>
                </c:pt>
                <c:pt idx="6">
                  <c:v>Pneumonia: aspiration</c:v>
                </c:pt>
                <c:pt idx="7">
                  <c:v>Pneumonia: hospital acquired</c:v>
                </c:pt>
                <c:pt idx="8">
                  <c:v>Urinary tract infection</c:v>
                </c:pt>
                <c:pt idx="9">
                  <c:v>Pyelonephritis</c:v>
                </c:pt>
                <c:pt idx="10">
                  <c:v>Pneumonia: community acquired </c:v>
                </c:pt>
                <c:pt idx="11">
                  <c:v>Cellulitis/Erysipelas</c:v>
                </c:pt>
                <c:pt idx="12">
                  <c:v>Diverticulitis</c:v>
                </c:pt>
                <c:pt idx="13">
                  <c:v>Cutaneous and mucosal candidiasis</c:v>
                </c:pt>
                <c:pt idx="14">
                  <c:v>Diabetic infection (including foot)</c:v>
                </c:pt>
                <c:pt idx="15">
                  <c:v>Febrile neutropaenia</c:v>
                </c:pt>
                <c:pt idx="16">
                  <c:v>Sepsis</c:v>
                </c:pt>
                <c:pt idx="17">
                  <c:v>Osteomyelitis</c:v>
                </c:pt>
                <c:pt idx="18">
                  <c:v>Peritonitis</c:v>
                </c:pt>
                <c:pt idx="19">
                  <c:v>Appendicitis</c:v>
                </c:pt>
                <c:pt idx="20">
                  <c:v>Medical prophylaxis </c:v>
                </c:pt>
              </c:strCache>
            </c:strRef>
          </c:cat>
          <c:val>
            <c:numRef>
              <c:f>'Figure 11'!$E$27:$E$47</c:f>
              <c:numCache>
                <c:formatCode>0.0%</c:formatCode>
                <c:ptCount val="21"/>
                <c:pt idx="0" formatCode="General">
                  <c:v>0</c:v>
                </c:pt>
                <c:pt idx="1">
                  <c:v>0.378</c:v>
                </c:pt>
                <c:pt idx="2">
                  <c:v>0.40300000000000002</c:v>
                </c:pt>
                <c:pt idx="3">
                  <c:v>0.29299999999999998</c:v>
                </c:pt>
                <c:pt idx="4">
                  <c:v>0.246</c:v>
                </c:pt>
                <c:pt idx="5">
                  <c:v>0.25</c:v>
                </c:pt>
                <c:pt idx="6">
                  <c:v>0.26400000000000001</c:v>
                </c:pt>
                <c:pt idx="7">
                  <c:v>0.252</c:v>
                </c:pt>
                <c:pt idx="8">
                  <c:v>0.23899999999999999</c:v>
                </c:pt>
                <c:pt idx="9">
                  <c:v>0.214</c:v>
                </c:pt>
                <c:pt idx="10">
                  <c:v>0.22600000000000001</c:v>
                </c:pt>
                <c:pt idx="11">
                  <c:v>0.20499999999999999</c:v>
                </c:pt>
                <c:pt idx="12">
                  <c:v>0.217</c:v>
                </c:pt>
                <c:pt idx="13">
                  <c:v>0.127</c:v>
                </c:pt>
                <c:pt idx="14">
                  <c:v>0.14199999999999999</c:v>
                </c:pt>
                <c:pt idx="15">
                  <c:v>0.127</c:v>
                </c:pt>
                <c:pt idx="16">
                  <c:v>0.121</c:v>
                </c:pt>
                <c:pt idx="17">
                  <c:v>0.113</c:v>
                </c:pt>
                <c:pt idx="18">
                  <c:v>0.11700000000000001</c:v>
                </c:pt>
                <c:pt idx="19">
                  <c:v>0.13</c:v>
                </c:pt>
                <c:pt idx="20">
                  <c:v>6.0999999999999999E-2</c:v>
                </c:pt>
              </c:numCache>
            </c:numRef>
          </c:val>
          <c:extLst xmlns:c16r2="http://schemas.microsoft.com/office/drawing/2015/06/chart">
            <c:ext xmlns:c16="http://schemas.microsoft.com/office/drawing/2014/chart" uri="{C3380CC4-5D6E-409C-BE32-E72D297353CC}">
              <c16:uniqueId val="{00000004-1C63-8747-92BA-202AFCADF628}"/>
            </c:ext>
          </c:extLst>
        </c:ser>
        <c:dLbls>
          <c:dLblPos val="ctr"/>
          <c:showLegendKey val="0"/>
          <c:showVal val="1"/>
          <c:showCatName val="0"/>
          <c:showSerName val="0"/>
          <c:showPercent val="0"/>
          <c:showBubbleSize val="0"/>
        </c:dLbls>
        <c:gapWidth val="65"/>
        <c:overlap val="100"/>
        <c:axId val="243262592"/>
        <c:axId val="243264512"/>
      </c:barChart>
      <c:catAx>
        <c:axId val="243262592"/>
        <c:scaling>
          <c:orientation val="minMax"/>
        </c:scaling>
        <c:delete val="0"/>
        <c:axPos val="l"/>
        <c:title>
          <c:tx>
            <c:rich>
              <a:bodyPr rot="-5400000" vert="horz"/>
              <a:lstStyle/>
              <a:p>
                <a:pPr>
                  <a:defRPr/>
                </a:pPr>
                <a:r>
                  <a:rPr lang="en-US"/>
                  <a:t>Indications</a:t>
                </a:r>
              </a:p>
            </c:rich>
          </c:tx>
          <c:layout>
            <c:manualLayout>
              <c:xMode val="edge"/>
              <c:yMode val="edge"/>
              <c:x val="0"/>
              <c:y val="0.45276784846338652"/>
            </c:manualLayout>
          </c:layout>
          <c:overlay val="0"/>
        </c:title>
        <c:numFmt formatCode="General" sourceLinked="1"/>
        <c:majorTickMark val="out"/>
        <c:minorTickMark val="none"/>
        <c:tickLblPos val="nextTo"/>
        <c:crossAx val="243264512"/>
        <c:crosses val="autoZero"/>
        <c:auto val="1"/>
        <c:lblAlgn val="ctr"/>
        <c:lblOffset val="100"/>
        <c:noMultiLvlLbl val="0"/>
      </c:catAx>
      <c:valAx>
        <c:axId val="243264512"/>
        <c:scaling>
          <c:orientation val="minMax"/>
        </c:scaling>
        <c:delete val="0"/>
        <c:axPos val="b"/>
        <c:majorGridlines/>
        <c:title>
          <c:tx>
            <c:rich>
              <a:bodyPr/>
              <a:lstStyle/>
              <a:p>
                <a:pPr>
                  <a:defRPr/>
                </a:pPr>
                <a:r>
                  <a:rPr lang="en-US"/>
                  <a:t>Percentage (%) appropriateness </a:t>
                </a:r>
              </a:p>
            </c:rich>
          </c:tx>
          <c:layout/>
          <c:overlay val="0"/>
        </c:title>
        <c:numFmt formatCode="0%" sourceLinked="1"/>
        <c:majorTickMark val="out"/>
        <c:minorTickMark val="none"/>
        <c:tickLblPos val="nextTo"/>
        <c:crossAx val="243262592"/>
        <c:crosses val="autoZero"/>
        <c:crossBetween val="between"/>
      </c:valAx>
    </c:plotArea>
    <c:legend>
      <c:legendPos val="b"/>
      <c:layout/>
      <c:overlay val="0"/>
    </c:legend>
    <c:plotVisOnly val="1"/>
    <c:dispBlanksAs val="gap"/>
    <c:showDLblsOverMax val="0"/>
  </c:chart>
  <c:spPr>
    <a:ln>
      <a:noFill/>
    </a:ln>
  </c:spPr>
  <c:txPr>
    <a:bodyPr/>
    <a:lstStyle/>
    <a:p>
      <a:pPr>
        <a:defRPr sz="900"/>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'Figure 9'!$C$3</c:f>
              <c:strCache>
                <c:ptCount val="1"/>
                <c:pt idx="0">
                  <c:v>Compliant with guidelines</c:v>
                </c:pt>
              </c:strCache>
            </c:strRef>
          </c:tx>
          <c:spPr>
            <a:solidFill>
              <a:srgbClr val="0070C0"/>
            </a:solidFill>
          </c:spPr>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9'!$B$4:$B$23</c:f>
              <c:strCache>
                <c:ptCount val="20"/>
                <c:pt idx="0">
                  <c:v>Osteomyelitis</c:v>
                </c:pt>
                <c:pt idx="1">
                  <c:v>Abscess</c:v>
                </c:pt>
                <c:pt idx="2">
                  <c:v>Wound infection: surgical</c:v>
                </c:pt>
                <c:pt idx="3">
                  <c:v>COPD: infective exacerbation</c:v>
                </c:pt>
                <c:pt idx="4">
                  <c:v>Trauma (includes wound)</c:v>
                </c:pt>
                <c:pt idx="5">
                  <c:v>Urinary tract infection</c:v>
                </c:pt>
                <c:pt idx="6">
                  <c:v>Sepsis</c:v>
                </c:pt>
                <c:pt idx="7">
                  <c:v>Surgical prophylaxis</c:v>
                </c:pt>
                <c:pt idx="8">
                  <c:v>Diabetic infection (including foot)</c:v>
                </c:pt>
                <c:pt idx="9">
                  <c:v>Cellulitis/Erysipelas</c:v>
                </c:pt>
                <c:pt idx="10">
                  <c:v>Cholecystitis</c:v>
                </c:pt>
                <c:pt idx="11">
                  <c:v>Pneumonia: hospital acquired</c:v>
                </c:pt>
                <c:pt idx="12">
                  <c:v>Pneumonia: aspiration</c:v>
                </c:pt>
                <c:pt idx="13">
                  <c:v>Diverticulitis</c:v>
                </c:pt>
                <c:pt idx="14">
                  <c:v>Pneumonia: community acquired</c:v>
                </c:pt>
                <c:pt idx="15">
                  <c:v>Appendicitis</c:v>
                </c:pt>
                <c:pt idx="16">
                  <c:v>Peritonitis</c:v>
                </c:pt>
                <c:pt idx="17">
                  <c:v>Cutaneous and mucosal candidiasis</c:v>
                </c:pt>
                <c:pt idx="18">
                  <c:v>Febrile neutropenia</c:v>
                </c:pt>
                <c:pt idx="19">
                  <c:v>Medical prophylaxis</c:v>
                </c:pt>
              </c:strCache>
            </c:strRef>
          </c:cat>
          <c:val>
            <c:numRef>
              <c:f>'Figure 9'!$C$4:$C$23</c:f>
              <c:numCache>
                <c:formatCode>0.0%</c:formatCode>
                <c:ptCount val="20"/>
                <c:pt idx="0">
                  <c:v>0.2424</c:v>
                </c:pt>
                <c:pt idx="1">
                  <c:v>0.35880000000000001</c:v>
                </c:pt>
                <c:pt idx="2">
                  <c:v>0.37119999999999997</c:v>
                </c:pt>
                <c:pt idx="3">
                  <c:v>0.37959999999999999</c:v>
                </c:pt>
                <c:pt idx="4">
                  <c:v>0.41899999999999998</c:v>
                </c:pt>
                <c:pt idx="5">
                  <c:v>0.42099999999999999</c:v>
                </c:pt>
                <c:pt idx="6">
                  <c:v>0.4738</c:v>
                </c:pt>
                <c:pt idx="7">
                  <c:v>0.50749999999999995</c:v>
                </c:pt>
                <c:pt idx="8">
                  <c:v>0.56130000000000002</c:v>
                </c:pt>
                <c:pt idx="9">
                  <c:v>0.56810000000000005</c:v>
                </c:pt>
                <c:pt idx="10">
                  <c:v>0.60470000000000002</c:v>
                </c:pt>
                <c:pt idx="11">
                  <c:v>0.60829999999999995</c:v>
                </c:pt>
                <c:pt idx="12">
                  <c:v>0.62680000000000002</c:v>
                </c:pt>
                <c:pt idx="13">
                  <c:v>0.64290000000000003</c:v>
                </c:pt>
                <c:pt idx="14">
                  <c:v>0.6492</c:v>
                </c:pt>
                <c:pt idx="15">
                  <c:v>0.65749999999999997</c:v>
                </c:pt>
                <c:pt idx="16">
                  <c:v>0.68400000000000005</c:v>
                </c:pt>
                <c:pt idx="17">
                  <c:v>0.73880000000000001</c:v>
                </c:pt>
                <c:pt idx="18">
                  <c:v>0.77449999999999997</c:v>
                </c:pt>
                <c:pt idx="19">
                  <c:v>0.83750000000000002</c:v>
                </c:pt>
              </c:numCache>
            </c:numRef>
          </c:val>
          <c:extLst xmlns:c16r2="http://schemas.microsoft.com/office/drawing/2015/06/chart">
            <c:ext xmlns:c16="http://schemas.microsoft.com/office/drawing/2014/chart" uri="{C3380CC4-5D6E-409C-BE32-E72D297353CC}">
              <c16:uniqueId val="{00000000-A909-4D59-A409-CA2C4FCEAE86}"/>
            </c:ext>
          </c:extLst>
        </c:ser>
        <c:ser>
          <c:idx val="1"/>
          <c:order val="1"/>
          <c:tx>
            <c:strRef>
              <c:f>'Figure 9'!$D$3</c:f>
              <c:strCache>
                <c:ptCount val="1"/>
                <c:pt idx="0">
                  <c:v>Directed therapy</c:v>
                </c:pt>
              </c:strCache>
            </c:strRef>
          </c:tx>
          <c:spPr>
            <a:solidFill>
              <a:schemeClr val="accent3">
                <a:lumMod val="20000"/>
                <a:lumOff val="80000"/>
              </a:schemeClr>
            </a:solidFill>
          </c:spPr>
          <c:invertIfNegative val="0"/>
          <c:dLbls>
            <c:dLbl>
              <c:idx val="7"/>
              <c:layout>
                <c:manualLayout>
                  <c:x val="-7.0477302257615513E-3"/>
                  <c:y val="0"/>
                </c:manualLayout>
              </c:layout>
              <c:spPr/>
              <c:txPr>
                <a:bodyPr/>
                <a:lstStyle/>
                <a:p>
                  <a:pPr>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909-4D59-A409-CA2C4FCEAE86}"/>
                </c:ext>
              </c:extLst>
            </c:dLbl>
            <c:dLbl>
              <c:idx val="9"/>
              <c:layout>
                <c:manualLayout>
                  <c:x val="-8.4572762709138622E-3"/>
                  <c:y val="0"/>
                </c:manualLayout>
              </c:layout>
              <c:spPr/>
              <c:txPr>
                <a:bodyPr/>
                <a:lstStyle/>
                <a:p>
                  <a:pPr>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909-4D59-A409-CA2C4FCEAE86}"/>
                </c:ext>
              </c:extLst>
            </c:dLbl>
            <c:dLbl>
              <c:idx val="10"/>
              <c:layout>
                <c:manualLayout>
                  <c:x val="-8.4572762709138622E-3"/>
                  <c:y val="0"/>
                </c:manualLayout>
              </c:layout>
              <c:spPr/>
              <c:txPr>
                <a:bodyPr/>
                <a:lstStyle/>
                <a:p>
                  <a:pPr>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909-4D59-A409-CA2C4FCEAE86}"/>
                </c:ext>
              </c:extLst>
            </c:dLbl>
            <c:dLbl>
              <c:idx val="12"/>
              <c:layout>
                <c:manualLayout>
                  <c:x val="1.4095460451523103E-3"/>
                  <c:y val="-1.954686076438781E-7"/>
                </c:manualLayout>
              </c:layout>
              <c:spPr/>
              <c:txPr>
                <a:bodyPr/>
                <a:lstStyle/>
                <a:p>
                  <a:pPr>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909-4D59-A409-CA2C4FCEAE86}"/>
                </c:ext>
              </c:extLst>
            </c:dLbl>
            <c:dLbl>
              <c:idx val="13"/>
              <c:layout>
                <c:manualLayout>
                  <c:x val="-1.4095460451523103E-3"/>
                  <c:y val="0"/>
                </c:manualLayout>
              </c:layout>
              <c:spPr/>
              <c:txPr>
                <a:bodyPr/>
                <a:lstStyle/>
                <a:p>
                  <a:pPr>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909-4D59-A409-CA2C4FCEAE86}"/>
                </c:ext>
              </c:extLst>
            </c:dLbl>
            <c:dLbl>
              <c:idx val="14"/>
              <c:layout>
                <c:manualLayout>
                  <c:x val="2.8190920903046206E-3"/>
                  <c:y val="2.4824513170772517E-3"/>
                </c:manualLayout>
              </c:layout>
              <c:spPr/>
              <c:txPr>
                <a:bodyPr/>
                <a:lstStyle/>
                <a:p>
                  <a:pPr>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909-4D59-A409-CA2C4FCEAE86}"/>
                </c:ext>
              </c:extLst>
            </c:dLbl>
            <c:dLbl>
              <c:idx val="15"/>
              <c:layout>
                <c:manualLayout>
                  <c:x val="-8.4572762709138622E-3"/>
                  <c:y val="-1.954686076438781E-7"/>
                </c:manualLayout>
              </c:layout>
              <c:spPr/>
              <c:txPr>
                <a:bodyPr/>
                <a:lstStyle/>
                <a:p>
                  <a:pPr>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909-4D59-A409-CA2C4FCEAE86}"/>
                </c:ext>
              </c:extLst>
            </c:dLbl>
            <c:dLbl>
              <c:idx val="16"/>
              <c:layout>
                <c:manualLayout>
                  <c:x val="-7.0477302257615513E-3"/>
                  <c:y val="-1.954686076438781E-7"/>
                </c:manualLayout>
              </c:layout>
              <c:spPr/>
              <c:txPr>
                <a:bodyPr/>
                <a:lstStyle/>
                <a:p>
                  <a:pPr>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909-4D59-A409-CA2C4FCEAE86}"/>
                </c:ext>
              </c:extLst>
            </c:dLbl>
            <c:dLbl>
              <c:idx val="17"/>
              <c:layout>
                <c:manualLayout>
                  <c:x val="5.6381841806092412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909-4D59-A409-CA2C4FCEAE86}"/>
                </c:ext>
              </c:extLst>
            </c:dLbl>
            <c:dLbl>
              <c:idx val="18"/>
              <c:layout>
                <c:manualLayout>
                  <c:x val="5.6381841806092412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909-4D59-A409-CA2C4FCEAE86}"/>
                </c:ext>
              </c:extLst>
            </c:dLbl>
            <c:dLbl>
              <c:idx val="19"/>
              <c:layout>
                <c:manualLayout>
                  <c:x val="-7.0477302257615513E-3"/>
                  <c:y val="0"/>
                </c:manualLayout>
              </c:layout>
              <c:spPr/>
              <c:txPr>
                <a:bodyPr/>
                <a:lstStyle/>
                <a:p>
                  <a:pPr>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909-4D59-A409-CA2C4FCEAE86}"/>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9'!$B$4:$B$23</c:f>
              <c:strCache>
                <c:ptCount val="20"/>
                <c:pt idx="0">
                  <c:v>Osteomyelitis</c:v>
                </c:pt>
                <c:pt idx="1">
                  <c:v>Abscess</c:v>
                </c:pt>
                <c:pt idx="2">
                  <c:v>Wound infection: surgical</c:v>
                </c:pt>
                <c:pt idx="3">
                  <c:v>COPD: infective exacerbation</c:v>
                </c:pt>
                <c:pt idx="4">
                  <c:v>Trauma (includes wound)</c:v>
                </c:pt>
                <c:pt idx="5">
                  <c:v>Urinary tract infection</c:v>
                </c:pt>
                <c:pt idx="6">
                  <c:v>Sepsis</c:v>
                </c:pt>
                <c:pt idx="7">
                  <c:v>Surgical prophylaxis</c:v>
                </c:pt>
                <c:pt idx="8">
                  <c:v>Diabetic infection (including foot)</c:v>
                </c:pt>
                <c:pt idx="9">
                  <c:v>Cellulitis/Erysipelas</c:v>
                </c:pt>
                <c:pt idx="10">
                  <c:v>Cholecystitis</c:v>
                </c:pt>
                <c:pt idx="11">
                  <c:v>Pneumonia: hospital acquired</c:v>
                </c:pt>
                <c:pt idx="12">
                  <c:v>Pneumonia: aspiration</c:v>
                </c:pt>
                <c:pt idx="13">
                  <c:v>Diverticulitis</c:v>
                </c:pt>
                <c:pt idx="14">
                  <c:v>Pneumonia: community acquired</c:v>
                </c:pt>
                <c:pt idx="15">
                  <c:v>Appendicitis</c:v>
                </c:pt>
                <c:pt idx="16">
                  <c:v>Peritonitis</c:v>
                </c:pt>
                <c:pt idx="17">
                  <c:v>Cutaneous and mucosal candidiasis</c:v>
                </c:pt>
                <c:pt idx="18">
                  <c:v>Febrile neutropenia</c:v>
                </c:pt>
                <c:pt idx="19">
                  <c:v>Medical prophylaxis</c:v>
                </c:pt>
              </c:strCache>
            </c:strRef>
          </c:cat>
          <c:val>
            <c:numRef>
              <c:f>'Figure 9'!$D$4:$D$23</c:f>
              <c:numCache>
                <c:formatCode>0.0%</c:formatCode>
                <c:ptCount val="20"/>
                <c:pt idx="0">
                  <c:v>0.58950000000000002</c:v>
                </c:pt>
                <c:pt idx="1">
                  <c:v>0.22720000000000001</c:v>
                </c:pt>
                <c:pt idx="2">
                  <c:v>0.26350000000000001</c:v>
                </c:pt>
                <c:pt idx="3">
                  <c:v>8.4400000000000003E-2</c:v>
                </c:pt>
                <c:pt idx="4">
                  <c:v>0.20050000000000001</c:v>
                </c:pt>
                <c:pt idx="5">
                  <c:v>0.31019999999999998</c:v>
                </c:pt>
                <c:pt idx="6">
                  <c:v>0.35799999999999998</c:v>
                </c:pt>
                <c:pt idx="7">
                  <c:v>7.7000000000000002E-3</c:v>
                </c:pt>
                <c:pt idx="8">
                  <c:v>0.308</c:v>
                </c:pt>
                <c:pt idx="9">
                  <c:v>0.1134</c:v>
                </c:pt>
                <c:pt idx="10">
                  <c:v>1.5800000000000002E-2</c:v>
                </c:pt>
                <c:pt idx="11">
                  <c:v>9.5000000000000001E-2</c:v>
                </c:pt>
                <c:pt idx="12">
                  <c:v>3.9899999999999998E-2</c:v>
                </c:pt>
                <c:pt idx="13">
                  <c:v>7.4000000000000003E-3</c:v>
                </c:pt>
                <c:pt idx="14">
                  <c:v>3.1699999999999999E-2</c:v>
                </c:pt>
                <c:pt idx="15">
                  <c:v>1.18E-2</c:v>
                </c:pt>
                <c:pt idx="16">
                  <c:v>0.114</c:v>
                </c:pt>
                <c:pt idx="17">
                  <c:v>1.72E-2</c:v>
                </c:pt>
                <c:pt idx="18">
                  <c:v>5.5599999999999997E-2</c:v>
                </c:pt>
                <c:pt idx="19">
                  <c:v>8.8999999999999999E-3</c:v>
                </c:pt>
              </c:numCache>
            </c:numRef>
          </c:val>
          <c:extLst xmlns:c16r2="http://schemas.microsoft.com/office/drawing/2015/06/chart">
            <c:ext xmlns:c16="http://schemas.microsoft.com/office/drawing/2014/chart" uri="{C3380CC4-5D6E-409C-BE32-E72D297353CC}">
              <c16:uniqueId val="{0000000C-A909-4D59-A409-CA2C4FCEAE86}"/>
            </c:ext>
          </c:extLst>
        </c:ser>
        <c:ser>
          <c:idx val="2"/>
          <c:order val="2"/>
          <c:tx>
            <c:strRef>
              <c:f>'Figure 9'!$E$3</c:f>
              <c:strCache>
                <c:ptCount val="1"/>
                <c:pt idx="0">
                  <c:v>None available / Not assessable</c:v>
                </c:pt>
              </c:strCache>
            </c:strRef>
          </c:tx>
          <c:spPr>
            <a:solidFill>
              <a:schemeClr val="bg1">
                <a:lumMod val="65000"/>
              </a:schemeClr>
            </a:solidFill>
          </c:spPr>
          <c:invertIfNegative val="0"/>
          <c:dLbls>
            <c:dLbl>
              <c:idx val="5"/>
              <c:layout>
                <c:manualLayout>
                  <c:x val="4.2291930748447866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909-4D59-A409-CA2C4FCEAE86}"/>
                </c:ext>
              </c:extLst>
            </c:dLbl>
            <c:dLbl>
              <c:idx val="6"/>
              <c:layout>
                <c:manualLayout>
                  <c:x val="4.2286381354569311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909-4D59-A409-CA2C4FCEAE86}"/>
                </c:ext>
              </c:extLst>
            </c:dLbl>
            <c:dLbl>
              <c:idx val="7"/>
              <c:layout>
                <c:manualLayout>
                  <c:x val="4.2286381354569311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909-4D59-A409-CA2C4FCEAE86}"/>
                </c:ext>
              </c:extLst>
            </c:dLbl>
            <c:dLbl>
              <c:idx val="8"/>
              <c:layout>
                <c:manualLayout>
                  <c:x val="5.6381841806092412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909-4D59-A409-CA2C4FCEAE86}"/>
                </c:ext>
              </c:extLst>
            </c:dLbl>
            <c:dLbl>
              <c:idx val="9"/>
              <c:layout>
                <c:manualLayout>
                  <c:x val="8.4572762709138622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909-4D59-A409-CA2C4FCEAE86}"/>
                </c:ext>
              </c:extLst>
            </c:dLbl>
            <c:dLbl>
              <c:idx val="10"/>
              <c:layout>
                <c:manualLayout>
                  <c:x val="8.4572762709138622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A909-4D59-A409-CA2C4FCEAE86}"/>
                </c:ext>
              </c:extLst>
            </c:dLbl>
            <c:dLbl>
              <c:idx val="11"/>
              <c:layout>
                <c:manualLayout>
                  <c:x val="7.0477302257615513E-3"/>
                  <c:y val="-1.954686076438781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A909-4D59-A409-CA2C4FCEAE86}"/>
                </c:ext>
              </c:extLst>
            </c:dLbl>
            <c:dLbl>
              <c:idx val="12"/>
              <c:layout>
                <c:manualLayout>
                  <c:x val="7.0477302257615513E-3"/>
                  <c:y val="2.48225584846960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A909-4D59-A409-CA2C4FCEAE86}"/>
                </c:ext>
              </c:extLst>
            </c:dLbl>
            <c:dLbl>
              <c:idx val="13"/>
              <c:layout>
                <c:manualLayout>
                  <c:x val="2.3962282767589275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A909-4D59-A409-CA2C4FCEAE86}"/>
                </c:ext>
              </c:extLst>
            </c:dLbl>
            <c:dLbl>
              <c:idx val="14"/>
              <c:layout>
                <c:manualLayout>
                  <c:x val="1.4095460451523207E-2"/>
                  <c:y val="2.482451317077251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A909-4D59-A409-CA2C4FCEAE86}"/>
                </c:ext>
              </c:extLst>
            </c:dLbl>
            <c:dLbl>
              <c:idx val="15"/>
              <c:layout>
                <c:manualLayout>
                  <c:x val="1.5505006496675414E-2"/>
                  <c:y val="-1.954686076438781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A909-4D59-A409-CA2C4FCEAE86}"/>
                </c:ext>
              </c:extLst>
            </c:dLbl>
            <c:dLbl>
              <c:idx val="16"/>
              <c:layout>
                <c:manualLayout>
                  <c:x val="2.8189811024270494E-3"/>
                  <c:y val="-1.954686076438781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A909-4D59-A409-CA2C4FCEAE86}"/>
                </c:ext>
              </c:extLst>
            </c:dLbl>
            <c:dLbl>
              <c:idx val="17"/>
              <c:layout>
                <c:manualLayout>
                  <c:x val="8.4571652830362914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A909-4D59-A409-CA2C4FCEAE86}"/>
                </c:ext>
              </c:extLst>
            </c:dLbl>
            <c:dLbl>
              <c:idx val="18"/>
              <c:layout>
                <c:manualLayout>
                  <c:x val="9.8668223160662764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A909-4D59-A409-CA2C4FCEAE86}"/>
                </c:ext>
              </c:extLst>
            </c:dLbl>
            <c:dLbl>
              <c:idx val="19"/>
              <c:layout>
                <c:manualLayout>
                  <c:x val="-1.4095460451523103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A909-4D59-A409-CA2C4FCEAE86}"/>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9'!$B$4:$B$23</c:f>
              <c:strCache>
                <c:ptCount val="20"/>
                <c:pt idx="0">
                  <c:v>Osteomyelitis</c:v>
                </c:pt>
                <c:pt idx="1">
                  <c:v>Abscess</c:v>
                </c:pt>
                <c:pt idx="2">
                  <c:v>Wound infection: surgical</c:v>
                </c:pt>
                <c:pt idx="3">
                  <c:v>COPD: infective exacerbation</c:v>
                </c:pt>
                <c:pt idx="4">
                  <c:v>Trauma (includes wound)</c:v>
                </c:pt>
                <c:pt idx="5">
                  <c:v>Urinary tract infection</c:v>
                </c:pt>
                <c:pt idx="6">
                  <c:v>Sepsis</c:v>
                </c:pt>
                <c:pt idx="7">
                  <c:v>Surgical prophylaxis</c:v>
                </c:pt>
                <c:pt idx="8">
                  <c:v>Diabetic infection (including foot)</c:v>
                </c:pt>
                <c:pt idx="9">
                  <c:v>Cellulitis/Erysipelas</c:v>
                </c:pt>
                <c:pt idx="10">
                  <c:v>Cholecystitis</c:v>
                </c:pt>
                <c:pt idx="11">
                  <c:v>Pneumonia: hospital acquired</c:v>
                </c:pt>
                <c:pt idx="12">
                  <c:v>Pneumonia: aspiration</c:v>
                </c:pt>
                <c:pt idx="13">
                  <c:v>Diverticulitis</c:v>
                </c:pt>
                <c:pt idx="14">
                  <c:v>Pneumonia: community acquired</c:v>
                </c:pt>
                <c:pt idx="15">
                  <c:v>Appendicitis</c:v>
                </c:pt>
                <c:pt idx="16">
                  <c:v>Peritonitis</c:v>
                </c:pt>
                <c:pt idx="17">
                  <c:v>Cutaneous and mucosal candidiasis</c:v>
                </c:pt>
                <c:pt idx="18">
                  <c:v>Febrile neutropenia</c:v>
                </c:pt>
                <c:pt idx="19">
                  <c:v>Medical prophylaxis</c:v>
                </c:pt>
              </c:strCache>
            </c:strRef>
          </c:cat>
          <c:val>
            <c:numRef>
              <c:f>'Figure 9'!$E$4:$E$23</c:f>
              <c:numCache>
                <c:formatCode>0.0%</c:formatCode>
                <c:ptCount val="20"/>
                <c:pt idx="0">
                  <c:v>8.2600000000000007E-2</c:v>
                </c:pt>
                <c:pt idx="1">
                  <c:v>0.11459999999999999</c:v>
                </c:pt>
                <c:pt idx="2">
                  <c:v>8.6499999999999994E-2</c:v>
                </c:pt>
                <c:pt idx="3">
                  <c:v>4.0099999999999997E-2</c:v>
                </c:pt>
                <c:pt idx="4">
                  <c:v>8.7400000000000005E-2</c:v>
                </c:pt>
                <c:pt idx="5">
                  <c:v>1.95E-2</c:v>
                </c:pt>
                <c:pt idx="6">
                  <c:v>3.73E-2</c:v>
                </c:pt>
                <c:pt idx="7">
                  <c:v>3.3000000000000002E-2</c:v>
                </c:pt>
                <c:pt idx="8">
                  <c:v>0.02</c:v>
                </c:pt>
                <c:pt idx="9">
                  <c:v>3.1800000000000002E-2</c:v>
                </c:pt>
                <c:pt idx="10">
                  <c:v>1.1900000000000001E-2</c:v>
                </c:pt>
                <c:pt idx="11">
                  <c:v>2.23E-2</c:v>
                </c:pt>
                <c:pt idx="12">
                  <c:v>1.6299999999999999E-2</c:v>
                </c:pt>
                <c:pt idx="13">
                  <c:v>2.5000000000000001E-3</c:v>
                </c:pt>
                <c:pt idx="14">
                  <c:v>1.2800000000000001E-2</c:v>
                </c:pt>
                <c:pt idx="15">
                  <c:v>3.8999999999999998E-3</c:v>
                </c:pt>
                <c:pt idx="16">
                  <c:v>2.6100000000000002E-2</c:v>
                </c:pt>
                <c:pt idx="17">
                  <c:v>5.5E-2</c:v>
                </c:pt>
                <c:pt idx="18">
                  <c:v>3.9199999999999999E-2</c:v>
                </c:pt>
                <c:pt idx="19">
                  <c:v>9.0999999999999998E-2</c:v>
                </c:pt>
              </c:numCache>
            </c:numRef>
          </c:val>
          <c:extLst xmlns:c16r2="http://schemas.microsoft.com/office/drawing/2015/06/chart">
            <c:ext xmlns:c16="http://schemas.microsoft.com/office/drawing/2014/chart" uri="{C3380CC4-5D6E-409C-BE32-E72D297353CC}">
              <c16:uniqueId val="{0000001C-A909-4D59-A409-CA2C4FCEAE86}"/>
            </c:ext>
          </c:extLst>
        </c:ser>
        <c:ser>
          <c:idx val="3"/>
          <c:order val="3"/>
          <c:tx>
            <c:strRef>
              <c:f>'Figure 9'!$F$3</c:f>
              <c:strCache>
                <c:ptCount val="1"/>
                <c:pt idx="0">
                  <c:v>Non-compliant with guidelines</c:v>
                </c:pt>
              </c:strCache>
            </c:strRef>
          </c:tx>
          <c:spPr>
            <a:solidFill>
              <a:schemeClr val="accent5">
                <a:alpha val="75000"/>
              </a:schemeClr>
            </a:solidFill>
          </c:spPr>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9'!$B$4:$B$23</c:f>
              <c:strCache>
                <c:ptCount val="20"/>
                <c:pt idx="0">
                  <c:v>Osteomyelitis</c:v>
                </c:pt>
                <c:pt idx="1">
                  <c:v>Abscess</c:v>
                </c:pt>
                <c:pt idx="2">
                  <c:v>Wound infection: surgical</c:v>
                </c:pt>
                <c:pt idx="3">
                  <c:v>COPD: infective exacerbation</c:v>
                </c:pt>
                <c:pt idx="4">
                  <c:v>Trauma (includes wound)</c:v>
                </c:pt>
                <c:pt idx="5">
                  <c:v>Urinary tract infection</c:v>
                </c:pt>
                <c:pt idx="6">
                  <c:v>Sepsis</c:v>
                </c:pt>
                <c:pt idx="7">
                  <c:v>Surgical prophylaxis</c:v>
                </c:pt>
                <c:pt idx="8">
                  <c:v>Diabetic infection (including foot)</c:v>
                </c:pt>
                <c:pt idx="9">
                  <c:v>Cellulitis/Erysipelas</c:v>
                </c:pt>
                <c:pt idx="10">
                  <c:v>Cholecystitis</c:v>
                </c:pt>
                <c:pt idx="11">
                  <c:v>Pneumonia: hospital acquired</c:v>
                </c:pt>
                <c:pt idx="12">
                  <c:v>Pneumonia: aspiration</c:v>
                </c:pt>
                <c:pt idx="13">
                  <c:v>Diverticulitis</c:v>
                </c:pt>
                <c:pt idx="14">
                  <c:v>Pneumonia: community acquired</c:v>
                </c:pt>
                <c:pt idx="15">
                  <c:v>Appendicitis</c:v>
                </c:pt>
                <c:pt idx="16">
                  <c:v>Peritonitis</c:v>
                </c:pt>
                <c:pt idx="17">
                  <c:v>Cutaneous and mucosal candidiasis</c:v>
                </c:pt>
                <c:pt idx="18">
                  <c:v>Febrile neutropenia</c:v>
                </c:pt>
                <c:pt idx="19">
                  <c:v>Medical prophylaxis</c:v>
                </c:pt>
              </c:strCache>
            </c:strRef>
          </c:cat>
          <c:val>
            <c:numRef>
              <c:f>'Figure 9'!$F$4:$F$23</c:f>
              <c:numCache>
                <c:formatCode>0.0%</c:formatCode>
                <c:ptCount val="20"/>
                <c:pt idx="0">
                  <c:v>8.5400000000000004E-2</c:v>
                </c:pt>
                <c:pt idx="1">
                  <c:v>0.2994</c:v>
                </c:pt>
                <c:pt idx="2">
                  <c:v>0.27879999999999999</c:v>
                </c:pt>
                <c:pt idx="3">
                  <c:v>0.49590000000000001</c:v>
                </c:pt>
                <c:pt idx="4">
                  <c:v>0.29310000000000003</c:v>
                </c:pt>
                <c:pt idx="5">
                  <c:v>0.24929999999999999</c:v>
                </c:pt>
                <c:pt idx="6">
                  <c:v>0.13089999999999999</c:v>
                </c:pt>
                <c:pt idx="7">
                  <c:v>0.45190000000000002</c:v>
                </c:pt>
                <c:pt idx="8">
                  <c:v>0.111</c:v>
                </c:pt>
                <c:pt idx="9">
                  <c:v>0.2868</c:v>
                </c:pt>
                <c:pt idx="10">
                  <c:v>0.36759999999999998</c:v>
                </c:pt>
                <c:pt idx="11">
                  <c:v>0.27450000000000002</c:v>
                </c:pt>
                <c:pt idx="12">
                  <c:v>0.317</c:v>
                </c:pt>
                <c:pt idx="13">
                  <c:v>0.3473</c:v>
                </c:pt>
                <c:pt idx="14">
                  <c:v>0.30630000000000002</c:v>
                </c:pt>
                <c:pt idx="15">
                  <c:v>0.32679999999999998</c:v>
                </c:pt>
                <c:pt idx="16">
                  <c:v>0.1759</c:v>
                </c:pt>
                <c:pt idx="17">
                  <c:v>0.189</c:v>
                </c:pt>
                <c:pt idx="18">
                  <c:v>0.13070000000000001</c:v>
                </c:pt>
                <c:pt idx="19">
                  <c:v>6.2600000000000003E-2</c:v>
                </c:pt>
              </c:numCache>
            </c:numRef>
          </c:val>
          <c:extLst xmlns:c16r2="http://schemas.microsoft.com/office/drawing/2015/06/chart">
            <c:ext xmlns:c16="http://schemas.microsoft.com/office/drawing/2014/chart" uri="{C3380CC4-5D6E-409C-BE32-E72D297353CC}">
              <c16:uniqueId val="{0000001D-A909-4D59-A409-CA2C4FCEAE86}"/>
            </c:ext>
          </c:extLst>
        </c:ser>
        <c:dLbls>
          <c:dLblPos val="ctr"/>
          <c:showLegendKey val="0"/>
          <c:showVal val="1"/>
          <c:showCatName val="0"/>
          <c:showSerName val="0"/>
          <c:showPercent val="0"/>
          <c:showBubbleSize val="0"/>
        </c:dLbls>
        <c:gapWidth val="65"/>
        <c:overlap val="100"/>
        <c:axId val="243701248"/>
        <c:axId val="243703168"/>
      </c:barChart>
      <c:catAx>
        <c:axId val="243701248"/>
        <c:scaling>
          <c:orientation val="minMax"/>
        </c:scaling>
        <c:delete val="0"/>
        <c:axPos val="l"/>
        <c:title>
          <c:tx>
            <c:rich>
              <a:bodyPr rot="-5400000" vert="horz"/>
              <a:lstStyle/>
              <a:p>
                <a:pPr>
                  <a:defRPr/>
                </a:pPr>
                <a:r>
                  <a:rPr lang="en-AU"/>
                  <a:t>Indications</a:t>
                </a:r>
              </a:p>
            </c:rich>
          </c:tx>
          <c:layout/>
          <c:overlay val="0"/>
        </c:title>
        <c:numFmt formatCode="General" sourceLinked="0"/>
        <c:majorTickMark val="out"/>
        <c:minorTickMark val="none"/>
        <c:tickLblPos val="nextTo"/>
        <c:crossAx val="243703168"/>
        <c:crosses val="autoZero"/>
        <c:auto val="1"/>
        <c:lblAlgn val="ctr"/>
        <c:lblOffset val="100"/>
        <c:noMultiLvlLbl val="0"/>
      </c:catAx>
      <c:valAx>
        <c:axId val="243703168"/>
        <c:scaling>
          <c:orientation val="minMax"/>
        </c:scaling>
        <c:delete val="0"/>
        <c:axPos val="b"/>
        <c:majorGridlines/>
        <c:title>
          <c:tx>
            <c:rich>
              <a:bodyPr/>
              <a:lstStyle/>
              <a:p>
                <a:pPr>
                  <a:defRPr/>
                </a:pPr>
                <a:r>
                  <a:rPr lang="en-AU"/>
                  <a:t>Percentage (%) compliance</a:t>
                </a:r>
              </a:p>
            </c:rich>
          </c:tx>
          <c:layout/>
          <c:overlay val="0"/>
        </c:title>
        <c:numFmt formatCode="0%" sourceLinked="1"/>
        <c:majorTickMark val="out"/>
        <c:minorTickMark val="none"/>
        <c:tickLblPos val="nextTo"/>
        <c:crossAx val="243701248"/>
        <c:crosses val="autoZero"/>
        <c:crossBetween val="between"/>
      </c:valAx>
    </c:plotArea>
    <c:legend>
      <c:legendPos val="b"/>
      <c:layout/>
      <c:overlay val="0"/>
    </c:legend>
    <c:plotVisOnly val="1"/>
    <c:dispBlanksAs val="gap"/>
    <c:showDLblsOverMax val="0"/>
  </c:chart>
  <c:spPr>
    <a:ln>
      <a:noFill/>
    </a:ln>
  </c:spPr>
  <c:txPr>
    <a:bodyPr/>
    <a:lstStyle/>
    <a:p>
      <a:pPr>
        <a:defRPr sz="900"/>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F38CE8-10D8-48E8-A8FD-00A8FB37E20C}" type="doc">
      <dgm:prSet loTypeId="urn:microsoft.com/office/officeart/2005/8/layout/venn1" loCatId="relationship" qsTypeId="urn:microsoft.com/office/officeart/2005/8/quickstyle/simple1" qsCatId="simple" csTypeId="urn:microsoft.com/office/officeart/2005/8/colors/colorful3" csCatId="colorful" phldr="1"/>
      <dgm:spPr/>
    </dgm:pt>
    <dgm:pt modelId="{CD067D74-3517-4C44-8D58-EC2654D17508}">
      <dgm:prSet phldrT="[Text]" custT="1"/>
      <dgm:spPr/>
      <dgm:t>
        <a:bodyPr/>
        <a:lstStyle/>
        <a:p>
          <a:r>
            <a:rPr lang="en-AU" sz="1400"/>
            <a:t>Hospital NAPS</a:t>
          </a:r>
        </a:p>
      </dgm:t>
    </dgm:pt>
    <dgm:pt modelId="{96A31709-9549-4A66-80F7-B38AEE6920DA}" type="parTrans" cxnId="{09B4B79D-1A53-4798-BDFC-7E16848525E5}">
      <dgm:prSet/>
      <dgm:spPr/>
      <dgm:t>
        <a:bodyPr/>
        <a:lstStyle/>
        <a:p>
          <a:endParaRPr lang="en-AU"/>
        </a:p>
      </dgm:t>
    </dgm:pt>
    <dgm:pt modelId="{0352E48B-CBA1-4414-B48C-55F2D202B0A8}" type="sibTrans" cxnId="{09B4B79D-1A53-4798-BDFC-7E16848525E5}">
      <dgm:prSet/>
      <dgm:spPr/>
      <dgm:t>
        <a:bodyPr/>
        <a:lstStyle/>
        <a:p>
          <a:endParaRPr lang="en-AU"/>
        </a:p>
      </dgm:t>
    </dgm:pt>
    <dgm:pt modelId="{34BEEE4A-4624-43AB-B3FC-CC228FD1EE33}">
      <dgm:prSet phldrT="[Text]" custT="1"/>
      <dgm:spPr/>
      <dgm:t>
        <a:bodyPr/>
        <a:lstStyle/>
        <a:p>
          <a:r>
            <a:rPr lang="en-AU" sz="1400"/>
            <a:t>Surgical NAPS</a:t>
          </a:r>
        </a:p>
      </dgm:t>
    </dgm:pt>
    <dgm:pt modelId="{69C9B008-2CD0-4B81-B0E1-C52EECD54E69}" type="parTrans" cxnId="{DDA61D91-F0F2-446F-9D31-FC1AEA848FA7}">
      <dgm:prSet/>
      <dgm:spPr/>
      <dgm:t>
        <a:bodyPr/>
        <a:lstStyle/>
        <a:p>
          <a:endParaRPr lang="en-AU"/>
        </a:p>
      </dgm:t>
    </dgm:pt>
    <dgm:pt modelId="{C6AD2CF9-32F0-4AAC-8DF1-BD5AB080B7FD}" type="sibTrans" cxnId="{DDA61D91-F0F2-446F-9D31-FC1AEA848FA7}">
      <dgm:prSet/>
      <dgm:spPr/>
      <dgm:t>
        <a:bodyPr/>
        <a:lstStyle/>
        <a:p>
          <a:endParaRPr lang="en-AU"/>
        </a:p>
      </dgm:t>
    </dgm:pt>
    <dgm:pt modelId="{5ECC1681-BB2B-4D79-8EC2-6143B11732FB}" type="pres">
      <dgm:prSet presAssocID="{3FF38CE8-10D8-48E8-A8FD-00A8FB37E20C}" presName="compositeShape" presStyleCnt="0">
        <dgm:presLayoutVars>
          <dgm:chMax val="7"/>
          <dgm:dir/>
          <dgm:resizeHandles val="exact"/>
        </dgm:presLayoutVars>
      </dgm:prSet>
      <dgm:spPr/>
    </dgm:pt>
    <dgm:pt modelId="{76390A6F-E13A-4851-A2BC-549C9B58A0D6}" type="pres">
      <dgm:prSet presAssocID="{CD067D74-3517-4C44-8D58-EC2654D17508}" presName="circ1" presStyleLbl="vennNode1" presStyleIdx="0" presStyleCnt="2"/>
      <dgm:spPr/>
      <dgm:t>
        <a:bodyPr/>
        <a:lstStyle/>
        <a:p>
          <a:endParaRPr lang="en-AU"/>
        </a:p>
      </dgm:t>
    </dgm:pt>
    <dgm:pt modelId="{4A67E245-EE80-4F41-B7E9-26E2BC6E3E16}" type="pres">
      <dgm:prSet presAssocID="{CD067D74-3517-4C44-8D58-EC2654D17508}" presName="circ1Tx" presStyleLbl="revTx" presStyleIdx="0" presStyleCnt="0">
        <dgm:presLayoutVars>
          <dgm:chMax val="0"/>
          <dgm:chPref val="0"/>
          <dgm:bulletEnabled val="1"/>
        </dgm:presLayoutVars>
      </dgm:prSet>
      <dgm:spPr/>
      <dgm:t>
        <a:bodyPr/>
        <a:lstStyle/>
        <a:p>
          <a:endParaRPr lang="en-AU"/>
        </a:p>
      </dgm:t>
    </dgm:pt>
    <dgm:pt modelId="{A9A0869D-21C1-4A9C-8395-1A842D8B8BC1}" type="pres">
      <dgm:prSet presAssocID="{34BEEE4A-4624-43AB-B3FC-CC228FD1EE33}" presName="circ2" presStyleLbl="vennNode1" presStyleIdx="1" presStyleCnt="2"/>
      <dgm:spPr/>
      <dgm:t>
        <a:bodyPr/>
        <a:lstStyle/>
        <a:p>
          <a:endParaRPr lang="en-AU"/>
        </a:p>
      </dgm:t>
    </dgm:pt>
    <dgm:pt modelId="{092E589C-73F4-4FF5-8F12-DEF86FD9ACEB}" type="pres">
      <dgm:prSet presAssocID="{34BEEE4A-4624-43AB-B3FC-CC228FD1EE33}" presName="circ2Tx" presStyleLbl="revTx" presStyleIdx="0" presStyleCnt="0">
        <dgm:presLayoutVars>
          <dgm:chMax val="0"/>
          <dgm:chPref val="0"/>
          <dgm:bulletEnabled val="1"/>
        </dgm:presLayoutVars>
      </dgm:prSet>
      <dgm:spPr/>
      <dgm:t>
        <a:bodyPr/>
        <a:lstStyle/>
        <a:p>
          <a:endParaRPr lang="en-AU"/>
        </a:p>
      </dgm:t>
    </dgm:pt>
  </dgm:ptLst>
  <dgm:cxnLst>
    <dgm:cxn modelId="{B17BE1E5-9A11-4466-AF75-3AD2FEFFB29B}" type="presOf" srcId="{CD067D74-3517-4C44-8D58-EC2654D17508}" destId="{4A67E245-EE80-4F41-B7E9-26E2BC6E3E16}" srcOrd="1" destOrd="0" presId="urn:microsoft.com/office/officeart/2005/8/layout/venn1"/>
    <dgm:cxn modelId="{09B4B79D-1A53-4798-BDFC-7E16848525E5}" srcId="{3FF38CE8-10D8-48E8-A8FD-00A8FB37E20C}" destId="{CD067D74-3517-4C44-8D58-EC2654D17508}" srcOrd="0" destOrd="0" parTransId="{96A31709-9549-4A66-80F7-B38AEE6920DA}" sibTransId="{0352E48B-CBA1-4414-B48C-55F2D202B0A8}"/>
    <dgm:cxn modelId="{CCDA47E8-567B-4178-9E5D-29C209B86486}" type="presOf" srcId="{CD067D74-3517-4C44-8D58-EC2654D17508}" destId="{76390A6F-E13A-4851-A2BC-549C9B58A0D6}" srcOrd="0" destOrd="0" presId="urn:microsoft.com/office/officeart/2005/8/layout/venn1"/>
    <dgm:cxn modelId="{60D44A7A-8903-4419-ADD7-23953DC978C5}" type="presOf" srcId="{3FF38CE8-10D8-48E8-A8FD-00A8FB37E20C}" destId="{5ECC1681-BB2B-4D79-8EC2-6143B11732FB}" srcOrd="0" destOrd="0" presId="urn:microsoft.com/office/officeart/2005/8/layout/venn1"/>
    <dgm:cxn modelId="{DDA61D91-F0F2-446F-9D31-FC1AEA848FA7}" srcId="{3FF38CE8-10D8-48E8-A8FD-00A8FB37E20C}" destId="{34BEEE4A-4624-43AB-B3FC-CC228FD1EE33}" srcOrd="1" destOrd="0" parTransId="{69C9B008-2CD0-4B81-B0E1-C52EECD54E69}" sibTransId="{C6AD2CF9-32F0-4AAC-8DF1-BD5AB080B7FD}"/>
    <dgm:cxn modelId="{010E0601-96D6-48DC-BFF0-2701DD3EAF3E}" type="presOf" srcId="{34BEEE4A-4624-43AB-B3FC-CC228FD1EE33}" destId="{A9A0869D-21C1-4A9C-8395-1A842D8B8BC1}" srcOrd="0" destOrd="0" presId="urn:microsoft.com/office/officeart/2005/8/layout/venn1"/>
    <dgm:cxn modelId="{720954EA-6DBD-4077-B308-D13C25A83562}" type="presOf" srcId="{34BEEE4A-4624-43AB-B3FC-CC228FD1EE33}" destId="{092E589C-73F4-4FF5-8F12-DEF86FD9ACEB}" srcOrd="1" destOrd="0" presId="urn:microsoft.com/office/officeart/2005/8/layout/venn1"/>
    <dgm:cxn modelId="{65F88D55-BFB5-4B52-969D-19A6A71E3222}" type="presParOf" srcId="{5ECC1681-BB2B-4D79-8EC2-6143B11732FB}" destId="{76390A6F-E13A-4851-A2BC-549C9B58A0D6}" srcOrd="0" destOrd="0" presId="urn:microsoft.com/office/officeart/2005/8/layout/venn1"/>
    <dgm:cxn modelId="{83A47909-4C73-43CE-9F92-708FDDDA2E38}" type="presParOf" srcId="{5ECC1681-BB2B-4D79-8EC2-6143B11732FB}" destId="{4A67E245-EE80-4F41-B7E9-26E2BC6E3E16}" srcOrd="1" destOrd="0" presId="urn:microsoft.com/office/officeart/2005/8/layout/venn1"/>
    <dgm:cxn modelId="{AEB5C1D0-F8BA-497A-A65F-C8CB93FAA297}" type="presParOf" srcId="{5ECC1681-BB2B-4D79-8EC2-6143B11732FB}" destId="{A9A0869D-21C1-4A9C-8395-1A842D8B8BC1}" srcOrd="2" destOrd="0" presId="urn:microsoft.com/office/officeart/2005/8/layout/venn1"/>
    <dgm:cxn modelId="{E372503A-1238-4BF4-BBFD-056D18021ED7}" type="presParOf" srcId="{5ECC1681-BB2B-4D79-8EC2-6143B11732FB}" destId="{092E589C-73F4-4FF5-8F12-DEF86FD9ACEB}" srcOrd="3" destOrd="0" presId="urn:microsoft.com/office/officeart/2005/8/layout/ven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390A6F-E13A-4851-A2BC-549C9B58A0D6}">
      <dsp:nvSpPr>
        <dsp:cNvPr id="0" name=""/>
        <dsp:cNvSpPr/>
      </dsp:nvSpPr>
      <dsp:spPr>
        <a:xfrm>
          <a:off x="340924" y="6796"/>
          <a:ext cx="2485241" cy="2485241"/>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AU" sz="1400" kern="1200"/>
            <a:t>Hospital NAPS</a:t>
          </a:r>
        </a:p>
      </dsp:txBody>
      <dsp:txXfrm>
        <a:off x="687962" y="299860"/>
        <a:ext cx="1432931" cy="1899114"/>
      </dsp:txXfrm>
    </dsp:sp>
    <dsp:sp modelId="{A9A0869D-21C1-4A9C-8395-1A842D8B8BC1}">
      <dsp:nvSpPr>
        <dsp:cNvPr id="0" name=""/>
        <dsp:cNvSpPr/>
      </dsp:nvSpPr>
      <dsp:spPr>
        <a:xfrm>
          <a:off x="2132089" y="6796"/>
          <a:ext cx="2485241" cy="2485241"/>
        </a:xfrm>
        <a:prstGeom prst="ellipse">
          <a:avLst/>
        </a:prstGeom>
        <a:solidFill>
          <a:schemeClr val="accent3">
            <a:alpha val="50000"/>
            <a:hueOff val="-2301297"/>
            <a:satOff val="6566"/>
            <a:lumOff val="60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AU" sz="1400" kern="1200"/>
            <a:t>Surgical NAPS</a:t>
          </a:r>
        </a:p>
      </dsp:txBody>
      <dsp:txXfrm>
        <a:off x="2837360" y="299860"/>
        <a:ext cx="1432931" cy="189911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0.35808</cdr:x>
      <cdr:y>0.5265</cdr:y>
    </cdr:from>
    <cdr:to>
      <cdr:x>0.44008</cdr:x>
      <cdr:y>0.56596</cdr:y>
    </cdr:to>
    <cdr:sp macro="" textlink="">
      <cdr:nvSpPr>
        <cdr:cNvPr id="2" name="Text Box 2"/>
        <cdr:cNvSpPr txBox="1">
          <a:spLocks xmlns:a="http://schemas.openxmlformats.org/drawingml/2006/main" noChangeArrowheads="1"/>
        </cdr:cNvSpPr>
      </cdr:nvSpPr>
      <cdr:spPr bwMode="auto">
        <a:xfrm xmlns:a="http://schemas.openxmlformats.org/drawingml/2006/main">
          <a:off x="2242414" y="2584015"/>
          <a:ext cx="513514" cy="19369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AU" sz="1000"/>
            <a:t>87</a:t>
          </a:r>
        </a:p>
      </cdr:txBody>
    </cdr:sp>
  </cdr:relSizeAnchor>
  <cdr:relSizeAnchor xmlns:cdr="http://schemas.openxmlformats.org/drawingml/2006/chartDrawing">
    <cdr:from>
      <cdr:x>0.58781</cdr:x>
      <cdr:y>0.05038</cdr:y>
    </cdr:from>
    <cdr:to>
      <cdr:x>0.6698</cdr:x>
      <cdr:y>0.09664</cdr:y>
    </cdr:to>
    <cdr:sp macro="" textlink="">
      <cdr:nvSpPr>
        <cdr:cNvPr id="3" name="Text Box 2"/>
        <cdr:cNvSpPr txBox="1">
          <a:spLocks xmlns:a="http://schemas.openxmlformats.org/drawingml/2006/main" noChangeArrowheads="1"/>
        </cdr:cNvSpPr>
      </cdr:nvSpPr>
      <cdr:spPr bwMode="auto">
        <a:xfrm xmlns:a="http://schemas.openxmlformats.org/drawingml/2006/main">
          <a:off x="3681100" y="247282"/>
          <a:ext cx="513451" cy="22703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AU" sz="1000"/>
            <a:t>314</a:t>
          </a:r>
        </a:p>
      </cdr:txBody>
    </cdr:sp>
  </cdr:relSizeAnchor>
  <cdr:relSizeAnchor xmlns:cdr="http://schemas.openxmlformats.org/drawingml/2006/chartDrawing">
    <cdr:from>
      <cdr:x>0.82081</cdr:x>
      <cdr:y>0.48293</cdr:y>
    </cdr:from>
    <cdr:to>
      <cdr:x>0.9028</cdr:x>
      <cdr:y>0.52202</cdr:y>
    </cdr:to>
    <cdr:sp macro="" textlink="">
      <cdr:nvSpPr>
        <cdr:cNvPr id="4" name="Text Box 1"/>
        <cdr:cNvSpPr txBox="1">
          <a:spLocks xmlns:a="http://schemas.openxmlformats.org/drawingml/2006/main" noChangeArrowheads="1"/>
        </cdr:cNvSpPr>
      </cdr:nvSpPr>
      <cdr:spPr bwMode="auto">
        <a:xfrm xmlns:a="http://schemas.openxmlformats.org/drawingml/2006/main">
          <a:off x="5140231" y="2370187"/>
          <a:ext cx="513452" cy="19185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AU" sz="1000"/>
            <a:t>106</a:t>
          </a:r>
        </a:p>
      </cdr:txBody>
    </cdr:sp>
  </cdr:relSizeAnchor>
</c:userShape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7DA71-4D50-4726-ABA8-D9C1BB38B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0</TotalTime>
  <Pages>43</Pages>
  <Words>10370</Words>
  <Characters>59111</Characters>
  <Application>Microsoft Office Word</Application>
  <DocSecurity>4</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69343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Komoder Andrew</dc:creator>
  <cp:lastModifiedBy>XENOS, Kristin</cp:lastModifiedBy>
  <cp:revision>2</cp:revision>
  <cp:lastPrinted>2018-07-05T06:28:00Z</cp:lastPrinted>
  <dcterms:created xsi:type="dcterms:W3CDTF">2018-11-19T04:05:00Z</dcterms:created>
  <dcterms:modified xsi:type="dcterms:W3CDTF">2018-11-19T04:05:00Z</dcterms:modified>
</cp:coreProperties>
</file>