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E4717D" w:rsidRDefault="00A06B94" w:rsidP="00500B76">
      <w:pPr>
        <w:rPr>
          <w:rStyle w:val="IntenseReference"/>
          <w:b w:val="0"/>
          <w:bCs w:val="0"/>
          <w:i w:val="0"/>
          <w:smallCaps w:val="0"/>
          <w:color w:val="auto"/>
          <w:spacing w:val="0"/>
        </w:rPr>
      </w:pPr>
      <w:bookmarkStart w:id="0" w:name="_GoBack"/>
      <w:bookmarkEnd w:id="0"/>
      <w:r w:rsidRPr="00E4717D">
        <w:rPr>
          <w:noProof/>
          <w:lang w:eastAsia="en-AU"/>
        </w:rPr>
        <w:drawing>
          <wp:inline distT="0" distB="0" distL="0" distR="0" wp14:anchorId="7D79AB62" wp14:editId="3FB0DB78">
            <wp:extent cx="5274310" cy="6985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698500"/>
                    </a:xfrm>
                    <a:prstGeom prst="rect">
                      <a:avLst/>
                    </a:prstGeom>
                    <a:noFill/>
                    <a:ln>
                      <a:noFill/>
                    </a:ln>
                  </pic:spPr>
                </pic:pic>
              </a:graphicData>
            </a:graphic>
          </wp:inline>
        </w:drawing>
      </w:r>
    </w:p>
    <w:p w:rsidR="00421FCC" w:rsidRDefault="00421FCC" w:rsidP="00500B76">
      <w:pPr>
        <w:rPr>
          <w:rStyle w:val="IntenseReference"/>
          <w:b w:val="0"/>
          <w:bCs w:val="0"/>
          <w:i w:val="0"/>
          <w:smallCaps w:val="0"/>
          <w:color w:val="auto"/>
          <w:spacing w:val="0"/>
        </w:rPr>
      </w:pPr>
    </w:p>
    <w:p w:rsidR="00160CA1" w:rsidRPr="00E4717D" w:rsidRDefault="00A97996" w:rsidP="00500B76">
      <w:pPr>
        <w:rPr>
          <w:rStyle w:val="IntenseReference"/>
          <w:b w:val="0"/>
          <w:bCs w:val="0"/>
          <w:i w:val="0"/>
          <w:smallCaps w:val="0"/>
          <w:color w:val="auto"/>
          <w:spacing w:val="0"/>
        </w:rPr>
      </w:pPr>
      <w:r w:rsidRPr="00A97996">
        <w:rPr>
          <w:rStyle w:val="IntenseReference"/>
          <w:b w:val="0"/>
          <w:bCs w:val="0"/>
          <w:i w:val="0"/>
          <w:smallCaps w:val="0"/>
          <w:color w:val="auto"/>
          <w:spacing w:val="0"/>
        </w:rPr>
        <w:t>D1</w:t>
      </w:r>
      <w:r w:rsidR="00A6785A">
        <w:rPr>
          <w:rStyle w:val="IntenseReference"/>
          <w:b w:val="0"/>
          <w:bCs w:val="0"/>
          <w:i w:val="0"/>
          <w:smallCaps w:val="0"/>
          <w:color w:val="auto"/>
          <w:spacing w:val="0"/>
        </w:rPr>
        <w:t>7-15920</w:t>
      </w:r>
    </w:p>
    <w:p w:rsidR="00421FCC" w:rsidRDefault="00421FCC" w:rsidP="0020000F">
      <w:pPr>
        <w:rPr>
          <w:rStyle w:val="IntenseReference"/>
          <w:b w:val="0"/>
          <w:bCs w:val="0"/>
          <w:i w:val="0"/>
          <w:smallCaps w:val="0"/>
          <w:color w:val="auto"/>
          <w:spacing w:val="0"/>
        </w:rPr>
      </w:pPr>
    </w:p>
    <w:p w:rsidR="00160CA1" w:rsidRPr="00160CA1" w:rsidRDefault="00160CA1" w:rsidP="00DC5125"/>
    <w:p w:rsidR="00160CA1" w:rsidRPr="00160CA1" w:rsidRDefault="00160CA1" w:rsidP="00DC5125"/>
    <w:p w:rsidR="00160CA1" w:rsidRPr="0020000F" w:rsidRDefault="00741698" w:rsidP="00500B76">
      <w:pPr>
        <w:rPr>
          <w:b/>
          <w:color w:val="0070C0"/>
          <w:sz w:val="72"/>
          <w:szCs w:val="72"/>
        </w:rPr>
      </w:pPr>
      <w:r w:rsidRPr="0020000F">
        <w:rPr>
          <w:b/>
          <w:color w:val="0070C0"/>
          <w:sz w:val="72"/>
          <w:szCs w:val="72"/>
        </w:rPr>
        <w:t>Corporate</w:t>
      </w:r>
      <w:r w:rsidR="00160CA1" w:rsidRPr="0020000F">
        <w:rPr>
          <w:b/>
          <w:color w:val="0070C0"/>
          <w:sz w:val="72"/>
          <w:szCs w:val="72"/>
        </w:rPr>
        <w:t xml:space="preserve"> </w:t>
      </w:r>
      <w:r w:rsidR="00AF1BFD" w:rsidRPr="0020000F">
        <w:rPr>
          <w:b/>
          <w:color w:val="0070C0"/>
          <w:sz w:val="72"/>
          <w:szCs w:val="72"/>
        </w:rPr>
        <w:t>p</w:t>
      </w:r>
      <w:r w:rsidR="00160CA1" w:rsidRPr="0020000F">
        <w:rPr>
          <w:b/>
          <w:color w:val="0070C0"/>
          <w:sz w:val="72"/>
          <w:szCs w:val="72"/>
        </w:rPr>
        <w:t>lan</w:t>
      </w:r>
    </w:p>
    <w:p w:rsidR="00160CA1" w:rsidRDefault="00160CA1" w:rsidP="00DC5125"/>
    <w:p w:rsidR="0020000F" w:rsidRPr="00A21F97" w:rsidRDefault="0020000F" w:rsidP="00DC5125"/>
    <w:p w:rsidR="00160CA1" w:rsidRPr="0020000F" w:rsidRDefault="00160CA1" w:rsidP="00500B76">
      <w:pPr>
        <w:rPr>
          <w:b/>
          <w:color w:val="0070C0"/>
          <w:sz w:val="72"/>
          <w:szCs w:val="72"/>
        </w:rPr>
      </w:pPr>
      <w:r w:rsidRPr="0020000F">
        <w:rPr>
          <w:b/>
          <w:color w:val="0070C0"/>
          <w:sz w:val="72"/>
          <w:szCs w:val="72"/>
        </w:rPr>
        <w:t>201</w:t>
      </w:r>
      <w:r w:rsidR="00A6785A">
        <w:rPr>
          <w:b/>
          <w:color w:val="0070C0"/>
          <w:sz w:val="72"/>
          <w:szCs w:val="72"/>
        </w:rPr>
        <w:t>7-18</w:t>
      </w:r>
    </w:p>
    <w:p w:rsidR="001519E0" w:rsidRPr="00E4717D" w:rsidRDefault="001519E0" w:rsidP="00500B76">
      <w:pPr>
        <w:rPr>
          <w:rStyle w:val="IntenseReference"/>
          <w:b w:val="0"/>
          <w:bCs w:val="0"/>
          <w:i w:val="0"/>
          <w:smallCaps w:val="0"/>
          <w:color w:val="auto"/>
          <w:spacing w:val="0"/>
        </w:rPr>
      </w:pPr>
    </w:p>
    <w:p w:rsidR="00023EF9" w:rsidRDefault="00023EF9" w:rsidP="00500B76">
      <w:pPr>
        <w:rPr>
          <w:rFonts w:cs="Arial"/>
          <w:kern w:val="28"/>
        </w:rPr>
      </w:pPr>
      <w:r>
        <w:br w:type="page"/>
      </w:r>
    </w:p>
    <w:sdt>
      <w:sdtPr>
        <w:rPr>
          <w:rFonts w:ascii="Arial" w:eastAsia="Times New Roman" w:hAnsi="Arial" w:cs="Times New Roman"/>
          <w:b w:val="0"/>
          <w:bCs w:val="0"/>
          <w:color w:val="auto"/>
          <w:sz w:val="22"/>
          <w:szCs w:val="24"/>
          <w:lang w:val="en-AU" w:eastAsia="en-US"/>
        </w:rPr>
        <w:id w:val="-1293279449"/>
        <w:docPartObj>
          <w:docPartGallery w:val="Table of Contents"/>
          <w:docPartUnique/>
        </w:docPartObj>
      </w:sdtPr>
      <w:sdtEndPr>
        <w:rPr>
          <w:noProof/>
          <w:color w:val="000000"/>
          <w:lang w:eastAsia="ko-KR"/>
        </w:rPr>
      </w:sdtEndPr>
      <w:sdtContent>
        <w:p w:rsidR="00BA16C7" w:rsidRDefault="00BA16C7" w:rsidP="00500B76">
          <w:pPr>
            <w:pStyle w:val="TOCHeading"/>
          </w:pPr>
          <w:r>
            <w:t xml:space="preserve">Table of </w:t>
          </w:r>
          <w:r w:rsidR="00AF1BFD">
            <w:t>c</w:t>
          </w:r>
          <w:r>
            <w:t>ontents</w:t>
          </w:r>
        </w:p>
        <w:p w:rsidR="003E3157" w:rsidRDefault="00BA16C7">
          <w:pPr>
            <w:pStyle w:val="TOC1"/>
            <w:tabs>
              <w:tab w:val="right" w:leader="dot" w:pos="8296"/>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483397738" w:history="1">
            <w:r w:rsidR="003E3157" w:rsidRPr="00C86823">
              <w:rPr>
                <w:rStyle w:val="Hyperlink"/>
                <w:noProof/>
              </w:rPr>
              <w:t>Introduction</w:t>
            </w:r>
            <w:r w:rsidR="003E3157">
              <w:rPr>
                <w:noProof/>
                <w:webHidden/>
              </w:rPr>
              <w:tab/>
            </w:r>
            <w:r w:rsidR="003E3157">
              <w:rPr>
                <w:noProof/>
                <w:webHidden/>
              </w:rPr>
              <w:fldChar w:fldCharType="begin"/>
            </w:r>
            <w:r w:rsidR="003E3157">
              <w:rPr>
                <w:noProof/>
                <w:webHidden/>
              </w:rPr>
              <w:instrText xml:space="preserve"> PAGEREF _Toc483397738 \h </w:instrText>
            </w:r>
            <w:r w:rsidR="003E3157">
              <w:rPr>
                <w:noProof/>
                <w:webHidden/>
              </w:rPr>
            </w:r>
            <w:r w:rsidR="003E3157">
              <w:rPr>
                <w:noProof/>
                <w:webHidden/>
              </w:rPr>
              <w:fldChar w:fldCharType="separate"/>
            </w:r>
            <w:r w:rsidR="00EA4DC1">
              <w:rPr>
                <w:noProof/>
                <w:webHidden/>
              </w:rPr>
              <w:t>2</w:t>
            </w:r>
            <w:r w:rsidR="003E3157">
              <w:rPr>
                <w:noProof/>
                <w:webHidden/>
              </w:rPr>
              <w:fldChar w:fldCharType="end"/>
            </w:r>
          </w:hyperlink>
        </w:p>
        <w:p w:rsidR="003E3157" w:rsidRDefault="004A7781">
          <w:pPr>
            <w:pStyle w:val="TOC1"/>
            <w:tabs>
              <w:tab w:val="right" w:leader="dot" w:pos="8296"/>
            </w:tabs>
            <w:rPr>
              <w:rFonts w:asciiTheme="minorHAnsi" w:eastAsiaTheme="minorEastAsia" w:hAnsiTheme="minorHAnsi" w:cstheme="minorBidi"/>
              <w:noProof/>
              <w:color w:val="auto"/>
              <w:szCs w:val="22"/>
              <w:lang w:eastAsia="en-AU"/>
            </w:rPr>
          </w:pPr>
          <w:hyperlink w:anchor="_Toc483397739" w:history="1">
            <w:r w:rsidR="003E3157" w:rsidRPr="00C86823">
              <w:rPr>
                <w:rStyle w:val="Hyperlink"/>
                <w:noProof/>
              </w:rPr>
              <w:t>Overview</w:t>
            </w:r>
            <w:r w:rsidR="003E3157">
              <w:rPr>
                <w:noProof/>
                <w:webHidden/>
              </w:rPr>
              <w:tab/>
            </w:r>
            <w:r w:rsidR="003E3157">
              <w:rPr>
                <w:noProof/>
                <w:webHidden/>
              </w:rPr>
              <w:fldChar w:fldCharType="begin"/>
            </w:r>
            <w:r w:rsidR="003E3157">
              <w:rPr>
                <w:noProof/>
                <w:webHidden/>
              </w:rPr>
              <w:instrText xml:space="preserve"> PAGEREF _Toc483397739 \h </w:instrText>
            </w:r>
            <w:r w:rsidR="003E3157">
              <w:rPr>
                <w:noProof/>
                <w:webHidden/>
              </w:rPr>
            </w:r>
            <w:r w:rsidR="003E3157">
              <w:rPr>
                <w:noProof/>
                <w:webHidden/>
              </w:rPr>
              <w:fldChar w:fldCharType="separate"/>
            </w:r>
            <w:r w:rsidR="00EA4DC1">
              <w:rPr>
                <w:noProof/>
                <w:webHidden/>
              </w:rPr>
              <w:t>3</w:t>
            </w:r>
            <w:r w:rsidR="003E3157">
              <w:rPr>
                <w:noProof/>
                <w:webHidden/>
              </w:rPr>
              <w:fldChar w:fldCharType="end"/>
            </w:r>
          </w:hyperlink>
        </w:p>
        <w:p w:rsidR="003E3157" w:rsidRDefault="004A7781">
          <w:pPr>
            <w:pStyle w:val="TOC1"/>
            <w:tabs>
              <w:tab w:val="right" w:leader="dot" w:pos="8296"/>
            </w:tabs>
            <w:rPr>
              <w:rFonts w:asciiTheme="minorHAnsi" w:eastAsiaTheme="minorEastAsia" w:hAnsiTheme="minorHAnsi" w:cstheme="minorBidi"/>
              <w:noProof/>
              <w:color w:val="auto"/>
              <w:szCs w:val="22"/>
              <w:lang w:eastAsia="en-AU"/>
            </w:rPr>
          </w:pPr>
          <w:hyperlink w:anchor="_Toc483397740" w:history="1">
            <w:r w:rsidR="003E3157" w:rsidRPr="00C86823">
              <w:rPr>
                <w:rStyle w:val="Hyperlink"/>
                <w:noProof/>
              </w:rPr>
              <w:t>Purpose</w:t>
            </w:r>
            <w:r w:rsidR="003E3157">
              <w:rPr>
                <w:noProof/>
                <w:webHidden/>
              </w:rPr>
              <w:tab/>
            </w:r>
            <w:r w:rsidR="003E3157">
              <w:rPr>
                <w:noProof/>
                <w:webHidden/>
              </w:rPr>
              <w:fldChar w:fldCharType="begin"/>
            </w:r>
            <w:r w:rsidR="003E3157">
              <w:rPr>
                <w:noProof/>
                <w:webHidden/>
              </w:rPr>
              <w:instrText xml:space="preserve"> PAGEREF _Toc483397740 \h </w:instrText>
            </w:r>
            <w:r w:rsidR="003E3157">
              <w:rPr>
                <w:noProof/>
                <w:webHidden/>
              </w:rPr>
            </w:r>
            <w:r w:rsidR="003E3157">
              <w:rPr>
                <w:noProof/>
                <w:webHidden/>
              </w:rPr>
              <w:fldChar w:fldCharType="separate"/>
            </w:r>
            <w:r w:rsidR="00EA4DC1">
              <w:rPr>
                <w:noProof/>
                <w:webHidden/>
              </w:rPr>
              <w:t>4</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41" w:history="1">
            <w:r w:rsidR="003E3157" w:rsidRPr="00C86823">
              <w:rPr>
                <w:rStyle w:val="Hyperlink"/>
                <w:noProof/>
              </w:rPr>
              <w:t>Role</w:t>
            </w:r>
            <w:r w:rsidR="003E3157">
              <w:rPr>
                <w:noProof/>
                <w:webHidden/>
              </w:rPr>
              <w:tab/>
            </w:r>
            <w:r w:rsidR="003E3157">
              <w:rPr>
                <w:noProof/>
                <w:webHidden/>
              </w:rPr>
              <w:fldChar w:fldCharType="begin"/>
            </w:r>
            <w:r w:rsidR="003E3157">
              <w:rPr>
                <w:noProof/>
                <w:webHidden/>
              </w:rPr>
              <w:instrText xml:space="preserve"> PAGEREF _Toc483397741 \h </w:instrText>
            </w:r>
            <w:r w:rsidR="003E3157">
              <w:rPr>
                <w:noProof/>
                <w:webHidden/>
              </w:rPr>
            </w:r>
            <w:r w:rsidR="003E3157">
              <w:rPr>
                <w:noProof/>
                <w:webHidden/>
              </w:rPr>
              <w:fldChar w:fldCharType="separate"/>
            </w:r>
            <w:r w:rsidR="00EA4DC1">
              <w:rPr>
                <w:noProof/>
                <w:webHidden/>
              </w:rPr>
              <w:t>4</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42" w:history="1">
            <w:r w:rsidR="003E3157" w:rsidRPr="00C86823">
              <w:rPr>
                <w:rStyle w:val="Hyperlink"/>
                <w:noProof/>
              </w:rPr>
              <w:t>Objectives</w:t>
            </w:r>
            <w:r w:rsidR="003E3157">
              <w:rPr>
                <w:noProof/>
                <w:webHidden/>
              </w:rPr>
              <w:tab/>
            </w:r>
            <w:r w:rsidR="003E3157">
              <w:rPr>
                <w:noProof/>
                <w:webHidden/>
              </w:rPr>
              <w:fldChar w:fldCharType="begin"/>
            </w:r>
            <w:r w:rsidR="003E3157">
              <w:rPr>
                <w:noProof/>
                <w:webHidden/>
              </w:rPr>
              <w:instrText xml:space="preserve"> PAGEREF _Toc483397742 \h </w:instrText>
            </w:r>
            <w:r w:rsidR="003E3157">
              <w:rPr>
                <w:noProof/>
                <w:webHidden/>
              </w:rPr>
            </w:r>
            <w:r w:rsidR="003E3157">
              <w:rPr>
                <w:noProof/>
                <w:webHidden/>
              </w:rPr>
              <w:fldChar w:fldCharType="separate"/>
            </w:r>
            <w:r w:rsidR="00EA4DC1">
              <w:rPr>
                <w:noProof/>
                <w:webHidden/>
              </w:rPr>
              <w:t>4</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43" w:history="1">
            <w:r w:rsidR="003E3157" w:rsidRPr="00C86823">
              <w:rPr>
                <w:rStyle w:val="Hyperlink"/>
                <w:noProof/>
              </w:rPr>
              <w:t>Functions</w:t>
            </w:r>
            <w:r w:rsidR="003E3157">
              <w:rPr>
                <w:noProof/>
                <w:webHidden/>
              </w:rPr>
              <w:tab/>
            </w:r>
            <w:r w:rsidR="003E3157">
              <w:rPr>
                <w:noProof/>
                <w:webHidden/>
              </w:rPr>
              <w:fldChar w:fldCharType="begin"/>
            </w:r>
            <w:r w:rsidR="003E3157">
              <w:rPr>
                <w:noProof/>
                <w:webHidden/>
              </w:rPr>
              <w:instrText xml:space="preserve"> PAGEREF _Toc483397743 \h </w:instrText>
            </w:r>
            <w:r w:rsidR="003E3157">
              <w:rPr>
                <w:noProof/>
                <w:webHidden/>
              </w:rPr>
            </w:r>
            <w:r w:rsidR="003E3157">
              <w:rPr>
                <w:noProof/>
                <w:webHidden/>
              </w:rPr>
              <w:fldChar w:fldCharType="separate"/>
            </w:r>
            <w:r w:rsidR="00EA4DC1">
              <w:rPr>
                <w:noProof/>
                <w:webHidden/>
              </w:rPr>
              <w:t>4</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44" w:history="1">
            <w:r w:rsidR="003E3157" w:rsidRPr="00C86823">
              <w:rPr>
                <w:rStyle w:val="Hyperlink"/>
                <w:noProof/>
              </w:rPr>
              <w:t>Alignment with Australian Government priorities</w:t>
            </w:r>
            <w:r w:rsidR="003E3157">
              <w:rPr>
                <w:noProof/>
                <w:webHidden/>
              </w:rPr>
              <w:tab/>
            </w:r>
            <w:r w:rsidR="003E3157">
              <w:rPr>
                <w:noProof/>
                <w:webHidden/>
              </w:rPr>
              <w:fldChar w:fldCharType="begin"/>
            </w:r>
            <w:r w:rsidR="003E3157">
              <w:rPr>
                <w:noProof/>
                <w:webHidden/>
              </w:rPr>
              <w:instrText xml:space="preserve"> PAGEREF _Toc483397744 \h </w:instrText>
            </w:r>
            <w:r w:rsidR="003E3157">
              <w:rPr>
                <w:noProof/>
                <w:webHidden/>
              </w:rPr>
            </w:r>
            <w:r w:rsidR="003E3157">
              <w:rPr>
                <w:noProof/>
                <w:webHidden/>
              </w:rPr>
              <w:fldChar w:fldCharType="separate"/>
            </w:r>
            <w:r w:rsidR="00EA4DC1">
              <w:rPr>
                <w:noProof/>
                <w:webHidden/>
              </w:rPr>
              <w:t>5</w:t>
            </w:r>
            <w:r w:rsidR="003E3157">
              <w:rPr>
                <w:noProof/>
                <w:webHidden/>
              </w:rPr>
              <w:fldChar w:fldCharType="end"/>
            </w:r>
          </w:hyperlink>
        </w:p>
        <w:p w:rsidR="003E3157" w:rsidRDefault="004A7781">
          <w:pPr>
            <w:pStyle w:val="TOC1"/>
            <w:tabs>
              <w:tab w:val="right" w:leader="dot" w:pos="8296"/>
            </w:tabs>
            <w:rPr>
              <w:rFonts w:asciiTheme="minorHAnsi" w:eastAsiaTheme="minorEastAsia" w:hAnsiTheme="minorHAnsi" w:cstheme="minorBidi"/>
              <w:noProof/>
              <w:color w:val="auto"/>
              <w:szCs w:val="22"/>
              <w:lang w:eastAsia="en-AU"/>
            </w:rPr>
          </w:pPr>
          <w:hyperlink w:anchor="_Toc483397745" w:history="1">
            <w:r w:rsidR="003E3157" w:rsidRPr="00C86823">
              <w:rPr>
                <w:rStyle w:val="Hyperlink"/>
                <w:noProof/>
              </w:rPr>
              <w:t>Environment</w:t>
            </w:r>
            <w:r w:rsidR="003E3157">
              <w:rPr>
                <w:noProof/>
                <w:webHidden/>
              </w:rPr>
              <w:tab/>
            </w:r>
            <w:r w:rsidR="003E3157">
              <w:rPr>
                <w:noProof/>
                <w:webHidden/>
              </w:rPr>
              <w:fldChar w:fldCharType="begin"/>
            </w:r>
            <w:r w:rsidR="003E3157">
              <w:rPr>
                <w:noProof/>
                <w:webHidden/>
              </w:rPr>
              <w:instrText xml:space="preserve"> PAGEREF _Toc483397745 \h </w:instrText>
            </w:r>
            <w:r w:rsidR="003E3157">
              <w:rPr>
                <w:noProof/>
                <w:webHidden/>
              </w:rPr>
            </w:r>
            <w:r w:rsidR="003E3157">
              <w:rPr>
                <w:noProof/>
                <w:webHidden/>
              </w:rPr>
              <w:fldChar w:fldCharType="separate"/>
            </w:r>
            <w:r w:rsidR="00EA4DC1">
              <w:rPr>
                <w:noProof/>
                <w:webHidden/>
              </w:rPr>
              <w:t>6</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46" w:history="1">
            <w:r w:rsidR="003E3157" w:rsidRPr="00C86823">
              <w:rPr>
                <w:rStyle w:val="Hyperlink"/>
                <w:noProof/>
              </w:rPr>
              <w:t>Background</w:t>
            </w:r>
            <w:r w:rsidR="003E3157">
              <w:rPr>
                <w:noProof/>
                <w:webHidden/>
              </w:rPr>
              <w:tab/>
            </w:r>
            <w:r w:rsidR="003E3157">
              <w:rPr>
                <w:noProof/>
                <w:webHidden/>
              </w:rPr>
              <w:fldChar w:fldCharType="begin"/>
            </w:r>
            <w:r w:rsidR="003E3157">
              <w:rPr>
                <w:noProof/>
                <w:webHidden/>
              </w:rPr>
              <w:instrText xml:space="preserve"> PAGEREF _Toc483397746 \h </w:instrText>
            </w:r>
            <w:r w:rsidR="003E3157">
              <w:rPr>
                <w:noProof/>
                <w:webHidden/>
              </w:rPr>
            </w:r>
            <w:r w:rsidR="003E3157">
              <w:rPr>
                <w:noProof/>
                <w:webHidden/>
              </w:rPr>
              <w:fldChar w:fldCharType="separate"/>
            </w:r>
            <w:r w:rsidR="00EA4DC1">
              <w:rPr>
                <w:noProof/>
                <w:webHidden/>
              </w:rPr>
              <w:t>6</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47" w:history="1">
            <w:r w:rsidR="003E3157" w:rsidRPr="00C86823">
              <w:rPr>
                <w:rStyle w:val="Hyperlink"/>
                <w:noProof/>
              </w:rPr>
              <w:t>Governance</w:t>
            </w:r>
            <w:r w:rsidR="003E3157">
              <w:rPr>
                <w:noProof/>
                <w:webHidden/>
              </w:rPr>
              <w:tab/>
            </w:r>
            <w:r w:rsidR="003E3157">
              <w:rPr>
                <w:noProof/>
                <w:webHidden/>
              </w:rPr>
              <w:fldChar w:fldCharType="begin"/>
            </w:r>
            <w:r w:rsidR="003E3157">
              <w:rPr>
                <w:noProof/>
                <w:webHidden/>
              </w:rPr>
              <w:instrText xml:space="preserve"> PAGEREF _Toc483397747 \h </w:instrText>
            </w:r>
            <w:r w:rsidR="003E3157">
              <w:rPr>
                <w:noProof/>
                <w:webHidden/>
              </w:rPr>
            </w:r>
            <w:r w:rsidR="003E3157">
              <w:rPr>
                <w:noProof/>
                <w:webHidden/>
              </w:rPr>
              <w:fldChar w:fldCharType="separate"/>
            </w:r>
            <w:r w:rsidR="00EA4DC1">
              <w:rPr>
                <w:noProof/>
                <w:webHidden/>
              </w:rPr>
              <w:t>6</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48" w:history="1">
            <w:r w:rsidR="003E3157" w:rsidRPr="00C86823">
              <w:rPr>
                <w:rStyle w:val="Hyperlink"/>
                <w:noProof/>
              </w:rPr>
              <w:t>Relationships</w:t>
            </w:r>
            <w:r w:rsidR="003E3157">
              <w:rPr>
                <w:noProof/>
                <w:webHidden/>
              </w:rPr>
              <w:tab/>
            </w:r>
            <w:r w:rsidR="003E3157">
              <w:rPr>
                <w:noProof/>
                <w:webHidden/>
              </w:rPr>
              <w:fldChar w:fldCharType="begin"/>
            </w:r>
            <w:r w:rsidR="003E3157">
              <w:rPr>
                <w:noProof/>
                <w:webHidden/>
              </w:rPr>
              <w:instrText xml:space="preserve"> PAGEREF _Toc483397748 \h </w:instrText>
            </w:r>
            <w:r w:rsidR="003E3157">
              <w:rPr>
                <w:noProof/>
                <w:webHidden/>
              </w:rPr>
            </w:r>
            <w:r w:rsidR="003E3157">
              <w:rPr>
                <w:noProof/>
                <w:webHidden/>
              </w:rPr>
              <w:fldChar w:fldCharType="separate"/>
            </w:r>
            <w:r w:rsidR="00EA4DC1">
              <w:rPr>
                <w:noProof/>
                <w:webHidden/>
              </w:rPr>
              <w:t>6</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49" w:history="1">
            <w:r w:rsidR="003E3157" w:rsidRPr="00C86823">
              <w:rPr>
                <w:rStyle w:val="Hyperlink"/>
                <w:noProof/>
              </w:rPr>
              <w:t>Safety and quality</w:t>
            </w:r>
            <w:r w:rsidR="003E3157">
              <w:rPr>
                <w:noProof/>
                <w:webHidden/>
              </w:rPr>
              <w:tab/>
            </w:r>
            <w:r w:rsidR="003E3157">
              <w:rPr>
                <w:noProof/>
                <w:webHidden/>
              </w:rPr>
              <w:fldChar w:fldCharType="begin"/>
            </w:r>
            <w:r w:rsidR="003E3157">
              <w:rPr>
                <w:noProof/>
                <w:webHidden/>
              </w:rPr>
              <w:instrText xml:space="preserve"> PAGEREF _Toc483397749 \h </w:instrText>
            </w:r>
            <w:r w:rsidR="003E3157">
              <w:rPr>
                <w:noProof/>
                <w:webHidden/>
              </w:rPr>
            </w:r>
            <w:r w:rsidR="003E3157">
              <w:rPr>
                <w:noProof/>
                <w:webHidden/>
              </w:rPr>
              <w:fldChar w:fldCharType="separate"/>
            </w:r>
            <w:r w:rsidR="00EA4DC1">
              <w:rPr>
                <w:noProof/>
                <w:webHidden/>
              </w:rPr>
              <w:t>7</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50" w:history="1">
            <w:r w:rsidR="003E3157" w:rsidRPr="00C86823">
              <w:rPr>
                <w:rStyle w:val="Hyperlink"/>
                <w:noProof/>
              </w:rPr>
              <w:t>National Safety and Quality Health Service Standards</w:t>
            </w:r>
            <w:r w:rsidR="003E3157">
              <w:rPr>
                <w:noProof/>
                <w:webHidden/>
              </w:rPr>
              <w:tab/>
            </w:r>
            <w:r w:rsidR="003E3157">
              <w:rPr>
                <w:noProof/>
                <w:webHidden/>
              </w:rPr>
              <w:fldChar w:fldCharType="begin"/>
            </w:r>
            <w:r w:rsidR="003E3157">
              <w:rPr>
                <w:noProof/>
                <w:webHidden/>
              </w:rPr>
              <w:instrText xml:space="preserve"> PAGEREF _Toc483397750 \h </w:instrText>
            </w:r>
            <w:r w:rsidR="003E3157">
              <w:rPr>
                <w:noProof/>
                <w:webHidden/>
              </w:rPr>
            </w:r>
            <w:r w:rsidR="003E3157">
              <w:rPr>
                <w:noProof/>
                <w:webHidden/>
              </w:rPr>
              <w:fldChar w:fldCharType="separate"/>
            </w:r>
            <w:r w:rsidR="00EA4DC1">
              <w:rPr>
                <w:noProof/>
                <w:webHidden/>
              </w:rPr>
              <w:t>7</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51" w:history="1">
            <w:r w:rsidR="003E3157" w:rsidRPr="00C86823">
              <w:rPr>
                <w:rStyle w:val="Hyperlink"/>
                <w:noProof/>
              </w:rPr>
              <w:t>The NSQHS Standards (second edition)</w:t>
            </w:r>
            <w:r w:rsidR="003E3157">
              <w:rPr>
                <w:noProof/>
                <w:webHidden/>
              </w:rPr>
              <w:tab/>
            </w:r>
            <w:r w:rsidR="003E3157">
              <w:rPr>
                <w:noProof/>
                <w:webHidden/>
              </w:rPr>
              <w:fldChar w:fldCharType="begin"/>
            </w:r>
            <w:r w:rsidR="003E3157">
              <w:rPr>
                <w:noProof/>
                <w:webHidden/>
              </w:rPr>
              <w:instrText xml:space="preserve"> PAGEREF _Toc483397751 \h </w:instrText>
            </w:r>
            <w:r w:rsidR="003E3157">
              <w:rPr>
                <w:noProof/>
                <w:webHidden/>
              </w:rPr>
            </w:r>
            <w:r w:rsidR="003E3157">
              <w:rPr>
                <w:noProof/>
                <w:webHidden/>
              </w:rPr>
              <w:fldChar w:fldCharType="separate"/>
            </w:r>
            <w:r w:rsidR="00EA4DC1">
              <w:rPr>
                <w:noProof/>
                <w:webHidden/>
              </w:rPr>
              <w:t>8</w:t>
            </w:r>
            <w:r w:rsidR="003E3157">
              <w:rPr>
                <w:noProof/>
                <w:webHidden/>
              </w:rPr>
              <w:fldChar w:fldCharType="end"/>
            </w:r>
          </w:hyperlink>
        </w:p>
        <w:p w:rsidR="003E3157" w:rsidRDefault="004A7781">
          <w:pPr>
            <w:pStyle w:val="TOC1"/>
            <w:tabs>
              <w:tab w:val="right" w:leader="dot" w:pos="8296"/>
            </w:tabs>
            <w:rPr>
              <w:rFonts w:asciiTheme="minorHAnsi" w:eastAsiaTheme="minorEastAsia" w:hAnsiTheme="minorHAnsi" w:cstheme="minorBidi"/>
              <w:noProof/>
              <w:color w:val="auto"/>
              <w:szCs w:val="22"/>
              <w:lang w:eastAsia="en-AU"/>
            </w:rPr>
          </w:pPr>
          <w:hyperlink w:anchor="_Toc483397752" w:history="1">
            <w:r w:rsidR="003E3157" w:rsidRPr="00C86823">
              <w:rPr>
                <w:rStyle w:val="Hyperlink"/>
                <w:noProof/>
              </w:rPr>
              <w:t>Performance</w:t>
            </w:r>
            <w:r w:rsidR="003E3157">
              <w:rPr>
                <w:noProof/>
                <w:webHidden/>
              </w:rPr>
              <w:tab/>
            </w:r>
            <w:r w:rsidR="003E3157">
              <w:rPr>
                <w:noProof/>
                <w:webHidden/>
              </w:rPr>
              <w:fldChar w:fldCharType="begin"/>
            </w:r>
            <w:r w:rsidR="003E3157">
              <w:rPr>
                <w:noProof/>
                <w:webHidden/>
              </w:rPr>
              <w:instrText xml:space="preserve"> PAGEREF _Toc483397752 \h </w:instrText>
            </w:r>
            <w:r w:rsidR="003E3157">
              <w:rPr>
                <w:noProof/>
                <w:webHidden/>
              </w:rPr>
            </w:r>
            <w:r w:rsidR="003E3157">
              <w:rPr>
                <w:noProof/>
                <w:webHidden/>
              </w:rPr>
              <w:fldChar w:fldCharType="separate"/>
            </w:r>
            <w:r w:rsidR="00EA4DC1">
              <w:rPr>
                <w:noProof/>
                <w:webHidden/>
              </w:rPr>
              <w:t>9</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53" w:history="1">
            <w:r w:rsidR="003E3157" w:rsidRPr="00C86823">
              <w:rPr>
                <w:rStyle w:val="Hyperlink"/>
                <w:noProof/>
              </w:rPr>
              <w:t>Strategic priorities</w:t>
            </w:r>
            <w:r w:rsidR="003E3157">
              <w:rPr>
                <w:noProof/>
                <w:webHidden/>
              </w:rPr>
              <w:tab/>
            </w:r>
            <w:r w:rsidR="003E3157">
              <w:rPr>
                <w:noProof/>
                <w:webHidden/>
              </w:rPr>
              <w:fldChar w:fldCharType="begin"/>
            </w:r>
            <w:r w:rsidR="003E3157">
              <w:rPr>
                <w:noProof/>
                <w:webHidden/>
              </w:rPr>
              <w:instrText xml:space="preserve"> PAGEREF _Toc483397753 \h </w:instrText>
            </w:r>
            <w:r w:rsidR="003E3157">
              <w:rPr>
                <w:noProof/>
                <w:webHidden/>
              </w:rPr>
            </w:r>
            <w:r w:rsidR="003E3157">
              <w:rPr>
                <w:noProof/>
                <w:webHidden/>
              </w:rPr>
              <w:fldChar w:fldCharType="separate"/>
            </w:r>
            <w:r w:rsidR="00EA4DC1">
              <w:rPr>
                <w:noProof/>
                <w:webHidden/>
              </w:rPr>
              <w:t>9</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54" w:history="1">
            <w:r w:rsidR="003E3157" w:rsidRPr="00C86823">
              <w:rPr>
                <w:rStyle w:val="Hyperlink"/>
                <w:noProof/>
              </w:rPr>
              <w:t>Work plan 201</w:t>
            </w:r>
            <w:r w:rsidR="00652F3B">
              <w:rPr>
                <w:rStyle w:val="Hyperlink"/>
                <w:noProof/>
              </w:rPr>
              <w:t>7</w:t>
            </w:r>
            <w:r w:rsidR="003E3157" w:rsidRPr="00C86823">
              <w:rPr>
                <w:rStyle w:val="Hyperlink"/>
                <w:noProof/>
              </w:rPr>
              <w:t>–2</w:t>
            </w:r>
            <w:r w:rsidR="00652F3B">
              <w:rPr>
                <w:rStyle w:val="Hyperlink"/>
                <w:noProof/>
              </w:rPr>
              <w:t>1</w:t>
            </w:r>
            <w:r w:rsidR="003E3157">
              <w:rPr>
                <w:noProof/>
                <w:webHidden/>
              </w:rPr>
              <w:tab/>
            </w:r>
            <w:r w:rsidR="003E3157">
              <w:rPr>
                <w:noProof/>
                <w:webHidden/>
              </w:rPr>
              <w:fldChar w:fldCharType="begin"/>
            </w:r>
            <w:r w:rsidR="003E3157">
              <w:rPr>
                <w:noProof/>
                <w:webHidden/>
              </w:rPr>
              <w:instrText xml:space="preserve"> PAGEREF _Toc483397754 \h </w:instrText>
            </w:r>
            <w:r w:rsidR="003E3157">
              <w:rPr>
                <w:noProof/>
                <w:webHidden/>
              </w:rPr>
            </w:r>
            <w:r w:rsidR="003E3157">
              <w:rPr>
                <w:noProof/>
                <w:webHidden/>
              </w:rPr>
              <w:fldChar w:fldCharType="separate"/>
            </w:r>
            <w:r w:rsidR="00EA4DC1">
              <w:rPr>
                <w:noProof/>
                <w:webHidden/>
              </w:rPr>
              <w:t>9</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55" w:history="1">
            <w:r w:rsidR="003E3157" w:rsidRPr="00C86823">
              <w:rPr>
                <w:rStyle w:val="Hyperlink"/>
                <w:rFonts w:eastAsia="MS Mincho"/>
                <w:noProof/>
              </w:rPr>
              <w:t>Measuring and reporting on performance</w:t>
            </w:r>
            <w:r w:rsidR="003E3157">
              <w:rPr>
                <w:noProof/>
                <w:webHidden/>
              </w:rPr>
              <w:tab/>
            </w:r>
            <w:r w:rsidR="003E3157">
              <w:rPr>
                <w:noProof/>
                <w:webHidden/>
              </w:rPr>
              <w:fldChar w:fldCharType="begin"/>
            </w:r>
            <w:r w:rsidR="003E3157">
              <w:rPr>
                <w:noProof/>
                <w:webHidden/>
              </w:rPr>
              <w:instrText xml:space="preserve"> PAGEREF _Toc483397755 \h </w:instrText>
            </w:r>
            <w:r w:rsidR="003E3157">
              <w:rPr>
                <w:noProof/>
                <w:webHidden/>
              </w:rPr>
            </w:r>
            <w:r w:rsidR="003E3157">
              <w:rPr>
                <w:noProof/>
                <w:webHidden/>
              </w:rPr>
              <w:fldChar w:fldCharType="separate"/>
            </w:r>
            <w:r w:rsidR="00EA4DC1">
              <w:rPr>
                <w:noProof/>
                <w:webHidden/>
              </w:rPr>
              <w:t>12</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56" w:history="1">
            <w:r w:rsidR="003E3157" w:rsidRPr="00C86823">
              <w:rPr>
                <w:rStyle w:val="Hyperlink"/>
                <w:noProof/>
              </w:rPr>
              <w:t>Key performance indicators</w:t>
            </w:r>
            <w:r w:rsidR="003E3157">
              <w:rPr>
                <w:noProof/>
                <w:webHidden/>
              </w:rPr>
              <w:tab/>
            </w:r>
            <w:r w:rsidR="003E3157">
              <w:rPr>
                <w:noProof/>
                <w:webHidden/>
              </w:rPr>
              <w:fldChar w:fldCharType="begin"/>
            </w:r>
            <w:r w:rsidR="003E3157">
              <w:rPr>
                <w:noProof/>
                <w:webHidden/>
              </w:rPr>
              <w:instrText xml:space="preserve"> PAGEREF _Toc483397756 \h </w:instrText>
            </w:r>
            <w:r w:rsidR="003E3157">
              <w:rPr>
                <w:noProof/>
                <w:webHidden/>
              </w:rPr>
            </w:r>
            <w:r w:rsidR="003E3157">
              <w:rPr>
                <w:noProof/>
                <w:webHidden/>
              </w:rPr>
              <w:fldChar w:fldCharType="separate"/>
            </w:r>
            <w:r w:rsidR="00EA4DC1">
              <w:rPr>
                <w:noProof/>
                <w:webHidden/>
              </w:rPr>
              <w:t>14</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57" w:history="1">
            <w:r w:rsidR="003E3157" w:rsidRPr="00C86823">
              <w:rPr>
                <w:rStyle w:val="Hyperlink"/>
                <w:noProof/>
              </w:rPr>
              <w:t>Key deliverables</w:t>
            </w:r>
            <w:r w:rsidR="003E3157">
              <w:rPr>
                <w:noProof/>
                <w:webHidden/>
              </w:rPr>
              <w:tab/>
            </w:r>
            <w:r w:rsidR="003E3157">
              <w:rPr>
                <w:noProof/>
                <w:webHidden/>
              </w:rPr>
              <w:fldChar w:fldCharType="begin"/>
            </w:r>
            <w:r w:rsidR="003E3157">
              <w:rPr>
                <w:noProof/>
                <w:webHidden/>
              </w:rPr>
              <w:instrText xml:space="preserve"> PAGEREF _Toc483397757 \h </w:instrText>
            </w:r>
            <w:r w:rsidR="003E3157">
              <w:rPr>
                <w:noProof/>
                <w:webHidden/>
              </w:rPr>
            </w:r>
            <w:r w:rsidR="003E3157">
              <w:rPr>
                <w:noProof/>
                <w:webHidden/>
              </w:rPr>
              <w:fldChar w:fldCharType="separate"/>
            </w:r>
            <w:r w:rsidR="00EA4DC1">
              <w:rPr>
                <w:noProof/>
                <w:webHidden/>
              </w:rPr>
              <w:t>18</w:t>
            </w:r>
            <w:r w:rsidR="003E3157">
              <w:rPr>
                <w:noProof/>
                <w:webHidden/>
              </w:rPr>
              <w:fldChar w:fldCharType="end"/>
            </w:r>
          </w:hyperlink>
        </w:p>
        <w:p w:rsidR="003E3157" w:rsidRDefault="004A7781">
          <w:pPr>
            <w:pStyle w:val="TOC1"/>
            <w:tabs>
              <w:tab w:val="right" w:leader="dot" w:pos="8296"/>
            </w:tabs>
            <w:rPr>
              <w:rFonts w:asciiTheme="minorHAnsi" w:eastAsiaTheme="minorEastAsia" w:hAnsiTheme="minorHAnsi" w:cstheme="minorBidi"/>
              <w:noProof/>
              <w:color w:val="auto"/>
              <w:szCs w:val="22"/>
              <w:lang w:eastAsia="en-AU"/>
            </w:rPr>
          </w:pPr>
          <w:hyperlink w:anchor="_Toc483397758" w:history="1">
            <w:r w:rsidR="003E3157" w:rsidRPr="00C86823">
              <w:rPr>
                <w:rStyle w:val="Hyperlink"/>
                <w:noProof/>
              </w:rPr>
              <w:t>Capability</w:t>
            </w:r>
            <w:r w:rsidR="003E3157">
              <w:rPr>
                <w:noProof/>
                <w:webHidden/>
              </w:rPr>
              <w:tab/>
            </w:r>
            <w:r w:rsidR="003E3157">
              <w:rPr>
                <w:noProof/>
                <w:webHidden/>
              </w:rPr>
              <w:fldChar w:fldCharType="begin"/>
            </w:r>
            <w:r w:rsidR="003E3157">
              <w:rPr>
                <w:noProof/>
                <w:webHidden/>
              </w:rPr>
              <w:instrText xml:space="preserve"> PAGEREF _Toc483397758 \h </w:instrText>
            </w:r>
            <w:r w:rsidR="003E3157">
              <w:rPr>
                <w:noProof/>
                <w:webHidden/>
              </w:rPr>
            </w:r>
            <w:r w:rsidR="003E3157">
              <w:rPr>
                <w:noProof/>
                <w:webHidden/>
              </w:rPr>
              <w:fldChar w:fldCharType="separate"/>
            </w:r>
            <w:r w:rsidR="00EA4DC1">
              <w:rPr>
                <w:noProof/>
                <w:webHidden/>
              </w:rPr>
              <w:t>22</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59" w:history="1">
            <w:r w:rsidR="003E3157" w:rsidRPr="00C86823">
              <w:rPr>
                <w:rStyle w:val="Hyperlink"/>
                <w:noProof/>
              </w:rPr>
              <w:t>Staff Profile</w:t>
            </w:r>
            <w:r w:rsidR="003E3157">
              <w:rPr>
                <w:noProof/>
                <w:webHidden/>
              </w:rPr>
              <w:tab/>
            </w:r>
            <w:r w:rsidR="003E3157">
              <w:rPr>
                <w:noProof/>
                <w:webHidden/>
              </w:rPr>
              <w:fldChar w:fldCharType="begin"/>
            </w:r>
            <w:r w:rsidR="003E3157">
              <w:rPr>
                <w:noProof/>
                <w:webHidden/>
              </w:rPr>
              <w:instrText xml:space="preserve"> PAGEREF _Toc483397759 \h </w:instrText>
            </w:r>
            <w:r w:rsidR="003E3157">
              <w:rPr>
                <w:noProof/>
                <w:webHidden/>
              </w:rPr>
            </w:r>
            <w:r w:rsidR="003E3157">
              <w:rPr>
                <w:noProof/>
                <w:webHidden/>
              </w:rPr>
              <w:fldChar w:fldCharType="separate"/>
            </w:r>
            <w:r w:rsidR="00EA4DC1">
              <w:rPr>
                <w:noProof/>
                <w:webHidden/>
              </w:rPr>
              <w:t>22</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60" w:history="1">
            <w:r w:rsidR="003E3157" w:rsidRPr="00C86823">
              <w:rPr>
                <w:rStyle w:val="Hyperlink"/>
                <w:noProof/>
              </w:rPr>
              <w:t>Strengthening capabilities</w:t>
            </w:r>
            <w:r w:rsidR="003E3157">
              <w:rPr>
                <w:noProof/>
                <w:webHidden/>
              </w:rPr>
              <w:tab/>
            </w:r>
            <w:r w:rsidR="003E3157">
              <w:rPr>
                <w:noProof/>
                <w:webHidden/>
              </w:rPr>
              <w:fldChar w:fldCharType="begin"/>
            </w:r>
            <w:r w:rsidR="003E3157">
              <w:rPr>
                <w:noProof/>
                <w:webHidden/>
              </w:rPr>
              <w:instrText xml:space="preserve"> PAGEREF _Toc483397760 \h </w:instrText>
            </w:r>
            <w:r w:rsidR="003E3157">
              <w:rPr>
                <w:noProof/>
                <w:webHidden/>
              </w:rPr>
            </w:r>
            <w:r w:rsidR="003E3157">
              <w:rPr>
                <w:noProof/>
                <w:webHidden/>
              </w:rPr>
              <w:fldChar w:fldCharType="separate"/>
            </w:r>
            <w:r w:rsidR="00EA4DC1">
              <w:rPr>
                <w:noProof/>
                <w:webHidden/>
              </w:rPr>
              <w:t>23</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61" w:history="1">
            <w:r w:rsidR="003E3157" w:rsidRPr="00C86823">
              <w:rPr>
                <w:rStyle w:val="Hyperlink"/>
                <w:noProof/>
              </w:rPr>
              <w:t>Stakeholder engagement</w:t>
            </w:r>
            <w:r w:rsidR="003E3157">
              <w:rPr>
                <w:noProof/>
                <w:webHidden/>
              </w:rPr>
              <w:tab/>
            </w:r>
            <w:r w:rsidR="003E3157">
              <w:rPr>
                <w:noProof/>
                <w:webHidden/>
              </w:rPr>
              <w:fldChar w:fldCharType="begin"/>
            </w:r>
            <w:r w:rsidR="003E3157">
              <w:rPr>
                <w:noProof/>
                <w:webHidden/>
              </w:rPr>
              <w:instrText xml:space="preserve"> PAGEREF _Toc483397761 \h </w:instrText>
            </w:r>
            <w:r w:rsidR="003E3157">
              <w:rPr>
                <w:noProof/>
                <w:webHidden/>
              </w:rPr>
            </w:r>
            <w:r w:rsidR="003E3157">
              <w:rPr>
                <w:noProof/>
                <w:webHidden/>
              </w:rPr>
              <w:fldChar w:fldCharType="separate"/>
            </w:r>
            <w:r w:rsidR="00EA4DC1">
              <w:rPr>
                <w:noProof/>
                <w:webHidden/>
              </w:rPr>
              <w:t>23</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62" w:history="1">
            <w:r w:rsidR="003E3157" w:rsidRPr="00C86823">
              <w:rPr>
                <w:rStyle w:val="Hyperlink"/>
                <w:noProof/>
              </w:rPr>
              <w:t>Shared services</w:t>
            </w:r>
            <w:r w:rsidR="003E3157">
              <w:rPr>
                <w:noProof/>
                <w:webHidden/>
              </w:rPr>
              <w:tab/>
            </w:r>
            <w:r w:rsidR="003E3157">
              <w:rPr>
                <w:noProof/>
                <w:webHidden/>
              </w:rPr>
              <w:fldChar w:fldCharType="begin"/>
            </w:r>
            <w:r w:rsidR="003E3157">
              <w:rPr>
                <w:noProof/>
                <w:webHidden/>
              </w:rPr>
              <w:instrText xml:space="preserve"> PAGEREF _Toc483397762 \h </w:instrText>
            </w:r>
            <w:r w:rsidR="003E3157">
              <w:rPr>
                <w:noProof/>
                <w:webHidden/>
              </w:rPr>
            </w:r>
            <w:r w:rsidR="003E3157">
              <w:rPr>
                <w:noProof/>
                <w:webHidden/>
              </w:rPr>
              <w:fldChar w:fldCharType="separate"/>
            </w:r>
            <w:r w:rsidR="00EA4DC1">
              <w:rPr>
                <w:noProof/>
                <w:webHidden/>
              </w:rPr>
              <w:t>24</w:t>
            </w:r>
            <w:r w:rsidR="003E3157">
              <w:rPr>
                <w:noProof/>
                <w:webHidden/>
              </w:rPr>
              <w:fldChar w:fldCharType="end"/>
            </w:r>
          </w:hyperlink>
        </w:p>
        <w:p w:rsidR="003E3157" w:rsidRDefault="004A7781">
          <w:pPr>
            <w:pStyle w:val="TOC1"/>
            <w:tabs>
              <w:tab w:val="right" w:leader="dot" w:pos="8296"/>
            </w:tabs>
            <w:rPr>
              <w:rFonts w:asciiTheme="minorHAnsi" w:eastAsiaTheme="minorEastAsia" w:hAnsiTheme="minorHAnsi" w:cstheme="minorBidi"/>
              <w:noProof/>
              <w:color w:val="auto"/>
              <w:szCs w:val="22"/>
              <w:lang w:eastAsia="en-AU"/>
            </w:rPr>
          </w:pPr>
          <w:hyperlink w:anchor="_Toc483397763" w:history="1">
            <w:r w:rsidR="003E3157" w:rsidRPr="00C86823">
              <w:rPr>
                <w:rStyle w:val="Hyperlink"/>
                <w:noProof/>
              </w:rPr>
              <w:t>Risk oversight and management</w:t>
            </w:r>
            <w:r w:rsidR="003E3157">
              <w:rPr>
                <w:noProof/>
                <w:webHidden/>
              </w:rPr>
              <w:tab/>
            </w:r>
            <w:r w:rsidR="003E3157">
              <w:rPr>
                <w:noProof/>
                <w:webHidden/>
              </w:rPr>
              <w:fldChar w:fldCharType="begin"/>
            </w:r>
            <w:r w:rsidR="003E3157">
              <w:rPr>
                <w:noProof/>
                <w:webHidden/>
              </w:rPr>
              <w:instrText xml:space="preserve"> PAGEREF _Toc483397763 \h </w:instrText>
            </w:r>
            <w:r w:rsidR="003E3157">
              <w:rPr>
                <w:noProof/>
                <w:webHidden/>
              </w:rPr>
            </w:r>
            <w:r w:rsidR="003E3157">
              <w:rPr>
                <w:noProof/>
                <w:webHidden/>
              </w:rPr>
              <w:fldChar w:fldCharType="separate"/>
            </w:r>
            <w:r w:rsidR="00EA4DC1">
              <w:rPr>
                <w:noProof/>
                <w:webHidden/>
              </w:rPr>
              <w:t>25</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64" w:history="1">
            <w:r w:rsidR="003E3157" w:rsidRPr="00C86823">
              <w:rPr>
                <w:rStyle w:val="Hyperlink"/>
                <w:noProof/>
              </w:rPr>
              <w:t>Risk oversight</w:t>
            </w:r>
            <w:r w:rsidR="003E3157">
              <w:rPr>
                <w:noProof/>
                <w:webHidden/>
              </w:rPr>
              <w:tab/>
            </w:r>
            <w:r w:rsidR="003E3157">
              <w:rPr>
                <w:noProof/>
                <w:webHidden/>
              </w:rPr>
              <w:fldChar w:fldCharType="begin"/>
            </w:r>
            <w:r w:rsidR="003E3157">
              <w:rPr>
                <w:noProof/>
                <w:webHidden/>
              </w:rPr>
              <w:instrText xml:space="preserve"> PAGEREF _Toc483397764 \h </w:instrText>
            </w:r>
            <w:r w:rsidR="003E3157">
              <w:rPr>
                <w:noProof/>
                <w:webHidden/>
              </w:rPr>
            </w:r>
            <w:r w:rsidR="003E3157">
              <w:rPr>
                <w:noProof/>
                <w:webHidden/>
              </w:rPr>
              <w:fldChar w:fldCharType="separate"/>
            </w:r>
            <w:r w:rsidR="00EA4DC1">
              <w:rPr>
                <w:noProof/>
                <w:webHidden/>
              </w:rPr>
              <w:t>25</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65" w:history="1">
            <w:r w:rsidR="003E3157" w:rsidRPr="00C86823">
              <w:rPr>
                <w:rStyle w:val="Hyperlink"/>
                <w:noProof/>
              </w:rPr>
              <w:t>Risk management</w:t>
            </w:r>
            <w:r w:rsidR="003E3157">
              <w:rPr>
                <w:noProof/>
                <w:webHidden/>
              </w:rPr>
              <w:tab/>
            </w:r>
            <w:r w:rsidR="003E3157">
              <w:rPr>
                <w:noProof/>
                <w:webHidden/>
              </w:rPr>
              <w:fldChar w:fldCharType="begin"/>
            </w:r>
            <w:r w:rsidR="003E3157">
              <w:rPr>
                <w:noProof/>
                <w:webHidden/>
              </w:rPr>
              <w:instrText xml:space="preserve"> PAGEREF _Toc483397765 \h </w:instrText>
            </w:r>
            <w:r w:rsidR="003E3157">
              <w:rPr>
                <w:noProof/>
                <w:webHidden/>
              </w:rPr>
            </w:r>
            <w:r w:rsidR="003E3157">
              <w:rPr>
                <w:noProof/>
                <w:webHidden/>
              </w:rPr>
              <w:fldChar w:fldCharType="separate"/>
            </w:r>
            <w:r w:rsidR="00EA4DC1">
              <w:rPr>
                <w:noProof/>
                <w:webHidden/>
              </w:rPr>
              <w:t>25</w:t>
            </w:r>
            <w:r w:rsidR="003E3157">
              <w:rPr>
                <w:noProof/>
                <w:webHidden/>
              </w:rPr>
              <w:fldChar w:fldCharType="end"/>
            </w:r>
          </w:hyperlink>
        </w:p>
        <w:p w:rsidR="003E3157" w:rsidRDefault="004A7781">
          <w:pPr>
            <w:pStyle w:val="TOC2"/>
            <w:tabs>
              <w:tab w:val="right" w:leader="dot" w:pos="8296"/>
            </w:tabs>
            <w:rPr>
              <w:rFonts w:asciiTheme="minorHAnsi" w:eastAsiaTheme="minorEastAsia" w:hAnsiTheme="minorHAnsi" w:cstheme="minorBidi"/>
              <w:noProof/>
              <w:color w:val="auto"/>
              <w:szCs w:val="22"/>
              <w:lang w:eastAsia="en-AU"/>
            </w:rPr>
          </w:pPr>
          <w:hyperlink w:anchor="_Toc483397766" w:history="1">
            <w:r w:rsidR="003E3157" w:rsidRPr="00C86823">
              <w:rPr>
                <w:rStyle w:val="Hyperlink"/>
                <w:noProof/>
              </w:rPr>
              <w:t>Compliance with legislation</w:t>
            </w:r>
            <w:r w:rsidR="003E3157">
              <w:rPr>
                <w:noProof/>
                <w:webHidden/>
              </w:rPr>
              <w:tab/>
            </w:r>
            <w:r w:rsidR="003E3157">
              <w:rPr>
                <w:noProof/>
                <w:webHidden/>
              </w:rPr>
              <w:fldChar w:fldCharType="begin"/>
            </w:r>
            <w:r w:rsidR="003E3157">
              <w:rPr>
                <w:noProof/>
                <w:webHidden/>
              </w:rPr>
              <w:instrText xml:space="preserve"> PAGEREF _Toc483397766 \h </w:instrText>
            </w:r>
            <w:r w:rsidR="003E3157">
              <w:rPr>
                <w:noProof/>
                <w:webHidden/>
              </w:rPr>
            </w:r>
            <w:r w:rsidR="003E3157">
              <w:rPr>
                <w:noProof/>
                <w:webHidden/>
              </w:rPr>
              <w:fldChar w:fldCharType="separate"/>
            </w:r>
            <w:r w:rsidR="00EA4DC1">
              <w:rPr>
                <w:noProof/>
                <w:webHidden/>
              </w:rPr>
              <w:t>26</w:t>
            </w:r>
            <w:r w:rsidR="003E3157">
              <w:rPr>
                <w:noProof/>
                <w:webHidden/>
              </w:rPr>
              <w:fldChar w:fldCharType="end"/>
            </w:r>
          </w:hyperlink>
        </w:p>
        <w:p w:rsidR="00BA16C7" w:rsidRDefault="00BA16C7" w:rsidP="00500B76">
          <w:r>
            <w:rPr>
              <w:b/>
              <w:bCs/>
              <w:noProof/>
            </w:rPr>
            <w:fldChar w:fldCharType="end"/>
          </w:r>
        </w:p>
      </w:sdtContent>
    </w:sdt>
    <w:p w:rsidR="00741698" w:rsidRDefault="00741698" w:rsidP="00500B76"/>
    <w:p w:rsidR="00741698" w:rsidRDefault="00741698" w:rsidP="00500B76">
      <w:pPr>
        <w:rPr>
          <w:rFonts w:cs="Arial"/>
          <w:kern w:val="28"/>
        </w:rPr>
      </w:pPr>
      <w:r>
        <w:br w:type="page"/>
      </w:r>
    </w:p>
    <w:p w:rsidR="00160CA1" w:rsidRPr="00B26008" w:rsidRDefault="00160CA1" w:rsidP="00E04D12">
      <w:pPr>
        <w:pStyle w:val="Heading1"/>
        <w:spacing w:before="0" w:after="120"/>
      </w:pPr>
      <w:bookmarkStart w:id="1" w:name="_Toc483397738"/>
      <w:r w:rsidRPr="00B26008">
        <w:lastRenderedPageBreak/>
        <w:t>I</w:t>
      </w:r>
      <w:r w:rsidR="00BA16C7">
        <w:t>ntroduction</w:t>
      </w:r>
      <w:bookmarkEnd w:id="1"/>
    </w:p>
    <w:p w:rsidR="00280BA6" w:rsidRPr="0010265A" w:rsidRDefault="00280BA6" w:rsidP="00280BA6">
      <w:bookmarkStart w:id="2" w:name="dbedbedda68f9a15ACLX101"/>
      <w:r>
        <w:t xml:space="preserve">In 2006, the Council of Australian Governments (COAG) </w:t>
      </w:r>
      <w:r w:rsidRPr="0010265A">
        <w:t xml:space="preserve">established the Commission to lead and coordinate national improvements in </w:t>
      </w:r>
      <w:r>
        <w:t xml:space="preserve">the </w:t>
      </w:r>
      <w:r w:rsidRPr="0010265A">
        <w:t xml:space="preserve">safety and quality </w:t>
      </w:r>
      <w:r>
        <w:t>of</w:t>
      </w:r>
      <w:r w:rsidRPr="0010265A">
        <w:t xml:space="preserve"> health care. </w:t>
      </w:r>
      <w:r>
        <w:t>The Commission’s</w:t>
      </w:r>
      <w:r w:rsidRPr="0010265A">
        <w:t xml:space="preserve"> permanent status was confirmed with the passage of the </w:t>
      </w:r>
      <w:r w:rsidRPr="001339D7">
        <w:rPr>
          <w:i/>
        </w:rPr>
        <w:t>National Health and Hospitals Network Act 2011</w:t>
      </w:r>
      <w:r>
        <w:t>,</w:t>
      </w:r>
      <w:r w:rsidRPr="0010265A">
        <w:t xml:space="preserve"> </w:t>
      </w:r>
      <w:r>
        <w:t>while</w:t>
      </w:r>
      <w:r w:rsidRPr="0010265A">
        <w:t xml:space="preserve"> its role</w:t>
      </w:r>
      <w:r>
        <w:t xml:space="preserve"> was</w:t>
      </w:r>
      <w:r w:rsidRPr="0010265A">
        <w:t xml:space="preserve"> codified in the </w:t>
      </w:r>
      <w:r w:rsidRPr="001339D7">
        <w:rPr>
          <w:i/>
        </w:rPr>
        <w:t>National Health Reform Act 2011</w:t>
      </w:r>
      <w:r w:rsidRPr="00723B9E">
        <w:t>.</w:t>
      </w:r>
      <w:r w:rsidRPr="0010265A">
        <w:t xml:space="preserve"> The Commission commenced as an independent statutory authority on 1</w:t>
      </w:r>
      <w:r>
        <w:t> </w:t>
      </w:r>
      <w:r w:rsidRPr="0010265A">
        <w:t>July 2011, funded jointly by the Australian Government and state and territory governments.</w:t>
      </w:r>
    </w:p>
    <w:bookmarkEnd w:id="2"/>
    <w:p w:rsidR="00B15C4A" w:rsidRPr="00B15C4A" w:rsidRDefault="00634CD4" w:rsidP="00E04D12">
      <w:pPr>
        <w:pStyle w:val="Default"/>
        <w:spacing w:after="120" w:line="280" w:lineRule="atLeast"/>
        <w:rPr>
          <w:rFonts w:ascii="Arial" w:hAnsi="Arial" w:cs="Arial"/>
          <w:sz w:val="22"/>
          <w:szCs w:val="22"/>
        </w:rPr>
      </w:pPr>
      <w:r>
        <w:rPr>
          <w:rFonts w:ascii="Arial" w:hAnsi="Arial" w:cs="Arial"/>
          <w:sz w:val="22"/>
          <w:szCs w:val="22"/>
        </w:rPr>
        <w:t xml:space="preserve">The </w:t>
      </w:r>
      <w:r w:rsidR="00C43B7D" w:rsidRPr="00B15C4A">
        <w:rPr>
          <w:rFonts w:ascii="Arial" w:hAnsi="Arial" w:cs="Arial"/>
          <w:i/>
          <w:iCs/>
          <w:sz w:val="22"/>
          <w:szCs w:val="22"/>
        </w:rPr>
        <w:t xml:space="preserve">Public Governance, Performance and Accountability Act 2013 </w:t>
      </w:r>
      <w:r w:rsidR="00C43B7D" w:rsidRPr="00B15C4A">
        <w:rPr>
          <w:rFonts w:ascii="Arial" w:hAnsi="Arial" w:cs="Arial"/>
          <w:iCs/>
          <w:sz w:val="22"/>
          <w:szCs w:val="22"/>
        </w:rPr>
        <w:t>(PGPA Act)</w:t>
      </w:r>
      <w:r w:rsidR="00C43B7D" w:rsidRPr="00B15C4A">
        <w:rPr>
          <w:rFonts w:ascii="Arial" w:hAnsi="Arial" w:cs="Arial"/>
          <w:sz w:val="22"/>
          <w:szCs w:val="22"/>
        </w:rPr>
        <w:t xml:space="preserve"> </w:t>
      </w:r>
      <w:r>
        <w:rPr>
          <w:rFonts w:ascii="Arial" w:hAnsi="Arial" w:cs="Arial"/>
          <w:sz w:val="22"/>
          <w:szCs w:val="22"/>
        </w:rPr>
        <w:t xml:space="preserve">requires that </w:t>
      </w:r>
      <w:r w:rsidR="004E57BD">
        <w:rPr>
          <w:rFonts w:ascii="Arial" w:hAnsi="Arial" w:cs="Arial"/>
          <w:sz w:val="22"/>
          <w:szCs w:val="22"/>
        </w:rPr>
        <w:t xml:space="preserve">Australian Government </w:t>
      </w:r>
      <w:r>
        <w:rPr>
          <w:rFonts w:ascii="Arial" w:hAnsi="Arial" w:cs="Arial"/>
          <w:sz w:val="22"/>
          <w:szCs w:val="22"/>
        </w:rPr>
        <w:t xml:space="preserve">entities prepare and publish corporate plans. </w:t>
      </w:r>
      <w:r w:rsidR="00935C44">
        <w:rPr>
          <w:rFonts w:ascii="Arial" w:hAnsi="Arial" w:cs="Arial"/>
          <w:sz w:val="22"/>
          <w:szCs w:val="22"/>
          <w:lang w:val="en"/>
        </w:rPr>
        <w:t>Th</w:t>
      </w:r>
      <w:r w:rsidR="001C5BB6">
        <w:rPr>
          <w:rFonts w:ascii="Arial" w:hAnsi="Arial" w:cs="Arial"/>
          <w:sz w:val="22"/>
          <w:szCs w:val="22"/>
          <w:lang w:val="en"/>
        </w:rPr>
        <w:t>e Commission’s</w:t>
      </w:r>
      <w:r w:rsidR="00935C44" w:rsidRPr="00D83C43">
        <w:rPr>
          <w:rFonts w:ascii="Arial" w:hAnsi="Arial" w:cs="Arial"/>
          <w:sz w:val="22"/>
          <w:szCs w:val="22"/>
          <w:lang w:val="en"/>
        </w:rPr>
        <w:t xml:space="preserve"> </w:t>
      </w:r>
      <w:r w:rsidRPr="00DC5125">
        <w:rPr>
          <w:rFonts w:ascii="Arial" w:hAnsi="Arial" w:cs="Arial"/>
          <w:i/>
          <w:sz w:val="22"/>
          <w:szCs w:val="22"/>
          <w:lang w:val="en"/>
        </w:rPr>
        <w:t xml:space="preserve">Corporate </w:t>
      </w:r>
      <w:r w:rsidR="00E14033" w:rsidRPr="00DC5125">
        <w:rPr>
          <w:rFonts w:ascii="Arial" w:hAnsi="Arial" w:cs="Arial"/>
          <w:i/>
          <w:sz w:val="22"/>
          <w:szCs w:val="22"/>
          <w:lang w:val="en"/>
        </w:rPr>
        <w:t>p</w:t>
      </w:r>
      <w:r w:rsidRPr="00DC5125">
        <w:rPr>
          <w:rFonts w:ascii="Arial" w:hAnsi="Arial" w:cs="Arial"/>
          <w:i/>
          <w:sz w:val="22"/>
          <w:szCs w:val="22"/>
          <w:lang w:val="en"/>
        </w:rPr>
        <w:t>lan 201</w:t>
      </w:r>
      <w:r w:rsidR="00794791">
        <w:rPr>
          <w:rFonts w:ascii="Arial" w:hAnsi="Arial" w:cs="Arial"/>
          <w:i/>
          <w:sz w:val="22"/>
          <w:szCs w:val="22"/>
          <w:lang w:val="en"/>
        </w:rPr>
        <w:t>7</w:t>
      </w:r>
      <w:r w:rsidRPr="00DC5125">
        <w:rPr>
          <w:rFonts w:ascii="Arial" w:hAnsi="Arial" w:cs="Arial"/>
          <w:i/>
          <w:sz w:val="22"/>
          <w:szCs w:val="22"/>
          <w:lang w:val="en"/>
        </w:rPr>
        <w:t>–</w:t>
      </w:r>
      <w:r w:rsidR="001C5BB6">
        <w:rPr>
          <w:rFonts w:ascii="Arial" w:hAnsi="Arial" w:cs="Arial"/>
          <w:i/>
          <w:sz w:val="22"/>
          <w:szCs w:val="22"/>
          <w:lang w:val="en"/>
        </w:rPr>
        <w:t>1</w:t>
      </w:r>
      <w:r w:rsidR="00794791">
        <w:rPr>
          <w:rFonts w:ascii="Arial" w:hAnsi="Arial" w:cs="Arial"/>
          <w:i/>
          <w:sz w:val="22"/>
          <w:szCs w:val="22"/>
          <w:lang w:val="en"/>
        </w:rPr>
        <w:t>8</w:t>
      </w:r>
      <w:r w:rsidRPr="00D83C43">
        <w:rPr>
          <w:rFonts w:ascii="Arial" w:hAnsi="Arial" w:cs="Arial"/>
          <w:sz w:val="22"/>
          <w:szCs w:val="22"/>
          <w:lang w:val="en"/>
        </w:rPr>
        <w:t xml:space="preserve"> identif</w:t>
      </w:r>
      <w:r w:rsidRPr="00B15C4A">
        <w:rPr>
          <w:rFonts w:ascii="Arial" w:hAnsi="Arial" w:cs="Arial"/>
          <w:sz w:val="22"/>
          <w:szCs w:val="22"/>
          <w:lang w:val="en"/>
        </w:rPr>
        <w:t xml:space="preserve">ies </w:t>
      </w:r>
      <w:r w:rsidRPr="00D83C43">
        <w:rPr>
          <w:rFonts w:ascii="Arial" w:hAnsi="Arial" w:cs="Arial"/>
          <w:sz w:val="22"/>
          <w:szCs w:val="22"/>
          <w:lang w:val="en"/>
        </w:rPr>
        <w:t xml:space="preserve">the strategic priorities that </w:t>
      </w:r>
      <w:r w:rsidR="001C5BB6">
        <w:rPr>
          <w:rFonts w:ascii="Arial" w:hAnsi="Arial" w:cs="Arial"/>
          <w:sz w:val="22"/>
          <w:szCs w:val="22"/>
          <w:lang w:val="en"/>
        </w:rPr>
        <w:t>drive</w:t>
      </w:r>
      <w:r w:rsidRPr="00D83C43">
        <w:rPr>
          <w:rFonts w:ascii="Arial" w:hAnsi="Arial" w:cs="Arial"/>
          <w:sz w:val="22"/>
          <w:szCs w:val="22"/>
          <w:lang w:val="en"/>
        </w:rPr>
        <w:t xml:space="preserve"> </w:t>
      </w:r>
      <w:r w:rsidR="00E14033">
        <w:rPr>
          <w:rFonts w:ascii="Arial" w:hAnsi="Arial" w:cs="Arial"/>
          <w:sz w:val="22"/>
          <w:szCs w:val="22"/>
          <w:lang w:val="en"/>
        </w:rPr>
        <w:t>the Commission’s</w:t>
      </w:r>
      <w:r w:rsidR="00E14033" w:rsidRPr="00D83C43">
        <w:rPr>
          <w:rFonts w:ascii="Arial" w:hAnsi="Arial" w:cs="Arial"/>
          <w:sz w:val="22"/>
          <w:szCs w:val="22"/>
          <w:lang w:val="en"/>
        </w:rPr>
        <w:t xml:space="preserve"> </w:t>
      </w:r>
      <w:r w:rsidRPr="00D83C43">
        <w:rPr>
          <w:rFonts w:ascii="Arial" w:hAnsi="Arial" w:cs="Arial"/>
          <w:sz w:val="22"/>
          <w:szCs w:val="22"/>
          <w:lang w:val="en"/>
        </w:rPr>
        <w:t>direction and work over the next four years</w:t>
      </w:r>
      <w:r>
        <w:rPr>
          <w:rFonts w:ascii="Arial" w:hAnsi="Arial" w:cs="Arial"/>
          <w:sz w:val="22"/>
          <w:szCs w:val="22"/>
          <w:lang w:val="en"/>
        </w:rPr>
        <w:t xml:space="preserve">. </w:t>
      </w:r>
      <w:r w:rsidR="00B15C4A" w:rsidRPr="00B15C4A">
        <w:rPr>
          <w:rFonts w:ascii="Arial" w:hAnsi="Arial" w:cs="Arial"/>
          <w:sz w:val="22"/>
          <w:szCs w:val="22"/>
        </w:rPr>
        <w:t>On a rolling basis, this plan will be updated annually as part of the strategic planning activities for the organisation</w:t>
      </w:r>
      <w:r w:rsidR="00C331B5">
        <w:rPr>
          <w:rFonts w:ascii="Arial" w:hAnsi="Arial" w:cs="Arial"/>
          <w:sz w:val="22"/>
          <w:szCs w:val="22"/>
        </w:rPr>
        <w:t xml:space="preserve"> and it</w:t>
      </w:r>
      <w:r w:rsidRPr="00B15C4A">
        <w:rPr>
          <w:rFonts w:ascii="Arial" w:hAnsi="Arial" w:cs="Arial"/>
          <w:sz w:val="22"/>
          <w:szCs w:val="22"/>
        </w:rPr>
        <w:t xml:space="preserve"> </w:t>
      </w:r>
      <w:r w:rsidR="00E14033">
        <w:rPr>
          <w:rFonts w:ascii="Arial" w:hAnsi="Arial" w:cs="Arial"/>
          <w:sz w:val="22"/>
          <w:szCs w:val="22"/>
        </w:rPr>
        <w:t xml:space="preserve">will be reported on </w:t>
      </w:r>
      <w:r w:rsidRPr="00B15C4A">
        <w:rPr>
          <w:rFonts w:ascii="Arial" w:hAnsi="Arial" w:cs="Arial"/>
          <w:sz w:val="22"/>
          <w:szCs w:val="22"/>
        </w:rPr>
        <w:t xml:space="preserve">in </w:t>
      </w:r>
      <w:r w:rsidR="00E14033">
        <w:rPr>
          <w:rFonts w:ascii="Arial" w:hAnsi="Arial" w:cs="Arial"/>
          <w:sz w:val="22"/>
          <w:szCs w:val="22"/>
        </w:rPr>
        <w:t>the Commission’s</w:t>
      </w:r>
      <w:r w:rsidRPr="00B15C4A">
        <w:rPr>
          <w:rFonts w:ascii="Arial" w:hAnsi="Arial" w:cs="Arial"/>
          <w:sz w:val="22"/>
          <w:szCs w:val="22"/>
        </w:rPr>
        <w:t xml:space="preserve"> annual report for 201</w:t>
      </w:r>
      <w:r w:rsidR="00794791">
        <w:rPr>
          <w:rFonts w:ascii="Arial" w:hAnsi="Arial" w:cs="Arial"/>
          <w:sz w:val="22"/>
          <w:szCs w:val="22"/>
        </w:rPr>
        <w:t>7</w:t>
      </w:r>
      <w:r w:rsidR="00C30136">
        <w:rPr>
          <w:rFonts w:ascii="Arial" w:hAnsi="Arial" w:cs="Arial"/>
          <w:sz w:val="22"/>
          <w:szCs w:val="22"/>
        </w:rPr>
        <w:t>-</w:t>
      </w:r>
      <w:r w:rsidRPr="00B15C4A">
        <w:rPr>
          <w:rFonts w:ascii="Arial" w:hAnsi="Arial" w:cs="Arial"/>
          <w:sz w:val="22"/>
          <w:szCs w:val="22"/>
        </w:rPr>
        <w:t>1</w:t>
      </w:r>
      <w:r w:rsidR="00794791">
        <w:rPr>
          <w:rFonts w:ascii="Arial" w:hAnsi="Arial" w:cs="Arial"/>
          <w:sz w:val="22"/>
          <w:szCs w:val="22"/>
        </w:rPr>
        <w:t>8</w:t>
      </w:r>
      <w:r w:rsidRPr="00B15C4A">
        <w:rPr>
          <w:rFonts w:ascii="Arial" w:hAnsi="Arial" w:cs="Arial"/>
          <w:sz w:val="22"/>
          <w:szCs w:val="22"/>
        </w:rPr>
        <w:t>.</w:t>
      </w:r>
    </w:p>
    <w:p w:rsidR="009804CD" w:rsidRDefault="00FB1A9E" w:rsidP="00E04D12">
      <w:r w:rsidRPr="00B15C4A">
        <w:rPr>
          <w:rStyle w:val="IntenseReference"/>
          <w:rFonts w:cs="Arial"/>
          <w:b w:val="0"/>
          <w:bCs w:val="0"/>
          <w:i w:val="0"/>
          <w:smallCaps w:val="0"/>
          <w:color w:val="auto"/>
          <w:spacing w:val="0"/>
          <w:szCs w:val="22"/>
        </w:rPr>
        <w:t>This document has been prepared</w:t>
      </w:r>
      <w:r w:rsidR="006E3201">
        <w:rPr>
          <w:rStyle w:val="IntenseReference"/>
          <w:rFonts w:cs="Arial"/>
          <w:b w:val="0"/>
          <w:bCs w:val="0"/>
          <w:i w:val="0"/>
          <w:smallCaps w:val="0"/>
          <w:color w:val="auto"/>
          <w:spacing w:val="0"/>
          <w:szCs w:val="22"/>
        </w:rPr>
        <w:t xml:space="preserve"> for the 201</w:t>
      </w:r>
      <w:r w:rsidR="00794791">
        <w:rPr>
          <w:rStyle w:val="IntenseReference"/>
          <w:rFonts w:cs="Arial"/>
          <w:b w:val="0"/>
          <w:bCs w:val="0"/>
          <w:i w:val="0"/>
          <w:smallCaps w:val="0"/>
          <w:color w:val="auto"/>
          <w:spacing w:val="0"/>
          <w:szCs w:val="22"/>
        </w:rPr>
        <w:t>7</w:t>
      </w:r>
      <w:r w:rsidR="00C30136">
        <w:rPr>
          <w:rStyle w:val="IntenseReference"/>
          <w:rFonts w:cs="Arial"/>
          <w:b w:val="0"/>
          <w:bCs w:val="0"/>
          <w:i w:val="0"/>
          <w:smallCaps w:val="0"/>
          <w:color w:val="auto"/>
          <w:spacing w:val="0"/>
          <w:szCs w:val="22"/>
        </w:rPr>
        <w:t>-</w:t>
      </w:r>
      <w:r w:rsidR="006E3201">
        <w:rPr>
          <w:rStyle w:val="IntenseReference"/>
          <w:rFonts w:cs="Arial"/>
          <w:b w:val="0"/>
          <w:bCs w:val="0"/>
          <w:i w:val="0"/>
          <w:smallCaps w:val="0"/>
          <w:color w:val="auto"/>
          <w:spacing w:val="0"/>
          <w:szCs w:val="22"/>
        </w:rPr>
        <w:t>1</w:t>
      </w:r>
      <w:r w:rsidR="00794791">
        <w:rPr>
          <w:rStyle w:val="IntenseReference"/>
          <w:rFonts w:cs="Arial"/>
          <w:b w:val="0"/>
          <w:bCs w:val="0"/>
          <w:i w:val="0"/>
          <w:smallCaps w:val="0"/>
          <w:color w:val="auto"/>
          <w:spacing w:val="0"/>
          <w:szCs w:val="22"/>
        </w:rPr>
        <w:t>8</w:t>
      </w:r>
      <w:r w:rsidR="006E3201">
        <w:rPr>
          <w:rStyle w:val="IntenseReference"/>
          <w:rFonts w:cs="Arial"/>
          <w:b w:val="0"/>
          <w:bCs w:val="0"/>
          <w:i w:val="0"/>
          <w:smallCaps w:val="0"/>
          <w:color w:val="auto"/>
          <w:spacing w:val="0"/>
          <w:szCs w:val="22"/>
        </w:rPr>
        <w:t xml:space="preserve"> period,</w:t>
      </w:r>
      <w:r w:rsidRPr="00B15C4A">
        <w:rPr>
          <w:rStyle w:val="IntenseReference"/>
          <w:rFonts w:cs="Arial"/>
          <w:b w:val="0"/>
          <w:bCs w:val="0"/>
          <w:i w:val="0"/>
          <w:smallCaps w:val="0"/>
          <w:color w:val="auto"/>
          <w:spacing w:val="0"/>
          <w:szCs w:val="22"/>
        </w:rPr>
        <w:t xml:space="preserve"> in accordance with paragraph 35(1)(b) of the </w:t>
      </w:r>
      <w:r w:rsidRPr="00B15C4A">
        <w:rPr>
          <w:iCs/>
        </w:rPr>
        <w:t>PGPA Act</w:t>
      </w:r>
      <w:r w:rsidRPr="00B15C4A">
        <w:rPr>
          <w:rStyle w:val="IntenseReference"/>
          <w:rFonts w:cs="Arial"/>
          <w:b w:val="0"/>
          <w:bCs w:val="0"/>
          <w:i w:val="0"/>
          <w:smallCaps w:val="0"/>
          <w:color w:val="auto"/>
          <w:spacing w:val="0"/>
          <w:szCs w:val="22"/>
        </w:rPr>
        <w:t>.</w:t>
      </w:r>
    </w:p>
    <w:p w:rsidR="009804CD" w:rsidRDefault="009804CD" w:rsidP="00E04D12">
      <w:r>
        <w:br w:type="page"/>
      </w:r>
    </w:p>
    <w:p w:rsidR="00CE5E39" w:rsidRPr="00B26008" w:rsidRDefault="00CE5E39" w:rsidP="00E04D12">
      <w:pPr>
        <w:pStyle w:val="Heading1"/>
        <w:spacing w:before="0" w:after="120"/>
      </w:pPr>
      <w:bookmarkStart w:id="3" w:name="_Toc483397739"/>
      <w:r w:rsidRPr="00B26008">
        <w:t>Overview</w:t>
      </w:r>
      <w:bookmarkEnd w:id="3"/>
    </w:p>
    <w:p w:rsidR="00AF1BFD" w:rsidRDefault="00CE5E39"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 overall vision of the Commission is that </w:t>
      </w:r>
      <w:r w:rsidR="004D2AC2" w:rsidRPr="00FC39C1">
        <w:rPr>
          <w:rStyle w:val="IntenseReference"/>
          <w:b w:val="0"/>
          <w:bCs w:val="0"/>
          <w:i w:val="0"/>
          <w:smallCaps w:val="0"/>
          <w:color w:val="auto"/>
          <w:spacing w:val="0"/>
        </w:rPr>
        <w:t>all patients, consumers and communities in</w:t>
      </w:r>
      <w:r w:rsidRPr="00FC39C1">
        <w:rPr>
          <w:rStyle w:val="IntenseReference"/>
          <w:b w:val="0"/>
          <w:bCs w:val="0"/>
          <w:i w:val="0"/>
          <w:smallCaps w:val="0"/>
          <w:color w:val="auto"/>
          <w:spacing w:val="0"/>
        </w:rPr>
        <w:t xml:space="preserve"> Australia have access to</w:t>
      </w:r>
      <w:r w:rsidR="003A2701" w:rsidRPr="00FC39C1">
        <w:rPr>
          <w:rStyle w:val="IntenseReference"/>
          <w:b w:val="0"/>
          <w:bCs w:val="0"/>
          <w:i w:val="0"/>
          <w:smallCaps w:val="0"/>
          <w:color w:val="auto"/>
          <w:spacing w:val="0"/>
        </w:rPr>
        <w:t>,</w:t>
      </w:r>
      <w:r w:rsidRPr="00FC39C1">
        <w:rPr>
          <w:rStyle w:val="IntenseReference"/>
          <w:b w:val="0"/>
          <w:bCs w:val="0"/>
          <w:i w:val="0"/>
          <w:smallCaps w:val="0"/>
          <w:color w:val="auto"/>
          <w:spacing w:val="0"/>
        </w:rPr>
        <w:t xml:space="preserve"> and receive</w:t>
      </w:r>
      <w:r w:rsidR="003A2701" w:rsidRPr="00FC39C1">
        <w:rPr>
          <w:rStyle w:val="IntenseReference"/>
          <w:b w:val="0"/>
          <w:bCs w:val="0"/>
          <w:i w:val="0"/>
          <w:smallCaps w:val="0"/>
          <w:color w:val="auto"/>
          <w:spacing w:val="0"/>
        </w:rPr>
        <w:t>,</w:t>
      </w:r>
      <w:r w:rsidR="001C5BB6">
        <w:rPr>
          <w:rStyle w:val="IntenseReference"/>
          <w:b w:val="0"/>
          <w:bCs w:val="0"/>
          <w:i w:val="0"/>
          <w:smallCaps w:val="0"/>
          <w:color w:val="auto"/>
          <w:spacing w:val="0"/>
        </w:rPr>
        <w:t xml:space="preserve"> safe and high </w:t>
      </w:r>
      <w:r w:rsidRPr="00FC39C1">
        <w:rPr>
          <w:rStyle w:val="IntenseReference"/>
          <w:b w:val="0"/>
          <w:bCs w:val="0"/>
          <w:i w:val="0"/>
          <w:smallCaps w:val="0"/>
          <w:color w:val="auto"/>
          <w:spacing w:val="0"/>
        </w:rPr>
        <w:t>quality</w:t>
      </w:r>
      <w:r w:rsidR="004D2AC2" w:rsidRPr="00FC39C1">
        <w:rPr>
          <w:rStyle w:val="IntenseReference"/>
          <w:b w:val="0"/>
          <w:bCs w:val="0"/>
          <w:i w:val="0"/>
          <w:smallCaps w:val="0"/>
          <w:color w:val="auto"/>
          <w:spacing w:val="0"/>
        </w:rPr>
        <w:t xml:space="preserve"> health</w:t>
      </w:r>
      <w:r w:rsidRPr="00FC39C1">
        <w:rPr>
          <w:rStyle w:val="IntenseReference"/>
          <w:b w:val="0"/>
          <w:bCs w:val="0"/>
          <w:i w:val="0"/>
          <w:smallCaps w:val="0"/>
          <w:color w:val="auto"/>
          <w:spacing w:val="0"/>
        </w:rPr>
        <w:t xml:space="preserve"> care. </w:t>
      </w:r>
      <w:r w:rsidR="004D2AC2" w:rsidRPr="00FC39C1">
        <w:rPr>
          <w:rStyle w:val="IntenseReference"/>
          <w:b w:val="0"/>
          <w:bCs w:val="0"/>
          <w:i w:val="0"/>
          <w:smallCaps w:val="0"/>
          <w:color w:val="auto"/>
          <w:spacing w:val="0"/>
        </w:rPr>
        <w:t>T</w:t>
      </w:r>
      <w:r w:rsidRPr="00FC39C1">
        <w:rPr>
          <w:rStyle w:val="IntenseReference"/>
          <w:b w:val="0"/>
          <w:bCs w:val="0"/>
          <w:i w:val="0"/>
          <w:smallCaps w:val="0"/>
          <w:color w:val="auto"/>
          <w:spacing w:val="0"/>
        </w:rPr>
        <w:t xml:space="preserve">he Commission leads and coordinates national improvements in </w:t>
      </w:r>
      <w:r w:rsidR="004D2AC2" w:rsidRPr="00FC39C1">
        <w:rPr>
          <w:rStyle w:val="IntenseReference"/>
          <w:b w:val="0"/>
          <w:bCs w:val="0"/>
          <w:i w:val="0"/>
          <w:smallCaps w:val="0"/>
          <w:color w:val="auto"/>
          <w:spacing w:val="0"/>
        </w:rPr>
        <w:t xml:space="preserve">the </w:t>
      </w:r>
      <w:r w:rsidRPr="00FC39C1">
        <w:rPr>
          <w:rStyle w:val="IntenseReference"/>
          <w:b w:val="0"/>
          <w:bCs w:val="0"/>
          <w:i w:val="0"/>
          <w:smallCaps w:val="0"/>
          <w:color w:val="auto"/>
          <w:spacing w:val="0"/>
        </w:rPr>
        <w:t xml:space="preserve">safety and quality </w:t>
      </w:r>
      <w:r w:rsidR="004D2AC2" w:rsidRPr="00FC39C1">
        <w:rPr>
          <w:rStyle w:val="IntenseReference"/>
          <w:b w:val="0"/>
          <w:bCs w:val="0"/>
          <w:i w:val="0"/>
          <w:smallCaps w:val="0"/>
          <w:color w:val="auto"/>
          <w:spacing w:val="0"/>
        </w:rPr>
        <w:t>of health care based on the best available evidence</w:t>
      </w:r>
      <w:r w:rsidRPr="00FC39C1">
        <w:rPr>
          <w:rStyle w:val="IntenseReference"/>
          <w:b w:val="0"/>
          <w:bCs w:val="0"/>
          <w:i w:val="0"/>
          <w:smallCaps w:val="0"/>
          <w:color w:val="auto"/>
          <w:spacing w:val="0"/>
        </w:rPr>
        <w:t>.</w:t>
      </w:r>
    </w:p>
    <w:p w:rsidR="00AF1BFD" w:rsidRDefault="00CE5E39"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 Commission works </w:t>
      </w:r>
      <w:r w:rsidR="004D2AC2" w:rsidRPr="00FC39C1">
        <w:rPr>
          <w:rStyle w:val="IntenseReference"/>
          <w:b w:val="0"/>
          <w:bCs w:val="0"/>
          <w:i w:val="0"/>
          <w:smallCaps w:val="0"/>
          <w:color w:val="auto"/>
          <w:spacing w:val="0"/>
        </w:rPr>
        <w:t>in</w:t>
      </w:r>
      <w:r w:rsidRPr="00FC39C1">
        <w:rPr>
          <w:rStyle w:val="IntenseReference"/>
          <w:b w:val="0"/>
          <w:bCs w:val="0"/>
          <w:i w:val="0"/>
          <w:smallCaps w:val="0"/>
          <w:color w:val="auto"/>
          <w:spacing w:val="0"/>
        </w:rPr>
        <w:t xml:space="preserve"> partners</w:t>
      </w:r>
      <w:r w:rsidR="004D2AC2" w:rsidRPr="00FC39C1">
        <w:rPr>
          <w:rStyle w:val="IntenseReference"/>
          <w:b w:val="0"/>
          <w:bCs w:val="0"/>
          <w:i w:val="0"/>
          <w:smallCaps w:val="0"/>
          <w:color w:val="auto"/>
          <w:spacing w:val="0"/>
        </w:rPr>
        <w:t>hip with patients, consumers, clinicians, managers, policy makers and healthcare organisations to achieve a sustainable, safe and high-quality health system.</w:t>
      </w:r>
    </w:p>
    <w:p w:rsidR="003E7A26" w:rsidRDefault="00CE5E39"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Over the </w:t>
      </w:r>
      <w:r w:rsidR="00131B8E">
        <w:rPr>
          <w:rStyle w:val="IntenseReference"/>
          <w:b w:val="0"/>
          <w:bCs w:val="0"/>
          <w:i w:val="0"/>
          <w:smallCaps w:val="0"/>
          <w:color w:val="auto"/>
          <w:spacing w:val="0"/>
        </w:rPr>
        <w:t>201</w:t>
      </w:r>
      <w:r w:rsidR="00A126EB">
        <w:rPr>
          <w:rStyle w:val="IntenseReference"/>
          <w:b w:val="0"/>
          <w:bCs w:val="0"/>
          <w:i w:val="0"/>
          <w:smallCaps w:val="0"/>
          <w:color w:val="auto"/>
          <w:spacing w:val="0"/>
        </w:rPr>
        <w:t>7</w:t>
      </w:r>
      <w:r w:rsidR="00131B8E">
        <w:rPr>
          <w:rStyle w:val="IntenseReference"/>
          <w:b w:val="0"/>
          <w:bCs w:val="0"/>
          <w:i w:val="0"/>
          <w:smallCaps w:val="0"/>
          <w:color w:val="auto"/>
          <w:spacing w:val="0"/>
        </w:rPr>
        <w:t>-2</w:t>
      </w:r>
      <w:r w:rsidR="00A126EB">
        <w:rPr>
          <w:rStyle w:val="IntenseReference"/>
          <w:b w:val="0"/>
          <w:bCs w:val="0"/>
          <w:i w:val="0"/>
          <w:smallCaps w:val="0"/>
          <w:color w:val="auto"/>
          <w:spacing w:val="0"/>
        </w:rPr>
        <w:t>1</w:t>
      </w:r>
      <w:r w:rsidR="00131B8E">
        <w:rPr>
          <w:rStyle w:val="IntenseReference"/>
          <w:b w:val="0"/>
          <w:bCs w:val="0"/>
          <w:i w:val="0"/>
          <w:smallCaps w:val="0"/>
          <w:color w:val="auto"/>
          <w:spacing w:val="0"/>
        </w:rPr>
        <w:t xml:space="preserve"> period</w:t>
      </w:r>
      <w:r w:rsidRPr="00FC39C1">
        <w:rPr>
          <w:rStyle w:val="IntenseReference"/>
          <w:b w:val="0"/>
          <w:bCs w:val="0"/>
          <w:i w:val="0"/>
          <w:smallCaps w:val="0"/>
          <w:color w:val="auto"/>
          <w:spacing w:val="0"/>
        </w:rPr>
        <w:t xml:space="preserve"> the Commission</w:t>
      </w:r>
      <w:r w:rsidR="00A11277" w:rsidRPr="00FC39C1">
        <w:rPr>
          <w:rStyle w:val="IntenseReference"/>
          <w:b w:val="0"/>
          <w:bCs w:val="0"/>
          <w:i w:val="0"/>
          <w:smallCaps w:val="0"/>
          <w:color w:val="auto"/>
          <w:spacing w:val="0"/>
        </w:rPr>
        <w:t>’s strategic priorities are</w:t>
      </w:r>
      <w:r w:rsidRPr="00FC39C1">
        <w:rPr>
          <w:rStyle w:val="IntenseReference"/>
          <w:b w:val="0"/>
          <w:bCs w:val="0"/>
          <w:i w:val="0"/>
          <w:smallCaps w:val="0"/>
          <w:color w:val="auto"/>
          <w:spacing w:val="0"/>
        </w:rPr>
        <w:t xml:space="preserve"> </w:t>
      </w:r>
      <w:r w:rsidR="00A11277" w:rsidRPr="00FC39C1">
        <w:rPr>
          <w:rStyle w:val="IntenseReference"/>
          <w:b w:val="0"/>
          <w:bCs w:val="0"/>
          <w:i w:val="0"/>
          <w:smallCaps w:val="0"/>
          <w:color w:val="auto"/>
          <w:spacing w:val="0"/>
        </w:rPr>
        <w:t>i</w:t>
      </w:r>
      <w:r w:rsidRPr="00FC39C1">
        <w:rPr>
          <w:rStyle w:val="IntenseReference"/>
          <w:b w:val="0"/>
          <w:bCs w:val="0"/>
          <w:i w:val="0"/>
          <w:smallCaps w:val="0"/>
          <w:color w:val="auto"/>
          <w:spacing w:val="0"/>
        </w:rPr>
        <w:t>n the areas of</w:t>
      </w:r>
      <w:r w:rsidR="003E7A26">
        <w:rPr>
          <w:rStyle w:val="IntenseReference"/>
          <w:b w:val="0"/>
          <w:bCs w:val="0"/>
          <w:i w:val="0"/>
          <w:smallCaps w:val="0"/>
          <w:color w:val="auto"/>
          <w:spacing w:val="0"/>
        </w:rPr>
        <w:t>:</w:t>
      </w:r>
    </w:p>
    <w:p w:rsidR="003E7A26" w:rsidRDefault="00CE5E39"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patient safety</w:t>
      </w:r>
    </w:p>
    <w:p w:rsidR="003E7A26" w:rsidRDefault="00CE5E39"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partnering with patients, consumers and communities</w:t>
      </w:r>
    </w:p>
    <w:p w:rsidR="003E7A26" w:rsidRDefault="00CE5E39"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quality</w:t>
      </w:r>
      <w:r w:rsidR="001C5BB6">
        <w:rPr>
          <w:rStyle w:val="IntenseReference"/>
          <w:b w:val="0"/>
          <w:bCs w:val="0"/>
          <w:i w:val="0"/>
          <w:smallCaps w:val="0"/>
          <w:color w:val="auto"/>
          <w:spacing w:val="0"/>
        </w:rPr>
        <w:t>,</w:t>
      </w:r>
      <w:r w:rsidRPr="00FC39C1">
        <w:rPr>
          <w:rStyle w:val="IntenseReference"/>
          <w:b w:val="0"/>
          <w:bCs w:val="0"/>
          <w:i w:val="0"/>
          <w:smallCaps w:val="0"/>
          <w:color w:val="auto"/>
          <w:spacing w:val="0"/>
        </w:rPr>
        <w:t xml:space="preserve"> cost and value</w:t>
      </w:r>
    </w:p>
    <w:p w:rsidR="00CE5E39" w:rsidRPr="00FC39C1" w:rsidRDefault="00203C94"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supporting health professionals to provide safe and high-quality care</w:t>
      </w:r>
      <w:r w:rsidR="00CE5E39" w:rsidRPr="00FC39C1">
        <w:rPr>
          <w:rStyle w:val="IntenseReference"/>
          <w:b w:val="0"/>
          <w:bCs w:val="0"/>
          <w:i w:val="0"/>
          <w:smallCaps w:val="0"/>
          <w:color w:val="auto"/>
          <w:spacing w:val="0"/>
        </w:rPr>
        <w:t>.</w:t>
      </w:r>
      <w:r w:rsidR="004D2AC2" w:rsidRPr="00FC39C1">
        <w:rPr>
          <w:rStyle w:val="IntenseReference"/>
          <w:b w:val="0"/>
          <w:bCs w:val="0"/>
          <w:i w:val="0"/>
          <w:smallCaps w:val="0"/>
          <w:color w:val="auto"/>
          <w:spacing w:val="0"/>
        </w:rPr>
        <w:t xml:space="preserve"> </w:t>
      </w:r>
    </w:p>
    <w:p w:rsidR="004D2AC2" w:rsidRDefault="004D2AC2" w:rsidP="00E04D12"/>
    <w:p w:rsidR="00203C94" w:rsidRDefault="00203C94" w:rsidP="00E04D12">
      <w:r>
        <w:br w:type="page"/>
      </w:r>
    </w:p>
    <w:p w:rsidR="001519E0" w:rsidRDefault="001519E0" w:rsidP="00E04D12">
      <w:pPr>
        <w:pStyle w:val="Heading1"/>
        <w:spacing w:before="0" w:after="120"/>
      </w:pPr>
      <w:bookmarkStart w:id="4" w:name="_Toc483397740"/>
      <w:r>
        <w:t>Purpose</w:t>
      </w:r>
      <w:bookmarkEnd w:id="4"/>
    </w:p>
    <w:p w:rsidR="00A17EC3" w:rsidRPr="00431267" w:rsidRDefault="0020000F" w:rsidP="005233B1">
      <w:pPr>
        <w:pStyle w:val="Heading2"/>
        <w:spacing w:after="120"/>
      </w:pPr>
      <w:bookmarkStart w:id="5" w:name="_Toc483397741"/>
      <w:r>
        <w:t>R</w:t>
      </w:r>
      <w:r w:rsidR="00A17EC3" w:rsidRPr="00431267">
        <w:t>ole</w:t>
      </w:r>
      <w:bookmarkEnd w:id="5"/>
    </w:p>
    <w:p w:rsidR="003E7A26" w:rsidRDefault="009B5ACD"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The Commission lead</w:t>
      </w:r>
      <w:r w:rsidR="00384382">
        <w:rPr>
          <w:rStyle w:val="IntenseReference"/>
          <w:b w:val="0"/>
          <w:bCs w:val="0"/>
          <w:i w:val="0"/>
          <w:smallCaps w:val="0"/>
          <w:color w:val="auto"/>
          <w:spacing w:val="0"/>
        </w:rPr>
        <w:t xml:space="preserve">s </w:t>
      </w:r>
      <w:r w:rsidRPr="00FC39C1">
        <w:rPr>
          <w:rStyle w:val="IntenseReference"/>
          <w:b w:val="0"/>
          <w:bCs w:val="0"/>
          <w:i w:val="0"/>
          <w:smallCaps w:val="0"/>
          <w:color w:val="auto"/>
          <w:spacing w:val="0"/>
        </w:rPr>
        <w:t>and coordinat</w:t>
      </w:r>
      <w:r w:rsidR="00384382">
        <w:rPr>
          <w:rStyle w:val="IntenseReference"/>
          <w:b w:val="0"/>
          <w:bCs w:val="0"/>
          <w:i w:val="0"/>
          <w:smallCaps w:val="0"/>
          <w:color w:val="auto"/>
          <w:spacing w:val="0"/>
        </w:rPr>
        <w:t xml:space="preserve">es </w:t>
      </w:r>
      <w:r w:rsidRPr="00FC39C1">
        <w:rPr>
          <w:rStyle w:val="IntenseReference"/>
          <w:b w:val="0"/>
          <w:bCs w:val="0"/>
          <w:i w:val="0"/>
          <w:smallCaps w:val="0"/>
          <w:color w:val="auto"/>
          <w:spacing w:val="0"/>
        </w:rPr>
        <w:t>national improvements in safety and quality in health care</w:t>
      </w:r>
      <w:r w:rsidR="00CC709D">
        <w:rPr>
          <w:rStyle w:val="IntenseReference"/>
          <w:b w:val="0"/>
          <w:bCs w:val="0"/>
          <w:i w:val="0"/>
          <w:smallCaps w:val="0"/>
          <w:color w:val="auto"/>
          <w:spacing w:val="0"/>
        </w:rPr>
        <w:t>. The Commission</w:t>
      </w:r>
      <w:r w:rsidR="00384382">
        <w:rPr>
          <w:rStyle w:val="IntenseReference"/>
          <w:b w:val="0"/>
          <w:bCs w:val="0"/>
          <w:i w:val="0"/>
          <w:smallCaps w:val="0"/>
          <w:color w:val="auto"/>
          <w:spacing w:val="0"/>
        </w:rPr>
        <w:t xml:space="preserve"> contribut</w:t>
      </w:r>
      <w:r w:rsidR="00CC709D">
        <w:rPr>
          <w:rStyle w:val="IntenseReference"/>
          <w:b w:val="0"/>
          <w:bCs w:val="0"/>
          <w:i w:val="0"/>
          <w:smallCaps w:val="0"/>
          <w:color w:val="auto"/>
          <w:spacing w:val="0"/>
        </w:rPr>
        <w:t xml:space="preserve">es </w:t>
      </w:r>
      <w:r w:rsidR="00384382" w:rsidRPr="00FC39C1">
        <w:rPr>
          <w:rStyle w:val="IntenseReference"/>
          <w:b w:val="0"/>
          <w:bCs w:val="0"/>
          <w:i w:val="0"/>
          <w:smallCaps w:val="0"/>
          <w:color w:val="auto"/>
          <w:spacing w:val="0"/>
        </w:rPr>
        <w:t xml:space="preserve">to better health outcomes and experiences for </w:t>
      </w:r>
      <w:r w:rsidR="00CC709D" w:rsidRPr="00FC39C1">
        <w:rPr>
          <w:rStyle w:val="IntenseReference"/>
          <w:b w:val="0"/>
          <w:bCs w:val="0"/>
          <w:i w:val="0"/>
          <w:smallCaps w:val="0"/>
          <w:color w:val="auto"/>
          <w:spacing w:val="0"/>
        </w:rPr>
        <w:t>patients, consumers and communities</w:t>
      </w:r>
      <w:r w:rsidR="00131B8E">
        <w:rPr>
          <w:rStyle w:val="IntenseReference"/>
          <w:b w:val="0"/>
          <w:bCs w:val="0"/>
          <w:i w:val="0"/>
          <w:smallCaps w:val="0"/>
          <w:color w:val="auto"/>
          <w:spacing w:val="0"/>
        </w:rPr>
        <w:t xml:space="preserve"> across Australia</w:t>
      </w:r>
      <w:r w:rsidR="00CC709D" w:rsidRPr="00FC39C1">
        <w:rPr>
          <w:rStyle w:val="IntenseReference"/>
          <w:b w:val="0"/>
          <w:bCs w:val="0"/>
          <w:i w:val="0"/>
          <w:smallCaps w:val="0"/>
          <w:color w:val="auto"/>
          <w:spacing w:val="0"/>
        </w:rPr>
        <w:t xml:space="preserve"> </w:t>
      </w:r>
      <w:r w:rsidR="00CC709D">
        <w:rPr>
          <w:rStyle w:val="IntenseReference"/>
          <w:b w:val="0"/>
          <w:bCs w:val="0"/>
          <w:i w:val="0"/>
          <w:smallCaps w:val="0"/>
          <w:color w:val="auto"/>
          <w:spacing w:val="0"/>
        </w:rPr>
        <w:t xml:space="preserve">through the development of standards, guidelines and indicators </w:t>
      </w:r>
      <w:r w:rsidR="001C5BB6">
        <w:rPr>
          <w:rStyle w:val="IntenseReference"/>
          <w:b w:val="0"/>
          <w:bCs w:val="0"/>
          <w:i w:val="0"/>
          <w:smallCaps w:val="0"/>
          <w:color w:val="auto"/>
          <w:spacing w:val="0"/>
        </w:rPr>
        <w:t xml:space="preserve">relating to health </w:t>
      </w:r>
      <w:r w:rsidR="00CC709D" w:rsidRPr="002C41D8">
        <w:rPr>
          <w:rStyle w:val="IntenseReference"/>
          <w:b w:val="0"/>
          <w:bCs w:val="0"/>
          <w:i w:val="0"/>
          <w:smallCaps w:val="0"/>
          <w:color w:val="auto"/>
          <w:spacing w:val="0"/>
        </w:rPr>
        <w:t>care safety and quality matters</w:t>
      </w:r>
      <w:r w:rsidR="00CC709D">
        <w:rPr>
          <w:rStyle w:val="IntenseReference"/>
          <w:b w:val="0"/>
          <w:bCs w:val="0"/>
          <w:i w:val="0"/>
          <w:smallCaps w:val="0"/>
          <w:color w:val="auto"/>
          <w:spacing w:val="0"/>
        </w:rPr>
        <w:t xml:space="preserve">. </w:t>
      </w:r>
      <w:r w:rsidRPr="00FC39C1">
        <w:rPr>
          <w:rStyle w:val="IntenseReference"/>
          <w:b w:val="0"/>
          <w:bCs w:val="0"/>
          <w:i w:val="0"/>
          <w:smallCaps w:val="0"/>
          <w:color w:val="auto"/>
          <w:spacing w:val="0"/>
        </w:rPr>
        <w:t xml:space="preserve"> </w:t>
      </w:r>
    </w:p>
    <w:p w:rsidR="00FA6F4B" w:rsidRDefault="00960C83"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 Commission provides strategic advice to Health Ministers on best practices to improve safety and quality and makes recommendations about priority areas for action. </w:t>
      </w:r>
      <w:r w:rsidR="00C30136" w:rsidRPr="00244439">
        <w:rPr>
          <w:rStyle w:val="IntenseReference"/>
          <w:rFonts w:cs="Arial"/>
          <w:b w:val="0"/>
          <w:bCs w:val="0"/>
          <w:i w:val="0"/>
          <w:smallCaps w:val="0"/>
          <w:color w:val="auto"/>
          <w:spacing w:val="0"/>
          <w:szCs w:val="22"/>
        </w:rPr>
        <w:t>The Commission has legislative responsibility for the National Safety and Quality Health Service</w:t>
      </w:r>
      <w:r w:rsidR="00280BA6">
        <w:rPr>
          <w:rStyle w:val="IntenseReference"/>
          <w:rFonts w:cs="Arial"/>
          <w:b w:val="0"/>
          <w:bCs w:val="0"/>
          <w:i w:val="0"/>
          <w:smallCaps w:val="0"/>
          <w:color w:val="auto"/>
          <w:spacing w:val="0"/>
          <w:szCs w:val="22"/>
        </w:rPr>
        <w:t xml:space="preserve"> (NSQHS)</w:t>
      </w:r>
      <w:r w:rsidR="00C30136" w:rsidRPr="00244439">
        <w:rPr>
          <w:rStyle w:val="IntenseReference"/>
          <w:rFonts w:cs="Arial"/>
          <w:b w:val="0"/>
          <w:bCs w:val="0"/>
          <w:i w:val="0"/>
          <w:smallCaps w:val="0"/>
          <w:color w:val="auto"/>
          <w:spacing w:val="0"/>
          <w:szCs w:val="22"/>
        </w:rPr>
        <w:t xml:space="preserve"> Standards, which are a major driver of safety and quality improvements within the </w:t>
      </w:r>
      <w:r w:rsidR="00131B8E">
        <w:rPr>
          <w:rStyle w:val="IntenseReference"/>
          <w:rFonts w:cs="Arial"/>
          <w:b w:val="0"/>
          <w:bCs w:val="0"/>
          <w:i w:val="0"/>
          <w:smallCaps w:val="0"/>
          <w:color w:val="auto"/>
          <w:spacing w:val="0"/>
          <w:szCs w:val="22"/>
        </w:rPr>
        <w:t xml:space="preserve">Australian </w:t>
      </w:r>
      <w:r w:rsidR="00C30136" w:rsidRPr="00244439">
        <w:rPr>
          <w:rStyle w:val="IntenseReference"/>
          <w:rFonts w:cs="Arial"/>
          <w:b w:val="0"/>
          <w:bCs w:val="0"/>
          <w:i w:val="0"/>
          <w:smallCaps w:val="0"/>
          <w:color w:val="auto"/>
          <w:spacing w:val="0"/>
          <w:szCs w:val="22"/>
        </w:rPr>
        <w:t>health system</w:t>
      </w:r>
      <w:r w:rsidR="00C30136">
        <w:rPr>
          <w:rStyle w:val="IntenseReference"/>
          <w:rFonts w:cs="Arial"/>
          <w:b w:val="0"/>
          <w:bCs w:val="0"/>
          <w:i w:val="0"/>
          <w:smallCaps w:val="0"/>
          <w:color w:val="auto"/>
          <w:spacing w:val="0"/>
          <w:szCs w:val="22"/>
        </w:rPr>
        <w:t xml:space="preserve">. </w:t>
      </w:r>
    </w:p>
    <w:p w:rsidR="00FA6F4B" w:rsidRPr="00CE5E39" w:rsidRDefault="0020000F" w:rsidP="005233B1">
      <w:pPr>
        <w:pStyle w:val="Heading2"/>
        <w:spacing w:after="120"/>
      </w:pPr>
      <w:bookmarkStart w:id="6" w:name="_Toc483397742"/>
      <w:r>
        <w:t>O</w:t>
      </w:r>
      <w:r w:rsidR="00FA6F4B" w:rsidRPr="00CE5E39">
        <w:t>bjectives</w:t>
      </w:r>
      <w:bookmarkEnd w:id="6"/>
      <w:r w:rsidR="00FA6F4B" w:rsidRPr="00CE5E39">
        <w:t xml:space="preserve"> </w:t>
      </w:r>
    </w:p>
    <w:p w:rsidR="00D818FB" w:rsidRDefault="00C30136" w:rsidP="00E04D12">
      <w:pPr>
        <w:rPr>
          <w:rFonts w:cs="Arial"/>
          <w:szCs w:val="22"/>
        </w:rPr>
      </w:pPr>
      <w:r w:rsidRPr="00DC2793">
        <w:rPr>
          <w:rFonts w:cs="Arial"/>
          <w:szCs w:val="22"/>
        </w:rPr>
        <w:t>The</w:t>
      </w:r>
      <w:r>
        <w:rPr>
          <w:rFonts w:cs="Arial"/>
          <w:szCs w:val="22"/>
        </w:rPr>
        <w:t xml:space="preserve"> Commission’s work plan </w:t>
      </w:r>
      <w:r w:rsidRPr="003D42B9">
        <w:rPr>
          <w:rFonts w:cs="Arial"/>
          <w:szCs w:val="22"/>
        </w:rPr>
        <w:t>priorities are developed in partnership with the Commonwealth and the states and territories. The Commission’s strategic approach and priorities for work are underpinned by the principle that the Commission does not duplicate existing work but focusses on areas that can best be improved through a national approach</w:t>
      </w:r>
      <w:r>
        <w:rPr>
          <w:rFonts w:cs="Arial"/>
          <w:szCs w:val="22"/>
        </w:rPr>
        <w:t xml:space="preserve">. </w:t>
      </w:r>
    </w:p>
    <w:p w:rsidR="00FA6F4B" w:rsidRPr="00FC39C1" w:rsidRDefault="00FA6F4B"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 Commission </w:t>
      </w:r>
      <w:r w:rsidR="00B13ED1">
        <w:rPr>
          <w:rStyle w:val="IntenseReference"/>
          <w:b w:val="0"/>
          <w:bCs w:val="0"/>
          <w:i w:val="0"/>
          <w:smallCaps w:val="0"/>
          <w:color w:val="auto"/>
          <w:spacing w:val="0"/>
        </w:rPr>
        <w:t>works towards the achievement of</w:t>
      </w:r>
      <w:r w:rsidRPr="00FC39C1">
        <w:rPr>
          <w:rStyle w:val="IntenseReference"/>
          <w:b w:val="0"/>
          <w:bCs w:val="0"/>
          <w:i w:val="0"/>
          <w:smallCaps w:val="0"/>
          <w:color w:val="auto"/>
          <w:spacing w:val="0"/>
        </w:rPr>
        <w:t xml:space="preserve"> a</w:t>
      </w:r>
      <w:r w:rsidR="00131B8E">
        <w:rPr>
          <w:rStyle w:val="IntenseReference"/>
          <w:b w:val="0"/>
          <w:bCs w:val="0"/>
          <w:i w:val="0"/>
          <w:smallCaps w:val="0"/>
          <w:color w:val="auto"/>
          <w:spacing w:val="0"/>
        </w:rPr>
        <w:t>n Australian</w:t>
      </w:r>
      <w:r w:rsidRPr="00FC39C1">
        <w:rPr>
          <w:rStyle w:val="IntenseReference"/>
          <w:b w:val="0"/>
          <w:bCs w:val="0"/>
          <w:i w:val="0"/>
          <w:smallCaps w:val="0"/>
          <w:color w:val="auto"/>
          <w:spacing w:val="0"/>
        </w:rPr>
        <w:t xml:space="preserve"> health system that is </w:t>
      </w:r>
      <w:r w:rsidR="006B3638" w:rsidRPr="00FC39C1">
        <w:rPr>
          <w:rStyle w:val="IntenseReference"/>
          <w:b w:val="0"/>
          <w:bCs w:val="0"/>
          <w:i w:val="0"/>
          <w:smallCaps w:val="0"/>
          <w:color w:val="auto"/>
          <w:spacing w:val="0"/>
        </w:rPr>
        <w:t>informed</w:t>
      </w:r>
      <w:r w:rsidR="006B3638">
        <w:rPr>
          <w:rStyle w:val="IntenseReference"/>
          <w:b w:val="0"/>
          <w:bCs w:val="0"/>
          <w:i w:val="0"/>
          <w:smallCaps w:val="0"/>
          <w:color w:val="auto"/>
          <w:spacing w:val="0"/>
        </w:rPr>
        <w:t>,</w:t>
      </w:r>
      <w:r w:rsidRPr="00FC39C1">
        <w:rPr>
          <w:rStyle w:val="IntenseReference"/>
          <w:b w:val="0"/>
          <w:bCs w:val="0"/>
          <w:i w:val="0"/>
          <w:smallCaps w:val="0"/>
          <w:color w:val="auto"/>
          <w:spacing w:val="0"/>
        </w:rPr>
        <w:t xml:space="preserve"> supported and organised to deliver safe and high-quality health care that contributes to</w:t>
      </w:r>
      <w:r w:rsidR="00547E16">
        <w:rPr>
          <w:rStyle w:val="IntenseReference"/>
          <w:b w:val="0"/>
          <w:bCs w:val="0"/>
          <w:i w:val="0"/>
          <w:smallCaps w:val="0"/>
          <w:color w:val="auto"/>
          <w:spacing w:val="0"/>
        </w:rPr>
        <w:t xml:space="preserve"> </w:t>
      </w:r>
      <w:r w:rsidRPr="00FC39C1">
        <w:rPr>
          <w:rStyle w:val="IntenseReference"/>
          <w:b w:val="0"/>
          <w:bCs w:val="0"/>
          <w:i w:val="0"/>
          <w:smallCaps w:val="0"/>
          <w:color w:val="auto"/>
          <w:spacing w:val="0"/>
        </w:rPr>
        <w:t>better experiences for patients and consumers</w:t>
      </w:r>
      <w:r w:rsidR="00547E16">
        <w:rPr>
          <w:rStyle w:val="IntenseReference"/>
          <w:b w:val="0"/>
          <w:bCs w:val="0"/>
          <w:i w:val="0"/>
          <w:smallCaps w:val="0"/>
          <w:color w:val="auto"/>
          <w:spacing w:val="0"/>
        </w:rPr>
        <w:t xml:space="preserve"> and </w:t>
      </w:r>
      <w:r w:rsidRPr="00FC39C1">
        <w:rPr>
          <w:rStyle w:val="IntenseReference"/>
          <w:b w:val="0"/>
          <w:bCs w:val="0"/>
          <w:i w:val="0"/>
          <w:smallCaps w:val="0"/>
          <w:color w:val="auto"/>
          <w:spacing w:val="0"/>
        </w:rPr>
        <w:t xml:space="preserve">better health outcomes for </w:t>
      </w:r>
      <w:r w:rsidR="00131B8E" w:rsidRPr="00FC39C1">
        <w:rPr>
          <w:rStyle w:val="IntenseReference"/>
          <w:b w:val="0"/>
          <w:bCs w:val="0"/>
          <w:i w:val="0"/>
          <w:smallCaps w:val="0"/>
          <w:color w:val="auto"/>
          <w:spacing w:val="0"/>
        </w:rPr>
        <w:t>patients, consumers and communities</w:t>
      </w:r>
      <w:r w:rsidR="00547E16">
        <w:rPr>
          <w:rStyle w:val="IntenseReference"/>
          <w:b w:val="0"/>
          <w:bCs w:val="0"/>
          <w:i w:val="0"/>
          <w:smallCaps w:val="0"/>
          <w:color w:val="auto"/>
          <w:spacing w:val="0"/>
        </w:rPr>
        <w:t xml:space="preserve">. </w:t>
      </w:r>
    </w:p>
    <w:p w:rsidR="00A17EC3" w:rsidRPr="00431267" w:rsidRDefault="0020000F" w:rsidP="005233B1">
      <w:pPr>
        <w:pStyle w:val="Heading2"/>
        <w:spacing w:after="120"/>
      </w:pPr>
      <w:bookmarkStart w:id="7" w:name="_Toc483397743"/>
      <w:r>
        <w:t>F</w:t>
      </w:r>
      <w:r w:rsidR="0027242E" w:rsidRPr="00431267">
        <w:t>unction</w:t>
      </w:r>
      <w:r w:rsidR="00CE5E39">
        <w:t>s</w:t>
      </w:r>
      <w:bookmarkEnd w:id="7"/>
    </w:p>
    <w:p w:rsidR="006F461F" w:rsidRPr="002C41D8" w:rsidRDefault="005C6FC6" w:rsidP="00E04D12">
      <w:pPr>
        <w:rPr>
          <w:rStyle w:val="IntenseReference"/>
          <w:b w:val="0"/>
          <w:bCs w:val="0"/>
          <w:i w:val="0"/>
          <w:smallCaps w:val="0"/>
          <w:color w:val="auto"/>
          <w:spacing w:val="0"/>
        </w:rPr>
      </w:pPr>
      <w:r>
        <w:rPr>
          <w:rStyle w:val="IntenseReference"/>
          <w:b w:val="0"/>
          <w:bCs w:val="0"/>
          <w:i w:val="0"/>
          <w:smallCaps w:val="0"/>
          <w:color w:val="auto"/>
          <w:spacing w:val="0"/>
        </w:rPr>
        <w:t xml:space="preserve">Under </w:t>
      </w:r>
      <w:r w:rsidR="00A17EC3" w:rsidRPr="00FC39C1">
        <w:rPr>
          <w:rStyle w:val="IntenseReference"/>
          <w:b w:val="0"/>
          <w:bCs w:val="0"/>
          <w:i w:val="0"/>
          <w:smallCaps w:val="0"/>
          <w:color w:val="auto"/>
          <w:spacing w:val="0"/>
        </w:rPr>
        <w:t xml:space="preserve">Section 9 of the </w:t>
      </w:r>
      <w:r w:rsidR="0027242E" w:rsidRPr="00FC39C1">
        <w:rPr>
          <w:rStyle w:val="IntenseReference"/>
          <w:b w:val="0"/>
          <w:bCs w:val="0"/>
          <w:i w:val="0"/>
          <w:smallCaps w:val="0"/>
          <w:color w:val="auto"/>
          <w:spacing w:val="0"/>
        </w:rPr>
        <w:t>NHR Act</w:t>
      </w:r>
      <w:r>
        <w:rPr>
          <w:rStyle w:val="IntenseReference"/>
          <w:b w:val="0"/>
          <w:bCs w:val="0"/>
          <w:i w:val="0"/>
          <w:smallCaps w:val="0"/>
          <w:color w:val="auto"/>
          <w:spacing w:val="0"/>
        </w:rPr>
        <w:t xml:space="preserve">, </w:t>
      </w:r>
      <w:r w:rsidR="00A17EC3" w:rsidRPr="00FC39C1">
        <w:rPr>
          <w:rStyle w:val="IntenseReference"/>
          <w:b w:val="0"/>
          <w:bCs w:val="0"/>
          <w:i w:val="0"/>
          <w:smallCaps w:val="0"/>
          <w:color w:val="auto"/>
          <w:spacing w:val="0"/>
        </w:rPr>
        <w:t xml:space="preserve">the </w:t>
      </w:r>
      <w:r w:rsidR="006F461F" w:rsidRPr="002C41D8">
        <w:rPr>
          <w:rStyle w:val="IntenseReference"/>
          <w:b w:val="0"/>
          <w:bCs w:val="0"/>
          <w:i w:val="0"/>
          <w:smallCaps w:val="0"/>
          <w:color w:val="auto"/>
          <w:spacing w:val="0"/>
        </w:rPr>
        <w:t>Commission</w:t>
      </w:r>
      <w:r w:rsidR="001C5BB6">
        <w:rPr>
          <w:rStyle w:val="IntenseReference"/>
          <w:b w:val="0"/>
          <w:bCs w:val="0"/>
          <w:i w:val="0"/>
          <w:smallCaps w:val="0"/>
          <w:color w:val="auto"/>
          <w:spacing w:val="0"/>
        </w:rPr>
        <w:t xml:space="preserve">’s </w:t>
      </w:r>
      <w:r w:rsidR="006F461F" w:rsidRPr="002C41D8">
        <w:rPr>
          <w:rStyle w:val="IntenseReference"/>
          <w:b w:val="0"/>
          <w:bCs w:val="0"/>
          <w:i w:val="0"/>
          <w:smallCaps w:val="0"/>
          <w:color w:val="auto"/>
          <w:spacing w:val="0"/>
        </w:rPr>
        <w:t>functions</w:t>
      </w:r>
      <w:r w:rsidR="001C5BB6">
        <w:rPr>
          <w:rStyle w:val="IntenseReference"/>
          <w:b w:val="0"/>
          <w:bCs w:val="0"/>
          <w:i w:val="0"/>
          <w:smallCaps w:val="0"/>
          <w:color w:val="auto"/>
          <w:spacing w:val="0"/>
        </w:rPr>
        <w:t xml:space="preserve"> are</w:t>
      </w:r>
      <w:r w:rsidR="00E575CD">
        <w:rPr>
          <w:rStyle w:val="IntenseReference"/>
          <w:b w:val="0"/>
          <w:bCs w:val="0"/>
          <w:i w:val="0"/>
          <w:smallCaps w:val="0"/>
          <w:color w:val="auto"/>
          <w:spacing w:val="0"/>
        </w:rPr>
        <w:t xml:space="preserve"> to</w:t>
      </w:r>
      <w:r w:rsidR="006F461F" w:rsidRPr="002C41D8">
        <w:rPr>
          <w:rStyle w:val="IntenseReference"/>
          <w:b w:val="0"/>
          <w:bCs w:val="0"/>
          <w:i w:val="0"/>
          <w:smallCaps w:val="0"/>
          <w:color w:val="auto"/>
          <w:spacing w:val="0"/>
        </w:rPr>
        <w:t>:</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and encourage the implementation of arrangements, programs and</w:t>
      </w:r>
      <w:r w:rsidR="001C5BB6">
        <w:rPr>
          <w:rStyle w:val="IntenseReference"/>
          <w:b w:val="0"/>
          <w:bCs w:val="0"/>
          <w:i w:val="0"/>
          <w:smallCaps w:val="0"/>
          <w:color w:val="auto"/>
          <w:spacing w:val="0"/>
        </w:rPr>
        <w:t xml:space="preserve"> initiatives relating to health</w:t>
      </w:r>
      <w:r w:rsidR="00131B8E">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collect, analyse, interpret and disseminate information relating to healthcare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advise the Minister about health</w:t>
      </w:r>
      <w:r w:rsidR="00131B8E">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publish (whether on the internet or otherwise) reports and papers relating to health</w:t>
      </w:r>
      <w:r w:rsidR="00131B8E">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formulate, in writing, standards</w:t>
      </w:r>
      <w:r w:rsidR="00E575CD">
        <w:rPr>
          <w:rStyle w:val="IntenseReference"/>
          <w:b w:val="0"/>
          <w:bCs w:val="0"/>
          <w:i w:val="0"/>
          <w:smallCaps w:val="0"/>
          <w:color w:val="auto"/>
          <w:spacing w:val="0"/>
        </w:rPr>
        <w:t>,</w:t>
      </w:r>
      <w:r w:rsidRPr="002C41D8">
        <w:rPr>
          <w:rStyle w:val="IntenseReference"/>
          <w:b w:val="0"/>
          <w:bCs w:val="0"/>
          <w:i w:val="0"/>
          <w:smallCaps w:val="0"/>
          <w:color w:val="auto"/>
          <w:spacing w:val="0"/>
        </w:rPr>
        <w:t xml:space="preserve"> relating to health</w:t>
      </w:r>
      <w:r w:rsidR="00131B8E">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formulate, in writing, guidelines relating to health care safety and quality matters;</w:t>
      </w:r>
    </w:p>
    <w:p w:rsidR="00960C83" w:rsidRPr="002C41D8" w:rsidRDefault="002C41D8" w:rsidP="00E04D12">
      <w:pPr>
        <w:pStyle w:val="ListParagraph"/>
        <w:numPr>
          <w:ilvl w:val="0"/>
          <w:numId w:val="7"/>
        </w:numPr>
        <w:contextualSpacing w:val="0"/>
        <w:rPr>
          <w:rStyle w:val="IntenseReference"/>
          <w:b w:val="0"/>
          <w:bCs w:val="0"/>
          <w:i w:val="0"/>
          <w:smallCaps w:val="0"/>
          <w:color w:val="auto"/>
          <w:spacing w:val="0"/>
        </w:rPr>
      </w:pPr>
      <w:r>
        <w:rPr>
          <w:rStyle w:val="IntenseReference"/>
          <w:b w:val="0"/>
          <w:bCs w:val="0"/>
          <w:i w:val="0"/>
          <w:smallCaps w:val="0"/>
          <w:color w:val="auto"/>
          <w:spacing w:val="0"/>
        </w:rPr>
        <w:t>f</w:t>
      </w:r>
      <w:r w:rsidR="00960C83" w:rsidRPr="002C41D8">
        <w:rPr>
          <w:rStyle w:val="IntenseReference"/>
          <w:b w:val="0"/>
          <w:bCs w:val="0"/>
          <w:i w:val="0"/>
          <w:smallCaps w:val="0"/>
          <w:color w:val="auto"/>
          <w:spacing w:val="0"/>
        </w:rPr>
        <w:t>ormulate, in writing, indicators relating to health 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and encourage the implementation of</w:t>
      </w:r>
      <w:r w:rsidR="002C41D8">
        <w:rPr>
          <w:rStyle w:val="IntenseReference"/>
          <w:b w:val="0"/>
          <w:bCs w:val="0"/>
          <w:i w:val="0"/>
          <w:smallCaps w:val="0"/>
          <w:color w:val="auto"/>
          <w:spacing w:val="0"/>
        </w:rPr>
        <w:t xml:space="preserve"> standards and guidelines;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and encourage the use of indicators monitor the implementation and impact of</w:t>
      </w:r>
      <w:r w:rsidR="002C41D8">
        <w:rPr>
          <w:rStyle w:val="IntenseReference"/>
          <w:b w:val="0"/>
          <w:bCs w:val="0"/>
          <w:i w:val="0"/>
          <w:smallCaps w:val="0"/>
          <w:color w:val="auto"/>
          <w:spacing w:val="0"/>
        </w:rPr>
        <w:t xml:space="preserve"> standards and guidelines;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advise</w:t>
      </w:r>
      <w:r w:rsidR="00E575CD" w:rsidRPr="00E575CD">
        <w:rPr>
          <w:rStyle w:val="IntenseReference"/>
          <w:b w:val="0"/>
          <w:bCs w:val="0"/>
          <w:i w:val="0"/>
          <w:smallCaps w:val="0"/>
          <w:color w:val="auto"/>
          <w:spacing w:val="0"/>
        </w:rPr>
        <w:t xml:space="preserve"> </w:t>
      </w:r>
      <w:r w:rsidR="002C41D8">
        <w:rPr>
          <w:rStyle w:val="IntenseReference"/>
          <w:b w:val="0"/>
          <w:bCs w:val="0"/>
          <w:i w:val="0"/>
          <w:smallCaps w:val="0"/>
          <w:color w:val="auto"/>
          <w:spacing w:val="0"/>
        </w:rPr>
        <w:t xml:space="preserve">the Minister and </w:t>
      </w:r>
      <w:r w:rsidRPr="002C41D8">
        <w:rPr>
          <w:rStyle w:val="IntenseReference"/>
          <w:b w:val="0"/>
          <w:bCs w:val="0"/>
          <w:i w:val="0"/>
          <w:smallCaps w:val="0"/>
          <w:color w:val="auto"/>
          <w:spacing w:val="0"/>
        </w:rPr>
        <w:t xml:space="preserve">each participating </w:t>
      </w:r>
      <w:r w:rsidR="00E575CD">
        <w:rPr>
          <w:rStyle w:val="IntenseReference"/>
          <w:b w:val="0"/>
          <w:bCs w:val="0"/>
          <w:i w:val="0"/>
          <w:smallCaps w:val="0"/>
          <w:color w:val="auto"/>
          <w:spacing w:val="0"/>
        </w:rPr>
        <w:t>s</w:t>
      </w:r>
      <w:r w:rsidRPr="002C41D8">
        <w:rPr>
          <w:rStyle w:val="IntenseReference"/>
          <w:b w:val="0"/>
          <w:bCs w:val="0"/>
          <w:i w:val="0"/>
          <w:smallCaps w:val="0"/>
          <w:color w:val="auto"/>
          <w:spacing w:val="0"/>
        </w:rPr>
        <w:t>tate</w:t>
      </w:r>
      <w:r w:rsidR="00E575CD">
        <w:rPr>
          <w:rStyle w:val="IntenseReference"/>
          <w:b w:val="0"/>
          <w:bCs w:val="0"/>
          <w:i w:val="0"/>
          <w:smallCaps w:val="0"/>
          <w:color w:val="auto"/>
          <w:spacing w:val="0"/>
        </w:rPr>
        <w:t xml:space="preserve"> and t</w:t>
      </w:r>
      <w:r w:rsidRPr="002C41D8">
        <w:rPr>
          <w:rStyle w:val="IntenseReference"/>
          <w:b w:val="0"/>
          <w:bCs w:val="0"/>
          <w:i w:val="0"/>
          <w:smallCaps w:val="0"/>
          <w:color w:val="auto"/>
          <w:spacing w:val="0"/>
        </w:rPr>
        <w:t>erritory Health Minister</w:t>
      </w:r>
      <w:r w:rsidR="00A17648" w:rsidRPr="002C41D8">
        <w:rPr>
          <w:rStyle w:val="IntenseReference"/>
          <w:b w:val="0"/>
          <w:bCs w:val="0"/>
          <w:i w:val="0"/>
          <w:smallCaps w:val="0"/>
          <w:color w:val="auto"/>
          <w:spacing w:val="0"/>
        </w:rPr>
        <w:t xml:space="preserve"> </w:t>
      </w:r>
      <w:r w:rsidRPr="002C41D8">
        <w:rPr>
          <w:rStyle w:val="IntenseReference"/>
          <w:b w:val="0"/>
          <w:bCs w:val="0"/>
          <w:i w:val="0"/>
          <w:smallCaps w:val="0"/>
          <w:color w:val="auto"/>
          <w:spacing w:val="0"/>
        </w:rPr>
        <w:t>about which standards are suitable for implementation as national clinical standards</w:t>
      </w:r>
      <w:r w:rsidR="002C41D8">
        <w:rPr>
          <w:rStyle w:val="IntenseReference"/>
          <w:b w:val="0"/>
          <w:bCs w:val="0"/>
          <w:i w:val="0"/>
          <w:smallCaps w:val="0"/>
          <w:color w:val="auto"/>
          <w:spacing w:val="0"/>
        </w:rPr>
        <w:t>;</w:t>
      </w:r>
    </w:p>
    <w:p w:rsidR="00960C83" w:rsidRPr="002C41D8" w:rsidRDefault="002C41D8"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 xml:space="preserve">formulate </w:t>
      </w:r>
      <w:r w:rsidR="00960C83" w:rsidRPr="002C41D8">
        <w:rPr>
          <w:rStyle w:val="IntenseReference"/>
          <w:b w:val="0"/>
          <w:bCs w:val="0"/>
          <w:i w:val="0"/>
          <w:smallCaps w:val="0"/>
          <w:color w:val="auto"/>
          <w:spacing w:val="0"/>
        </w:rPr>
        <w:t>model national schemes that</w:t>
      </w:r>
      <w:r w:rsidRPr="002C41D8">
        <w:rPr>
          <w:rStyle w:val="IntenseReference"/>
          <w:b w:val="0"/>
          <w:bCs w:val="0"/>
          <w:i w:val="0"/>
          <w:smallCaps w:val="0"/>
          <w:color w:val="auto"/>
          <w:spacing w:val="0"/>
        </w:rPr>
        <w:t xml:space="preserve"> </w:t>
      </w:r>
      <w:r w:rsidR="00960C83" w:rsidRPr="002C41D8">
        <w:rPr>
          <w:rStyle w:val="IntenseReference"/>
          <w:b w:val="0"/>
          <w:bCs w:val="0"/>
          <w:i w:val="0"/>
          <w:smallCaps w:val="0"/>
          <w:color w:val="auto"/>
          <w:spacing w:val="0"/>
        </w:rPr>
        <w:t>provide for the accreditation of organisations that provide healthcare services and</w:t>
      </w:r>
      <w:r w:rsidRPr="002C41D8">
        <w:rPr>
          <w:rStyle w:val="IntenseReference"/>
          <w:b w:val="0"/>
          <w:bCs w:val="0"/>
          <w:i w:val="0"/>
          <w:smallCaps w:val="0"/>
          <w:color w:val="auto"/>
          <w:spacing w:val="0"/>
        </w:rPr>
        <w:t xml:space="preserve"> </w:t>
      </w:r>
      <w:r>
        <w:rPr>
          <w:rStyle w:val="IntenseReference"/>
          <w:b w:val="0"/>
          <w:bCs w:val="0"/>
          <w:i w:val="0"/>
          <w:smallCaps w:val="0"/>
          <w:color w:val="auto"/>
          <w:spacing w:val="0"/>
        </w:rPr>
        <w:t>r</w:t>
      </w:r>
      <w:r w:rsidR="00960C83" w:rsidRPr="002C41D8">
        <w:rPr>
          <w:rStyle w:val="IntenseReference"/>
          <w:b w:val="0"/>
          <w:bCs w:val="0"/>
          <w:i w:val="0"/>
          <w:smallCaps w:val="0"/>
          <w:color w:val="auto"/>
          <w:spacing w:val="0"/>
        </w:rPr>
        <w:t>elate to health 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consult and cooperate with other persons, organisations and governments on healthcare safety and quality matters;</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encourage, conduct and evaluate training programs for purposes in connection with the performance of any of the Commission’s functions</w:t>
      </w:r>
      <w:r w:rsidR="00DD784A">
        <w:rPr>
          <w:rStyle w:val="IntenseReference"/>
          <w:b w:val="0"/>
          <w:bCs w:val="0"/>
          <w:i w:val="0"/>
          <w:smallCaps w:val="0"/>
          <w:color w:val="auto"/>
          <w:spacing w:val="0"/>
        </w:rPr>
        <w:t>;</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promote, support, encourage, conduct and evaluate research for purposes in connection with the performance of any of the Commission’s functions</w:t>
      </w:r>
      <w:r w:rsidR="00DD784A">
        <w:rPr>
          <w:rStyle w:val="IntenseReference"/>
          <w:b w:val="0"/>
          <w:bCs w:val="0"/>
          <w:i w:val="0"/>
          <w:smallCaps w:val="0"/>
          <w:color w:val="auto"/>
          <w:spacing w:val="0"/>
        </w:rPr>
        <w:t>; and</w:t>
      </w:r>
    </w:p>
    <w:p w:rsidR="00960C83" w:rsidRPr="002C41D8" w:rsidRDefault="00960C83" w:rsidP="00E04D12">
      <w:pPr>
        <w:pStyle w:val="ListParagraph"/>
        <w:numPr>
          <w:ilvl w:val="0"/>
          <w:numId w:val="7"/>
        </w:numPr>
        <w:contextualSpacing w:val="0"/>
        <w:rPr>
          <w:rStyle w:val="IntenseReference"/>
          <w:b w:val="0"/>
          <w:bCs w:val="0"/>
          <w:i w:val="0"/>
          <w:smallCaps w:val="0"/>
          <w:color w:val="auto"/>
          <w:spacing w:val="0"/>
        </w:rPr>
      </w:pPr>
      <w:r w:rsidRPr="002C41D8">
        <w:rPr>
          <w:rStyle w:val="IntenseReference"/>
          <w:b w:val="0"/>
          <w:bCs w:val="0"/>
          <w:i w:val="0"/>
          <w:smallCaps w:val="0"/>
          <w:color w:val="auto"/>
          <w:spacing w:val="0"/>
        </w:rPr>
        <w:t>do anything incidental to or conducive to the performance of any of the above functions.</w:t>
      </w:r>
    </w:p>
    <w:p w:rsidR="00F84A04" w:rsidRDefault="00431267" w:rsidP="00E04D12">
      <w:pPr>
        <w:rPr>
          <w:rStyle w:val="IntenseReference"/>
          <w:b w:val="0"/>
          <w:bCs w:val="0"/>
          <w:i w:val="0"/>
          <w:smallCaps w:val="0"/>
          <w:color w:val="auto"/>
          <w:spacing w:val="0"/>
        </w:rPr>
      </w:pPr>
      <w:r w:rsidRPr="00FC39C1">
        <w:rPr>
          <w:rStyle w:val="IntenseReference"/>
          <w:b w:val="0"/>
          <w:bCs w:val="0"/>
          <w:i w:val="0"/>
          <w:smallCaps w:val="0"/>
          <w:color w:val="auto"/>
          <w:spacing w:val="0"/>
        </w:rPr>
        <w:t xml:space="preserve">These functions </w:t>
      </w:r>
      <w:r w:rsidR="000F2256" w:rsidRPr="00FC39C1">
        <w:rPr>
          <w:rStyle w:val="IntenseReference"/>
          <w:b w:val="0"/>
          <w:bCs w:val="0"/>
          <w:i w:val="0"/>
          <w:smallCaps w:val="0"/>
          <w:color w:val="auto"/>
          <w:spacing w:val="0"/>
        </w:rPr>
        <w:t xml:space="preserve">guide </w:t>
      </w:r>
      <w:r w:rsidRPr="00FC39C1">
        <w:rPr>
          <w:rStyle w:val="IntenseReference"/>
          <w:b w:val="0"/>
          <w:bCs w:val="0"/>
          <w:i w:val="0"/>
          <w:smallCaps w:val="0"/>
          <w:color w:val="auto"/>
          <w:spacing w:val="0"/>
        </w:rPr>
        <w:t xml:space="preserve">the Commission </w:t>
      </w:r>
      <w:r w:rsidR="000F2256" w:rsidRPr="00FC39C1">
        <w:rPr>
          <w:rStyle w:val="IntenseReference"/>
          <w:b w:val="0"/>
          <w:bCs w:val="0"/>
          <w:i w:val="0"/>
          <w:smallCaps w:val="0"/>
          <w:color w:val="auto"/>
          <w:spacing w:val="0"/>
        </w:rPr>
        <w:t>in</w:t>
      </w:r>
      <w:r w:rsidRPr="00FC39C1">
        <w:rPr>
          <w:rStyle w:val="IntenseReference"/>
          <w:b w:val="0"/>
          <w:bCs w:val="0"/>
          <w:i w:val="0"/>
          <w:smallCaps w:val="0"/>
          <w:color w:val="auto"/>
          <w:spacing w:val="0"/>
        </w:rPr>
        <w:t xml:space="preserve"> undertak</w:t>
      </w:r>
      <w:r w:rsidR="000F2256" w:rsidRPr="00FC39C1">
        <w:rPr>
          <w:rStyle w:val="IntenseReference"/>
          <w:b w:val="0"/>
          <w:bCs w:val="0"/>
          <w:i w:val="0"/>
          <w:smallCaps w:val="0"/>
          <w:color w:val="auto"/>
          <w:spacing w:val="0"/>
        </w:rPr>
        <w:t>ing</w:t>
      </w:r>
      <w:r w:rsidRPr="00FC39C1">
        <w:rPr>
          <w:rStyle w:val="IntenseReference"/>
          <w:b w:val="0"/>
          <w:bCs w:val="0"/>
          <w:i w:val="0"/>
          <w:smallCaps w:val="0"/>
          <w:color w:val="auto"/>
          <w:spacing w:val="0"/>
        </w:rPr>
        <w:t xml:space="preserve"> its work</w:t>
      </w:r>
      <w:r w:rsidR="00E575CD">
        <w:rPr>
          <w:rStyle w:val="IntenseReference"/>
          <w:b w:val="0"/>
          <w:bCs w:val="0"/>
          <w:i w:val="0"/>
          <w:smallCaps w:val="0"/>
          <w:color w:val="auto"/>
          <w:spacing w:val="0"/>
        </w:rPr>
        <w:t>,</w:t>
      </w:r>
      <w:r w:rsidRPr="00FC39C1">
        <w:rPr>
          <w:rStyle w:val="IntenseReference"/>
          <w:b w:val="0"/>
          <w:bCs w:val="0"/>
          <w:i w:val="0"/>
          <w:smallCaps w:val="0"/>
          <w:color w:val="auto"/>
          <w:spacing w:val="0"/>
        </w:rPr>
        <w:t xml:space="preserve"> </w:t>
      </w:r>
      <w:r w:rsidR="00E575CD">
        <w:rPr>
          <w:rStyle w:val="IntenseReference"/>
          <w:b w:val="0"/>
          <w:bCs w:val="0"/>
          <w:i w:val="0"/>
          <w:smallCaps w:val="0"/>
          <w:color w:val="auto"/>
          <w:spacing w:val="0"/>
        </w:rPr>
        <w:t>and are expressed in</w:t>
      </w:r>
      <w:r w:rsidR="00FA6F4B" w:rsidRPr="00FC39C1">
        <w:rPr>
          <w:rStyle w:val="IntenseReference"/>
          <w:b w:val="0"/>
          <w:bCs w:val="0"/>
          <w:i w:val="0"/>
          <w:smallCaps w:val="0"/>
          <w:color w:val="auto"/>
          <w:spacing w:val="0"/>
        </w:rPr>
        <w:t xml:space="preserve"> the f</w:t>
      </w:r>
      <w:r w:rsidRPr="00FC39C1">
        <w:rPr>
          <w:rStyle w:val="IntenseReference"/>
          <w:b w:val="0"/>
          <w:bCs w:val="0"/>
          <w:i w:val="0"/>
          <w:smallCaps w:val="0"/>
          <w:color w:val="auto"/>
          <w:spacing w:val="0"/>
        </w:rPr>
        <w:t xml:space="preserve">our </w:t>
      </w:r>
      <w:r w:rsidR="00FA6F4B" w:rsidRPr="00FC39C1">
        <w:rPr>
          <w:rStyle w:val="IntenseReference"/>
          <w:b w:val="0"/>
          <w:bCs w:val="0"/>
          <w:i w:val="0"/>
          <w:smallCaps w:val="0"/>
          <w:color w:val="auto"/>
          <w:spacing w:val="0"/>
        </w:rPr>
        <w:t>strategic priorities that</w:t>
      </w:r>
      <w:r w:rsidRPr="00FC39C1">
        <w:rPr>
          <w:rStyle w:val="IntenseReference"/>
          <w:b w:val="0"/>
          <w:bCs w:val="0"/>
          <w:i w:val="0"/>
          <w:smallCaps w:val="0"/>
          <w:color w:val="auto"/>
          <w:spacing w:val="0"/>
        </w:rPr>
        <w:t xml:space="preserve"> aim </w:t>
      </w:r>
      <w:r w:rsidR="00FA6F4B" w:rsidRPr="00FC39C1">
        <w:rPr>
          <w:rStyle w:val="IntenseReference"/>
          <w:b w:val="0"/>
          <w:bCs w:val="0"/>
          <w:i w:val="0"/>
          <w:smallCaps w:val="0"/>
          <w:color w:val="auto"/>
          <w:spacing w:val="0"/>
        </w:rPr>
        <w:t>to</w:t>
      </w:r>
      <w:r w:rsidRPr="00FC39C1">
        <w:rPr>
          <w:rStyle w:val="IntenseReference"/>
          <w:b w:val="0"/>
          <w:bCs w:val="0"/>
          <w:i w:val="0"/>
          <w:smallCaps w:val="0"/>
          <w:color w:val="auto"/>
          <w:spacing w:val="0"/>
        </w:rPr>
        <w:t xml:space="preserve"> ensur</w:t>
      </w:r>
      <w:r w:rsidR="00FA6F4B" w:rsidRPr="00FC39C1">
        <w:rPr>
          <w:rStyle w:val="IntenseReference"/>
          <w:b w:val="0"/>
          <w:bCs w:val="0"/>
          <w:i w:val="0"/>
          <w:smallCaps w:val="0"/>
          <w:color w:val="auto"/>
          <w:spacing w:val="0"/>
        </w:rPr>
        <w:t>e</w:t>
      </w:r>
      <w:r w:rsidRPr="00FC39C1">
        <w:rPr>
          <w:rStyle w:val="IntenseReference"/>
          <w:b w:val="0"/>
          <w:bCs w:val="0"/>
          <w:i w:val="0"/>
          <w:smallCaps w:val="0"/>
          <w:color w:val="auto"/>
          <w:spacing w:val="0"/>
        </w:rPr>
        <w:t xml:space="preserve"> patients, consumers and communities have access to and receive safe and high-quality health care</w:t>
      </w:r>
      <w:r w:rsidR="00F84A04">
        <w:rPr>
          <w:rStyle w:val="IntenseReference"/>
          <w:b w:val="0"/>
          <w:bCs w:val="0"/>
          <w:i w:val="0"/>
          <w:smallCaps w:val="0"/>
          <w:color w:val="auto"/>
          <w:spacing w:val="0"/>
        </w:rPr>
        <w:t>:</w:t>
      </w:r>
    </w:p>
    <w:p w:rsidR="00F84A04" w:rsidRDefault="00F84A04"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patient safety</w:t>
      </w:r>
    </w:p>
    <w:p w:rsidR="00F84A04" w:rsidRDefault="00F84A04"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partnering with patients, consumers and communities</w:t>
      </w:r>
    </w:p>
    <w:p w:rsidR="00F84A04" w:rsidRDefault="00F84A04" w:rsidP="00E04D12">
      <w:pPr>
        <w:pStyle w:val="ListParagraph"/>
        <w:numPr>
          <w:ilvl w:val="0"/>
          <w:numId w:val="7"/>
        </w:numPr>
        <w:contextualSpacing w:val="0"/>
        <w:rPr>
          <w:rStyle w:val="IntenseReference"/>
          <w:b w:val="0"/>
          <w:bCs w:val="0"/>
          <w:i w:val="0"/>
          <w:smallCaps w:val="0"/>
          <w:color w:val="auto"/>
          <w:spacing w:val="0"/>
        </w:rPr>
      </w:pPr>
      <w:r w:rsidRPr="00FC39C1">
        <w:rPr>
          <w:rStyle w:val="IntenseReference"/>
          <w:b w:val="0"/>
          <w:bCs w:val="0"/>
          <w:i w:val="0"/>
          <w:smallCaps w:val="0"/>
          <w:color w:val="auto"/>
          <w:spacing w:val="0"/>
        </w:rPr>
        <w:t>quality cost and value</w:t>
      </w:r>
    </w:p>
    <w:p w:rsidR="000F2256" w:rsidRPr="00F84A04" w:rsidRDefault="00F84A04" w:rsidP="00E04D12">
      <w:pPr>
        <w:pStyle w:val="ListParagraph"/>
        <w:numPr>
          <w:ilvl w:val="0"/>
          <w:numId w:val="7"/>
        </w:numPr>
        <w:contextualSpacing w:val="0"/>
        <w:rPr>
          <w:rStyle w:val="IntenseReference"/>
          <w:b w:val="0"/>
          <w:bCs w:val="0"/>
          <w:i w:val="0"/>
          <w:smallCaps w:val="0"/>
          <w:color w:val="auto"/>
          <w:spacing w:val="0"/>
        </w:rPr>
      </w:pPr>
      <w:r w:rsidRPr="00F84A04">
        <w:rPr>
          <w:rStyle w:val="IntenseReference"/>
          <w:b w:val="0"/>
          <w:bCs w:val="0"/>
          <w:i w:val="0"/>
          <w:smallCaps w:val="0"/>
          <w:color w:val="auto"/>
          <w:spacing w:val="0"/>
        </w:rPr>
        <w:t>supporting health professionals to provide safe and high-quality care</w:t>
      </w:r>
      <w:r w:rsidR="00431267" w:rsidRPr="00F84A04">
        <w:rPr>
          <w:rStyle w:val="IntenseReference"/>
          <w:b w:val="0"/>
          <w:bCs w:val="0"/>
          <w:i w:val="0"/>
          <w:smallCaps w:val="0"/>
          <w:color w:val="auto"/>
          <w:spacing w:val="0"/>
        </w:rPr>
        <w:t>.</w:t>
      </w:r>
    </w:p>
    <w:p w:rsidR="000F2256" w:rsidRPr="00D16B0D" w:rsidRDefault="000F2256" w:rsidP="005233B1">
      <w:pPr>
        <w:pStyle w:val="Heading2"/>
        <w:spacing w:after="120"/>
      </w:pPr>
      <w:bookmarkStart w:id="8" w:name="_Toc483397744"/>
      <w:r w:rsidRPr="00D16B0D">
        <w:t>Align</w:t>
      </w:r>
      <w:r w:rsidR="0020000F">
        <w:t>ment</w:t>
      </w:r>
      <w:r w:rsidRPr="00D16B0D">
        <w:t xml:space="preserve"> with Australian Government priorities</w:t>
      </w:r>
      <w:bookmarkEnd w:id="8"/>
    </w:p>
    <w:p w:rsidR="002B2448" w:rsidRDefault="002B2448" w:rsidP="00E04D12">
      <w:r>
        <w:t xml:space="preserve">The Australian Government aims to improve the long-term capacity and the quality and safety of Australia’s healthcare system. This will be achieved in part through the work of the Commission. </w:t>
      </w:r>
    </w:p>
    <w:p w:rsidR="000F2256" w:rsidRDefault="000F2256" w:rsidP="00E04D12">
      <w:r>
        <w:t xml:space="preserve">The Commission is structured to meet </w:t>
      </w:r>
      <w:r w:rsidR="00B2652C">
        <w:t>the Australian Government</w:t>
      </w:r>
      <w:r>
        <w:t xml:space="preserve"> outcome:</w:t>
      </w:r>
    </w:p>
    <w:p w:rsidR="000F2256" w:rsidRPr="00134243" w:rsidRDefault="001C5BB6" w:rsidP="00E04D12">
      <w:pPr>
        <w:ind w:left="567" w:right="651"/>
      </w:pPr>
      <w:r>
        <w:rPr>
          <w:i/>
        </w:rPr>
        <w:t>I</w:t>
      </w:r>
      <w:r w:rsidR="000F2256" w:rsidRPr="001C5BB6">
        <w:rPr>
          <w:i/>
        </w:rPr>
        <w:t>mprove</w:t>
      </w:r>
      <w:r>
        <w:rPr>
          <w:i/>
        </w:rPr>
        <w:t>d</w:t>
      </w:r>
      <w:r w:rsidR="000F2256" w:rsidRPr="001C5BB6">
        <w:rPr>
          <w:i/>
        </w:rPr>
        <w:t xml:space="preserve"> safety and quality in health</w:t>
      </w:r>
      <w:r w:rsidR="003E7A26" w:rsidRPr="001C5BB6">
        <w:rPr>
          <w:i/>
        </w:rPr>
        <w:t xml:space="preserve"> </w:t>
      </w:r>
      <w:r w:rsidR="000F2256" w:rsidRPr="001C5BB6">
        <w:rPr>
          <w:i/>
        </w:rPr>
        <w:t>care across the health system, including through the development, support for implementation, and monitoring of national clinical safety and quality guidelines and standards</w:t>
      </w:r>
      <w:r w:rsidR="000F2256" w:rsidRPr="00134243">
        <w:t xml:space="preserve"> </w:t>
      </w:r>
      <w:r w:rsidR="003311A4">
        <w:t>(</w:t>
      </w:r>
      <w:r w:rsidR="006B3638" w:rsidRPr="001C5BB6">
        <w:t>Portfolio Budget Statements</w:t>
      </w:r>
      <w:r w:rsidR="006B3638">
        <w:t xml:space="preserve"> 2017-18, Health Portfolio</w:t>
      </w:r>
      <w:r w:rsidR="003311A4">
        <w:t>)</w:t>
      </w:r>
      <w:r w:rsidR="003E23F8">
        <w:t xml:space="preserve">. </w:t>
      </w:r>
    </w:p>
    <w:p w:rsidR="00FF1DB8" w:rsidRDefault="00FF1DB8" w:rsidP="00E04D12">
      <w:pPr>
        <w:rPr>
          <w:rFonts w:cs="Arial"/>
          <w:kern w:val="28"/>
          <w:sz w:val="28"/>
          <w:szCs w:val="32"/>
        </w:rPr>
      </w:pPr>
      <w:r>
        <w:br w:type="page"/>
      </w:r>
    </w:p>
    <w:p w:rsidR="0044148C" w:rsidRDefault="0044148C" w:rsidP="00E04D12">
      <w:pPr>
        <w:pStyle w:val="Heading1"/>
        <w:spacing w:before="0" w:after="120"/>
      </w:pPr>
      <w:bookmarkStart w:id="9" w:name="_Toc483397745"/>
      <w:r>
        <w:t>Environment</w:t>
      </w:r>
      <w:bookmarkEnd w:id="9"/>
    </w:p>
    <w:p w:rsidR="00D31085" w:rsidRPr="00A11277" w:rsidRDefault="00A11277" w:rsidP="005233B1">
      <w:pPr>
        <w:pStyle w:val="Heading2"/>
        <w:spacing w:after="120"/>
      </w:pPr>
      <w:bookmarkStart w:id="10" w:name="_Toc483397746"/>
      <w:r w:rsidRPr="00A11277">
        <w:t>Background</w:t>
      </w:r>
      <w:bookmarkEnd w:id="10"/>
      <w:r w:rsidRPr="00A11277">
        <w:t xml:space="preserve"> </w:t>
      </w:r>
    </w:p>
    <w:p w:rsidR="00A11277" w:rsidRDefault="00A11277" w:rsidP="00E04D12">
      <w:r>
        <w:t>The Commission is a</w:t>
      </w:r>
      <w:r w:rsidR="00A6785A">
        <w:t>n</w:t>
      </w:r>
      <w:r>
        <w:t xml:space="preserve"> Australian Government entity. Initially established in 2006 by the Australian, state and territory governments to lead and coordinate national improvements in safety and quality, the Commission’s permanent status was confirmed with the assent</w:t>
      </w:r>
      <w:r w:rsidR="000A3A51">
        <w:t xml:space="preserve"> in Federal Parliament</w:t>
      </w:r>
      <w:r>
        <w:t xml:space="preserve"> of the</w:t>
      </w:r>
      <w:r w:rsidR="000A3A51">
        <w:t xml:space="preserve"> </w:t>
      </w:r>
      <w:r>
        <w:t>N</w:t>
      </w:r>
      <w:r w:rsidR="000A3A51">
        <w:t xml:space="preserve">ational </w:t>
      </w:r>
      <w:r>
        <w:t>H</w:t>
      </w:r>
      <w:r w:rsidR="000A3A51">
        <w:t xml:space="preserve">ealth </w:t>
      </w:r>
      <w:r w:rsidR="00985FE7">
        <w:t>Reform</w:t>
      </w:r>
      <w:r>
        <w:t xml:space="preserve"> </w:t>
      </w:r>
      <w:r w:rsidR="00AE3182">
        <w:t xml:space="preserve">(NHR) </w:t>
      </w:r>
      <w:r>
        <w:t>Act</w:t>
      </w:r>
      <w:r w:rsidR="00A6785A">
        <w:t xml:space="preserve"> on 1 July 2011</w:t>
      </w:r>
      <w:r>
        <w:t xml:space="preserve">. The Commission </w:t>
      </w:r>
      <w:r w:rsidR="00A6785A">
        <w:t xml:space="preserve">is </w:t>
      </w:r>
      <w:r>
        <w:t xml:space="preserve">an independent </w:t>
      </w:r>
      <w:r w:rsidR="00547E16">
        <w:t>corporate Commonwealth entity</w:t>
      </w:r>
      <w:r>
        <w:t xml:space="preserve"> </w:t>
      </w:r>
      <w:r w:rsidR="00A6785A">
        <w:t>under the P</w:t>
      </w:r>
      <w:r w:rsidR="000A3A51">
        <w:t xml:space="preserve">ublic </w:t>
      </w:r>
      <w:r w:rsidR="00A6785A">
        <w:t>G</w:t>
      </w:r>
      <w:r w:rsidR="000A3A51">
        <w:t xml:space="preserve">overnance, </w:t>
      </w:r>
      <w:r w:rsidR="00A6785A">
        <w:t>P</w:t>
      </w:r>
      <w:r w:rsidR="000A3A51">
        <w:t xml:space="preserve">erformance and </w:t>
      </w:r>
      <w:r w:rsidR="00A6785A">
        <w:t>A</w:t>
      </w:r>
      <w:r w:rsidR="000A3A51">
        <w:t>ccountability</w:t>
      </w:r>
      <w:r w:rsidR="00A6785A">
        <w:t xml:space="preserve"> Act</w:t>
      </w:r>
      <w:r w:rsidR="000A3A51">
        <w:t xml:space="preserve"> 2013</w:t>
      </w:r>
      <w:r>
        <w:t>, funded jointly by the</w:t>
      </w:r>
      <w:r w:rsidR="00134243">
        <w:t xml:space="preserve"> Australian</w:t>
      </w:r>
      <w:r>
        <w:t>, state and territory governments.</w:t>
      </w:r>
    </w:p>
    <w:p w:rsidR="00031603" w:rsidRPr="00514AC5" w:rsidRDefault="00031603" w:rsidP="005233B1">
      <w:pPr>
        <w:pStyle w:val="Heading2"/>
        <w:spacing w:after="120"/>
      </w:pPr>
      <w:bookmarkStart w:id="11" w:name="_Toc483397747"/>
      <w:r w:rsidRPr="00514AC5">
        <w:t>Governance</w:t>
      </w:r>
      <w:bookmarkEnd w:id="11"/>
    </w:p>
    <w:p w:rsidR="00276D10" w:rsidRDefault="00FF26A9" w:rsidP="00E04D12">
      <w:r>
        <w:t xml:space="preserve">The Commission Board, appointed by the Minister for Health, </w:t>
      </w:r>
      <w:r w:rsidR="00547E16" w:rsidRPr="006C1777">
        <w:t>is responsible for ensuring the proper and efficient performance of the Commission’s functions</w:t>
      </w:r>
      <w:r>
        <w:t xml:space="preserve">. </w:t>
      </w:r>
    </w:p>
    <w:p w:rsidR="00325BC3" w:rsidRPr="00325BC3" w:rsidRDefault="00031603" w:rsidP="00E04D12">
      <w:r w:rsidRPr="00325BC3">
        <w:t>In developing its work the Commission is supported by the Inter-Jurisdictional Committee</w:t>
      </w:r>
      <w:r w:rsidR="00C524E7" w:rsidRPr="00325BC3">
        <w:t xml:space="preserve"> (IJC)</w:t>
      </w:r>
      <w:r w:rsidR="00FF26A9" w:rsidRPr="00325BC3">
        <w:t>,</w:t>
      </w:r>
      <w:r w:rsidRPr="00325BC3">
        <w:t xml:space="preserve"> which is made up of </w:t>
      </w:r>
      <w:r w:rsidR="00E04D12">
        <w:t xml:space="preserve">senior </w:t>
      </w:r>
      <w:r w:rsidR="00547E16" w:rsidRPr="00325BC3">
        <w:t>representatives</w:t>
      </w:r>
      <w:r w:rsidRPr="00325BC3">
        <w:t xml:space="preserve"> from the </w:t>
      </w:r>
      <w:r w:rsidR="003F7CEF" w:rsidRPr="00325BC3">
        <w:t>Australian Government</w:t>
      </w:r>
      <w:r w:rsidRPr="00325BC3">
        <w:t xml:space="preserve"> Department of Health,</w:t>
      </w:r>
      <w:r w:rsidR="003F7CEF" w:rsidRPr="00325BC3">
        <w:t xml:space="preserve"> and the</w:t>
      </w:r>
      <w:r w:rsidRPr="00325BC3">
        <w:t xml:space="preserve"> Department of Health</w:t>
      </w:r>
      <w:r w:rsidR="003F7CEF" w:rsidRPr="00325BC3">
        <w:t xml:space="preserve"> from each state and territory</w:t>
      </w:r>
      <w:r w:rsidR="00FF26A9" w:rsidRPr="00325BC3">
        <w:t xml:space="preserve">. In addition, the Board has established sub-committees in the form of the Private Hospital Sector Committee and </w:t>
      </w:r>
      <w:r w:rsidR="00547E16" w:rsidRPr="00325BC3">
        <w:t xml:space="preserve">the </w:t>
      </w:r>
      <w:r w:rsidR="00FF26A9" w:rsidRPr="00325BC3">
        <w:t>Primary Care Committee</w:t>
      </w:r>
      <w:r w:rsidR="00AE6BD9" w:rsidRPr="00325BC3">
        <w:t xml:space="preserve"> that</w:t>
      </w:r>
      <w:r w:rsidR="00FF26A9" w:rsidRPr="00325BC3">
        <w:t xml:space="preserve"> provide</w:t>
      </w:r>
      <w:r w:rsidR="00C524E7" w:rsidRPr="00325BC3">
        <w:t xml:space="preserve"> a</w:t>
      </w:r>
      <w:r w:rsidR="00FF26A9" w:rsidRPr="00325BC3">
        <w:t xml:space="preserve"> valuable</w:t>
      </w:r>
      <w:r w:rsidR="00C524E7" w:rsidRPr="00325BC3">
        <w:t xml:space="preserve"> connection with representatives from the private and public</w:t>
      </w:r>
      <w:r w:rsidR="00AC0E83">
        <w:t xml:space="preserve"> health</w:t>
      </w:r>
      <w:r w:rsidR="00C524E7" w:rsidRPr="00325BC3">
        <w:t xml:space="preserve"> sectors</w:t>
      </w:r>
      <w:r w:rsidR="00E04D12">
        <w:t>, and the Au</w:t>
      </w:r>
      <w:r w:rsidR="00325BC3" w:rsidRPr="00325BC3">
        <w:t xml:space="preserve">dit and Risk Committee </w:t>
      </w:r>
      <w:r w:rsidR="00E04D12">
        <w:t>which</w:t>
      </w:r>
      <w:r w:rsidR="00325BC3" w:rsidRPr="00325BC3">
        <w:t xml:space="preserve"> provide</w:t>
      </w:r>
      <w:r w:rsidR="00E04D12">
        <w:t>s</w:t>
      </w:r>
      <w:r w:rsidR="00325BC3" w:rsidRPr="00325BC3">
        <w:t xml:space="preserve"> independent assurance and advice to the Board on the </w:t>
      </w:r>
      <w:r w:rsidR="00E04D12">
        <w:t>Commission’s</w:t>
      </w:r>
      <w:r w:rsidR="00325BC3" w:rsidRPr="00325BC3">
        <w:t xml:space="preserve"> risk, control and compliance framework</w:t>
      </w:r>
      <w:r w:rsidR="00E04D12">
        <w:t xml:space="preserve"> and</w:t>
      </w:r>
      <w:r w:rsidR="00325BC3" w:rsidRPr="00325BC3">
        <w:t xml:space="preserve"> its financial management responsibilities.</w:t>
      </w:r>
    </w:p>
    <w:p w:rsidR="00031603" w:rsidRDefault="00031603" w:rsidP="00E04D12">
      <w:r w:rsidRPr="00031603">
        <w:t>Program initiatives are informed by external advisory committees, working groups, public consultation and workshops.  Proposals are then referred to</w:t>
      </w:r>
      <w:r w:rsidR="00C524E7">
        <w:t xml:space="preserve"> the IJC and</w:t>
      </w:r>
      <w:r w:rsidR="00FF26A9">
        <w:t xml:space="preserve"> Board sub-committees</w:t>
      </w:r>
      <w:r w:rsidRPr="00031603">
        <w:t xml:space="preserve"> for review and input </w:t>
      </w:r>
      <w:r w:rsidR="00AE6BD9">
        <w:t>before</w:t>
      </w:r>
      <w:r w:rsidRPr="00031603">
        <w:t xml:space="preserve"> consideration by the Commission</w:t>
      </w:r>
      <w:r w:rsidR="00FF26A9">
        <w:t xml:space="preserve"> Board</w:t>
      </w:r>
      <w:r w:rsidRPr="00031603">
        <w:t xml:space="preserve">.  Major Commission proposals are forwarded to </w:t>
      </w:r>
      <w:r w:rsidR="00FF26A9">
        <w:t xml:space="preserve">the </w:t>
      </w:r>
      <w:r w:rsidRPr="00031603">
        <w:t>A</w:t>
      </w:r>
      <w:r w:rsidR="00FF26A9">
        <w:t xml:space="preserve">ustralian </w:t>
      </w:r>
      <w:r w:rsidRPr="00031603">
        <w:t>H</w:t>
      </w:r>
      <w:r w:rsidR="00FF26A9">
        <w:t xml:space="preserve">ealth </w:t>
      </w:r>
      <w:r w:rsidRPr="00031603">
        <w:t>M</w:t>
      </w:r>
      <w:r w:rsidR="00FF26A9">
        <w:t xml:space="preserve">inisters </w:t>
      </w:r>
      <w:r w:rsidRPr="00031603">
        <w:t>A</w:t>
      </w:r>
      <w:r w:rsidR="00FF26A9">
        <w:t xml:space="preserve">dvisory </w:t>
      </w:r>
      <w:r w:rsidRPr="00031603">
        <w:t>C</w:t>
      </w:r>
      <w:r w:rsidR="00FF26A9">
        <w:t>ouncil</w:t>
      </w:r>
      <w:r w:rsidRPr="00031603">
        <w:t xml:space="preserve"> and</w:t>
      </w:r>
      <w:r w:rsidR="00FF26A9">
        <w:t xml:space="preserve"> the Coun</w:t>
      </w:r>
      <w:r w:rsidR="00AC0E83">
        <w:t>cil of Australian Governments</w:t>
      </w:r>
      <w:r w:rsidR="00FF26A9">
        <w:t xml:space="preserve"> Health Council</w:t>
      </w:r>
      <w:r w:rsidRPr="00031603">
        <w:t>.</w:t>
      </w:r>
    </w:p>
    <w:p w:rsidR="003E23F8" w:rsidRPr="00A11277" w:rsidRDefault="00C97168" w:rsidP="005233B1">
      <w:pPr>
        <w:pStyle w:val="Heading2"/>
        <w:spacing w:after="120"/>
      </w:pPr>
      <w:bookmarkStart w:id="12" w:name="_Toc483397748"/>
      <w:r>
        <w:t>Relationships</w:t>
      </w:r>
      <w:bookmarkEnd w:id="12"/>
    </w:p>
    <w:p w:rsidR="00C97168" w:rsidRDefault="00C97168" w:rsidP="00E04D12">
      <w:r w:rsidRPr="004B09CF">
        <w:rPr>
          <w:rFonts w:cs="Arial"/>
          <w:szCs w:val="22"/>
        </w:rPr>
        <w:t>The</w:t>
      </w:r>
      <w:r w:rsidR="008B2B67">
        <w:rPr>
          <w:rFonts w:cs="Arial"/>
          <w:szCs w:val="22"/>
        </w:rPr>
        <w:t xml:space="preserve"> NHR Act</w:t>
      </w:r>
      <w:r w:rsidRPr="00B54ACD">
        <w:rPr>
          <w:rFonts w:cs="Arial"/>
          <w:szCs w:val="22"/>
        </w:rPr>
        <w:t xml:space="preserve"> </w:t>
      </w:r>
      <w:r w:rsidRPr="004B09CF">
        <w:rPr>
          <w:rFonts w:cs="Arial"/>
          <w:szCs w:val="22"/>
        </w:rPr>
        <w:t xml:space="preserve">requires that </w:t>
      </w:r>
      <w:r w:rsidR="008B2B67">
        <w:rPr>
          <w:rFonts w:cs="Arial"/>
          <w:szCs w:val="22"/>
        </w:rPr>
        <w:t xml:space="preserve">the Commission develop </w:t>
      </w:r>
      <w:r w:rsidR="00186AEE">
        <w:rPr>
          <w:rFonts w:cs="Arial"/>
          <w:szCs w:val="22"/>
        </w:rPr>
        <w:t>a three</w:t>
      </w:r>
      <w:r w:rsidRPr="004B09CF">
        <w:rPr>
          <w:rFonts w:cs="Arial"/>
          <w:szCs w:val="22"/>
        </w:rPr>
        <w:t xml:space="preserve"> year rolling work plan</w:t>
      </w:r>
      <w:r w:rsidR="008B2B67">
        <w:rPr>
          <w:rFonts w:cs="Arial"/>
          <w:szCs w:val="22"/>
        </w:rPr>
        <w:t>, and that it be</w:t>
      </w:r>
      <w:r w:rsidRPr="004B09CF">
        <w:rPr>
          <w:rFonts w:cs="Arial"/>
          <w:szCs w:val="22"/>
        </w:rPr>
        <w:t xml:space="preserve"> </w:t>
      </w:r>
      <w:r w:rsidR="008B2B67">
        <w:rPr>
          <w:rFonts w:cs="Arial"/>
          <w:szCs w:val="22"/>
        </w:rPr>
        <w:t xml:space="preserve">provided </w:t>
      </w:r>
      <w:r w:rsidRPr="004B09CF">
        <w:rPr>
          <w:rFonts w:cs="Arial"/>
          <w:szCs w:val="22"/>
        </w:rPr>
        <w:t xml:space="preserve">to the </w:t>
      </w:r>
      <w:r w:rsidR="008B2B67">
        <w:rPr>
          <w:rFonts w:cs="Arial"/>
          <w:szCs w:val="22"/>
        </w:rPr>
        <w:t xml:space="preserve">Australian </w:t>
      </w:r>
      <w:r w:rsidR="00547E16">
        <w:rPr>
          <w:rFonts w:cs="Arial"/>
          <w:szCs w:val="22"/>
        </w:rPr>
        <w:t>G</w:t>
      </w:r>
      <w:r w:rsidR="008B2B67">
        <w:rPr>
          <w:rFonts w:cs="Arial"/>
          <w:szCs w:val="22"/>
        </w:rPr>
        <w:t>overnment</w:t>
      </w:r>
      <w:r w:rsidRPr="004B09CF">
        <w:rPr>
          <w:rFonts w:cs="Arial"/>
          <w:szCs w:val="22"/>
        </w:rPr>
        <w:t xml:space="preserve"> Minister for Health for consultation with </w:t>
      </w:r>
      <w:r w:rsidR="008B2B67">
        <w:rPr>
          <w:rFonts w:cs="Arial"/>
          <w:szCs w:val="22"/>
        </w:rPr>
        <w:t>s</w:t>
      </w:r>
      <w:r w:rsidRPr="004B09CF">
        <w:rPr>
          <w:rFonts w:cs="Arial"/>
          <w:szCs w:val="22"/>
        </w:rPr>
        <w:t xml:space="preserve">tate and </w:t>
      </w:r>
      <w:r w:rsidR="008B2B67">
        <w:rPr>
          <w:rFonts w:cs="Arial"/>
          <w:szCs w:val="22"/>
        </w:rPr>
        <w:t>t</w:t>
      </w:r>
      <w:r w:rsidRPr="004B09CF">
        <w:rPr>
          <w:rFonts w:cs="Arial"/>
          <w:szCs w:val="22"/>
        </w:rPr>
        <w:t>erritory Health Min</w:t>
      </w:r>
      <w:r w:rsidR="001D68BA">
        <w:rPr>
          <w:rFonts w:cs="Arial"/>
          <w:szCs w:val="22"/>
        </w:rPr>
        <w:t>i</w:t>
      </w:r>
      <w:r w:rsidRPr="004B09CF">
        <w:rPr>
          <w:rFonts w:cs="Arial"/>
          <w:szCs w:val="22"/>
        </w:rPr>
        <w:t xml:space="preserve">sters </w:t>
      </w:r>
      <w:r>
        <w:rPr>
          <w:rFonts w:cs="Arial"/>
          <w:szCs w:val="22"/>
        </w:rPr>
        <w:t xml:space="preserve">by 31 October each year. </w:t>
      </w:r>
      <w:r w:rsidR="00DA143B">
        <w:rPr>
          <w:rFonts w:cs="Arial"/>
          <w:szCs w:val="22"/>
        </w:rPr>
        <w:t>Th</w:t>
      </w:r>
      <w:r w:rsidR="00404972">
        <w:rPr>
          <w:rFonts w:cs="Arial"/>
          <w:szCs w:val="22"/>
        </w:rPr>
        <w:t xml:space="preserve">is </w:t>
      </w:r>
      <w:r w:rsidR="00186AEE">
        <w:rPr>
          <w:rFonts w:cs="Arial"/>
          <w:szCs w:val="22"/>
        </w:rPr>
        <w:t xml:space="preserve">annual </w:t>
      </w:r>
      <w:r w:rsidR="008B2B67">
        <w:rPr>
          <w:rFonts w:cs="Arial"/>
          <w:szCs w:val="22"/>
        </w:rPr>
        <w:t>consultation process</w:t>
      </w:r>
      <w:r w:rsidR="00186AEE">
        <w:rPr>
          <w:rFonts w:cs="Arial"/>
          <w:szCs w:val="22"/>
        </w:rPr>
        <w:t xml:space="preserve"> </w:t>
      </w:r>
      <w:r w:rsidR="00404972">
        <w:rPr>
          <w:rFonts w:cs="Arial"/>
          <w:szCs w:val="22"/>
        </w:rPr>
        <w:t>e</w:t>
      </w:r>
      <w:r w:rsidR="008B2B67">
        <w:rPr>
          <w:rFonts w:cs="Arial"/>
          <w:szCs w:val="22"/>
        </w:rPr>
        <w:t>nsures agreement among all Australian health ministers and health departments</w:t>
      </w:r>
      <w:r w:rsidR="00DA143B">
        <w:rPr>
          <w:rFonts w:cs="Arial"/>
          <w:szCs w:val="22"/>
        </w:rPr>
        <w:t xml:space="preserve"> on the goals and objectives of the Commission’s work</w:t>
      </w:r>
      <w:r w:rsidR="008B2B67">
        <w:rPr>
          <w:rFonts w:cs="Arial"/>
          <w:szCs w:val="22"/>
        </w:rPr>
        <w:t xml:space="preserve">, and a coordinated approach to safety and quality in health care across the country.  </w:t>
      </w:r>
    </w:p>
    <w:p w:rsidR="00C97168" w:rsidRPr="00C97168" w:rsidRDefault="00C97168" w:rsidP="00E04D12">
      <w:r w:rsidRPr="00C97168">
        <w:t xml:space="preserve">The </w:t>
      </w:r>
      <w:r w:rsidR="008B2B67">
        <w:t>Commission works</w:t>
      </w:r>
      <w:r w:rsidR="00344439">
        <w:t xml:space="preserve"> in</w:t>
      </w:r>
      <w:r w:rsidR="008B2B67">
        <w:t xml:space="preserve"> </w:t>
      </w:r>
      <w:r w:rsidRPr="00C97168">
        <w:t>collaborati</w:t>
      </w:r>
      <w:r w:rsidR="00547E16">
        <w:t xml:space="preserve">on </w:t>
      </w:r>
      <w:r w:rsidRPr="00C97168">
        <w:t>and consultati</w:t>
      </w:r>
      <w:r w:rsidR="00547E16">
        <w:t xml:space="preserve">on </w:t>
      </w:r>
      <w:r w:rsidRPr="00C97168">
        <w:t xml:space="preserve">with </w:t>
      </w:r>
      <w:r w:rsidR="008B2B67">
        <w:t>other</w:t>
      </w:r>
      <w:r w:rsidRPr="00C97168">
        <w:t xml:space="preserve"> </w:t>
      </w:r>
      <w:r w:rsidR="008B2B67">
        <w:t>Commonwealth entities,</w:t>
      </w:r>
      <w:r w:rsidRPr="00C97168">
        <w:t xml:space="preserve"> such as </w:t>
      </w:r>
      <w:r w:rsidR="008B2B67">
        <w:t xml:space="preserve">the Independent Hospital Pricing Authority, the </w:t>
      </w:r>
      <w:r w:rsidRPr="00C97168">
        <w:t>N</w:t>
      </w:r>
      <w:r w:rsidR="008B2B67">
        <w:t xml:space="preserve">ational </w:t>
      </w:r>
      <w:r w:rsidRPr="00C97168">
        <w:t>H</w:t>
      </w:r>
      <w:r w:rsidR="008B2B67">
        <w:t xml:space="preserve">ealth and </w:t>
      </w:r>
      <w:r w:rsidRPr="00C97168">
        <w:t>M</w:t>
      </w:r>
      <w:r w:rsidR="008B2B67">
        <w:t xml:space="preserve">edical </w:t>
      </w:r>
      <w:r w:rsidRPr="00C97168">
        <w:t>R</w:t>
      </w:r>
      <w:r w:rsidR="008B2B67">
        <w:t xml:space="preserve">esearch </w:t>
      </w:r>
      <w:r w:rsidRPr="00C97168">
        <w:t>C</w:t>
      </w:r>
      <w:r w:rsidR="008B2B67">
        <w:t>ouncil</w:t>
      </w:r>
      <w:r w:rsidRPr="00C97168">
        <w:t>,</w:t>
      </w:r>
      <w:r w:rsidR="008B2B67">
        <w:t xml:space="preserve"> the </w:t>
      </w:r>
      <w:r w:rsidRPr="00C97168">
        <w:t>A</w:t>
      </w:r>
      <w:r w:rsidR="008B2B67">
        <w:t xml:space="preserve">ustralian </w:t>
      </w:r>
      <w:r w:rsidRPr="00C97168">
        <w:t>I</w:t>
      </w:r>
      <w:r w:rsidR="008B2B67">
        <w:t xml:space="preserve">nstitute of </w:t>
      </w:r>
      <w:r w:rsidRPr="00C97168">
        <w:t>H</w:t>
      </w:r>
      <w:r w:rsidR="008B2B67">
        <w:t xml:space="preserve">ealth and </w:t>
      </w:r>
      <w:r w:rsidRPr="00C97168">
        <w:t>W</w:t>
      </w:r>
      <w:r w:rsidR="008B2B67">
        <w:t>elfare</w:t>
      </w:r>
      <w:r w:rsidRPr="00C97168">
        <w:t xml:space="preserve">, </w:t>
      </w:r>
      <w:r w:rsidR="00344439">
        <w:t xml:space="preserve">the </w:t>
      </w:r>
      <w:r w:rsidR="00384382">
        <w:t>Australian Digital Health Agency</w:t>
      </w:r>
      <w:r w:rsidRPr="00C97168">
        <w:t xml:space="preserve">, and </w:t>
      </w:r>
      <w:r w:rsidR="00344439">
        <w:t>the Australian Health Practitioner Regulation Agency</w:t>
      </w:r>
      <w:r w:rsidRPr="00C97168">
        <w:t xml:space="preserve">. </w:t>
      </w:r>
      <w:r w:rsidR="00344439">
        <w:t xml:space="preserve">In addition, the Commission works closely with </w:t>
      </w:r>
      <w:r w:rsidRPr="00C97168">
        <w:t xml:space="preserve">universities and other academic bodies, </w:t>
      </w:r>
      <w:r w:rsidR="00344439">
        <w:t xml:space="preserve">clinical colleges and </w:t>
      </w:r>
      <w:r w:rsidRPr="00C97168">
        <w:t>other professional clinical organisations</w:t>
      </w:r>
      <w:r w:rsidR="00344439">
        <w:t>, and consumer representative and consumer groups. The Commission values the input and expertise provided by these individuals and organisations,</w:t>
      </w:r>
      <w:r w:rsidR="005C54B6">
        <w:t xml:space="preserve"> </w:t>
      </w:r>
      <w:r w:rsidR="00344439">
        <w:t xml:space="preserve">in shaping </w:t>
      </w:r>
      <w:r w:rsidR="00186AEE">
        <w:t>it</w:t>
      </w:r>
      <w:r w:rsidR="00344439">
        <w:t xml:space="preserve">s work and providing support to the Commission’s initiatives.  </w:t>
      </w:r>
    </w:p>
    <w:p w:rsidR="00A11277" w:rsidRPr="00A11277" w:rsidRDefault="003F7CEF" w:rsidP="005233B1">
      <w:pPr>
        <w:pStyle w:val="Heading2"/>
        <w:spacing w:after="120"/>
      </w:pPr>
      <w:bookmarkStart w:id="13" w:name="_Toc483397749"/>
      <w:r>
        <w:t>Safety and q</w:t>
      </w:r>
      <w:r w:rsidR="00A11277" w:rsidRPr="00A11277">
        <w:t>uality</w:t>
      </w:r>
      <w:bookmarkEnd w:id="13"/>
    </w:p>
    <w:p w:rsidR="0070766C" w:rsidRDefault="00080CB5" w:rsidP="00E04D12">
      <w:r w:rsidRPr="00080CB5">
        <w:t xml:space="preserve">Safety and quality </w:t>
      </w:r>
      <w:r w:rsidR="00C661BE">
        <w:t>are</w:t>
      </w:r>
      <w:r w:rsidRPr="00080CB5">
        <w:t xml:space="preserve"> complex field</w:t>
      </w:r>
      <w:r w:rsidR="00C661BE">
        <w:t>s</w:t>
      </w:r>
      <w:r w:rsidRPr="00080CB5">
        <w:t xml:space="preserve"> that </w:t>
      </w:r>
      <w:r w:rsidR="00C661BE">
        <w:t>are</w:t>
      </w:r>
      <w:r w:rsidRPr="00080CB5">
        <w:t xml:space="preserve"> integrated i</w:t>
      </w:r>
      <w:r w:rsidR="0070766C">
        <w:t>nto all aspects of health care</w:t>
      </w:r>
      <w:r w:rsidR="00EB3B52">
        <w:t xml:space="preserve">. </w:t>
      </w:r>
    </w:p>
    <w:p w:rsidR="00EB3B52" w:rsidRPr="00500B76" w:rsidRDefault="00EB3B52" w:rsidP="00E04D12">
      <w:r w:rsidRPr="00500B76">
        <w:t>Most people who receive health care in Australia receive care that is safe, and of high</w:t>
      </w:r>
      <w:r w:rsidR="003D23D3" w:rsidRPr="00500B76">
        <w:t xml:space="preserve"> </w:t>
      </w:r>
      <w:r w:rsidRPr="00500B76">
        <w:t>quality.</w:t>
      </w:r>
      <w:r w:rsidR="00E14AB8">
        <w:t xml:space="preserve"> U</w:t>
      </w:r>
      <w:r w:rsidR="00FF1DB8" w:rsidRPr="00500B76">
        <w:t>nfortunately</w:t>
      </w:r>
      <w:r w:rsidR="00E14AB8">
        <w:t>,</w:t>
      </w:r>
      <w:r w:rsidRPr="00500B76">
        <w:t xml:space="preserve"> some people are harmed as a result of the care they receive. An important way to minimise harm occurring is to ensure good processes are in place. Health services should have systems in place to ensure </w:t>
      </w:r>
      <w:r w:rsidR="00FF1DB8" w:rsidRPr="00500B76">
        <w:t xml:space="preserve">patient </w:t>
      </w:r>
      <w:r w:rsidRPr="00500B76">
        <w:t xml:space="preserve">safety, and to make sure people working in health services are appropriately skilled, </w:t>
      </w:r>
      <w:r w:rsidR="00AE6BD9" w:rsidRPr="00500B76">
        <w:t xml:space="preserve">and </w:t>
      </w:r>
      <w:r w:rsidRPr="00500B76">
        <w:t xml:space="preserve">are aware of those systems and use them properly. One of the most important roles of the Commission is ensuring that good </w:t>
      </w:r>
      <w:r w:rsidR="00384382">
        <w:t xml:space="preserve">safety and quality </w:t>
      </w:r>
      <w:r w:rsidRPr="00500B76">
        <w:t>systems are in place</w:t>
      </w:r>
      <w:r w:rsidR="00AC0E83">
        <w:t xml:space="preserve"> across Australia</w:t>
      </w:r>
      <w:r w:rsidRPr="00500B76">
        <w:t xml:space="preserve">. </w:t>
      </w:r>
    </w:p>
    <w:p w:rsidR="00EB3B52" w:rsidRDefault="003F7CEF" w:rsidP="005233B1">
      <w:pPr>
        <w:pStyle w:val="Heading2"/>
        <w:spacing w:after="120"/>
      </w:pPr>
      <w:bookmarkStart w:id="14" w:name="_Toc483397750"/>
      <w:r w:rsidRPr="00EB3B52">
        <w:t xml:space="preserve">National Safety and Quality </w:t>
      </w:r>
      <w:r>
        <w:t xml:space="preserve">Health Service </w:t>
      </w:r>
      <w:r w:rsidR="00EB3B52" w:rsidRPr="00EB3B52">
        <w:t>Standards</w:t>
      </w:r>
      <w:bookmarkEnd w:id="14"/>
      <w:r w:rsidR="00EB3B52" w:rsidRPr="00EB3B52">
        <w:t xml:space="preserve"> </w:t>
      </w:r>
    </w:p>
    <w:p w:rsidR="0045292A" w:rsidRPr="0045292A" w:rsidRDefault="0045292A" w:rsidP="00E04D12">
      <w:pPr>
        <w:shd w:val="clear" w:color="auto" w:fill="FFFFFF"/>
        <w:rPr>
          <w:rFonts w:cs="Arial"/>
          <w:szCs w:val="22"/>
        </w:rPr>
      </w:pPr>
      <w:r w:rsidRPr="0045292A">
        <w:rPr>
          <w:rFonts w:cs="Arial"/>
          <w:szCs w:val="22"/>
        </w:rPr>
        <w:t xml:space="preserve">The NSQHS Standards were developed by the Commission to </w:t>
      </w:r>
      <w:r w:rsidR="00280BA6">
        <w:rPr>
          <w:rFonts w:cs="Arial"/>
          <w:szCs w:val="22"/>
        </w:rPr>
        <w:t>protect the public from harm and</w:t>
      </w:r>
      <w:r w:rsidRPr="0045292A">
        <w:rPr>
          <w:rFonts w:cs="Arial"/>
          <w:szCs w:val="22"/>
        </w:rPr>
        <w:t xml:space="preserve"> improve the quality of health care in Australia. The 10 NSQHS Standards provide a nationally consistent statement about the level of care consumers can expect from health service organisations.</w:t>
      </w:r>
    </w:p>
    <w:p w:rsidR="00AE6BD9" w:rsidRDefault="0045292A" w:rsidP="00E04D12">
      <w:pPr>
        <w:shd w:val="clear" w:color="auto" w:fill="FFFFFF"/>
      </w:pPr>
      <w:r w:rsidRPr="0045292A">
        <w:rPr>
          <w:rFonts w:cs="Arial"/>
          <w:szCs w:val="22"/>
        </w:rPr>
        <w:t>Health Ministers</w:t>
      </w:r>
      <w:r w:rsidR="00547E16">
        <w:rPr>
          <w:rFonts w:cs="Arial"/>
          <w:szCs w:val="22"/>
        </w:rPr>
        <w:t xml:space="preserve"> have</w:t>
      </w:r>
      <w:r w:rsidRPr="0045292A">
        <w:rPr>
          <w:rFonts w:cs="Arial"/>
          <w:szCs w:val="22"/>
        </w:rPr>
        <w:t xml:space="preserve"> endorsed the NSQHS Standards and a national accreditation scheme. This has created a national safety and quality accreditation scheme for health service organisations.</w:t>
      </w:r>
      <w:r>
        <w:rPr>
          <w:rFonts w:cs="Arial"/>
          <w:szCs w:val="22"/>
        </w:rPr>
        <w:t xml:space="preserve"> </w:t>
      </w:r>
      <w:r w:rsidR="006254E0">
        <w:rPr>
          <w:rFonts w:cs="Arial"/>
          <w:szCs w:val="22"/>
        </w:rPr>
        <w:t>As at</w:t>
      </w:r>
      <w:r w:rsidR="006254E0" w:rsidRPr="007461DE">
        <w:rPr>
          <w:rFonts w:cs="Arial"/>
          <w:szCs w:val="22"/>
        </w:rPr>
        <w:t xml:space="preserve"> </w:t>
      </w:r>
      <w:r w:rsidRPr="007461DE">
        <w:rPr>
          <w:rFonts w:cs="Arial"/>
          <w:szCs w:val="22"/>
        </w:rPr>
        <w:t>30 June 201</w:t>
      </w:r>
      <w:r w:rsidR="00AE3182">
        <w:rPr>
          <w:rFonts w:cs="Arial"/>
          <w:szCs w:val="22"/>
        </w:rPr>
        <w:t>7</w:t>
      </w:r>
      <w:r w:rsidR="00547E16">
        <w:rPr>
          <w:rFonts w:cs="Arial"/>
          <w:szCs w:val="22"/>
        </w:rPr>
        <w:t xml:space="preserve"> </w:t>
      </w:r>
      <w:r w:rsidRPr="00985FE7">
        <w:rPr>
          <w:rFonts w:cs="Arial"/>
          <w:szCs w:val="22"/>
        </w:rPr>
        <w:t>all</w:t>
      </w:r>
      <w:r>
        <w:rPr>
          <w:rFonts w:cs="Arial"/>
          <w:szCs w:val="22"/>
        </w:rPr>
        <w:t xml:space="preserve"> health service organisations</w:t>
      </w:r>
      <w:r w:rsidR="00547E16">
        <w:rPr>
          <w:rFonts w:cs="Arial"/>
          <w:szCs w:val="22"/>
        </w:rPr>
        <w:t xml:space="preserve"> in Australia have been</w:t>
      </w:r>
      <w:r>
        <w:rPr>
          <w:rFonts w:cs="Arial"/>
          <w:szCs w:val="22"/>
        </w:rPr>
        <w:t xml:space="preserve"> assessed to the NSQHS Standards.</w:t>
      </w:r>
    </w:p>
    <w:p w:rsidR="00D60C4F" w:rsidRPr="00EB3B52" w:rsidRDefault="00EB3B52" w:rsidP="00E04D12">
      <w:r w:rsidRPr="00EB3B52">
        <w:t xml:space="preserve">The NSQHS Standards cover areas where patients experience higher levels of harm, and where there is good evidence of how safe and better care could be provided. </w:t>
      </w:r>
    </w:p>
    <w:p w:rsidR="00EB3B52" w:rsidRPr="00EB3B52" w:rsidRDefault="00EB3B52" w:rsidP="00E04D12">
      <w:r w:rsidRPr="00EB3B52">
        <w:t>The NSQHS Standards are:</w:t>
      </w:r>
    </w:p>
    <w:p w:rsidR="00EB3B52" w:rsidRPr="00EB3B52" w:rsidRDefault="005639A6" w:rsidP="00E04D12">
      <w:pPr>
        <w:pStyle w:val="ListParagraph"/>
        <w:numPr>
          <w:ilvl w:val="0"/>
          <w:numId w:val="19"/>
        </w:numPr>
        <w:contextualSpacing w:val="0"/>
      </w:pPr>
      <w:r w:rsidRPr="005639A6">
        <w:t xml:space="preserve">NSQHS Standard </w:t>
      </w:r>
      <w:r w:rsidR="0020000F">
        <w:t xml:space="preserve">1: </w:t>
      </w:r>
      <w:r w:rsidR="00EB3B52" w:rsidRPr="00EB3B52">
        <w:t xml:space="preserve">Governance for Safety and Quality </w:t>
      </w:r>
      <w:r w:rsidRPr="005A57CF">
        <w:rPr>
          <w:rStyle w:val="IntenseReference"/>
          <w:b w:val="0"/>
          <w:bCs w:val="0"/>
          <w:i w:val="0"/>
          <w:smallCaps w:val="0"/>
          <w:color w:val="auto"/>
          <w:spacing w:val="0"/>
        </w:rPr>
        <w:t xml:space="preserve">in Health Service </w:t>
      </w:r>
      <w:r w:rsidR="00EB3B52" w:rsidRPr="00EB3B52">
        <w:t>Organisations</w:t>
      </w:r>
    </w:p>
    <w:p w:rsidR="00EB3B52" w:rsidRPr="00EB3B52" w:rsidRDefault="005639A6" w:rsidP="00E04D12">
      <w:pPr>
        <w:pStyle w:val="ListParagraph"/>
        <w:numPr>
          <w:ilvl w:val="0"/>
          <w:numId w:val="19"/>
        </w:numPr>
        <w:contextualSpacing w:val="0"/>
      </w:pPr>
      <w:r w:rsidRPr="005639A6">
        <w:t xml:space="preserve">NSQHS Standard </w:t>
      </w:r>
      <w:r>
        <w:t xml:space="preserve">2: </w:t>
      </w:r>
      <w:r w:rsidR="00EB3B52" w:rsidRPr="00EB3B52">
        <w:t>Partnering with Consumers</w:t>
      </w:r>
    </w:p>
    <w:p w:rsidR="00EB3B52" w:rsidRPr="00EB3B52" w:rsidRDefault="005639A6" w:rsidP="00E04D12">
      <w:pPr>
        <w:pStyle w:val="ListParagraph"/>
        <w:numPr>
          <w:ilvl w:val="0"/>
          <w:numId w:val="19"/>
        </w:numPr>
        <w:contextualSpacing w:val="0"/>
      </w:pPr>
      <w:r w:rsidRPr="005639A6">
        <w:t xml:space="preserve">NSQHS Standard </w:t>
      </w:r>
      <w:r>
        <w:t xml:space="preserve">3: </w:t>
      </w:r>
      <w:r w:rsidR="00EB3B52" w:rsidRPr="00EB3B52">
        <w:t>Preventing and Controlling Healthcare Associated Infections</w:t>
      </w:r>
    </w:p>
    <w:p w:rsidR="00EB3B52" w:rsidRPr="00EB3B52" w:rsidRDefault="005639A6" w:rsidP="00E04D12">
      <w:pPr>
        <w:pStyle w:val="ListParagraph"/>
        <w:numPr>
          <w:ilvl w:val="0"/>
          <w:numId w:val="19"/>
        </w:numPr>
        <w:contextualSpacing w:val="0"/>
      </w:pPr>
      <w:r w:rsidRPr="005639A6">
        <w:t xml:space="preserve">NSQHS Standard </w:t>
      </w:r>
      <w:r>
        <w:t xml:space="preserve">4: </w:t>
      </w:r>
      <w:r w:rsidR="00EB3B52" w:rsidRPr="00EB3B52">
        <w:t>Medication Safety</w:t>
      </w:r>
    </w:p>
    <w:p w:rsidR="00EB3B52" w:rsidRPr="00EB3B52" w:rsidRDefault="005639A6" w:rsidP="00E04D12">
      <w:pPr>
        <w:pStyle w:val="ListParagraph"/>
        <w:numPr>
          <w:ilvl w:val="0"/>
          <w:numId w:val="19"/>
        </w:numPr>
        <w:contextualSpacing w:val="0"/>
      </w:pPr>
      <w:r w:rsidRPr="005639A6">
        <w:t xml:space="preserve">NSQHS Standard </w:t>
      </w:r>
      <w:r>
        <w:t xml:space="preserve">5: </w:t>
      </w:r>
      <w:r w:rsidR="00EB3B52" w:rsidRPr="00EB3B52">
        <w:t>Patient Identification and Procedure Matching</w:t>
      </w:r>
    </w:p>
    <w:p w:rsidR="00EB3B52" w:rsidRPr="00EB3B52" w:rsidRDefault="005639A6" w:rsidP="00E04D12">
      <w:pPr>
        <w:pStyle w:val="ListParagraph"/>
        <w:numPr>
          <w:ilvl w:val="0"/>
          <w:numId w:val="19"/>
        </w:numPr>
        <w:contextualSpacing w:val="0"/>
      </w:pPr>
      <w:r w:rsidRPr="005639A6">
        <w:t xml:space="preserve">NSQHS Standard </w:t>
      </w:r>
      <w:r>
        <w:t xml:space="preserve">6: </w:t>
      </w:r>
      <w:r w:rsidR="00EB3B52" w:rsidRPr="00EB3B52">
        <w:t>Clinical Handover</w:t>
      </w:r>
    </w:p>
    <w:p w:rsidR="00EB3B52" w:rsidRPr="00EB3B52" w:rsidRDefault="005639A6" w:rsidP="00E04D12">
      <w:pPr>
        <w:pStyle w:val="ListParagraph"/>
        <w:numPr>
          <w:ilvl w:val="0"/>
          <w:numId w:val="19"/>
        </w:numPr>
        <w:contextualSpacing w:val="0"/>
      </w:pPr>
      <w:r w:rsidRPr="005639A6">
        <w:t xml:space="preserve">NSQHS Standard </w:t>
      </w:r>
      <w:r>
        <w:t xml:space="preserve">7: </w:t>
      </w:r>
      <w:r w:rsidR="00EB3B52" w:rsidRPr="00EB3B52">
        <w:t>Blood and Blood Products</w:t>
      </w:r>
    </w:p>
    <w:p w:rsidR="00EB3B52" w:rsidRPr="00EB3B52" w:rsidRDefault="005639A6" w:rsidP="00E04D12">
      <w:pPr>
        <w:pStyle w:val="ListParagraph"/>
        <w:numPr>
          <w:ilvl w:val="0"/>
          <w:numId w:val="19"/>
        </w:numPr>
        <w:contextualSpacing w:val="0"/>
      </w:pPr>
      <w:r w:rsidRPr="005639A6">
        <w:t xml:space="preserve">NSQHS Standard </w:t>
      </w:r>
      <w:r>
        <w:t xml:space="preserve">8: </w:t>
      </w:r>
      <w:r w:rsidR="00EB3B52" w:rsidRPr="00EB3B52">
        <w:t>Preventing and Managing Pressure Injuries</w:t>
      </w:r>
    </w:p>
    <w:p w:rsidR="00EB3B52" w:rsidRPr="00EB3B52" w:rsidRDefault="005639A6" w:rsidP="00E04D12">
      <w:pPr>
        <w:pStyle w:val="ListParagraph"/>
        <w:numPr>
          <w:ilvl w:val="0"/>
          <w:numId w:val="19"/>
        </w:numPr>
        <w:contextualSpacing w:val="0"/>
      </w:pPr>
      <w:r w:rsidRPr="005639A6">
        <w:t xml:space="preserve">NSQHS Standard </w:t>
      </w:r>
      <w:r>
        <w:t xml:space="preserve">9: </w:t>
      </w:r>
      <w:r w:rsidR="00EB3B52" w:rsidRPr="00EB3B52">
        <w:t>Recognising and Responding to Clinical Deterioration in Acute Health Care</w:t>
      </w:r>
    </w:p>
    <w:p w:rsidR="00EB3B52" w:rsidRPr="001C297D" w:rsidRDefault="005639A6" w:rsidP="00E04D12">
      <w:pPr>
        <w:pStyle w:val="ListParagraph"/>
        <w:numPr>
          <w:ilvl w:val="0"/>
          <w:numId w:val="19"/>
        </w:numPr>
        <w:contextualSpacing w:val="0"/>
        <w:rPr>
          <w:rStyle w:val="IntenseReference"/>
          <w:rFonts w:cs="Arial"/>
          <w:bCs w:val="0"/>
          <w:smallCaps w:val="0"/>
        </w:rPr>
      </w:pPr>
      <w:r w:rsidRPr="005639A6">
        <w:t xml:space="preserve">NSQHS Standard </w:t>
      </w:r>
      <w:r>
        <w:t xml:space="preserve">10: </w:t>
      </w:r>
      <w:r w:rsidR="00EB3B52" w:rsidRPr="00EB3B52">
        <w:t>Preventing Falls and Harm from Falls.</w:t>
      </w:r>
    </w:p>
    <w:p w:rsidR="00942E55" w:rsidRDefault="00942E55" w:rsidP="00E04D12">
      <w:pPr>
        <w:widowControl w:val="0"/>
      </w:pPr>
    </w:p>
    <w:p w:rsidR="00A126EB" w:rsidRDefault="00A126EB" w:rsidP="00E04D12">
      <w:pPr>
        <w:widowControl w:val="0"/>
      </w:pPr>
    </w:p>
    <w:p w:rsidR="00C03944" w:rsidRPr="00F4072F" w:rsidRDefault="0077460D" w:rsidP="00E04D12">
      <w:pPr>
        <w:pStyle w:val="Heading2"/>
        <w:spacing w:before="0" w:after="120"/>
        <w:rPr>
          <w:b w:val="0"/>
        </w:rPr>
      </w:pPr>
      <w:bookmarkStart w:id="15" w:name="_Toc483397751"/>
      <w:r>
        <w:rPr>
          <w:b w:val="0"/>
        </w:rPr>
        <w:t>The</w:t>
      </w:r>
      <w:r w:rsidR="00C03944" w:rsidRPr="00F4072F">
        <w:rPr>
          <w:b w:val="0"/>
        </w:rPr>
        <w:t xml:space="preserve"> NSQHS Standards</w:t>
      </w:r>
      <w:r>
        <w:rPr>
          <w:b w:val="0"/>
        </w:rPr>
        <w:t xml:space="preserve"> (second edition)</w:t>
      </w:r>
      <w:bookmarkEnd w:id="15"/>
    </w:p>
    <w:p w:rsidR="00280BA6" w:rsidRDefault="00280BA6" w:rsidP="00280BA6">
      <w:bookmarkStart w:id="16" w:name="dbedbedda68f9a15ACLX137"/>
      <w:r>
        <w:t>The Commission commenced a review of the NSQHS Standards (first edition) in 2015. The objectives of the review were: to ensure the NSQHS Standards reflect contemporary best clinical practice; and that only those actions that have improved patient outcomes are retained.</w:t>
      </w:r>
    </w:p>
    <w:p w:rsidR="00280BA6" w:rsidRDefault="00280BA6" w:rsidP="00280BA6">
      <w:r>
        <w:t>Following an initial national consultation process, the Commission developed a draft version of the NSQHS Standards (second edition). This draft was refined following piloting and further sector-wide consultation. The draft second edition of the NSQHS was then subject to a COAG RIS process.</w:t>
      </w:r>
    </w:p>
    <w:p w:rsidR="00280BA6" w:rsidRDefault="00280BA6" w:rsidP="00280BA6">
      <w:r>
        <w:t>In the second edition of the NSQHS Standards, the overall number of standards has been reduced from 10 to 8, and the number of actions within the Standards has been reduced from 256 to 148.</w:t>
      </w:r>
    </w:p>
    <w:p w:rsidR="00280BA6" w:rsidRDefault="00280BA6" w:rsidP="00280BA6">
      <w:r>
        <w:t>The NSQHS Standards (second edition) have been improved by:</w:t>
      </w:r>
    </w:p>
    <w:p w:rsidR="00280BA6" w:rsidRDefault="00280BA6" w:rsidP="00280BA6">
      <w:pPr>
        <w:pStyle w:val="ListParagraph"/>
        <w:numPr>
          <w:ilvl w:val="0"/>
          <w:numId w:val="42"/>
        </w:numPr>
        <w:spacing w:after="200" w:line="240" w:lineRule="auto"/>
      </w:pPr>
      <w:r>
        <w:t>reducing the duplication in edition one of the NSQHS Standards</w:t>
      </w:r>
    </w:p>
    <w:p w:rsidR="00280BA6" w:rsidRDefault="00280BA6" w:rsidP="00280BA6">
      <w:pPr>
        <w:pStyle w:val="ListParagraph"/>
        <w:numPr>
          <w:ilvl w:val="0"/>
          <w:numId w:val="42"/>
        </w:numPr>
        <w:spacing w:after="200" w:line="240" w:lineRule="auto"/>
      </w:pPr>
      <w:r>
        <w:t>addressing safety gaps in cognitive impairment, mental health, end-of-life care, and care of Aboriginal and Torres Strait Islander people</w:t>
      </w:r>
    </w:p>
    <w:p w:rsidR="00280BA6" w:rsidRDefault="00280BA6" w:rsidP="00280BA6">
      <w:pPr>
        <w:pStyle w:val="ListParagraph"/>
        <w:numPr>
          <w:ilvl w:val="0"/>
          <w:numId w:val="42"/>
        </w:numPr>
        <w:spacing w:after="200" w:line="240" w:lineRule="auto"/>
      </w:pPr>
      <w:r>
        <w:t>updating the evidence base</w:t>
      </w:r>
    </w:p>
    <w:p w:rsidR="00280BA6" w:rsidRDefault="00280BA6" w:rsidP="005C54B6">
      <w:pPr>
        <w:pStyle w:val="ListParagraph"/>
        <w:numPr>
          <w:ilvl w:val="0"/>
          <w:numId w:val="42"/>
        </w:numPr>
        <w:spacing w:after="200" w:line="240" w:lineRule="auto"/>
      </w:pPr>
      <w:r>
        <w:t>adapting and clarifying the language to improve the applicability of the NSQHS Standards to a broader range of health service organisations.</w:t>
      </w:r>
    </w:p>
    <w:p w:rsidR="00280BA6" w:rsidRDefault="00280BA6" w:rsidP="00280BA6">
      <w:bookmarkStart w:id="17" w:name="dbedbedda68f9a15ACLX138"/>
      <w:bookmarkEnd w:id="16"/>
      <w:r>
        <w:t xml:space="preserve">The </w:t>
      </w:r>
      <w:r w:rsidR="00BC5A13">
        <w:t>NSQHS</w:t>
      </w:r>
      <w:r>
        <w:t xml:space="preserve"> Standards (second edition) were endorsed by the Australian Health Ministers’ Advisory Council (AHMAC) in December 2016, </w:t>
      </w:r>
      <w:r w:rsidRPr="00E62056">
        <w:t>and approved for release by the COAG Health Council in June 2017</w:t>
      </w:r>
      <w:r w:rsidRPr="00B57C3F">
        <w:t>.</w:t>
      </w:r>
    </w:p>
    <w:p w:rsidR="00280BA6" w:rsidRPr="00C75DC7" w:rsidRDefault="00280BA6" w:rsidP="00280BA6">
      <w:bookmarkStart w:id="18" w:name="dbedbedda68f9a15ACLX140"/>
      <w:bookmarkEnd w:id="17"/>
      <w:r>
        <w:t xml:space="preserve">The Commission began developing resources to </w:t>
      </w:r>
      <w:r w:rsidRPr="00C75DC7">
        <w:t>support the NSQHS Standards (</w:t>
      </w:r>
      <w:r>
        <w:t>second edition</w:t>
      </w:r>
      <w:r w:rsidRPr="00C75DC7">
        <w:t>)</w:t>
      </w:r>
      <w:r>
        <w:t xml:space="preserve"> in 2016. It</w:t>
      </w:r>
      <w:r w:rsidRPr="00C75DC7">
        <w:t xml:space="preserve"> consulted with clinicians, consumers and content experts on the draft resources to</w:t>
      </w:r>
      <w:r>
        <w:t xml:space="preserve"> ensure they meet the needs of the target audience, which includes</w:t>
      </w:r>
      <w:r w:rsidRPr="00C75DC7">
        <w:t xml:space="preserve"> </w:t>
      </w:r>
      <w:r>
        <w:t xml:space="preserve">consumers, </w:t>
      </w:r>
      <w:r w:rsidRPr="00C75DC7">
        <w:t xml:space="preserve">hospitals, day </w:t>
      </w:r>
      <w:r>
        <w:t xml:space="preserve">procedure </w:t>
      </w:r>
      <w:r w:rsidRPr="00C75DC7">
        <w:t>service</w:t>
      </w:r>
      <w:r>
        <w:t>s</w:t>
      </w:r>
      <w:r w:rsidRPr="00C75DC7">
        <w:t>, multi-purpose serv</w:t>
      </w:r>
      <w:r>
        <w:t xml:space="preserve">ices, small rural hospitals </w:t>
      </w:r>
      <w:r w:rsidRPr="00C75DC7">
        <w:t>and governing bodies</w:t>
      </w:r>
      <w:r>
        <w:t xml:space="preserve"> such as boards</w:t>
      </w:r>
      <w:r w:rsidRPr="00C75DC7">
        <w:t>.</w:t>
      </w:r>
    </w:p>
    <w:p w:rsidR="00280BA6" w:rsidRDefault="00280BA6" w:rsidP="00280BA6">
      <w:pPr>
        <w:rPr>
          <w:rFonts w:cs="Arial"/>
        </w:rPr>
      </w:pPr>
      <w:bookmarkStart w:id="19" w:name="dbedbedda68f9a15ACLX141"/>
      <w:bookmarkEnd w:id="18"/>
      <w:r w:rsidRPr="009A39CF">
        <w:rPr>
          <w:rFonts w:cs="Arial"/>
        </w:rPr>
        <w:t xml:space="preserve">The Commission is </w:t>
      </w:r>
      <w:r>
        <w:rPr>
          <w:rFonts w:cs="Arial"/>
        </w:rPr>
        <w:t xml:space="preserve">also </w:t>
      </w:r>
      <w:r w:rsidRPr="009A39CF">
        <w:rPr>
          <w:rFonts w:cs="Arial"/>
        </w:rPr>
        <w:t>developing an interactive online re</w:t>
      </w:r>
      <w:r>
        <w:rPr>
          <w:rFonts w:cs="Arial"/>
        </w:rPr>
        <w:t>source for the NSQHS Standards (second edition</w:t>
      </w:r>
      <w:r w:rsidRPr="009A39CF">
        <w:rPr>
          <w:rFonts w:cs="Arial"/>
        </w:rPr>
        <w:t>)</w:t>
      </w:r>
      <w:r>
        <w:rPr>
          <w:rFonts w:cs="Arial"/>
        </w:rPr>
        <w:t xml:space="preserve"> that is designed </w:t>
      </w:r>
      <w:r w:rsidRPr="009A39CF">
        <w:rPr>
          <w:rFonts w:cs="Arial"/>
        </w:rPr>
        <w:t xml:space="preserve">to provide frontline clinicians, managers, and safety and quality coordinators </w:t>
      </w:r>
      <w:r>
        <w:rPr>
          <w:rFonts w:cs="Arial"/>
        </w:rPr>
        <w:t xml:space="preserve">with </w:t>
      </w:r>
      <w:r w:rsidRPr="009A39CF">
        <w:rPr>
          <w:rFonts w:cs="Arial"/>
        </w:rPr>
        <w:t xml:space="preserve">direct access to </w:t>
      </w:r>
      <w:r>
        <w:rPr>
          <w:rFonts w:cs="Arial"/>
        </w:rPr>
        <w:t xml:space="preserve">relevant </w:t>
      </w:r>
      <w:r w:rsidRPr="009A39CF">
        <w:rPr>
          <w:rFonts w:cs="Arial"/>
        </w:rPr>
        <w:t xml:space="preserve">information. </w:t>
      </w:r>
      <w:r>
        <w:rPr>
          <w:rFonts w:cs="Arial"/>
        </w:rPr>
        <w:t>The Commission expects</w:t>
      </w:r>
      <w:r w:rsidRPr="009A39CF">
        <w:rPr>
          <w:rFonts w:cs="Arial"/>
        </w:rPr>
        <w:t xml:space="preserve"> </w:t>
      </w:r>
      <w:r>
        <w:rPr>
          <w:rFonts w:cs="Arial"/>
        </w:rPr>
        <w:t xml:space="preserve">that </w:t>
      </w:r>
      <w:r w:rsidRPr="009A39CF">
        <w:rPr>
          <w:rFonts w:cs="Arial"/>
        </w:rPr>
        <w:t>th</w:t>
      </w:r>
      <w:r>
        <w:rPr>
          <w:rFonts w:cs="Arial"/>
        </w:rPr>
        <w:t>is</w:t>
      </w:r>
      <w:r w:rsidRPr="009A39CF">
        <w:rPr>
          <w:rFonts w:cs="Arial"/>
        </w:rPr>
        <w:t xml:space="preserve"> resource will be available from mid-2018</w:t>
      </w:r>
      <w:r>
        <w:rPr>
          <w:rFonts w:cs="Arial"/>
        </w:rPr>
        <w:t>,</w:t>
      </w:r>
      <w:r w:rsidRPr="009A39CF">
        <w:rPr>
          <w:rFonts w:cs="Arial"/>
        </w:rPr>
        <w:t xml:space="preserve"> and </w:t>
      </w:r>
      <w:r>
        <w:rPr>
          <w:rFonts w:cs="Arial"/>
        </w:rPr>
        <w:t>that its</w:t>
      </w:r>
      <w:r w:rsidRPr="009A39CF">
        <w:rPr>
          <w:rFonts w:cs="Arial"/>
        </w:rPr>
        <w:t xml:space="preserve"> content will be expanded as the need for additional resources </w:t>
      </w:r>
      <w:r>
        <w:rPr>
          <w:rFonts w:cs="Arial"/>
        </w:rPr>
        <w:t>arises and new resources become</w:t>
      </w:r>
      <w:r w:rsidRPr="009A39CF">
        <w:rPr>
          <w:rFonts w:cs="Arial"/>
        </w:rPr>
        <w:t xml:space="preserve"> available.</w:t>
      </w:r>
      <w:r>
        <w:rPr>
          <w:rFonts w:cs="Arial"/>
        </w:rPr>
        <w:t xml:space="preserve"> </w:t>
      </w:r>
    </w:p>
    <w:p w:rsidR="00A17648" w:rsidRDefault="00280BA6" w:rsidP="00E04D12">
      <w:pPr>
        <w:widowControl w:val="0"/>
        <w:rPr>
          <w:rFonts w:cs="Arial"/>
          <w:kern w:val="28"/>
          <w:sz w:val="28"/>
          <w:szCs w:val="32"/>
        </w:rPr>
      </w:pPr>
      <w:bookmarkStart w:id="20" w:name="dbedbedda68f9a15ACLX142"/>
      <w:bookmarkEnd w:id="19"/>
      <w:r w:rsidRPr="00C75DC7">
        <w:t>The Commission will launch the NSQHS Standards (</w:t>
      </w:r>
      <w:r>
        <w:t>second edition) in</w:t>
      </w:r>
      <w:r w:rsidRPr="00C75DC7">
        <w:t xml:space="preserve"> November 2017</w:t>
      </w:r>
      <w:r>
        <w:t>, together</w:t>
      </w:r>
      <w:r w:rsidRPr="00C75DC7">
        <w:t xml:space="preserve"> with supporting resources and measures. Assessment </w:t>
      </w:r>
      <w:r>
        <w:t>to</w:t>
      </w:r>
      <w:r w:rsidRPr="00C75DC7">
        <w:t xml:space="preserve"> the NSQHS Standards (</w:t>
      </w:r>
      <w:r>
        <w:t>second edition)</w:t>
      </w:r>
      <w:r w:rsidRPr="00C75DC7">
        <w:t xml:space="preserve"> will commence </w:t>
      </w:r>
      <w:r>
        <w:t>on</w:t>
      </w:r>
      <w:r w:rsidRPr="00C75DC7">
        <w:t xml:space="preserve"> 1 January 2019.</w:t>
      </w:r>
      <w:bookmarkEnd w:id="20"/>
      <w:r w:rsidR="00A17648">
        <w:br w:type="page"/>
      </w:r>
    </w:p>
    <w:p w:rsidR="0044148C" w:rsidRDefault="0044148C" w:rsidP="00E04D12">
      <w:pPr>
        <w:pStyle w:val="Heading1"/>
        <w:spacing w:before="0" w:after="120"/>
      </w:pPr>
      <w:bookmarkStart w:id="21" w:name="_Toc483397752"/>
      <w:r>
        <w:t>Performance</w:t>
      </w:r>
      <w:bookmarkEnd w:id="21"/>
      <w:r>
        <w:t xml:space="preserve"> </w:t>
      </w:r>
    </w:p>
    <w:p w:rsidR="00384382" w:rsidRDefault="00384382" w:rsidP="000C5C4B">
      <w:pPr>
        <w:spacing w:after="240"/>
      </w:pPr>
      <w:bookmarkStart w:id="22" w:name="_Toc455410130"/>
      <w:r w:rsidRPr="00384382">
        <w:t>The Commission focuses its work on areas that can best be improved through national action. Improvements to healthcare safety and quality are best achieved through national partnerships that are supported by local activities and implementation. The Commission achieves</w:t>
      </w:r>
      <w:r>
        <w:t xml:space="preserve"> its objectives </w:t>
      </w:r>
      <w:r w:rsidRPr="00384382">
        <w:t>through the maintenance of strong, positive relationships with its partners, including patients and consumers, consumer groups, healthcare providers, public and private healthcare organisations, governments and other healthcare organisations and agencies. The Commission works in partnership with its stakeholders to support the implementation of safety and quality initiatives through the development of guidance, resources, tools and educational material.</w:t>
      </w:r>
      <w:bookmarkEnd w:id="22"/>
      <w:r w:rsidRPr="00384382">
        <w:t xml:space="preserve"> </w:t>
      </w:r>
    </w:p>
    <w:p w:rsidR="007B2DB2" w:rsidRPr="007B2DB2" w:rsidRDefault="00722436" w:rsidP="00A126EB">
      <w:pPr>
        <w:pStyle w:val="ListParagraph"/>
        <w:numPr>
          <w:ilvl w:val="0"/>
          <w:numId w:val="40"/>
        </w:numPr>
        <w:pBdr>
          <w:top w:val="single" w:sz="12" w:space="1" w:color="auto"/>
          <w:left w:val="single" w:sz="12" w:space="4" w:color="auto"/>
          <w:bottom w:val="single" w:sz="12" w:space="1" w:color="auto"/>
          <w:right w:val="single" w:sz="12" w:space="4" w:color="auto"/>
        </w:pBdr>
        <w:spacing w:after="40" w:line="140" w:lineRule="atLeast"/>
        <w:ind w:left="851" w:hanging="851"/>
        <w:contextualSpacing w:val="0"/>
        <w:rPr>
          <w:rFonts w:eastAsia="MS Mincho"/>
          <w:b/>
          <w:i/>
          <w:szCs w:val="22"/>
        </w:rPr>
      </w:pPr>
      <w:r>
        <w:rPr>
          <w:rFonts w:eastAsia="MS Mincho"/>
          <w:b/>
          <w:i/>
          <w:szCs w:val="22"/>
        </w:rPr>
        <w:t>The Commission works to ensure that the r</w:t>
      </w:r>
      <w:r w:rsidR="007B2DB2" w:rsidRPr="007B2DB2">
        <w:rPr>
          <w:rFonts w:eastAsia="MS Mincho"/>
          <w:b/>
          <w:i/>
          <w:szCs w:val="22"/>
        </w:rPr>
        <w:t xml:space="preserve">esources, guidance and educational materials </w:t>
      </w:r>
      <w:r>
        <w:rPr>
          <w:rFonts w:eastAsia="MS Mincho"/>
          <w:b/>
          <w:i/>
          <w:szCs w:val="22"/>
        </w:rPr>
        <w:t xml:space="preserve">it </w:t>
      </w:r>
      <w:r w:rsidR="007B2DB2" w:rsidRPr="007B2DB2">
        <w:rPr>
          <w:rFonts w:eastAsia="MS Mincho"/>
          <w:b/>
          <w:i/>
          <w:szCs w:val="22"/>
        </w:rPr>
        <w:t>produce</w:t>
      </w:r>
      <w:r>
        <w:rPr>
          <w:rFonts w:eastAsia="MS Mincho"/>
          <w:b/>
          <w:i/>
          <w:szCs w:val="22"/>
        </w:rPr>
        <w:t>s</w:t>
      </w:r>
      <w:r w:rsidR="007B2DB2" w:rsidRPr="007B2DB2">
        <w:rPr>
          <w:rFonts w:eastAsia="MS Mincho"/>
          <w:b/>
          <w:i/>
          <w:szCs w:val="22"/>
        </w:rPr>
        <w:t xml:space="preserve"> are suitable for the intended audience</w:t>
      </w:r>
    </w:p>
    <w:p w:rsidR="005233B1" w:rsidRPr="005233B1" w:rsidRDefault="00722436" w:rsidP="005233B1">
      <w:pPr>
        <w:pBdr>
          <w:top w:val="single" w:sz="12" w:space="1" w:color="auto"/>
          <w:left w:val="single" w:sz="12" w:space="4" w:color="auto"/>
          <w:bottom w:val="single" w:sz="12" w:space="1" w:color="auto"/>
          <w:right w:val="single" w:sz="12" w:space="4" w:color="auto"/>
        </w:pBdr>
        <w:spacing w:after="40" w:line="140" w:lineRule="atLeast"/>
        <w:rPr>
          <w:rFonts w:eastAsia="MS Mincho"/>
          <w:szCs w:val="22"/>
        </w:rPr>
      </w:pPr>
      <w:r>
        <w:rPr>
          <w:rFonts w:eastAsia="MS Mincho"/>
          <w:szCs w:val="22"/>
        </w:rPr>
        <w:t>To mitigate the</w:t>
      </w:r>
      <w:r w:rsidR="005233B1" w:rsidRPr="005233B1">
        <w:rPr>
          <w:rFonts w:eastAsia="MS Mincho"/>
          <w:szCs w:val="22"/>
        </w:rPr>
        <w:t xml:space="preserve"> risk</w:t>
      </w:r>
      <w:r>
        <w:rPr>
          <w:rFonts w:eastAsia="MS Mincho"/>
          <w:szCs w:val="22"/>
        </w:rPr>
        <w:t xml:space="preserve"> of not achieving this objective,</w:t>
      </w:r>
      <w:r w:rsidR="005233B1" w:rsidRPr="005233B1">
        <w:rPr>
          <w:rFonts w:eastAsia="MS Mincho"/>
          <w:szCs w:val="22"/>
        </w:rPr>
        <w:t xml:space="preserve"> the Commission: </w:t>
      </w:r>
    </w:p>
    <w:p w:rsidR="005233B1" w:rsidRPr="005233B1" w:rsidRDefault="005233B1" w:rsidP="005233B1">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seeks involvement of and contributions from key stakeholder groups and topic area experts during all stages of the development of guidance, resources and educational material</w:t>
      </w:r>
    </w:p>
    <w:p w:rsidR="005233B1" w:rsidRPr="005233B1" w:rsidRDefault="005233B1" w:rsidP="005233B1">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conducts public consultations, pilot studies, and/or proof of concept studies prior to recommending implementation of practices</w:t>
      </w:r>
    </w:p>
    <w:p w:rsidR="005233B1" w:rsidRPr="005233B1" w:rsidRDefault="005233B1" w:rsidP="005233B1">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 xml:space="preserve">seeks endorsement of national recommendations from representatives of the Australian Government and state and territory governments, as well as the support of the private and primary health sectors.        </w:t>
      </w:r>
    </w:p>
    <w:p w:rsidR="00D31085" w:rsidRPr="0041724F" w:rsidRDefault="006662EB" w:rsidP="005233B1">
      <w:pPr>
        <w:pStyle w:val="Heading2"/>
        <w:spacing w:after="120"/>
      </w:pPr>
      <w:bookmarkStart w:id="23" w:name="_Toc483397753"/>
      <w:r>
        <w:t xml:space="preserve">Strategic </w:t>
      </w:r>
      <w:r w:rsidR="00AE6BD9">
        <w:t>p</w:t>
      </w:r>
      <w:r>
        <w:t>riorities</w:t>
      </w:r>
      <w:bookmarkEnd w:id="23"/>
      <w:r>
        <w:t xml:space="preserve"> </w:t>
      </w:r>
    </w:p>
    <w:p w:rsidR="00203C94" w:rsidRDefault="00203C94" w:rsidP="00E04D12">
      <w:pPr>
        <w:rPr>
          <w:rStyle w:val="IntenseReference"/>
          <w:b w:val="0"/>
          <w:bCs w:val="0"/>
          <w:i w:val="0"/>
          <w:smallCaps w:val="0"/>
          <w:color w:val="auto"/>
          <w:spacing w:val="0"/>
        </w:rPr>
      </w:pPr>
      <w:r>
        <w:rPr>
          <w:rStyle w:val="IntenseReference"/>
          <w:b w:val="0"/>
          <w:bCs w:val="0"/>
          <w:i w:val="0"/>
          <w:smallCaps w:val="0"/>
          <w:color w:val="auto"/>
          <w:spacing w:val="0"/>
        </w:rPr>
        <w:t>The four strategic priorities for the Commission</w:t>
      </w:r>
      <w:r w:rsidR="00522F83">
        <w:rPr>
          <w:rStyle w:val="IntenseReference"/>
          <w:b w:val="0"/>
          <w:bCs w:val="0"/>
          <w:i w:val="0"/>
          <w:smallCaps w:val="0"/>
          <w:color w:val="auto"/>
          <w:spacing w:val="0"/>
        </w:rPr>
        <w:t xml:space="preserve"> over the 201</w:t>
      </w:r>
      <w:r w:rsidR="00280BA6">
        <w:rPr>
          <w:rStyle w:val="IntenseReference"/>
          <w:b w:val="0"/>
          <w:bCs w:val="0"/>
          <w:i w:val="0"/>
          <w:smallCaps w:val="0"/>
          <w:color w:val="auto"/>
          <w:spacing w:val="0"/>
        </w:rPr>
        <w:t>7</w:t>
      </w:r>
      <w:r w:rsidR="00522F83">
        <w:rPr>
          <w:rStyle w:val="IntenseReference"/>
          <w:b w:val="0"/>
          <w:bCs w:val="0"/>
          <w:i w:val="0"/>
          <w:smallCaps w:val="0"/>
          <w:color w:val="auto"/>
          <w:spacing w:val="0"/>
        </w:rPr>
        <w:t>-2</w:t>
      </w:r>
      <w:r w:rsidR="00280BA6">
        <w:rPr>
          <w:rStyle w:val="IntenseReference"/>
          <w:b w:val="0"/>
          <w:bCs w:val="0"/>
          <w:i w:val="0"/>
          <w:smallCaps w:val="0"/>
          <w:color w:val="auto"/>
          <w:spacing w:val="0"/>
        </w:rPr>
        <w:t>1</w:t>
      </w:r>
      <w:r w:rsidR="00522F83">
        <w:rPr>
          <w:rStyle w:val="IntenseReference"/>
          <w:b w:val="0"/>
          <w:bCs w:val="0"/>
          <w:i w:val="0"/>
          <w:smallCaps w:val="0"/>
          <w:color w:val="auto"/>
          <w:spacing w:val="0"/>
        </w:rPr>
        <w:t xml:space="preserve"> period</w:t>
      </w:r>
      <w:r>
        <w:rPr>
          <w:rStyle w:val="IntenseReference"/>
          <w:b w:val="0"/>
          <w:bCs w:val="0"/>
          <w:i w:val="0"/>
          <w:smallCaps w:val="0"/>
          <w:color w:val="auto"/>
          <w:spacing w:val="0"/>
        </w:rPr>
        <w:t xml:space="preserve"> are:</w:t>
      </w:r>
    </w:p>
    <w:p w:rsidR="00203C94" w:rsidRDefault="00203C94" w:rsidP="00E04D12">
      <w:pPr>
        <w:pStyle w:val="ListParagraph"/>
        <w:numPr>
          <w:ilvl w:val="0"/>
          <w:numId w:val="29"/>
        </w:numPr>
        <w:contextualSpacing w:val="0"/>
      </w:pPr>
      <w:r w:rsidRPr="00500B76">
        <w:rPr>
          <w:b/>
        </w:rPr>
        <w:t>Patient safety</w:t>
      </w:r>
      <w:r w:rsidR="00AE6BD9" w:rsidRPr="00134243">
        <w:t xml:space="preserve"> –</w:t>
      </w:r>
      <w:r w:rsidR="00D60C4F">
        <w:t xml:space="preserve"> </w:t>
      </w:r>
      <w:r w:rsidRPr="00255614">
        <w:t>hav</w:t>
      </w:r>
      <w:r w:rsidR="00AE6BD9">
        <w:t>ing</w:t>
      </w:r>
      <w:r w:rsidRPr="00255614">
        <w:t xml:space="preserve"> a health system that</w:t>
      </w:r>
      <w:r w:rsidR="00FF6A30">
        <w:t xml:space="preserve"> is designed to ensure patients and consumers are kept safe from preventable harm</w:t>
      </w:r>
      <w:r w:rsidRPr="00255614">
        <w:t xml:space="preserve"> </w:t>
      </w:r>
    </w:p>
    <w:p w:rsidR="00203C94" w:rsidRPr="00255614" w:rsidRDefault="00203C94" w:rsidP="00E04D12">
      <w:pPr>
        <w:pStyle w:val="ListParagraph"/>
        <w:numPr>
          <w:ilvl w:val="0"/>
          <w:numId w:val="29"/>
        </w:numPr>
        <w:contextualSpacing w:val="0"/>
      </w:pPr>
      <w:r w:rsidRPr="00500B76">
        <w:rPr>
          <w:b/>
        </w:rPr>
        <w:t>Partnering with patients, consumers and communities</w:t>
      </w:r>
      <w:r w:rsidR="00AE6BD9" w:rsidRPr="00134243">
        <w:t xml:space="preserve"> –</w:t>
      </w:r>
      <w:r w:rsidR="00D60C4F">
        <w:t xml:space="preserve"> </w:t>
      </w:r>
      <w:r w:rsidRPr="00255614">
        <w:t>hav</w:t>
      </w:r>
      <w:r w:rsidR="00AE6BD9">
        <w:t>ing</w:t>
      </w:r>
      <w:r w:rsidRPr="00255614">
        <w:t xml:space="preserve"> a health system</w:t>
      </w:r>
      <w:r w:rsidR="00FF6A30">
        <w:t xml:space="preserve"> where patients, consumers and members of the community all participate with health professionals as partners in all aspects of health care</w:t>
      </w:r>
      <w:r w:rsidRPr="00255614">
        <w:t xml:space="preserve"> </w:t>
      </w:r>
    </w:p>
    <w:p w:rsidR="00203C94" w:rsidRPr="00255614" w:rsidRDefault="00203C94" w:rsidP="00E04D12">
      <w:pPr>
        <w:pStyle w:val="ListParagraph"/>
        <w:numPr>
          <w:ilvl w:val="0"/>
          <w:numId w:val="29"/>
        </w:numPr>
        <w:contextualSpacing w:val="0"/>
      </w:pPr>
      <w:r w:rsidRPr="00500B76">
        <w:rPr>
          <w:b/>
        </w:rPr>
        <w:t>Quality, value and cost</w:t>
      </w:r>
      <w:r w:rsidR="00AE6BD9" w:rsidRPr="00134243">
        <w:t xml:space="preserve"> –</w:t>
      </w:r>
      <w:r w:rsidRPr="00255614">
        <w:t xml:space="preserve"> hav</w:t>
      </w:r>
      <w:r w:rsidR="00AE6BD9">
        <w:t>ing</w:t>
      </w:r>
      <w:r w:rsidRPr="00255614">
        <w:t xml:space="preserve"> a health system that provides the right care</w:t>
      </w:r>
      <w:r w:rsidR="00433FE1">
        <w:t>, minimises waste, and optimises value and productivity</w:t>
      </w:r>
      <w:r>
        <w:t xml:space="preserve"> </w:t>
      </w:r>
    </w:p>
    <w:p w:rsidR="00203C94" w:rsidRPr="00255614" w:rsidRDefault="00203C94" w:rsidP="00E04D12">
      <w:pPr>
        <w:pStyle w:val="ListParagraph"/>
        <w:numPr>
          <w:ilvl w:val="0"/>
          <w:numId w:val="29"/>
        </w:numPr>
        <w:contextualSpacing w:val="0"/>
      </w:pPr>
      <w:r w:rsidRPr="00500B76">
        <w:rPr>
          <w:b/>
        </w:rPr>
        <w:t>Supporting health profess</w:t>
      </w:r>
      <w:r w:rsidR="00186AEE">
        <w:rPr>
          <w:b/>
        </w:rPr>
        <w:t xml:space="preserve">ionals to provide safe and high </w:t>
      </w:r>
      <w:r w:rsidRPr="00500B76">
        <w:rPr>
          <w:b/>
        </w:rPr>
        <w:t>quality care</w:t>
      </w:r>
      <w:r w:rsidR="00AE6BD9" w:rsidRPr="00134243">
        <w:t xml:space="preserve"> – </w:t>
      </w:r>
      <w:r w:rsidRPr="00255614">
        <w:t>hav</w:t>
      </w:r>
      <w:r w:rsidR="00AE6BD9">
        <w:t>ing</w:t>
      </w:r>
      <w:r w:rsidRPr="00255614">
        <w:t xml:space="preserve"> a health system that </w:t>
      </w:r>
      <w:r>
        <w:t>supports safe clinical practice by having robust and sustainable improvement systems.</w:t>
      </w:r>
      <w:r w:rsidRPr="00255614">
        <w:t xml:space="preserve"> </w:t>
      </w:r>
    </w:p>
    <w:p w:rsidR="006662EB" w:rsidRPr="006662EB" w:rsidRDefault="006662EB" w:rsidP="005233B1">
      <w:pPr>
        <w:pStyle w:val="Heading2"/>
        <w:spacing w:after="120"/>
      </w:pPr>
      <w:bookmarkStart w:id="24" w:name="_Toc483397754"/>
      <w:r>
        <w:t xml:space="preserve">Work </w:t>
      </w:r>
      <w:r w:rsidR="00AE6BD9">
        <w:t>p</w:t>
      </w:r>
      <w:r>
        <w:t>lan 201</w:t>
      </w:r>
      <w:r w:rsidR="006C0D86">
        <w:t>7</w:t>
      </w:r>
      <w:r w:rsidR="00AE6BD9">
        <w:t>–</w:t>
      </w:r>
      <w:r w:rsidR="00F41B53">
        <w:t>2</w:t>
      </w:r>
      <w:r w:rsidR="006C0D86">
        <w:t>1</w:t>
      </w:r>
      <w:bookmarkEnd w:id="24"/>
    </w:p>
    <w:p w:rsidR="00320BAE" w:rsidRDefault="00320BAE" w:rsidP="00E04D12">
      <w:r>
        <w:t xml:space="preserve">The Commission’s work plan is developed in conjunction with the Board and in consultation </w:t>
      </w:r>
      <w:r w:rsidR="006662EB">
        <w:t xml:space="preserve">with the </w:t>
      </w:r>
      <w:r w:rsidR="00433FE1">
        <w:t>Australian</w:t>
      </w:r>
      <w:r w:rsidR="006662EB">
        <w:t>, state</w:t>
      </w:r>
      <w:r>
        <w:t xml:space="preserve"> and territory governments. The Commission’s planned activities over the following four year period </w:t>
      </w:r>
      <w:r w:rsidR="006662EB">
        <w:t>are</w:t>
      </w:r>
      <w:r w:rsidR="00547E16">
        <w:t xml:space="preserve"> directed by emerging health issues and current evidence </w:t>
      </w:r>
      <w:r w:rsidR="006662EB">
        <w:t xml:space="preserve">and </w:t>
      </w:r>
      <w:r>
        <w:t>align with the functions of t</w:t>
      </w:r>
      <w:r w:rsidR="00433FE1">
        <w:t>he Commission set out in the NHR</w:t>
      </w:r>
      <w:r>
        <w:t xml:space="preserve"> Act</w:t>
      </w:r>
      <w:r w:rsidR="006662EB">
        <w:t xml:space="preserve">. </w:t>
      </w:r>
    </w:p>
    <w:p w:rsidR="00D367A9" w:rsidRPr="00F4072F" w:rsidRDefault="00780578" w:rsidP="005233B1">
      <w:pPr>
        <w:pStyle w:val="Heading4"/>
        <w:keepNext/>
        <w:numPr>
          <w:ilvl w:val="0"/>
          <w:numId w:val="37"/>
        </w:numPr>
        <w:spacing w:before="240"/>
        <w:ind w:left="284" w:hanging="284"/>
        <w:rPr>
          <w:b w:val="0"/>
          <w:i/>
        </w:rPr>
      </w:pPr>
      <w:r w:rsidRPr="00F4072F">
        <w:rPr>
          <w:b w:val="0"/>
          <w:i/>
        </w:rPr>
        <w:t xml:space="preserve">Patient </w:t>
      </w:r>
      <w:r w:rsidR="003F7CEF" w:rsidRPr="00F4072F">
        <w:rPr>
          <w:b w:val="0"/>
          <w:i/>
        </w:rPr>
        <w:t>s</w:t>
      </w:r>
      <w:r w:rsidRPr="00F4072F">
        <w:rPr>
          <w:b w:val="0"/>
          <w:i/>
        </w:rPr>
        <w:t>afety</w:t>
      </w:r>
    </w:p>
    <w:p w:rsidR="00BC5A13" w:rsidRPr="00F4017B" w:rsidRDefault="00BC5A13" w:rsidP="00BC5A13">
      <w:r w:rsidRPr="00F4017B">
        <w:t xml:space="preserve">The aim of this priority area is to have a health system that is designed to ensure that patients and consumers are kept safe from preventable harm. There are </w:t>
      </w:r>
      <w:r>
        <w:t>six</w:t>
      </w:r>
      <w:r w:rsidRPr="00F4017B">
        <w:t xml:space="preserve"> main program areas within this priority:</w:t>
      </w:r>
    </w:p>
    <w:p w:rsidR="00BC5A13" w:rsidRPr="00F4017B" w:rsidRDefault="00BC5A13" w:rsidP="00BC5A13">
      <w:pPr>
        <w:pStyle w:val="ListParagraph"/>
        <w:numPr>
          <w:ilvl w:val="0"/>
          <w:numId w:val="43"/>
        </w:numPr>
        <w:contextualSpacing w:val="0"/>
      </w:pPr>
      <w:r w:rsidRPr="00F4017B">
        <w:t>National Safety and Quality Health Service (NSQHS) Standards</w:t>
      </w:r>
    </w:p>
    <w:p w:rsidR="00BC5A13" w:rsidRPr="00F4017B" w:rsidRDefault="00BC5A13" w:rsidP="00BC5A13">
      <w:pPr>
        <w:pStyle w:val="ListParagraph"/>
        <w:numPr>
          <w:ilvl w:val="0"/>
          <w:numId w:val="43"/>
        </w:numPr>
        <w:contextualSpacing w:val="0"/>
      </w:pPr>
      <w:r w:rsidRPr="00F4017B">
        <w:t>National coordination of health services assessment to the NSQHS Standards</w:t>
      </w:r>
    </w:p>
    <w:p w:rsidR="00BC5A13" w:rsidRPr="00F4017B" w:rsidRDefault="00BC5A13" w:rsidP="00BC5A13">
      <w:pPr>
        <w:pStyle w:val="ListParagraph"/>
        <w:numPr>
          <w:ilvl w:val="0"/>
          <w:numId w:val="43"/>
        </w:numPr>
        <w:contextualSpacing w:val="0"/>
      </w:pPr>
      <w:r w:rsidRPr="00F4017B">
        <w:t>Nationally coordinated action to address healthcare associated infections and antimicrobial resistance</w:t>
      </w:r>
    </w:p>
    <w:p w:rsidR="00BC5A13" w:rsidRPr="00F4017B" w:rsidRDefault="00BC5A13" w:rsidP="00BC5A13">
      <w:pPr>
        <w:pStyle w:val="ListParagraph"/>
        <w:numPr>
          <w:ilvl w:val="0"/>
          <w:numId w:val="43"/>
        </w:numPr>
        <w:contextualSpacing w:val="0"/>
      </w:pPr>
      <w:r w:rsidRPr="00F4017B">
        <w:t>Safety in e-health</w:t>
      </w:r>
    </w:p>
    <w:p w:rsidR="00BC5A13" w:rsidRDefault="00BC5A13" w:rsidP="00BC5A13">
      <w:pPr>
        <w:pStyle w:val="ListParagraph"/>
        <w:numPr>
          <w:ilvl w:val="0"/>
          <w:numId w:val="43"/>
        </w:numPr>
        <w:contextualSpacing w:val="0"/>
      </w:pPr>
      <w:r w:rsidRPr="00F4017B">
        <w:t>Patient safety in primary care</w:t>
      </w:r>
    </w:p>
    <w:p w:rsidR="00BC5A13" w:rsidRPr="00F4017B" w:rsidRDefault="00BC5A13" w:rsidP="00BC5A13">
      <w:pPr>
        <w:pStyle w:val="ListParagraph"/>
        <w:numPr>
          <w:ilvl w:val="0"/>
          <w:numId w:val="43"/>
        </w:numPr>
        <w:contextualSpacing w:val="0"/>
      </w:pPr>
      <w:r>
        <w:t>Patient safety in acute care</w:t>
      </w:r>
      <w:r w:rsidRPr="00F4017B">
        <w:t>.</w:t>
      </w:r>
    </w:p>
    <w:p w:rsidR="00BC5A13" w:rsidRDefault="00BC5A13" w:rsidP="00E04D12"/>
    <w:p w:rsidR="00BC5A13" w:rsidRDefault="00BC5A13" w:rsidP="00E04D12">
      <w:r>
        <w:t xml:space="preserve">In 2017-18 the second edition of the </w:t>
      </w:r>
      <w:r w:rsidRPr="00F4017B">
        <w:t xml:space="preserve">NSQHS Standards will </w:t>
      </w:r>
      <w:r>
        <w:t xml:space="preserve">be released, together with a suite of supporting resources to help health service organisations. Training materials for health service organisations and accrediting agencies will be developed in 2017-18, and delivered from this time onwards.  </w:t>
      </w:r>
      <w:r w:rsidRPr="00F4017B">
        <w:t xml:space="preserve">The process of embedding the NSQHS Standards </w:t>
      </w:r>
      <w:r>
        <w:t xml:space="preserve">across the health system </w:t>
      </w:r>
      <w:r w:rsidRPr="00F4017B">
        <w:t>will continue in a bid to reduce patient harm and variation</w:t>
      </w:r>
      <w:r>
        <w:t xml:space="preserve"> in care</w:t>
      </w:r>
      <w:r w:rsidRPr="00F4017B">
        <w:t xml:space="preserve">. </w:t>
      </w:r>
      <w:r>
        <w:t xml:space="preserve">  </w:t>
      </w:r>
      <w:r w:rsidRPr="00F4017B">
        <w:t xml:space="preserve">Within a number of areas of the NSQHS Standards, work will be undertaken to explore specific safety and quality issues in more depth; this will enable health service organisations to further improve patient care. </w:t>
      </w:r>
    </w:p>
    <w:p w:rsidR="00BC5A13" w:rsidRDefault="00BC5A13" w:rsidP="005C54B6">
      <w:pPr>
        <w:keepNext/>
      </w:pPr>
      <w:r w:rsidRPr="00F4017B">
        <w:t xml:space="preserve">The Commission will continue to provide national coordination and reforms of assessment processes with health system regulators, accrediting agencies and health services and amending the Australian Health Service Safety and Quality Accreditation (AHSSQA) Scheme. </w:t>
      </w:r>
      <w:r>
        <w:rPr>
          <w:rFonts w:ascii="Gotham Black" w:hAnsi="Gotham Black"/>
        </w:rPr>
        <w:t xml:space="preserve">  </w:t>
      </w:r>
      <w:r>
        <w:t>Ensuring safety for patients</w:t>
      </w:r>
      <w:r w:rsidRPr="00F4017B">
        <w:t xml:space="preserve"> and effectively assessing safety and quality in health service organisations requires ongoing negotiation with accrediting agencies to ensure the consistent application of processes and monitoring of assessment outcomes. It also requires ongoing coordination and reporting to jurisdictions responsible for regulating the accreditation scheme and monitoring its impact on safety and quality for patients. </w:t>
      </w:r>
      <w:r>
        <w:rPr>
          <w:rFonts w:ascii="Gotham Black" w:hAnsi="Gotham Black"/>
        </w:rPr>
        <w:t xml:space="preserve"> </w:t>
      </w:r>
      <w:r>
        <w:t>From 2017-18 the accreditation reforms that have been agreed with AHMAC will be progressively implemented.</w:t>
      </w:r>
    </w:p>
    <w:p w:rsidR="00BC5A13" w:rsidRPr="0029169A" w:rsidRDefault="00BC5A13" w:rsidP="00BC5A13">
      <w:pPr>
        <w:rPr>
          <w:rFonts w:cs="Arial"/>
        </w:rPr>
      </w:pPr>
      <w:r w:rsidRPr="00604121">
        <w:rPr>
          <w:rFonts w:cs="Arial"/>
        </w:rPr>
        <w:t xml:space="preserve">To support the NSQHS </w:t>
      </w:r>
      <w:r w:rsidRPr="00604121">
        <w:rPr>
          <w:rFonts w:cs="Arial"/>
          <w:iCs/>
        </w:rPr>
        <w:t xml:space="preserve">Preventing and </w:t>
      </w:r>
      <w:r>
        <w:rPr>
          <w:rFonts w:cs="Arial"/>
          <w:iCs/>
        </w:rPr>
        <w:t>C</w:t>
      </w:r>
      <w:r w:rsidRPr="00604121">
        <w:rPr>
          <w:rFonts w:cs="Arial"/>
          <w:iCs/>
        </w:rPr>
        <w:t xml:space="preserve">ontrolling </w:t>
      </w:r>
      <w:r>
        <w:rPr>
          <w:rFonts w:cs="Arial"/>
          <w:iCs/>
        </w:rPr>
        <w:t>Healthcare A</w:t>
      </w:r>
      <w:r w:rsidRPr="00604121">
        <w:rPr>
          <w:rFonts w:cs="Arial"/>
          <w:iCs/>
        </w:rPr>
        <w:t xml:space="preserve">ssociated </w:t>
      </w:r>
      <w:r>
        <w:rPr>
          <w:rFonts w:cs="Arial"/>
          <w:iCs/>
        </w:rPr>
        <w:t>I</w:t>
      </w:r>
      <w:r w:rsidRPr="00604121">
        <w:rPr>
          <w:rFonts w:cs="Arial"/>
          <w:iCs/>
        </w:rPr>
        <w:t>nfection</w:t>
      </w:r>
      <w:r w:rsidRPr="00604121">
        <w:rPr>
          <w:rFonts w:cs="Arial"/>
          <w:i/>
          <w:iCs/>
        </w:rPr>
        <w:t xml:space="preserve"> </w:t>
      </w:r>
      <w:r>
        <w:rPr>
          <w:rFonts w:cs="Arial"/>
        </w:rPr>
        <w:t xml:space="preserve">Standard </w:t>
      </w:r>
      <w:r w:rsidRPr="00604121">
        <w:rPr>
          <w:rFonts w:cs="Arial"/>
        </w:rPr>
        <w:t>and the</w:t>
      </w:r>
      <w:r w:rsidRPr="00604121">
        <w:rPr>
          <w:rFonts w:cs="Arial"/>
          <w:i/>
          <w:iCs/>
        </w:rPr>
        <w:t xml:space="preserve"> </w:t>
      </w:r>
      <w:r w:rsidRPr="00604121">
        <w:rPr>
          <w:rFonts w:cs="Arial"/>
        </w:rPr>
        <w:t>National Antimicrobial Resistance Strategy, this priority will continue to advance initiatives to prevent and contain antimicrobial resistance (AMR), to prevent and support healthcare associated infection (HAI) strategies, and improve appropriate antimicrobial utilisation, informed by AURA (Antimicrobial Use and Resistance in Australia).</w:t>
      </w:r>
      <w:r>
        <w:rPr>
          <w:rFonts w:cs="Arial"/>
        </w:rPr>
        <w:t xml:space="preserve">  </w:t>
      </w:r>
      <w:r w:rsidRPr="00604121">
        <w:rPr>
          <w:rFonts w:cs="Arial"/>
        </w:rPr>
        <w:t>These programs provide support to states and territories, at all levels, to achieve an effective response to AMR through the information gained from AURA and program development in HAI. Through effective networking with jurisdictions and the private sector, the Commission will develop and promote improved practices. These activities will promote the benefits of an integrated approach to national surveillance, reporting and strategy development.</w:t>
      </w:r>
      <w:r>
        <w:rPr>
          <w:rFonts w:cs="Arial"/>
        </w:rPr>
        <w:t xml:space="preserve">  </w:t>
      </w:r>
      <w:r w:rsidRPr="00604121">
        <w:rPr>
          <w:rFonts w:cs="Arial"/>
        </w:rPr>
        <w:t>The deliverables included in this program will result from both the cost-share budget provided by the jurisdictions and through additional support from the Australian Government Department of Health.</w:t>
      </w:r>
    </w:p>
    <w:p w:rsidR="00BC5A13" w:rsidRDefault="00BC5A13" w:rsidP="00BC5A13">
      <w:r w:rsidRPr="00604121">
        <w:t xml:space="preserve">Building on national, state and territory and private sector investment in electronic health systems, the Commission will continue to assure patient safety in the My Health Record, and leverage digital health investments to optimise guideline- and standard-based patient care. </w:t>
      </w:r>
      <w:r>
        <w:t xml:space="preserve"> </w:t>
      </w:r>
      <w:r w:rsidRPr="00604121">
        <w:t>Clinical information systems in the acute and primary care sector, including electronic medication management (EMM), discharge summary (EDS), medical record (EMR) and electronic health record (EHR) systems, offer significant benefits in the provision of safe, high-quality patient-centred care. In particular, digital health systems can enhance medication safety and reconciliation, and transfers of care. Secure access by authorised healthcare providers and consumers to imaging and pathology results can improve the appropriateness of care and of ordering, and potentially reduce costs.</w:t>
      </w:r>
      <w:r>
        <w:t xml:space="preserve">  </w:t>
      </w:r>
      <w:r w:rsidRPr="00604121">
        <w:t>The deliverables in this program will result from both the cost-share budget provided by the jurisdictions</w:t>
      </w:r>
      <w:r>
        <w:t>, and as part of the Commission’s clinical safety program funded by the Australian Digital Health Agency.</w:t>
      </w:r>
    </w:p>
    <w:p w:rsidR="00BC5A13" w:rsidRDefault="00BC5A13" w:rsidP="00E04D12">
      <w:r>
        <w:t>In 2016-17</w:t>
      </w:r>
      <w:r w:rsidRPr="00604121">
        <w:t xml:space="preserve"> the Commission </w:t>
      </w:r>
      <w:r>
        <w:t xml:space="preserve">started to </w:t>
      </w:r>
      <w:r w:rsidRPr="00604121">
        <w:t xml:space="preserve">examine how the NSQHS Standards could be used as a framework for patient safety improvement in primary care settings. This work will </w:t>
      </w:r>
      <w:r>
        <w:t xml:space="preserve">continue from 2017-18 with the development of mechanisms to implement the NSQHS Standards in primary care, and tools and resources to support their use for quality improvement.  </w:t>
      </w:r>
      <w:r w:rsidRPr="00604121">
        <w:t>This work will align with a project funded by the Australian Government where the Commission is working with the Royal Australian College of General Practitioners and other stakeholders to implement a framework for accreditation of general practices nationally.</w:t>
      </w:r>
      <w:r>
        <w:t xml:space="preserve"> </w:t>
      </w:r>
      <w:r w:rsidRPr="00604121">
        <w:t>The Commission will also continue to explore opportunities to improve patient safety in primary care</w:t>
      </w:r>
      <w:r>
        <w:t xml:space="preserve"> across its entire work plan</w:t>
      </w:r>
      <w:r w:rsidRPr="00604121">
        <w:t>.</w:t>
      </w:r>
      <w:r w:rsidRPr="003D01D4">
        <w:t xml:space="preserve"> </w:t>
      </w:r>
    </w:p>
    <w:p w:rsidR="008913B9" w:rsidRDefault="001A6F0F" w:rsidP="00E04D12">
      <w:r>
        <w:t xml:space="preserve">The </w:t>
      </w:r>
      <w:r w:rsidR="008913B9">
        <w:t xml:space="preserve">Commission will continue to work on matters </w:t>
      </w:r>
      <w:r w:rsidR="006D588A">
        <w:t>when requested</w:t>
      </w:r>
      <w:r w:rsidR="008913B9">
        <w:t xml:space="preserve"> by th</w:t>
      </w:r>
      <w:r w:rsidR="006D588A">
        <w:t>e Council of Australian G</w:t>
      </w:r>
      <w:r>
        <w:t>overn</w:t>
      </w:r>
      <w:r w:rsidR="006D588A">
        <w:t xml:space="preserve">ments’ Health Council and AHMAC.  </w:t>
      </w:r>
      <w:r w:rsidR="00867D6E">
        <w:t>As a result, in</w:t>
      </w:r>
      <w:r w:rsidR="006D588A">
        <w:t xml:space="preserve"> 2017-18 the Commission </w:t>
      </w:r>
      <w:r w:rsidR="00710E14">
        <w:t>will</w:t>
      </w:r>
      <w:r>
        <w:t xml:space="preserve"> </w:t>
      </w:r>
      <w:r w:rsidR="00710E14">
        <w:t>be working</w:t>
      </w:r>
      <w:r>
        <w:t xml:space="preserve"> </w:t>
      </w:r>
      <w:r w:rsidR="008913B9">
        <w:t xml:space="preserve">on </w:t>
      </w:r>
      <w:r w:rsidR="00867D6E">
        <w:t>National Health Reform Agreement Addendum</w:t>
      </w:r>
      <w:r w:rsidR="00366449">
        <w:t xml:space="preserve"> topics</w:t>
      </w:r>
      <w:r w:rsidR="00867D6E">
        <w:t>, including</w:t>
      </w:r>
      <w:r w:rsidR="008913B9">
        <w:t xml:space="preserve"> hospital acquired complications, avoidable </w:t>
      </w:r>
      <w:r w:rsidR="006D588A">
        <w:t xml:space="preserve">hospital </w:t>
      </w:r>
      <w:r w:rsidR="008913B9">
        <w:t>readmissions</w:t>
      </w:r>
      <w:r w:rsidR="001B581A">
        <w:t xml:space="preserve"> and sentinel events</w:t>
      </w:r>
      <w:r>
        <w:t>.</w:t>
      </w:r>
    </w:p>
    <w:p w:rsidR="009E1887" w:rsidRPr="00F4072F" w:rsidRDefault="009E1887" w:rsidP="005233B1">
      <w:pPr>
        <w:pStyle w:val="Heading4"/>
        <w:keepNext/>
        <w:numPr>
          <w:ilvl w:val="0"/>
          <w:numId w:val="37"/>
        </w:numPr>
        <w:spacing w:before="240"/>
        <w:ind w:left="284" w:hanging="284"/>
        <w:rPr>
          <w:b w:val="0"/>
          <w:i/>
        </w:rPr>
      </w:pPr>
      <w:r w:rsidRPr="00F4072F">
        <w:rPr>
          <w:b w:val="0"/>
          <w:i/>
        </w:rPr>
        <w:t>Partnering with patients, consumers and communities</w:t>
      </w:r>
    </w:p>
    <w:p w:rsidR="00373BA6" w:rsidRPr="00085FC9" w:rsidRDefault="00373BA6" w:rsidP="00373BA6">
      <w:r w:rsidRPr="00085FC9">
        <w:t>The aim of this priority area is to have a health system where patients, consumers and members of the community participate with health professionals as partners in all aspects of health care. This priority area includes the Commission’s work that is focussed specifically on partnering with consumers, such as supporting health services to meet NSQHS</w:t>
      </w:r>
      <w:r>
        <w:t xml:space="preserve"> Partnering with Consumers </w:t>
      </w:r>
      <w:r w:rsidRPr="00085FC9">
        <w:t>Standard</w:t>
      </w:r>
      <w:r>
        <w:t xml:space="preserve">, shared decision </w:t>
      </w:r>
      <w:r w:rsidRPr="00085FC9">
        <w:t xml:space="preserve">making and health literacy; as well as partnerships in specific areas, such as care for people at the end of life. </w:t>
      </w:r>
      <w:r>
        <w:t xml:space="preserve">Supporting and enabling people to be effective partners in their own care </w:t>
      </w:r>
      <w:r w:rsidRPr="00085FC9">
        <w:t>is one way to increase the appropriateness of care, therefore this priority area is closely linked with Priority 3.</w:t>
      </w:r>
    </w:p>
    <w:p w:rsidR="00373BA6" w:rsidRPr="00085FC9" w:rsidRDefault="00373BA6" w:rsidP="00373BA6">
      <w:r w:rsidRPr="00085FC9">
        <w:t>In 2</w:t>
      </w:r>
      <w:r>
        <w:t>017-</w:t>
      </w:r>
      <w:r w:rsidR="008E43C8">
        <w:t>21</w:t>
      </w:r>
      <w:r>
        <w:t xml:space="preserve"> the Commission will build</w:t>
      </w:r>
      <w:r w:rsidRPr="00085FC9">
        <w:t xml:space="preserve"> on existing work </w:t>
      </w:r>
      <w:r>
        <w:t>to identify the attributes of high-performing person-centred healthcare organisations. Resources based on these attributes will be developed for health services, clinicians and consumers. This will work will help health services meet the requirements of the NSQHS Standards, and support a move towards a more</w:t>
      </w:r>
      <w:r w:rsidRPr="00085FC9">
        <w:t xml:space="preserve"> person-centred healthcare system in future years.</w:t>
      </w:r>
    </w:p>
    <w:p w:rsidR="00373BA6" w:rsidRDefault="00373BA6" w:rsidP="00373BA6">
      <w:r w:rsidRPr="00085FC9">
        <w:t xml:space="preserve">The Commission will also continue work in specific areas to support effective partnerships with consumers, including health literacy, shared decision-making, and the development of resources to support consumers to </w:t>
      </w:r>
      <w:r>
        <w:t xml:space="preserve">be </w:t>
      </w:r>
      <w:r w:rsidRPr="00085FC9">
        <w:t xml:space="preserve">partners in safety. Many of these issues </w:t>
      </w:r>
      <w:r>
        <w:t xml:space="preserve">have been included in the </w:t>
      </w:r>
      <w:r w:rsidRPr="00085FC9">
        <w:t xml:space="preserve">NSQHS Standards </w:t>
      </w:r>
      <w:r>
        <w:t>(</w:t>
      </w:r>
      <w:r w:rsidR="003C475E">
        <w:t>second edition)</w:t>
      </w:r>
      <w:r>
        <w:t xml:space="preserve"> </w:t>
      </w:r>
      <w:r w:rsidRPr="00085FC9">
        <w:t>and work will be undertaken as part of this priority to support health services to meet these requirements.</w:t>
      </w:r>
    </w:p>
    <w:p w:rsidR="001655C0" w:rsidRPr="00F4072F" w:rsidRDefault="001655C0" w:rsidP="005233B1">
      <w:pPr>
        <w:pStyle w:val="Heading4"/>
        <w:keepNext/>
        <w:numPr>
          <w:ilvl w:val="0"/>
          <w:numId w:val="37"/>
        </w:numPr>
        <w:spacing w:before="240"/>
        <w:ind w:left="284" w:hanging="284"/>
        <w:rPr>
          <w:b w:val="0"/>
          <w:i/>
        </w:rPr>
      </w:pPr>
      <w:r w:rsidRPr="00F4072F">
        <w:rPr>
          <w:b w:val="0"/>
          <w:i/>
        </w:rPr>
        <w:t>Quality</w:t>
      </w:r>
      <w:r w:rsidR="003F7CEF" w:rsidRPr="00F4072F">
        <w:rPr>
          <w:b w:val="0"/>
          <w:i/>
        </w:rPr>
        <w:t>,</w:t>
      </w:r>
      <w:r w:rsidRPr="00F4072F">
        <w:rPr>
          <w:b w:val="0"/>
          <w:i/>
        </w:rPr>
        <w:t xml:space="preserve"> </w:t>
      </w:r>
      <w:r w:rsidR="003F7CEF" w:rsidRPr="00F4072F">
        <w:rPr>
          <w:b w:val="0"/>
          <w:i/>
        </w:rPr>
        <w:t>c</w:t>
      </w:r>
      <w:r w:rsidRPr="00F4072F">
        <w:rPr>
          <w:b w:val="0"/>
          <w:i/>
        </w:rPr>
        <w:t xml:space="preserve">ost and </w:t>
      </w:r>
      <w:r w:rsidR="003F7CEF" w:rsidRPr="00F4072F">
        <w:rPr>
          <w:b w:val="0"/>
          <w:i/>
        </w:rPr>
        <w:t>v</w:t>
      </w:r>
      <w:r w:rsidRPr="00F4072F">
        <w:rPr>
          <w:b w:val="0"/>
          <w:i/>
        </w:rPr>
        <w:t>alue</w:t>
      </w:r>
    </w:p>
    <w:p w:rsidR="00373BA6" w:rsidRPr="00B241C7" w:rsidRDefault="00373BA6" w:rsidP="00373BA6">
      <w:r w:rsidRPr="00B241C7">
        <w:t>The aim of this priority area is to have a health system that provides the right care, minimises waste and optimises value and productivity. The Commission’s work to improve quality</w:t>
      </w:r>
      <w:r>
        <w:t>,</w:t>
      </w:r>
      <w:r w:rsidRPr="00B241C7">
        <w:t xml:space="preserve"> cost and value uses a number of approaches. These include mapping healthcare variation, examining whether </w:t>
      </w:r>
      <w:r w:rsidR="00BC2EE7">
        <w:t>identified</w:t>
      </w:r>
      <w:r w:rsidR="00BC2EE7" w:rsidRPr="00B241C7">
        <w:t xml:space="preserve"> </w:t>
      </w:r>
      <w:r w:rsidRPr="00B241C7">
        <w:t>variation is unwarranted and developing strategies such as clinical care standards and patient decision aids.</w:t>
      </w:r>
      <w:r w:rsidR="00BC2EE7">
        <w:t xml:space="preserve">  Another major piece of work for the Commission in 2017-18 is the development of a corporate governance framework.</w:t>
      </w:r>
      <w:r w:rsidRPr="00B241C7">
        <w:t xml:space="preserve"> This priority links with Priority 2, which supports approach</w:t>
      </w:r>
      <w:r>
        <w:t>es</w:t>
      </w:r>
      <w:r w:rsidRPr="00B241C7">
        <w:t xml:space="preserve"> to give people better information about healthcare choices, such as through the use of shared decision-making.</w:t>
      </w:r>
    </w:p>
    <w:p w:rsidR="00373BA6" w:rsidRDefault="00373BA6" w:rsidP="00373BA6">
      <w:pPr>
        <w:rPr>
          <w:rFonts w:cs="Arial"/>
        </w:rPr>
      </w:pPr>
      <w:r>
        <w:t>From 2017-18</w:t>
      </w:r>
      <w:r w:rsidRPr="00B241C7">
        <w:rPr>
          <w:rFonts w:cs="Arial"/>
        </w:rPr>
        <w:t xml:space="preserve"> the Commission will continue its </w:t>
      </w:r>
      <w:r w:rsidRPr="00B241C7">
        <w:t>rolling program to identify data items, commission a</w:t>
      </w:r>
      <w:r>
        <w:t xml:space="preserve">nalysis of data, and publish </w:t>
      </w:r>
      <w:r w:rsidRPr="00B241C7">
        <w:t>atlas</w:t>
      </w:r>
      <w:r>
        <w:t>es</w:t>
      </w:r>
      <w:r w:rsidRPr="00B241C7">
        <w:t xml:space="preserve"> of variation</w:t>
      </w:r>
      <w:r>
        <w:t xml:space="preserve"> or similar reports</w:t>
      </w:r>
      <w:r w:rsidRPr="00B241C7">
        <w:t>.</w:t>
      </w:r>
      <w:r>
        <w:t xml:space="preserve">  </w:t>
      </w:r>
      <w:r w:rsidRPr="00B241C7">
        <w:rPr>
          <w:rFonts w:cs="Arial"/>
        </w:rPr>
        <w:t xml:space="preserve">Based on recommendations from the atlases, the Commission will develop implementation strategies and work with consumer and clinical groups, </w:t>
      </w:r>
      <w:r>
        <w:rPr>
          <w:rFonts w:cs="Arial"/>
        </w:rPr>
        <w:t xml:space="preserve">states, territories, the Australian Government Department of Health, </w:t>
      </w:r>
      <w:r w:rsidRPr="00B241C7">
        <w:rPr>
          <w:rFonts w:cs="Arial"/>
        </w:rPr>
        <w:t xml:space="preserve">and other healthcare organisations to </w:t>
      </w:r>
      <w:r>
        <w:rPr>
          <w:rFonts w:cs="Arial"/>
        </w:rPr>
        <w:t>support investigation of variation and reduction of</w:t>
      </w:r>
      <w:r w:rsidRPr="00B241C7">
        <w:rPr>
          <w:rFonts w:cs="Arial"/>
        </w:rPr>
        <w:t xml:space="preserve"> unwarranted variation. This will include producing interactive atlases with associated recommendations for action.</w:t>
      </w:r>
    </w:p>
    <w:p w:rsidR="00373BA6" w:rsidRDefault="00373BA6" w:rsidP="00373BA6">
      <w:r w:rsidRPr="005E5D38">
        <w:t>The Commission’s rolling program to develop clinical care standards will continue in</w:t>
      </w:r>
      <w:r>
        <w:t xml:space="preserve"> 2017-18</w:t>
      </w:r>
      <w:r w:rsidRPr="005E5D38">
        <w:t xml:space="preserve">. Key components of the clinical care standards are the development of quality statements that describe the clinical care that a person should be offered for a specific clinical condition, </w:t>
      </w:r>
      <w:r>
        <w:t>indicators to support their measurement, and promotion</w:t>
      </w:r>
      <w:r w:rsidRPr="005E5D38">
        <w:t xml:space="preserve"> </w:t>
      </w:r>
      <w:r>
        <w:t xml:space="preserve">of resources. In conjunction with the Partnering with Consumers program, shared decision </w:t>
      </w:r>
      <w:r w:rsidRPr="005E5D38">
        <w:t xml:space="preserve">making tools for consumers and clinicians </w:t>
      </w:r>
      <w:r>
        <w:t xml:space="preserve">may be developed to </w:t>
      </w:r>
      <w:r w:rsidRPr="005E5D38">
        <w:t>support</w:t>
      </w:r>
      <w:r>
        <w:t xml:space="preserve"> clinical care standards in</w:t>
      </w:r>
      <w:r w:rsidRPr="005E5D38">
        <w:t xml:space="preserve"> reducing unw</w:t>
      </w:r>
      <w:r>
        <w:t>arranted variation in practice.</w:t>
      </w:r>
    </w:p>
    <w:p w:rsidR="00373BA6" w:rsidRDefault="00373BA6" w:rsidP="00373BA6">
      <w:r w:rsidRPr="005E5D38">
        <w:t>The selection of topics for new clinical care standards will be based on issues identified</w:t>
      </w:r>
      <w:r>
        <w:t xml:space="preserve"> from the findings of the atlases of healthcare variation, consultation with the states, territories and Australian Government Department of Health, and the findings of safety and quality and other reviews.</w:t>
      </w:r>
    </w:p>
    <w:p w:rsidR="00373BA6" w:rsidRDefault="00373BA6" w:rsidP="00E04D12">
      <w:r>
        <w:t>From 2017-18 a process of evaluation of the clinical care standards will continue, together with ongoing assessment of the need to review the clinical care standards released in previous years.</w:t>
      </w:r>
    </w:p>
    <w:p w:rsidR="00D367A9" w:rsidRPr="00F4072F" w:rsidRDefault="00D367A9" w:rsidP="005233B1">
      <w:pPr>
        <w:pStyle w:val="Heading4"/>
        <w:keepNext/>
        <w:numPr>
          <w:ilvl w:val="0"/>
          <w:numId w:val="37"/>
        </w:numPr>
        <w:spacing w:before="240"/>
        <w:ind w:left="284" w:hanging="284"/>
        <w:rPr>
          <w:b w:val="0"/>
          <w:i/>
        </w:rPr>
      </w:pPr>
      <w:r w:rsidRPr="00F4072F">
        <w:rPr>
          <w:b w:val="0"/>
          <w:i/>
        </w:rPr>
        <w:t>Supporting health professionals to provide safe and high-quality care</w:t>
      </w:r>
    </w:p>
    <w:p w:rsidR="00373BA6" w:rsidRPr="006369C9" w:rsidRDefault="00373BA6" w:rsidP="00373BA6">
      <w:bookmarkStart w:id="25" w:name="_Toc483397755"/>
      <w:r w:rsidRPr="006369C9">
        <w:t>The aim of this priority is to have a health system that supports safe clinical practice by having robust and sustainable improvement systems. The key areas of work for the Commission in this priority are:</w:t>
      </w:r>
    </w:p>
    <w:p w:rsidR="00373BA6" w:rsidRPr="006369C9" w:rsidRDefault="00373BA6" w:rsidP="00373BA6">
      <w:pPr>
        <w:pStyle w:val="ListParagraph"/>
        <w:numPr>
          <w:ilvl w:val="0"/>
          <w:numId w:val="33"/>
        </w:numPr>
        <w:contextualSpacing w:val="0"/>
      </w:pPr>
      <w:r w:rsidRPr="006369C9">
        <w:t>the development and maintenance of clinical measures to support safety and quality improvement</w:t>
      </w:r>
    </w:p>
    <w:p w:rsidR="00373BA6" w:rsidRPr="006369C9" w:rsidRDefault="00373BA6" w:rsidP="00373BA6">
      <w:pPr>
        <w:pStyle w:val="ListParagraph"/>
        <w:numPr>
          <w:ilvl w:val="0"/>
          <w:numId w:val="33"/>
        </w:numPr>
        <w:contextualSpacing w:val="0"/>
      </w:pPr>
      <w:r w:rsidRPr="006369C9">
        <w:t>the development and support of a model for local monitoring of patient safety</w:t>
      </w:r>
    </w:p>
    <w:p w:rsidR="00373BA6" w:rsidRPr="006369C9" w:rsidRDefault="00373BA6" w:rsidP="00373BA6">
      <w:pPr>
        <w:pStyle w:val="ListParagraph"/>
        <w:numPr>
          <w:ilvl w:val="0"/>
          <w:numId w:val="33"/>
        </w:numPr>
        <w:contextualSpacing w:val="0"/>
      </w:pPr>
      <w:r w:rsidRPr="006369C9">
        <w:t>working with partners on national clinical quality registries.</w:t>
      </w:r>
    </w:p>
    <w:p w:rsidR="00373BA6" w:rsidRDefault="00373BA6" w:rsidP="00373BA6">
      <w:r w:rsidRPr="006369C9">
        <w:t xml:space="preserve">The Commission works closely with national partners including the Australian Institute of Health and Welfare and the Australian Bureau of Statistics. The Commission aligns its work with existing data governance arrangements and data specifications and definitions that have already been agreed nationally. </w:t>
      </w:r>
    </w:p>
    <w:p w:rsidR="00373BA6" w:rsidRPr="005C54B6" w:rsidRDefault="00373BA6" w:rsidP="00373BA6">
      <w:r>
        <w:t>In 2017-18</w:t>
      </w:r>
      <w:r w:rsidRPr="006369C9">
        <w:t xml:space="preserve"> the Commission will continue the specification, review and maintenance of health information standards and indicators that underpin the effective introduction of the Performance and Accountability Framework, the National Health Performance Framework, the Report on Government Services, Australian Health Service Safety and Quality Accreditation Scheme and the clinical care standards.</w:t>
      </w:r>
      <w:r>
        <w:t xml:space="preserve">  This area also includes the development of a range of measures to improve understanding of safety and quality at local, regional and national levels. </w:t>
      </w:r>
    </w:p>
    <w:p w:rsidR="00373BA6" w:rsidRDefault="00373BA6" w:rsidP="00373BA6">
      <w:r w:rsidRPr="005D5BC4">
        <w:t>In 20</w:t>
      </w:r>
      <w:r>
        <w:t>17-</w:t>
      </w:r>
      <w:r w:rsidR="008E43C8">
        <w:t>18</w:t>
      </w:r>
      <w:r w:rsidRPr="005D5BC4">
        <w:t xml:space="preserve"> the Commission will develop a national model for hospital patient safety measurement, reporting and learning. In future years, this model will be piloted, reviewed and evaluated. The Commission will build on other work about patient safety in primary care to examine how a patient safety and learning model could be developed for primary care.</w:t>
      </w:r>
    </w:p>
    <w:p w:rsidR="00373BA6" w:rsidRDefault="00373BA6" w:rsidP="00373BA6">
      <w:r>
        <w:t>In 2017-</w:t>
      </w:r>
      <w:r w:rsidR="008E43C8">
        <w:t>2</w:t>
      </w:r>
      <w:r>
        <w:t>1</w:t>
      </w:r>
      <w:r w:rsidRPr="005D5BC4">
        <w:t xml:space="preserve"> the Commission will continue existing work on national clinical quality registries to support their use through the facilitation of prioritisation, governance and indicator development. The Commission will also encourage the development and use of clinical quality registries when clinical guidelines are developed.</w:t>
      </w:r>
    </w:p>
    <w:p w:rsidR="00373BA6" w:rsidRPr="00635321" w:rsidRDefault="00373BA6" w:rsidP="00373BA6">
      <w:pPr>
        <w:rPr>
          <w:rFonts w:eastAsiaTheme="minorHAnsi"/>
        </w:rPr>
      </w:pPr>
    </w:p>
    <w:p w:rsidR="0018515C" w:rsidRPr="00B84DE0" w:rsidRDefault="0018515C" w:rsidP="005233B1">
      <w:pPr>
        <w:pStyle w:val="Heading2"/>
        <w:spacing w:after="120"/>
        <w:rPr>
          <w:rFonts w:eastAsia="MS Mincho"/>
        </w:rPr>
      </w:pPr>
      <w:r w:rsidRPr="00B84DE0">
        <w:rPr>
          <w:rFonts w:eastAsia="MS Mincho"/>
        </w:rPr>
        <w:t xml:space="preserve">Measuring and </w:t>
      </w:r>
      <w:r w:rsidR="00500B76">
        <w:rPr>
          <w:rFonts w:eastAsia="MS Mincho"/>
        </w:rPr>
        <w:t>r</w:t>
      </w:r>
      <w:r w:rsidRPr="00B84DE0">
        <w:rPr>
          <w:rFonts w:eastAsia="MS Mincho"/>
        </w:rPr>
        <w:t xml:space="preserve">eporting on </w:t>
      </w:r>
      <w:r w:rsidR="00500B76">
        <w:rPr>
          <w:rFonts w:eastAsia="MS Mincho"/>
        </w:rPr>
        <w:t>p</w:t>
      </w:r>
      <w:r w:rsidRPr="00B84DE0">
        <w:rPr>
          <w:rFonts w:eastAsia="MS Mincho"/>
        </w:rPr>
        <w:t>erformance</w:t>
      </w:r>
      <w:bookmarkEnd w:id="25"/>
    </w:p>
    <w:p w:rsidR="0018515C" w:rsidRPr="00F4072F" w:rsidRDefault="0018515C" w:rsidP="005233B1">
      <w:pPr>
        <w:pStyle w:val="Heading4"/>
        <w:keepNext/>
        <w:spacing w:before="240"/>
        <w:rPr>
          <w:rFonts w:eastAsia="MS Mincho"/>
          <w:b w:val="0"/>
          <w:i/>
        </w:rPr>
      </w:pPr>
      <w:r w:rsidRPr="00F4072F">
        <w:rPr>
          <w:rFonts w:eastAsia="MS Mincho"/>
          <w:b w:val="0"/>
          <w:i/>
        </w:rPr>
        <w:t>Work plan performance</w:t>
      </w:r>
    </w:p>
    <w:p w:rsidR="00522F83" w:rsidRDefault="0018515C" w:rsidP="00E04D12">
      <w:pPr>
        <w:rPr>
          <w:rFonts w:eastAsia="MS Mincho"/>
        </w:rPr>
      </w:pPr>
      <w:r>
        <w:rPr>
          <w:rFonts w:eastAsia="MS Mincho"/>
        </w:rPr>
        <w:t xml:space="preserve">The Commission measures its work plan performance at the project level within its comprehensive project management system, which monitors budgets, timeframes, deliverables and risks for each project. Project reports are actively managed by the Commission’s executive staff and regularly provided to the Audit and Risk Committee, </w:t>
      </w:r>
      <w:r w:rsidR="001111AE">
        <w:rPr>
          <w:rFonts w:eastAsia="MS Mincho"/>
        </w:rPr>
        <w:t>and the Commission’s</w:t>
      </w:r>
      <w:r>
        <w:rPr>
          <w:rFonts w:eastAsia="MS Mincho"/>
        </w:rPr>
        <w:t xml:space="preserve"> Board. Progress and performance are monitored and measured against the work plan and budget, which is agreed at the jurisdictional level. The key goal for the Commission is to achieve all planned deliverables on time and within budget.  </w:t>
      </w:r>
    </w:p>
    <w:p w:rsidR="005233B1" w:rsidRDefault="005233B1" w:rsidP="00E04D12">
      <w:pPr>
        <w:rPr>
          <w:rFonts w:eastAsia="MS Mincho"/>
        </w:rPr>
      </w:pPr>
    </w:p>
    <w:p w:rsidR="007B2DB2" w:rsidRPr="007B2DB2" w:rsidRDefault="0018054B" w:rsidP="007B2DB2">
      <w:pPr>
        <w:pStyle w:val="ListParagraph"/>
        <w:numPr>
          <w:ilvl w:val="0"/>
          <w:numId w:val="40"/>
        </w:numPr>
        <w:pBdr>
          <w:top w:val="single" w:sz="12" w:space="1" w:color="auto"/>
          <w:left w:val="single" w:sz="12" w:space="4" w:color="auto"/>
          <w:bottom w:val="single" w:sz="12" w:space="1" w:color="auto"/>
          <w:right w:val="single" w:sz="12" w:space="4" w:color="auto"/>
        </w:pBdr>
        <w:spacing w:after="40" w:line="140" w:lineRule="atLeast"/>
        <w:ind w:left="851" w:hanging="851"/>
        <w:contextualSpacing w:val="0"/>
        <w:rPr>
          <w:rFonts w:eastAsia="MS Mincho"/>
          <w:b/>
          <w:i/>
          <w:szCs w:val="22"/>
        </w:rPr>
      </w:pPr>
      <w:r>
        <w:rPr>
          <w:rFonts w:eastAsia="MS Mincho"/>
          <w:b/>
          <w:i/>
          <w:szCs w:val="22"/>
        </w:rPr>
        <w:t>The Commission</w:t>
      </w:r>
      <w:r w:rsidR="00722436">
        <w:rPr>
          <w:rFonts w:eastAsia="MS Mincho"/>
          <w:b/>
          <w:i/>
          <w:szCs w:val="22"/>
        </w:rPr>
        <w:t xml:space="preserve"> puts in place effective </w:t>
      </w:r>
      <w:r>
        <w:rPr>
          <w:rFonts w:eastAsia="MS Mincho"/>
          <w:b/>
          <w:i/>
          <w:szCs w:val="22"/>
        </w:rPr>
        <w:t xml:space="preserve">processes to </w:t>
      </w:r>
      <w:r w:rsidR="00BC68F0">
        <w:rPr>
          <w:rFonts w:eastAsia="MS Mincho"/>
          <w:b/>
          <w:i/>
          <w:szCs w:val="22"/>
        </w:rPr>
        <w:t xml:space="preserve">appropriately </w:t>
      </w:r>
      <w:r>
        <w:rPr>
          <w:rFonts w:eastAsia="MS Mincho"/>
          <w:b/>
          <w:i/>
          <w:szCs w:val="22"/>
        </w:rPr>
        <w:t xml:space="preserve">plan, monitor and manage performance against the work plan and budget.  </w:t>
      </w:r>
    </w:p>
    <w:p w:rsidR="00F73F56" w:rsidRPr="005233B1" w:rsidRDefault="00F73F56" w:rsidP="00A32610">
      <w:pPr>
        <w:pBdr>
          <w:top w:val="single" w:sz="12" w:space="1" w:color="auto"/>
          <w:left w:val="single" w:sz="12" w:space="4" w:color="auto"/>
          <w:bottom w:val="single" w:sz="12" w:space="1" w:color="auto"/>
          <w:right w:val="single" w:sz="12" w:space="4" w:color="auto"/>
        </w:pBdr>
        <w:spacing w:after="40" w:line="140" w:lineRule="atLeast"/>
        <w:rPr>
          <w:rFonts w:eastAsia="MS Mincho"/>
          <w:szCs w:val="22"/>
        </w:rPr>
      </w:pPr>
      <w:r w:rsidRPr="005233B1">
        <w:rPr>
          <w:rFonts w:eastAsia="MS Mincho"/>
          <w:szCs w:val="22"/>
        </w:rPr>
        <w:t>The Commission has</w:t>
      </w:r>
      <w:r w:rsidR="00F4072F" w:rsidRPr="005233B1">
        <w:rPr>
          <w:rFonts w:eastAsia="MS Mincho"/>
          <w:szCs w:val="22"/>
        </w:rPr>
        <w:t xml:space="preserve"> the following</w:t>
      </w:r>
      <w:r w:rsidRPr="005233B1">
        <w:rPr>
          <w:rFonts w:eastAsia="MS Mincho"/>
          <w:szCs w:val="22"/>
        </w:rPr>
        <w:t xml:space="preserve"> effective controls in place to mitigate</w:t>
      </w:r>
      <w:r w:rsidR="0018054B">
        <w:rPr>
          <w:rFonts w:eastAsia="MS Mincho"/>
          <w:szCs w:val="22"/>
        </w:rPr>
        <w:t xml:space="preserve"> </w:t>
      </w:r>
      <w:r w:rsidR="00045C03">
        <w:rPr>
          <w:rFonts w:eastAsia="MS Mincho"/>
          <w:szCs w:val="22"/>
        </w:rPr>
        <w:t>the</w:t>
      </w:r>
      <w:r w:rsidRPr="005233B1">
        <w:rPr>
          <w:rFonts w:eastAsia="MS Mincho"/>
          <w:szCs w:val="22"/>
        </w:rPr>
        <w:t xml:space="preserve"> risk</w:t>
      </w:r>
      <w:r w:rsidR="00722436">
        <w:rPr>
          <w:rFonts w:eastAsia="MS Mincho"/>
          <w:szCs w:val="22"/>
        </w:rPr>
        <w:t xml:space="preserve"> of not achieving this objective</w:t>
      </w:r>
      <w:r w:rsidRPr="005233B1">
        <w:rPr>
          <w:rFonts w:eastAsia="MS Mincho"/>
          <w:szCs w:val="22"/>
        </w:rPr>
        <w:t xml:space="preserve">: </w:t>
      </w:r>
    </w:p>
    <w:p w:rsidR="00F73F56" w:rsidRPr="005233B1" w:rsidRDefault="00F73F56" w:rsidP="00A32610">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the establishment of</w:t>
      </w:r>
      <w:r w:rsidR="00C44DCC" w:rsidRPr="005233B1">
        <w:rPr>
          <w:rFonts w:eastAsia="MS Mincho"/>
          <w:szCs w:val="22"/>
        </w:rPr>
        <w:t xml:space="preserve"> the Commission’s</w:t>
      </w:r>
      <w:r w:rsidRPr="005233B1">
        <w:rPr>
          <w:rFonts w:eastAsia="MS Mincho"/>
          <w:szCs w:val="22"/>
        </w:rPr>
        <w:t xml:space="preserve"> work plan follows a specific process to ensure that intended outcomes are aligned with funding requirements </w:t>
      </w:r>
    </w:p>
    <w:p w:rsidR="00C44DCC" w:rsidRPr="005233B1" w:rsidRDefault="00C44DCC" w:rsidP="00A32610">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 xml:space="preserve">consistent monitoring of progress against the work plan by executive staff, Audit and Risk Committee and the Commission’s Board, and </w:t>
      </w:r>
    </w:p>
    <w:p w:rsidR="00F73F56" w:rsidRPr="005233B1" w:rsidRDefault="00C44DCC" w:rsidP="00A32610">
      <w:pPr>
        <w:pStyle w:val="ListParagraph"/>
        <w:numPr>
          <w:ilvl w:val="0"/>
          <w:numId w:val="13"/>
        </w:numPr>
        <w:pBdr>
          <w:top w:val="single" w:sz="12" w:space="1" w:color="auto"/>
          <w:left w:val="single" w:sz="12" w:space="4" w:color="auto"/>
          <w:bottom w:val="single" w:sz="12" w:space="1" w:color="auto"/>
          <w:right w:val="single" w:sz="12" w:space="4" w:color="auto"/>
        </w:pBdr>
        <w:spacing w:after="40" w:line="140" w:lineRule="atLeast"/>
        <w:contextualSpacing w:val="0"/>
        <w:rPr>
          <w:rFonts w:eastAsia="MS Mincho"/>
          <w:szCs w:val="22"/>
        </w:rPr>
      </w:pPr>
      <w:r w:rsidRPr="005233B1">
        <w:rPr>
          <w:rFonts w:eastAsia="MS Mincho"/>
          <w:szCs w:val="22"/>
        </w:rPr>
        <w:t>the use of a project management tool which highlight</w:t>
      </w:r>
      <w:r w:rsidR="003E4F55">
        <w:rPr>
          <w:rFonts w:eastAsia="MS Mincho"/>
          <w:szCs w:val="22"/>
        </w:rPr>
        <w:t>s</w:t>
      </w:r>
      <w:r w:rsidRPr="005233B1">
        <w:rPr>
          <w:rFonts w:eastAsia="MS Mincho"/>
          <w:szCs w:val="22"/>
        </w:rPr>
        <w:t xml:space="preserve"> </w:t>
      </w:r>
      <w:r w:rsidR="003E4F55">
        <w:rPr>
          <w:rFonts w:eastAsia="MS Mincho"/>
          <w:szCs w:val="22"/>
        </w:rPr>
        <w:t>all</w:t>
      </w:r>
      <w:r w:rsidRPr="005233B1">
        <w:rPr>
          <w:rFonts w:eastAsia="MS Mincho"/>
          <w:szCs w:val="22"/>
        </w:rPr>
        <w:t xml:space="preserve"> areas of risk to project timeframes. </w:t>
      </w:r>
      <w:r w:rsidR="00F73F56" w:rsidRPr="005233B1">
        <w:rPr>
          <w:rFonts w:eastAsia="MS Mincho"/>
          <w:szCs w:val="22"/>
        </w:rPr>
        <w:t xml:space="preserve"> </w:t>
      </w:r>
    </w:p>
    <w:p w:rsidR="00522F83" w:rsidRPr="00F4072F" w:rsidRDefault="00522F83" w:rsidP="005233B1">
      <w:pPr>
        <w:keepNext/>
        <w:spacing w:before="240"/>
        <w:rPr>
          <w:rFonts w:eastAsia="MS Mincho"/>
          <w:i/>
        </w:rPr>
      </w:pPr>
      <w:r w:rsidRPr="00F4072F">
        <w:rPr>
          <w:rFonts w:eastAsia="MS Mincho"/>
          <w:i/>
        </w:rPr>
        <w:t>Implementation of Commission initiatives</w:t>
      </w:r>
    </w:p>
    <w:p w:rsidR="0018515C" w:rsidRPr="00522F83" w:rsidRDefault="000E1ADE" w:rsidP="00E04D12">
      <w:pPr>
        <w:rPr>
          <w:rFonts w:eastAsia="MS Mincho"/>
        </w:rPr>
      </w:pPr>
      <w:r>
        <w:t>The Commission provides a national approach to the improvement of safety and quality within the</w:t>
      </w:r>
      <w:r w:rsidR="00045C03">
        <w:t xml:space="preserve">n Australian </w:t>
      </w:r>
      <w:r>
        <w:t xml:space="preserve">healthcare sector. </w:t>
      </w:r>
      <w:r w:rsidR="0018515C">
        <w:t xml:space="preserve">The Commission </w:t>
      </w:r>
      <w:r w:rsidR="00312212">
        <w:t>works closely with its</w:t>
      </w:r>
      <w:r w:rsidR="0018515C">
        <w:t xml:space="preserve"> partners </w:t>
      </w:r>
      <w:r w:rsidR="00312212">
        <w:t>and</w:t>
      </w:r>
      <w:r w:rsidR="0018515C">
        <w:t xml:space="preserve"> stakeholders </w:t>
      </w:r>
      <w:r w:rsidR="00312212" w:rsidRPr="00537913">
        <w:rPr>
          <w:rFonts w:cs="Arial"/>
          <w:szCs w:val="22"/>
        </w:rPr>
        <w:t>to support the implementation of safety and quality initiatives through the development of guidance, resources, tools and educational material</w:t>
      </w:r>
      <w:r w:rsidR="00312212">
        <w:rPr>
          <w:rFonts w:cs="Arial"/>
          <w:szCs w:val="22"/>
        </w:rPr>
        <w:t>s</w:t>
      </w:r>
      <w:r w:rsidR="0018515C">
        <w:t xml:space="preserve">. </w:t>
      </w:r>
      <w:r w:rsidR="00312212">
        <w:t>Additionally, t</w:t>
      </w:r>
      <w:r w:rsidR="00312212" w:rsidRPr="00537913">
        <w:rPr>
          <w:rFonts w:cs="Arial"/>
          <w:szCs w:val="22"/>
        </w:rPr>
        <w:t xml:space="preserve">he Commission </w:t>
      </w:r>
      <w:r w:rsidR="006C0D86">
        <w:rPr>
          <w:rFonts w:cs="Arial"/>
          <w:szCs w:val="22"/>
        </w:rPr>
        <w:t xml:space="preserve">has </w:t>
      </w:r>
      <w:r w:rsidR="00045C03">
        <w:rPr>
          <w:rFonts w:cs="Arial"/>
          <w:szCs w:val="22"/>
        </w:rPr>
        <w:t xml:space="preserve">undertaken both internal and external </w:t>
      </w:r>
      <w:r w:rsidR="00312212" w:rsidRPr="00537913">
        <w:rPr>
          <w:rFonts w:cs="Arial"/>
          <w:szCs w:val="22"/>
        </w:rPr>
        <w:t xml:space="preserve">evaluation of its activities and </w:t>
      </w:r>
      <w:r w:rsidR="00045C03">
        <w:rPr>
          <w:rFonts w:cs="Arial"/>
          <w:szCs w:val="22"/>
        </w:rPr>
        <w:t xml:space="preserve">supports health services in </w:t>
      </w:r>
      <w:r w:rsidR="00312212" w:rsidRPr="00537913">
        <w:rPr>
          <w:rFonts w:cs="Arial"/>
          <w:szCs w:val="22"/>
        </w:rPr>
        <w:t>measur</w:t>
      </w:r>
      <w:r w:rsidR="00045C03">
        <w:rPr>
          <w:rFonts w:cs="Arial"/>
          <w:szCs w:val="22"/>
        </w:rPr>
        <w:t xml:space="preserve">ing </w:t>
      </w:r>
      <w:r w:rsidR="00312212" w:rsidRPr="00537913">
        <w:rPr>
          <w:rFonts w:cs="Arial"/>
          <w:szCs w:val="22"/>
        </w:rPr>
        <w:t>the impact of safety and quality improvement</w:t>
      </w:r>
      <w:r w:rsidR="00045C03">
        <w:rPr>
          <w:rFonts w:cs="Arial"/>
          <w:szCs w:val="22"/>
        </w:rPr>
        <w:t>s</w:t>
      </w:r>
      <w:r w:rsidR="00312212" w:rsidRPr="00537913">
        <w:rPr>
          <w:rFonts w:cs="Arial"/>
          <w:szCs w:val="22"/>
        </w:rPr>
        <w:t xml:space="preserve"> </w:t>
      </w:r>
      <w:r w:rsidR="00045C03">
        <w:rPr>
          <w:rFonts w:cs="Arial"/>
          <w:szCs w:val="22"/>
        </w:rPr>
        <w:t xml:space="preserve">to </w:t>
      </w:r>
      <w:r w:rsidR="00312212" w:rsidRPr="00537913">
        <w:rPr>
          <w:rFonts w:cs="Arial"/>
          <w:szCs w:val="22"/>
        </w:rPr>
        <w:t>the health system.</w:t>
      </w:r>
    </w:p>
    <w:p w:rsidR="0018515C" w:rsidRPr="003D23F4" w:rsidRDefault="0018515C" w:rsidP="005233B1">
      <w:pPr>
        <w:pStyle w:val="Heading2"/>
        <w:spacing w:after="120"/>
      </w:pPr>
      <w:bookmarkStart w:id="26" w:name="_Toc483397756"/>
      <w:r w:rsidRPr="003D23F4">
        <w:t>Key performance indicators</w:t>
      </w:r>
      <w:bookmarkEnd w:id="26"/>
    </w:p>
    <w:p w:rsidR="0018515C" w:rsidRDefault="00A92D15" w:rsidP="00E04D12">
      <w:r>
        <w:t>The Commission has developed key performance indicators for the period 201</w:t>
      </w:r>
      <w:r w:rsidR="00985FE7">
        <w:t>7</w:t>
      </w:r>
      <w:r>
        <w:t>-1</w:t>
      </w:r>
      <w:r w:rsidR="00985FE7">
        <w:t>8</w:t>
      </w:r>
      <w:r>
        <w:t xml:space="preserve"> which relate to the strategic priorities for the organisation’s upcoming program of work.</w:t>
      </w:r>
      <w:r w:rsidR="0018515C">
        <w:t xml:space="preserve"> These </w:t>
      </w:r>
      <w:r w:rsidR="006448F4">
        <w:t>k</w:t>
      </w:r>
      <w:r w:rsidR="006448F4" w:rsidRPr="006448F4">
        <w:t>ey performance indicators</w:t>
      </w:r>
      <w:r w:rsidR="0018515C">
        <w:t xml:space="preserve"> were published in the </w:t>
      </w:r>
      <w:r w:rsidR="0018515C" w:rsidRPr="006F1491">
        <w:rPr>
          <w:i/>
        </w:rPr>
        <w:t>201</w:t>
      </w:r>
      <w:r w:rsidR="006C0D86">
        <w:rPr>
          <w:i/>
        </w:rPr>
        <w:t>7</w:t>
      </w:r>
      <w:r w:rsidR="00D60C4F" w:rsidRPr="006F1491">
        <w:rPr>
          <w:i/>
        </w:rPr>
        <w:t>–</w:t>
      </w:r>
      <w:r w:rsidR="0018515C" w:rsidRPr="006F1491">
        <w:rPr>
          <w:i/>
        </w:rPr>
        <w:t>1</w:t>
      </w:r>
      <w:r w:rsidR="006C0D86">
        <w:rPr>
          <w:i/>
        </w:rPr>
        <w:t>8</w:t>
      </w:r>
      <w:r w:rsidR="0018515C" w:rsidRPr="006F1491">
        <w:rPr>
          <w:i/>
        </w:rPr>
        <w:t xml:space="preserve"> Portfolio </w:t>
      </w:r>
      <w:r w:rsidR="00EA7E63">
        <w:rPr>
          <w:i/>
        </w:rPr>
        <w:t>Budget Statements, Health Portfolio.</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1276"/>
        <w:gridCol w:w="1134"/>
        <w:gridCol w:w="1134"/>
        <w:gridCol w:w="141"/>
        <w:gridCol w:w="993"/>
        <w:gridCol w:w="1134"/>
      </w:tblGrid>
      <w:tr w:rsidR="00A92D15" w:rsidRPr="00A779F7" w:rsidTr="005C54B6">
        <w:tc>
          <w:tcPr>
            <w:tcW w:w="8472" w:type="dxa"/>
            <w:gridSpan w:val="8"/>
            <w:shd w:val="clear" w:color="auto" w:fill="D9D9D9"/>
          </w:tcPr>
          <w:p w:rsidR="00A92D15" w:rsidRPr="00A779F7" w:rsidRDefault="00A92D15" w:rsidP="00F41B53">
            <w:r>
              <w:rPr>
                <w:b/>
              </w:rPr>
              <w:t xml:space="preserve">Strategic Priority 1: </w:t>
            </w:r>
            <w:r w:rsidRPr="00500B76">
              <w:rPr>
                <w:b/>
              </w:rPr>
              <w:t>Patient safety</w:t>
            </w:r>
          </w:p>
        </w:tc>
      </w:tr>
      <w:tr w:rsidR="006D12D1" w:rsidRPr="00A779F7" w:rsidTr="005C54B6">
        <w:tc>
          <w:tcPr>
            <w:tcW w:w="1951" w:type="dxa"/>
            <w:shd w:val="clear" w:color="auto" w:fill="D9D9D9"/>
          </w:tcPr>
          <w:p w:rsidR="006D12D1" w:rsidRPr="00A779F7" w:rsidRDefault="006D12D1" w:rsidP="006F1491">
            <w:r>
              <w:t>Qualitative indicator</w:t>
            </w:r>
          </w:p>
        </w:tc>
        <w:tc>
          <w:tcPr>
            <w:tcW w:w="1985" w:type="dxa"/>
            <w:gridSpan w:val="2"/>
            <w:shd w:val="clear" w:color="auto" w:fill="D9D9D9"/>
          </w:tcPr>
          <w:p w:rsidR="006D12D1" w:rsidRPr="00A779F7" w:rsidRDefault="006D12D1" w:rsidP="00985FE7">
            <w:r>
              <w:t>2016-17 result</w:t>
            </w:r>
          </w:p>
        </w:tc>
        <w:tc>
          <w:tcPr>
            <w:tcW w:w="2409" w:type="dxa"/>
            <w:gridSpan w:val="3"/>
            <w:shd w:val="clear" w:color="auto" w:fill="D9D9D9"/>
          </w:tcPr>
          <w:p w:rsidR="006D12D1" w:rsidRPr="00A779F7" w:rsidRDefault="00CD2CF8" w:rsidP="00F41B53">
            <w:r>
              <w:t xml:space="preserve"> 2017-18 Target</w:t>
            </w:r>
          </w:p>
        </w:tc>
        <w:tc>
          <w:tcPr>
            <w:tcW w:w="2127" w:type="dxa"/>
            <w:gridSpan w:val="2"/>
            <w:shd w:val="clear" w:color="auto" w:fill="D9D9D9"/>
          </w:tcPr>
          <w:p w:rsidR="006D12D1" w:rsidRPr="00A779F7" w:rsidRDefault="00CD2CF8" w:rsidP="00F41B53">
            <w:r>
              <w:t>2018-19 (&amp; beyond) Target</w:t>
            </w:r>
          </w:p>
        </w:tc>
      </w:tr>
      <w:tr w:rsidR="006D12D1" w:rsidRPr="00EB5F83" w:rsidTr="005C54B6">
        <w:tc>
          <w:tcPr>
            <w:tcW w:w="1951" w:type="dxa"/>
            <w:shd w:val="clear" w:color="auto" w:fill="auto"/>
          </w:tcPr>
          <w:p w:rsidR="006D12D1" w:rsidRPr="00EB5F83" w:rsidRDefault="006D12D1" w:rsidP="006F1491">
            <w:r>
              <w:t xml:space="preserve">Successful implementation of the NSQHS Standards and ongoing monitoring of safety and quality performance of hospitals and day procedure services. </w:t>
            </w:r>
          </w:p>
        </w:tc>
        <w:tc>
          <w:tcPr>
            <w:tcW w:w="1985" w:type="dxa"/>
            <w:gridSpan w:val="2"/>
            <w:shd w:val="clear" w:color="auto" w:fill="auto"/>
          </w:tcPr>
          <w:p w:rsidR="006D12D1" w:rsidRDefault="006D12D1" w:rsidP="006F1491">
            <w:r>
              <w:t>Revised NSQHS standards developed.</w:t>
            </w:r>
          </w:p>
          <w:p w:rsidR="006D12D1" w:rsidRDefault="006D12D1" w:rsidP="006F1491">
            <w:r>
              <w:t>Hospital Acquired Complications (HACs) methodology finalised.</w:t>
            </w:r>
          </w:p>
          <w:p w:rsidR="006D12D1" w:rsidRDefault="006D12D1" w:rsidP="006F1491">
            <w:r>
              <w:t>Refinement of tools to enable local monitoring of safety and quality completed</w:t>
            </w:r>
            <w:r w:rsidR="00CD2CF8">
              <w:t>.</w:t>
            </w:r>
          </w:p>
          <w:p w:rsidR="00CD2CF8" w:rsidRPr="00EB5F83" w:rsidRDefault="00CD2CF8" w:rsidP="006F1491">
            <w:r>
              <w:t>Standardised questions to measure experience (PEx) completed and Patient Reported Outcome Measures (PROMs) developed.</w:t>
            </w:r>
          </w:p>
        </w:tc>
        <w:tc>
          <w:tcPr>
            <w:tcW w:w="2409" w:type="dxa"/>
            <w:gridSpan w:val="3"/>
            <w:shd w:val="clear" w:color="auto" w:fill="auto"/>
          </w:tcPr>
          <w:p w:rsidR="00CD2CF8" w:rsidRDefault="00CD2CF8" w:rsidP="006F1491">
            <w:r>
              <w:t>Launch of the revised NSQHS standards by the end of November 2017.</w:t>
            </w:r>
          </w:p>
          <w:p w:rsidR="00CD2CF8" w:rsidRDefault="00CD2CF8" w:rsidP="006F1491"/>
          <w:p w:rsidR="00CD2CF8" w:rsidRDefault="00CD2CF8" w:rsidP="006F1491">
            <w:r>
              <w:t>Monitoring of HACs for safety and quality.</w:t>
            </w:r>
          </w:p>
          <w:p w:rsidR="00CD2CF8" w:rsidRDefault="00CD2CF8" w:rsidP="006F1491"/>
          <w:p w:rsidR="00CD2CF8" w:rsidRDefault="00CD2CF8" w:rsidP="006F1491">
            <w:r>
              <w:t>Tools in use for local monitoring.</w:t>
            </w:r>
          </w:p>
          <w:p w:rsidR="00CD2CF8" w:rsidRDefault="00CD2CF8" w:rsidP="006F1491"/>
          <w:p w:rsidR="006D12D1" w:rsidRPr="00EB5F83" w:rsidRDefault="00CD2CF8" w:rsidP="006F1491">
            <w:r>
              <w:t>Implementation of PEx and pilot testing of PROMs.</w:t>
            </w:r>
          </w:p>
        </w:tc>
        <w:tc>
          <w:tcPr>
            <w:tcW w:w="2127" w:type="dxa"/>
            <w:gridSpan w:val="2"/>
            <w:shd w:val="clear" w:color="auto" w:fill="auto"/>
          </w:tcPr>
          <w:p w:rsidR="006D12D1" w:rsidRDefault="00CD2CF8" w:rsidP="006F1491">
            <w:r>
              <w:t>Implementation of Version 2 of the NSQHS Standards.</w:t>
            </w:r>
          </w:p>
          <w:p w:rsidR="00CD2CF8" w:rsidRDefault="00CD2CF8" w:rsidP="006F1491">
            <w:r>
              <w:t>Review and refinement of the HACs.</w:t>
            </w:r>
          </w:p>
          <w:p w:rsidR="00CD2CF8" w:rsidRDefault="00CD2CF8" w:rsidP="006F1491"/>
          <w:p w:rsidR="00CD2CF8" w:rsidRDefault="00CD2CF8" w:rsidP="006F1491">
            <w:r>
              <w:t>Review and refinement of tools.</w:t>
            </w:r>
          </w:p>
          <w:p w:rsidR="00CD2CF8" w:rsidRDefault="00CD2CF8" w:rsidP="006F1491"/>
          <w:p w:rsidR="00CD2CF8" w:rsidRPr="00EB5F83" w:rsidRDefault="00CD2CF8" w:rsidP="006F1491">
            <w:r>
              <w:t>Review and refinement of PEx and PROMs.</w:t>
            </w:r>
          </w:p>
        </w:tc>
      </w:tr>
      <w:tr w:rsidR="006C0D86" w:rsidTr="005C54B6">
        <w:tc>
          <w:tcPr>
            <w:tcW w:w="2660" w:type="dxa"/>
            <w:gridSpan w:val="2"/>
            <w:shd w:val="clear" w:color="auto" w:fill="D9D9D9"/>
          </w:tcPr>
          <w:p w:rsidR="004F69C8" w:rsidRPr="00A779F7" w:rsidRDefault="004F69C8" w:rsidP="006F1491">
            <w:r w:rsidRPr="00A779F7">
              <w:t xml:space="preserve">Quantitative </w:t>
            </w:r>
            <w:r>
              <w:t>i</w:t>
            </w:r>
            <w:r w:rsidRPr="00A779F7">
              <w:t>ndicators</w:t>
            </w:r>
          </w:p>
        </w:tc>
        <w:tc>
          <w:tcPr>
            <w:tcW w:w="1276" w:type="dxa"/>
            <w:shd w:val="clear" w:color="auto" w:fill="D9D9D9"/>
          </w:tcPr>
          <w:p w:rsidR="004F69C8" w:rsidRPr="00A779F7" w:rsidRDefault="004F69C8" w:rsidP="00F41B53">
            <w:r w:rsidRPr="00A779F7">
              <w:t>201</w:t>
            </w:r>
            <w:r w:rsidR="00985FE7">
              <w:t>6</w:t>
            </w:r>
            <w:r>
              <w:t>-1</w:t>
            </w:r>
            <w:r w:rsidR="00985FE7">
              <w:t>7</w:t>
            </w:r>
          </w:p>
        </w:tc>
        <w:tc>
          <w:tcPr>
            <w:tcW w:w="1134" w:type="dxa"/>
            <w:shd w:val="clear" w:color="auto" w:fill="D9D9D9"/>
          </w:tcPr>
          <w:p w:rsidR="004F69C8" w:rsidRPr="00A779F7" w:rsidRDefault="004F69C8" w:rsidP="00F41B53">
            <w:r>
              <w:t>2017-2018</w:t>
            </w:r>
          </w:p>
        </w:tc>
        <w:tc>
          <w:tcPr>
            <w:tcW w:w="1134" w:type="dxa"/>
            <w:shd w:val="clear" w:color="auto" w:fill="D9D9D9"/>
          </w:tcPr>
          <w:p w:rsidR="004F69C8" w:rsidRPr="00A779F7" w:rsidRDefault="004F69C8" w:rsidP="00F41B53">
            <w:r w:rsidRPr="00A779F7">
              <w:t>201</w:t>
            </w:r>
            <w:r>
              <w:t>8-19</w:t>
            </w:r>
          </w:p>
        </w:tc>
        <w:tc>
          <w:tcPr>
            <w:tcW w:w="1134" w:type="dxa"/>
            <w:gridSpan w:val="2"/>
            <w:shd w:val="clear" w:color="auto" w:fill="D9D9D9"/>
          </w:tcPr>
          <w:p w:rsidR="004F69C8" w:rsidRPr="00A779F7" w:rsidRDefault="004F69C8" w:rsidP="00F41B53">
            <w:r w:rsidRPr="00A779F7">
              <w:t>20</w:t>
            </w:r>
            <w:r>
              <w:t>19-20</w:t>
            </w:r>
          </w:p>
        </w:tc>
        <w:tc>
          <w:tcPr>
            <w:tcW w:w="1134" w:type="dxa"/>
            <w:shd w:val="clear" w:color="auto" w:fill="D9D9D9"/>
          </w:tcPr>
          <w:p w:rsidR="004F69C8" w:rsidRPr="00A779F7" w:rsidRDefault="004F69C8" w:rsidP="00F41B53">
            <w:r w:rsidRPr="00A779F7">
              <w:t>20</w:t>
            </w:r>
            <w:r>
              <w:t>20-21</w:t>
            </w:r>
          </w:p>
        </w:tc>
      </w:tr>
      <w:tr w:rsidR="006C0D86" w:rsidTr="006C0D86">
        <w:tc>
          <w:tcPr>
            <w:tcW w:w="2660" w:type="dxa"/>
            <w:gridSpan w:val="2"/>
            <w:shd w:val="clear" w:color="auto" w:fill="auto"/>
          </w:tcPr>
          <w:p w:rsidR="004F69C8" w:rsidRPr="00EB5F83" w:rsidRDefault="004F69C8" w:rsidP="00A92D15">
            <w:r>
              <w:t>Percentage of h</w:t>
            </w:r>
            <w:r w:rsidRPr="00EB5F83">
              <w:t>ospitals and day procedure services assessed to the NSQHS Standards</w:t>
            </w:r>
            <w:r>
              <w:t>.</w:t>
            </w:r>
          </w:p>
        </w:tc>
        <w:tc>
          <w:tcPr>
            <w:tcW w:w="1276" w:type="dxa"/>
            <w:shd w:val="clear" w:color="auto" w:fill="auto"/>
          </w:tcPr>
          <w:p w:rsidR="004F69C8" w:rsidRPr="00EB5F83" w:rsidRDefault="004F69C8" w:rsidP="006F1491">
            <w:r w:rsidRPr="00EB5F83">
              <w:t>100%</w:t>
            </w:r>
          </w:p>
        </w:tc>
        <w:tc>
          <w:tcPr>
            <w:tcW w:w="1134" w:type="dxa"/>
            <w:shd w:val="clear" w:color="auto" w:fill="auto"/>
          </w:tcPr>
          <w:p w:rsidR="004F69C8" w:rsidRPr="00EB5F83" w:rsidRDefault="004F69C8" w:rsidP="006F1491">
            <w:r>
              <w:t>100%</w:t>
            </w:r>
          </w:p>
        </w:tc>
        <w:tc>
          <w:tcPr>
            <w:tcW w:w="1134" w:type="dxa"/>
            <w:shd w:val="clear" w:color="auto" w:fill="auto"/>
          </w:tcPr>
          <w:p w:rsidR="004F69C8" w:rsidRPr="00EB5F83" w:rsidRDefault="004F69C8" w:rsidP="006F1491">
            <w:r w:rsidRPr="00EB5F83">
              <w:t>100%</w:t>
            </w:r>
          </w:p>
        </w:tc>
        <w:tc>
          <w:tcPr>
            <w:tcW w:w="1134" w:type="dxa"/>
            <w:gridSpan w:val="2"/>
            <w:shd w:val="clear" w:color="auto" w:fill="auto"/>
          </w:tcPr>
          <w:p w:rsidR="004F69C8" w:rsidRPr="00EB5F83" w:rsidRDefault="004F69C8" w:rsidP="006F1491">
            <w:r w:rsidRPr="00EB5F83">
              <w:t>100%</w:t>
            </w:r>
          </w:p>
        </w:tc>
        <w:tc>
          <w:tcPr>
            <w:tcW w:w="1134" w:type="dxa"/>
            <w:shd w:val="clear" w:color="auto" w:fill="auto"/>
          </w:tcPr>
          <w:p w:rsidR="004F69C8" w:rsidRPr="00EB5F83" w:rsidRDefault="004F69C8" w:rsidP="006F1491">
            <w:r w:rsidRPr="00EB5F83">
              <w:t>100%</w:t>
            </w:r>
          </w:p>
        </w:tc>
      </w:tr>
      <w:tr w:rsidR="004F69C8" w:rsidTr="005C54B6">
        <w:tc>
          <w:tcPr>
            <w:tcW w:w="2660" w:type="dxa"/>
            <w:gridSpan w:val="2"/>
            <w:shd w:val="clear" w:color="auto" w:fill="auto"/>
          </w:tcPr>
          <w:p w:rsidR="004F69C8" w:rsidRPr="00EB5F83" w:rsidRDefault="004F69C8" w:rsidP="006F1491">
            <w:r w:rsidRPr="00EB5F83">
              <w:t>P</w:t>
            </w:r>
            <w:r>
              <w:t>ercentage of p</w:t>
            </w:r>
            <w:r w:rsidRPr="00EB5F83">
              <w:t>ublic hospitals meeting the benchmark for hand hygiene compliance</w:t>
            </w:r>
            <w:r>
              <w:t>.</w:t>
            </w:r>
          </w:p>
        </w:tc>
        <w:tc>
          <w:tcPr>
            <w:tcW w:w="1276" w:type="dxa"/>
            <w:shd w:val="clear" w:color="auto" w:fill="auto"/>
          </w:tcPr>
          <w:p w:rsidR="004F69C8" w:rsidRPr="00EB5F83" w:rsidRDefault="004F69C8" w:rsidP="006F1491">
            <w:r w:rsidRPr="00EB5F83">
              <w:rPr>
                <w:rFonts w:cs="Arial"/>
              </w:rPr>
              <w:t>≥</w:t>
            </w:r>
            <w:r>
              <w:t>75</w:t>
            </w:r>
            <w:r w:rsidRPr="00EB5F83">
              <w:t>%</w:t>
            </w:r>
          </w:p>
        </w:tc>
        <w:tc>
          <w:tcPr>
            <w:tcW w:w="1134" w:type="dxa"/>
            <w:shd w:val="clear" w:color="auto" w:fill="auto"/>
          </w:tcPr>
          <w:p w:rsidR="004F69C8" w:rsidRPr="00EB5F83" w:rsidRDefault="004F69C8" w:rsidP="006F1491">
            <w:r w:rsidRPr="00EB5F83">
              <w:rPr>
                <w:rFonts w:cs="Arial"/>
              </w:rPr>
              <w:t>≥</w:t>
            </w:r>
            <w:r>
              <w:t>8</w:t>
            </w:r>
            <w:r w:rsidRPr="00EB5F83">
              <w:t>0%</w:t>
            </w:r>
          </w:p>
        </w:tc>
        <w:tc>
          <w:tcPr>
            <w:tcW w:w="1134" w:type="dxa"/>
            <w:shd w:val="clear" w:color="auto" w:fill="auto"/>
          </w:tcPr>
          <w:p w:rsidR="004F69C8" w:rsidRPr="00EB5F83" w:rsidRDefault="004F69C8" w:rsidP="006F1491">
            <w:r w:rsidRPr="00EB5F83">
              <w:rPr>
                <w:rFonts w:cs="Arial"/>
              </w:rPr>
              <w:t>≥</w:t>
            </w:r>
            <w:r>
              <w:t>8</w:t>
            </w:r>
            <w:r w:rsidRPr="00EB5F83">
              <w:t>0%</w:t>
            </w:r>
          </w:p>
        </w:tc>
        <w:tc>
          <w:tcPr>
            <w:tcW w:w="1134" w:type="dxa"/>
            <w:gridSpan w:val="2"/>
            <w:shd w:val="clear" w:color="auto" w:fill="auto"/>
          </w:tcPr>
          <w:p w:rsidR="004F69C8" w:rsidRPr="00EB5F83" w:rsidRDefault="004F69C8" w:rsidP="006F1491">
            <w:r w:rsidRPr="00EB5F83">
              <w:rPr>
                <w:rFonts w:cs="Arial"/>
              </w:rPr>
              <w:t>≥</w:t>
            </w:r>
            <w:r>
              <w:t>8</w:t>
            </w:r>
            <w:r w:rsidRPr="00EB5F83">
              <w:t>0%</w:t>
            </w:r>
          </w:p>
        </w:tc>
        <w:tc>
          <w:tcPr>
            <w:tcW w:w="1134" w:type="dxa"/>
            <w:shd w:val="clear" w:color="auto" w:fill="auto"/>
          </w:tcPr>
          <w:p w:rsidR="004F69C8" w:rsidRPr="00EB5F83" w:rsidRDefault="004F69C8" w:rsidP="006F1491">
            <w:r w:rsidRPr="00EB5F83">
              <w:rPr>
                <w:rFonts w:cs="Arial"/>
              </w:rPr>
              <w:t>≥</w:t>
            </w:r>
            <w:r>
              <w:t>8</w:t>
            </w:r>
            <w:r w:rsidRPr="00EB5F83">
              <w:t>0%</w:t>
            </w:r>
          </w:p>
        </w:tc>
      </w:tr>
      <w:tr w:rsidR="006D12D1" w:rsidTr="005C54B6">
        <w:tc>
          <w:tcPr>
            <w:tcW w:w="2660" w:type="dxa"/>
            <w:gridSpan w:val="2"/>
            <w:shd w:val="clear" w:color="auto" w:fill="auto"/>
          </w:tcPr>
          <w:p w:rsidR="004F69C8" w:rsidRPr="00EB5F83" w:rsidRDefault="004F69C8" w:rsidP="006448F4">
            <w:pPr>
              <w:spacing w:before="120"/>
            </w:pPr>
            <w:r>
              <w:t>Number of c</w:t>
            </w:r>
            <w:r w:rsidRPr="00EB5F83">
              <w:t>linicians completing the healthcare associated infection online education modules</w:t>
            </w:r>
            <w:r>
              <w:t>.</w:t>
            </w:r>
          </w:p>
        </w:tc>
        <w:tc>
          <w:tcPr>
            <w:tcW w:w="1276" w:type="dxa"/>
            <w:shd w:val="clear" w:color="auto" w:fill="auto"/>
          </w:tcPr>
          <w:p w:rsidR="004F69C8" w:rsidRPr="00EB5F83" w:rsidRDefault="004F69C8" w:rsidP="004F69C8">
            <w:r w:rsidRPr="00EB5F83">
              <w:rPr>
                <w:rFonts w:cs="Arial"/>
              </w:rPr>
              <w:t>≥</w:t>
            </w:r>
            <w:r>
              <w:t>13 </w:t>
            </w:r>
            <w:r w:rsidRPr="00EB5F83">
              <w:t>000</w:t>
            </w:r>
          </w:p>
        </w:tc>
        <w:tc>
          <w:tcPr>
            <w:tcW w:w="1134" w:type="dxa"/>
            <w:shd w:val="clear" w:color="auto" w:fill="auto"/>
          </w:tcPr>
          <w:p w:rsidR="004F69C8" w:rsidRPr="00EB5F83" w:rsidRDefault="004F69C8" w:rsidP="004F69C8">
            <w:r w:rsidRPr="00EB5F83">
              <w:rPr>
                <w:rFonts w:cs="Arial"/>
              </w:rPr>
              <w:t>≥</w:t>
            </w:r>
            <w:r>
              <w:rPr>
                <w:rFonts w:cs="Arial"/>
              </w:rPr>
              <w:t>14 000</w:t>
            </w:r>
          </w:p>
        </w:tc>
        <w:tc>
          <w:tcPr>
            <w:tcW w:w="1134" w:type="dxa"/>
            <w:shd w:val="clear" w:color="auto" w:fill="auto"/>
          </w:tcPr>
          <w:p w:rsidR="004F69C8" w:rsidRPr="00EB5F83" w:rsidRDefault="004F69C8" w:rsidP="00A92D15">
            <w:r w:rsidRPr="00EB5F83">
              <w:rPr>
                <w:rFonts w:cs="Arial"/>
              </w:rPr>
              <w:t>≥</w:t>
            </w:r>
            <w:r w:rsidRPr="00EB5F83">
              <w:t>1</w:t>
            </w:r>
            <w:r>
              <w:t>5 </w:t>
            </w:r>
            <w:r w:rsidRPr="00EB5F83">
              <w:t>000</w:t>
            </w:r>
          </w:p>
        </w:tc>
        <w:tc>
          <w:tcPr>
            <w:tcW w:w="1134" w:type="dxa"/>
            <w:gridSpan w:val="2"/>
            <w:shd w:val="clear" w:color="auto" w:fill="auto"/>
          </w:tcPr>
          <w:p w:rsidR="004F69C8" w:rsidRPr="00EB5F83" w:rsidRDefault="004F69C8" w:rsidP="00A92D15">
            <w:r w:rsidRPr="00EB5F83">
              <w:rPr>
                <w:rFonts w:cs="Arial"/>
              </w:rPr>
              <w:t>≥</w:t>
            </w:r>
            <w:r w:rsidRPr="00EB5F83">
              <w:t>1</w:t>
            </w:r>
            <w:r>
              <w:t>6 </w:t>
            </w:r>
            <w:r w:rsidRPr="00EB5F83">
              <w:t>000</w:t>
            </w:r>
          </w:p>
        </w:tc>
        <w:tc>
          <w:tcPr>
            <w:tcW w:w="1134" w:type="dxa"/>
            <w:shd w:val="clear" w:color="auto" w:fill="auto"/>
          </w:tcPr>
          <w:p w:rsidR="004F69C8" w:rsidRPr="00EB5F83" w:rsidRDefault="004F69C8" w:rsidP="00A92D15">
            <w:r w:rsidRPr="00EB5F83">
              <w:rPr>
                <w:rFonts w:cs="Arial"/>
              </w:rPr>
              <w:t>≥</w:t>
            </w:r>
            <w:r w:rsidRPr="00EB5F83">
              <w:t>1</w:t>
            </w:r>
            <w:r>
              <w:t>6 </w:t>
            </w:r>
            <w:r w:rsidRPr="00EB5F83">
              <w:t>000</w:t>
            </w:r>
          </w:p>
        </w:tc>
      </w:tr>
    </w:tbl>
    <w:p w:rsidR="0018515C" w:rsidRDefault="0018515C" w:rsidP="00500B76"/>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968"/>
        <w:gridCol w:w="2197"/>
        <w:gridCol w:w="2197"/>
      </w:tblGrid>
      <w:tr w:rsidR="001111AE" w:rsidRPr="00A92D15" w:rsidTr="001111AE">
        <w:tc>
          <w:tcPr>
            <w:tcW w:w="8330" w:type="dxa"/>
            <w:gridSpan w:val="4"/>
            <w:shd w:val="clear" w:color="auto" w:fill="D9D9D9" w:themeFill="background1" w:themeFillShade="D9"/>
          </w:tcPr>
          <w:p w:rsidR="001111AE" w:rsidRDefault="001111AE" w:rsidP="00232B92">
            <w:r>
              <w:rPr>
                <w:b/>
              </w:rPr>
              <w:t xml:space="preserve">Strategic Priority 2: </w:t>
            </w:r>
            <w:r w:rsidRPr="00500B76">
              <w:rPr>
                <w:b/>
              </w:rPr>
              <w:t>Partnering with patients, consumers and communities</w:t>
            </w:r>
          </w:p>
        </w:tc>
      </w:tr>
      <w:tr w:rsidR="00281F12" w:rsidRPr="00A92D15" w:rsidTr="00280BA6">
        <w:tc>
          <w:tcPr>
            <w:tcW w:w="1968" w:type="dxa"/>
            <w:shd w:val="clear" w:color="auto" w:fill="D9D9D9" w:themeFill="background1" w:themeFillShade="D9"/>
          </w:tcPr>
          <w:p w:rsidR="00281F12" w:rsidRPr="00A779F7" w:rsidRDefault="00281F12" w:rsidP="00232B92">
            <w:r>
              <w:t>Qualitative indicator</w:t>
            </w:r>
          </w:p>
        </w:tc>
        <w:tc>
          <w:tcPr>
            <w:tcW w:w="1968" w:type="dxa"/>
            <w:shd w:val="clear" w:color="auto" w:fill="D9D9D9" w:themeFill="background1" w:themeFillShade="D9"/>
          </w:tcPr>
          <w:p w:rsidR="00281F12" w:rsidRPr="00A779F7" w:rsidRDefault="00281F12" w:rsidP="00985FE7">
            <w:r>
              <w:t>2016-17 result</w:t>
            </w:r>
          </w:p>
        </w:tc>
        <w:tc>
          <w:tcPr>
            <w:tcW w:w="2197" w:type="dxa"/>
            <w:shd w:val="clear" w:color="auto" w:fill="D9D9D9" w:themeFill="background1" w:themeFillShade="D9"/>
          </w:tcPr>
          <w:p w:rsidR="00281F12" w:rsidRPr="00A779F7" w:rsidRDefault="00281F12" w:rsidP="00281F12">
            <w:r w:rsidRPr="00A779F7">
              <w:t>201</w:t>
            </w:r>
            <w:r>
              <w:t>7-18 Target</w:t>
            </w:r>
          </w:p>
        </w:tc>
        <w:tc>
          <w:tcPr>
            <w:tcW w:w="2197" w:type="dxa"/>
            <w:shd w:val="clear" w:color="auto" w:fill="D9D9D9" w:themeFill="background1" w:themeFillShade="D9"/>
          </w:tcPr>
          <w:p w:rsidR="00281F12" w:rsidRPr="00A779F7" w:rsidRDefault="00281F12" w:rsidP="00232B92">
            <w:r>
              <w:t>2018-19 (&amp; beyond) Target</w:t>
            </w:r>
          </w:p>
        </w:tc>
      </w:tr>
      <w:tr w:rsidR="00281F12" w:rsidRPr="00A92D15" w:rsidTr="00280BA6">
        <w:tc>
          <w:tcPr>
            <w:tcW w:w="1968" w:type="dxa"/>
            <w:shd w:val="clear" w:color="auto" w:fill="auto"/>
          </w:tcPr>
          <w:p w:rsidR="00281F12" w:rsidRDefault="00281F12" w:rsidP="00232B92">
            <w:r>
              <w:t xml:space="preserve">Provide safety and quality information to the general public. </w:t>
            </w:r>
          </w:p>
        </w:tc>
        <w:tc>
          <w:tcPr>
            <w:tcW w:w="1968" w:type="dxa"/>
            <w:shd w:val="clear" w:color="auto" w:fill="auto"/>
          </w:tcPr>
          <w:p w:rsidR="00281F12" w:rsidRDefault="00281F12" w:rsidP="00232B92">
            <w:r>
              <w:t>ACSQHC’s 2015-16 Annual Report was released on 18 October 2016.</w:t>
            </w:r>
          </w:p>
          <w:p w:rsidR="00281F12" w:rsidRDefault="00281F12" w:rsidP="00232B92"/>
          <w:p w:rsidR="00281F12" w:rsidRDefault="00281F12" w:rsidP="00232B92">
            <w:r w:rsidRPr="005C54B6">
              <w:rPr>
                <w:i/>
              </w:rPr>
              <w:t>Vital Signs 2016</w:t>
            </w:r>
            <w:r>
              <w:t xml:space="preserve"> was released on 2 November 2016.</w:t>
            </w:r>
          </w:p>
          <w:p w:rsidR="00281F12" w:rsidRDefault="00281F12" w:rsidP="00232B92"/>
          <w:p w:rsidR="00281F12" w:rsidRDefault="00281F12" w:rsidP="00232B92">
            <w:r>
              <w:t>Regular newsletters and website publications were released throughout 2016-17.</w:t>
            </w:r>
          </w:p>
        </w:tc>
        <w:tc>
          <w:tcPr>
            <w:tcW w:w="2197" w:type="dxa"/>
            <w:shd w:val="clear" w:color="auto" w:fill="auto"/>
          </w:tcPr>
          <w:p w:rsidR="00281F12" w:rsidRDefault="00281F12" w:rsidP="00232B92">
            <w:pPr>
              <w:rPr>
                <w:i/>
              </w:rPr>
            </w:pPr>
            <w:r>
              <w:t xml:space="preserve">Reporting in the annual report on the state of safety and quality in health care for release by the end of October 2017, in the report for the general public, </w:t>
            </w:r>
            <w:r>
              <w:rPr>
                <w:i/>
              </w:rPr>
              <w:t xml:space="preserve">Vital Signs 2017 </w:t>
            </w:r>
            <w:r w:rsidRPr="005C54B6">
              <w:t>to be rele</w:t>
            </w:r>
            <w:r w:rsidRPr="00281F12">
              <w:t>ased by the end of November 201</w:t>
            </w:r>
            <w:r>
              <w:t>7, and to the general public through regular Commission newsletters and website publications.</w:t>
            </w:r>
          </w:p>
          <w:p w:rsidR="00281F12" w:rsidRDefault="00281F12" w:rsidP="00232B92">
            <w:pPr>
              <w:rPr>
                <w:i/>
              </w:rPr>
            </w:pPr>
          </w:p>
          <w:p w:rsidR="00281F12" w:rsidRPr="005C54B6" w:rsidRDefault="00281F12" w:rsidP="00232B92"/>
        </w:tc>
        <w:tc>
          <w:tcPr>
            <w:tcW w:w="2197" w:type="dxa"/>
            <w:shd w:val="clear" w:color="auto" w:fill="auto"/>
          </w:tcPr>
          <w:p w:rsidR="00281F12" w:rsidRPr="00A92D15" w:rsidRDefault="00281F12" w:rsidP="00281F12">
            <w:r>
              <w:t xml:space="preserve">Reporting in the annual report on the state of safety and quality in health care, in the report for the general public, </w:t>
            </w:r>
            <w:r>
              <w:rPr>
                <w:i/>
              </w:rPr>
              <w:t xml:space="preserve">Vital Signs 2018 </w:t>
            </w:r>
            <w:r w:rsidRPr="005C54B6">
              <w:t>(and future years), and</w:t>
            </w:r>
            <w:r>
              <w:rPr>
                <w:i/>
              </w:rPr>
              <w:t xml:space="preserve"> </w:t>
            </w:r>
            <w:r>
              <w:t xml:space="preserve"> to the general public through regular Commission newsletters and website publications. </w:t>
            </w:r>
          </w:p>
        </w:tc>
      </w:tr>
    </w:tbl>
    <w:p w:rsidR="00A92D15" w:rsidRDefault="00A92D15" w:rsidP="00500B76"/>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968"/>
        <w:gridCol w:w="2197"/>
        <w:gridCol w:w="2197"/>
      </w:tblGrid>
      <w:tr w:rsidR="001111AE" w:rsidTr="00232B92">
        <w:tc>
          <w:tcPr>
            <w:tcW w:w="8330" w:type="dxa"/>
            <w:gridSpan w:val="4"/>
            <w:shd w:val="clear" w:color="auto" w:fill="D9D9D9" w:themeFill="background1" w:themeFillShade="D9"/>
          </w:tcPr>
          <w:p w:rsidR="001111AE" w:rsidRDefault="001111AE" w:rsidP="001111AE">
            <w:r>
              <w:rPr>
                <w:b/>
              </w:rPr>
              <w:t xml:space="preserve">Strategic Priority 3: </w:t>
            </w:r>
            <w:r w:rsidRPr="00500B76">
              <w:rPr>
                <w:b/>
              </w:rPr>
              <w:t>Quality, value and cost</w:t>
            </w:r>
          </w:p>
        </w:tc>
      </w:tr>
      <w:tr w:rsidR="00D5592D" w:rsidRPr="00A779F7" w:rsidTr="00280BA6">
        <w:tc>
          <w:tcPr>
            <w:tcW w:w="1968" w:type="dxa"/>
            <w:shd w:val="clear" w:color="auto" w:fill="D9D9D9" w:themeFill="background1" w:themeFillShade="D9"/>
          </w:tcPr>
          <w:p w:rsidR="00D5592D" w:rsidRPr="00A779F7" w:rsidRDefault="00D5592D" w:rsidP="00232B92">
            <w:r>
              <w:t>Qualitative indicator</w:t>
            </w:r>
          </w:p>
        </w:tc>
        <w:tc>
          <w:tcPr>
            <w:tcW w:w="1968" w:type="dxa"/>
            <w:shd w:val="clear" w:color="auto" w:fill="D9D9D9" w:themeFill="background1" w:themeFillShade="D9"/>
          </w:tcPr>
          <w:p w:rsidR="00D5592D" w:rsidRPr="00A779F7" w:rsidRDefault="00D5592D" w:rsidP="00985FE7">
            <w:r>
              <w:t>2016-17 result</w:t>
            </w:r>
          </w:p>
        </w:tc>
        <w:tc>
          <w:tcPr>
            <w:tcW w:w="2197" w:type="dxa"/>
            <w:shd w:val="clear" w:color="auto" w:fill="D9D9D9" w:themeFill="background1" w:themeFillShade="D9"/>
          </w:tcPr>
          <w:p w:rsidR="00D5592D" w:rsidRPr="00A779F7" w:rsidRDefault="00D5592D" w:rsidP="00D5592D">
            <w:r w:rsidRPr="00A779F7">
              <w:t>201</w:t>
            </w:r>
            <w:r>
              <w:t>7-18 target</w:t>
            </w:r>
          </w:p>
        </w:tc>
        <w:tc>
          <w:tcPr>
            <w:tcW w:w="2197" w:type="dxa"/>
            <w:shd w:val="clear" w:color="auto" w:fill="D9D9D9" w:themeFill="background1" w:themeFillShade="D9"/>
          </w:tcPr>
          <w:p w:rsidR="00D5592D" w:rsidRPr="00A779F7" w:rsidRDefault="00D5592D" w:rsidP="00232B92">
            <w:r>
              <w:t>2018-19 (&amp; beyond) Target</w:t>
            </w:r>
          </w:p>
        </w:tc>
      </w:tr>
      <w:tr w:rsidR="00D5592D" w:rsidRPr="00A92D15" w:rsidTr="00280BA6">
        <w:tc>
          <w:tcPr>
            <w:tcW w:w="1968" w:type="dxa"/>
            <w:shd w:val="clear" w:color="auto" w:fill="auto"/>
          </w:tcPr>
          <w:p w:rsidR="00D5592D" w:rsidRPr="001111AE" w:rsidRDefault="00D5592D" w:rsidP="00232B92">
            <w:r>
              <w:t xml:space="preserve">Production of a second </w:t>
            </w:r>
            <w:r>
              <w:rPr>
                <w:i/>
              </w:rPr>
              <w:t xml:space="preserve">Australian Atlas of Healthcare Variation </w:t>
            </w:r>
            <w:r>
              <w:t xml:space="preserve">covering clinical topic areas agreed by Commonwealth, states and territories. </w:t>
            </w:r>
          </w:p>
        </w:tc>
        <w:tc>
          <w:tcPr>
            <w:tcW w:w="1968" w:type="dxa"/>
            <w:shd w:val="clear" w:color="auto" w:fill="auto"/>
          </w:tcPr>
          <w:p w:rsidR="00D5592D" w:rsidRDefault="00D5592D" w:rsidP="00232B92">
            <w:r>
              <w:t>Disseminated maps of health care variations in Australia for a set of topic areas.</w:t>
            </w:r>
          </w:p>
          <w:p w:rsidR="00D5592D" w:rsidRPr="001111AE" w:rsidRDefault="00D5592D" w:rsidP="00232B92">
            <w:r>
              <w:t>Produced clinical resources focusing on high impact, high burden and high variation areas of care.</w:t>
            </w:r>
          </w:p>
        </w:tc>
        <w:tc>
          <w:tcPr>
            <w:tcW w:w="2197" w:type="dxa"/>
            <w:shd w:val="clear" w:color="auto" w:fill="auto"/>
          </w:tcPr>
          <w:p w:rsidR="00D5592D" w:rsidRDefault="00D5592D" w:rsidP="00D5592D">
            <w:r>
              <w:t>Disseminate maps of health care variations in Australia for a set of topic areas.</w:t>
            </w:r>
          </w:p>
          <w:p w:rsidR="00D5592D" w:rsidRPr="00A92D15" w:rsidRDefault="00D5592D" w:rsidP="00D5592D">
            <w:r>
              <w:t>Production of clinical resources focussing on high impact, high burden and high variation areas of clinical care.</w:t>
            </w:r>
          </w:p>
        </w:tc>
        <w:tc>
          <w:tcPr>
            <w:tcW w:w="2197" w:type="dxa"/>
            <w:shd w:val="clear" w:color="auto" w:fill="auto"/>
          </w:tcPr>
          <w:p w:rsidR="00D5592D" w:rsidRPr="00A92D15" w:rsidRDefault="00D5592D" w:rsidP="00DF1EC3">
            <w:r>
              <w:t>As per 2017-18.</w:t>
            </w:r>
          </w:p>
        </w:tc>
      </w:tr>
      <w:tr w:rsidR="00D5592D" w:rsidRPr="00A92D15" w:rsidTr="00280BA6">
        <w:tc>
          <w:tcPr>
            <w:tcW w:w="1968" w:type="dxa"/>
            <w:shd w:val="clear" w:color="auto" w:fill="auto"/>
          </w:tcPr>
          <w:p w:rsidR="00D5592D" w:rsidRDefault="00D5592D" w:rsidP="001A0EE2">
            <w:r>
              <w:t>Develop Clinical Care Standards for consultation, informed by outcomes from the work on health care variation.</w:t>
            </w:r>
          </w:p>
        </w:tc>
        <w:tc>
          <w:tcPr>
            <w:tcW w:w="1968" w:type="dxa"/>
            <w:shd w:val="clear" w:color="auto" w:fill="auto"/>
          </w:tcPr>
          <w:p w:rsidR="00D5592D" w:rsidRDefault="00D5592D" w:rsidP="001A0EE2">
            <w:r>
              <w:t>Developed Clinical Care Standards for consultation, informed by outcomes from the work on health care variation.</w:t>
            </w:r>
          </w:p>
        </w:tc>
        <w:tc>
          <w:tcPr>
            <w:tcW w:w="2197" w:type="dxa"/>
            <w:shd w:val="clear" w:color="auto" w:fill="auto"/>
          </w:tcPr>
          <w:p w:rsidR="00D5592D" w:rsidRDefault="00D5592D" w:rsidP="00232B92">
            <w:r>
              <w:t xml:space="preserve">Develop Clinical Care Standards for consultation informed by outcomes from the work on health care variation.  </w:t>
            </w:r>
          </w:p>
        </w:tc>
        <w:tc>
          <w:tcPr>
            <w:tcW w:w="2197" w:type="dxa"/>
            <w:shd w:val="clear" w:color="auto" w:fill="auto"/>
          </w:tcPr>
          <w:p w:rsidR="00D5592D" w:rsidRDefault="00D5592D" w:rsidP="00232B92">
            <w:r>
              <w:t>As per 2017-18.</w:t>
            </w:r>
          </w:p>
        </w:tc>
      </w:tr>
    </w:tbl>
    <w:p w:rsidR="001111AE" w:rsidRDefault="001111AE" w:rsidP="00500B76"/>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1721"/>
        <w:gridCol w:w="1195"/>
        <w:gridCol w:w="970"/>
        <w:gridCol w:w="279"/>
        <w:gridCol w:w="692"/>
        <w:gridCol w:w="882"/>
        <w:gridCol w:w="852"/>
        <w:gridCol w:w="18"/>
      </w:tblGrid>
      <w:tr w:rsidR="001111AE" w:rsidRPr="00A779F7" w:rsidTr="00232B92">
        <w:tc>
          <w:tcPr>
            <w:tcW w:w="8330" w:type="dxa"/>
            <w:gridSpan w:val="9"/>
            <w:shd w:val="clear" w:color="auto" w:fill="D9D9D9"/>
          </w:tcPr>
          <w:p w:rsidR="001111AE" w:rsidRPr="00A779F7" w:rsidRDefault="001111AE" w:rsidP="00DF1EC3">
            <w:r>
              <w:rPr>
                <w:b/>
              </w:rPr>
              <w:t xml:space="preserve">Strategic Priority 4: </w:t>
            </w:r>
            <w:r w:rsidRPr="00500B76">
              <w:rPr>
                <w:b/>
              </w:rPr>
              <w:t>Supporting health professionals to provide safe and high</w:t>
            </w:r>
            <w:r w:rsidR="00DF1EC3">
              <w:rPr>
                <w:b/>
              </w:rPr>
              <w:t xml:space="preserve"> </w:t>
            </w:r>
            <w:r w:rsidRPr="00500B76">
              <w:rPr>
                <w:b/>
              </w:rPr>
              <w:t>quality care</w:t>
            </w:r>
          </w:p>
        </w:tc>
      </w:tr>
      <w:tr w:rsidR="00D5592D" w:rsidRPr="00A779F7" w:rsidTr="00280BA6">
        <w:tc>
          <w:tcPr>
            <w:tcW w:w="1721" w:type="dxa"/>
            <w:shd w:val="clear" w:color="auto" w:fill="D9D9D9"/>
          </w:tcPr>
          <w:p w:rsidR="00D5592D" w:rsidRPr="00A779F7" w:rsidRDefault="00D5592D" w:rsidP="00232B92">
            <w:r>
              <w:t>Qualitative indicator</w:t>
            </w:r>
          </w:p>
        </w:tc>
        <w:tc>
          <w:tcPr>
            <w:tcW w:w="1721" w:type="dxa"/>
            <w:shd w:val="clear" w:color="auto" w:fill="D9D9D9"/>
          </w:tcPr>
          <w:p w:rsidR="00D5592D" w:rsidRPr="00A779F7" w:rsidRDefault="00D5592D" w:rsidP="00985FE7">
            <w:r>
              <w:t>2016-17 result</w:t>
            </w:r>
          </w:p>
        </w:tc>
        <w:tc>
          <w:tcPr>
            <w:tcW w:w="2444" w:type="dxa"/>
            <w:gridSpan w:val="3"/>
            <w:shd w:val="clear" w:color="auto" w:fill="D9D9D9"/>
          </w:tcPr>
          <w:p w:rsidR="00D5592D" w:rsidRPr="00A779F7" w:rsidRDefault="00D5592D" w:rsidP="00D5592D">
            <w:r w:rsidRPr="00A779F7">
              <w:t>201</w:t>
            </w:r>
            <w:r>
              <w:t>7-18 Target</w:t>
            </w:r>
          </w:p>
        </w:tc>
        <w:tc>
          <w:tcPr>
            <w:tcW w:w="2444" w:type="dxa"/>
            <w:gridSpan w:val="4"/>
            <w:shd w:val="clear" w:color="auto" w:fill="D9D9D9"/>
          </w:tcPr>
          <w:p w:rsidR="00D5592D" w:rsidRPr="00A779F7" w:rsidRDefault="00D5592D" w:rsidP="00232B92">
            <w:r>
              <w:t>2018-19 (&amp; beyond) Target</w:t>
            </w:r>
          </w:p>
        </w:tc>
      </w:tr>
      <w:tr w:rsidR="00D5592D" w:rsidRPr="00EB5F83" w:rsidTr="00280BA6">
        <w:tc>
          <w:tcPr>
            <w:tcW w:w="1721" w:type="dxa"/>
            <w:shd w:val="clear" w:color="auto" w:fill="auto"/>
          </w:tcPr>
          <w:p w:rsidR="00D5592D" w:rsidRPr="00EB5F83" w:rsidRDefault="00D5592D" w:rsidP="00D5592D">
            <w:r>
              <w:t xml:space="preserve">Provide safety and quality information and resources to health professionals.  </w:t>
            </w:r>
          </w:p>
        </w:tc>
        <w:tc>
          <w:tcPr>
            <w:tcW w:w="1721" w:type="dxa"/>
            <w:shd w:val="clear" w:color="auto" w:fill="auto"/>
          </w:tcPr>
          <w:p w:rsidR="00D5592D" w:rsidRPr="00EB5F83" w:rsidRDefault="00D5592D" w:rsidP="00232B92">
            <w:r>
              <w:t xml:space="preserve">Provided  safety and quality information and resources to health professionals such as: clinical care standards; medication charts; antimicrobial use and resistance data; and audit tools.  </w:t>
            </w:r>
          </w:p>
        </w:tc>
        <w:tc>
          <w:tcPr>
            <w:tcW w:w="2444" w:type="dxa"/>
            <w:gridSpan w:val="3"/>
            <w:shd w:val="clear" w:color="auto" w:fill="auto"/>
          </w:tcPr>
          <w:p w:rsidR="00D5592D" w:rsidRPr="00EB5F83" w:rsidRDefault="00D5592D" w:rsidP="005B58F8">
            <w:r>
              <w:t xml:space="preserve">Provide safety and quality information and resources to health professionals such as: clinical care standards; medication charts; antimicrobial use and resistance data; and audit tools.   </w:t>
            </w:r>
          </w:p>
        </w:tc>
        <w:tc>
          <w:tcPr>
            <w:tcW w:w="2444" w:type="dxa"/>
            <w:gridSpan w:val="4"/>
            <w:shd w:val="clear" w:color="auto" w:fill="auto"/>
          </w:tcPr>
          <w:p w:rsidR="00D5592D" w:rsidRPr="00EB5F83" w:rsidRDefault="00D5592D" w:rsidP="005B58F8">
            <w:r>
              <w:t>As per 2017-18.</w:t>
            </w:r>
          </w:p>
        </w:tc>
      </w:tr>
      <w:tr w:rsidR="00D5592D" w:rsidRPr="00A779F7" w:rsidTr="00D5592D">
        <w:trPr>
          <w:gridAfter w:val="1"/>
          <w:wAfter w:w="18" w:type="dxa"/>
        </w:trPr>
        <w:tc>
          <w:tcPr>
            <w:tcW w:w="3442" w:type="dxa"/>
            <w:gridSpan w:val="2"/>
            <w:shd w:val="clear" w:color="auto" w:fill="D9D9D9"/>
          </w:tcPr>
          <w:p w:rsidR="006D12D1" w:rsidRPr="00A779F7" w:rsidRDefault="006D12D1" w:rsidP="00547E16">
            <w:r w:rsidRPr="00A779F7">
              <w:t xml:space="preserve">Quantitative </w:t>
            </w:r>
            <w:r>
              <w:t>i</w:t>
            </w:r>
            <w:r w:rsidRPr="00A779F7">
              <w:t>ndicators</w:t>
            </w:r>
          </w:p>
        </w:tc>
        <w:tc>
          <w:tcPr>
            <w:tcW w:w="1195" w:type="dxa"/>
            <w:shd w:val="clear" w:color="auto" w:fill="D9D9D9"/>
          </w:tcPr>
          <w:p w:rsidR="006D12D1" w:rsidRPr="00A779F7" w:rsidRDefault="006D12D1" w:rsidP="00985FE7">
            <w:r w:rsidRPr="00A779F7">
              <w:t>201</w:t>
            </w:r>
            <w:r>
              <w:t>6-17</w:t>
            </w:r>
            <w:r w:rsidR="00D5592D">
              <w:t xml:space="preserve"> result</w:t>
            </w:r>
          </w:p>
        </w:tc>
        <w:tc>
          <w:tcPr>
            <w:tcW w:w="970" w:type="dxa"/>
            <w:shd w:val="clear" w:color="auto" w:fill="D9D9D9"/>
          </w:tcPr>
          <w:p w:rsidR="006D12D1" w:rsidRPr="00A779F7" w:rsidRDefault="006D12D1" w:rsidP="00547E16">
            <w:r w:rsidRPr="00A779F7">
              <w:t>201</w:t>
            </w:r>
            <w:r>
              <w:t>7-18</w:t>
            </w:r>
            <w:r w:rsidR="00D5592D">
              <w:t xml:space="preserve"> Target</w:t>
            </w:r>
          </w:p>
        </w:tc>
        <w:tc>
          <w:tcPr>
            <w:tcW w:w="971" w:type="dxa"/>
            <w:gridSpan w:val="2"/>
            <w:shd w:val="clear" w:color="auto" w:fill="D9D9D9"/>
          </w:tcPr>
          <w:p w:rsidR="006D12D1" w:rsidRPr="00A779F7" w:rsidRDefault="006D12D1" w:rsidP="00547E16">
            <w:r w:rsidRPr="00A779F7">
              <w:t>201</w:t>
            </w:r>
            <w:r>
              <w:t>8-19</w:t>
            </w:r>
            <w:r w:rsidR="00D5592D">
              <w:t xml:space="preserve"> Target</w:t>
            </w:r>
          </w:p>
        </w:tc>
        <w:tc>
          <w:tcPr>
            <w:tcW w:w="882" w:type="dxa"/>
            <w:shd w:val="clear" w:color="auto" w:fill="D9D9D9"/>
          </w:tcPr>
          <w:p w:rsidR="006D12D1" w:rsidRPr="00A779F7" w:rsidRDefault="006D12D1" w:rsidP="00547E16">
            <w:r w:rsidRPr="00A779F7">
              <w:t>201</w:t>
            </w:r>
            <w:r>
              <w:t>9-20</w:t>
            </w:r>
            <w:r w:rsidR="00D5592D">
              <w:t xml:space="preserve"> Target</w:t>
            </w:r>
          </w:p>
        </w:tc>
        <w:tc>
          <w:tcPr>
            <w:tcW w:w="852" w:type="dxa"/>
            <w:shd w:val="clear" w:color="auto" w:fill="D9D9D9"/>
          </w:tcPr>
          <w:p w:rsidR="006D12D1" w:rsidRPr="00A779F7" w:rsidRDefault="006D12D1" w:rsidP="00547E16">
            <w:r>
              <w:t>2020-21</w:t>
            </w:r>
            <w:r w:rsidR="00D5592D">
              <w:t xml:space="preserve"> Target</w:t>
            </w:r>
          </w:p>
        </w:tc>
      </w:tr>
      <w:tr w:rsidR="00D5592D" w:rsidRPr="00EB5F83" w:rsidTr="00D5592D">
        <w:trPr>
          <w:gridAfter w:val="1"/>
          <w:wAfter w:w="18" w:type="dxa"/>
        </w:trPr>
        <w:tc>
          <w:tcPr>
            <w:tcW w:w="3442" w:type="dxa"/>
            <w:gridSpan w:val="2"/>
            <w:shd w:val="clear" w:color="auto" w:fill="auto"/>
          </w:tcPr>
          <w:p w:rsidR="006D12D1" w:rsidRPr="00EB5F83" w:rsidRDefault="006D12D1" w:rsidP="00547E16">
            <w:r>
              <w:t>Condition specific clinical indicator sets developed</w:t>
            </w:r>
          </w:p>
        </w:tc>
        <w:tc>
          <w:tcPr>
            <w:tcW w:w="1195" w:type="dxa"/>
            <w:shd w:val="clear" w:color="auto" w:fill="auto"/>
          </w:tcPr>
          <w:p w:rsidR="006D12D1" w:rsidRPr="00EB5F83" w:rsidRDefault="006D12D1" w:rsidP="00547E16">
            <w:r>
              <w:t>2</w:t>
            </w:r>
          </w:p>
        </w:tc>
        <w:tc>
          <w:tcPr>
            <w:tcW w:w="970" w:type="dxa"/>
            <w:shd w:val="clear" w:color="auto" w:fill="auto"/>
          </w:tcPr>
          <w:p w:rsidR="006D12D1" w:rsidRPr="00EB5F83" w:rsidRDefault="006D12D1" w:rsidP="00547E16">
            <w:r>
              <w:t>2</w:t>
            </w:r>
          </w:p>
        </w:tc>
        <w:tc>
          <w:tcPr>
            <w:tcW w:w="971" w:type="dxa"/>
            <w:gridSpan w:val="2"/>
            <w:shd w:val="clear" w:color="auto" w:fill="auto"/>
          </w:tcPr>
          <w:p w:rsidR="006D12D1" w:rsidRPr="00EB5F83" w:rsidRDefault="006D12D1" w:rsidP="00547E16">
            <w:r>
              <w:t>3</w:t>
            </w:r>
          </w:p>
        </w:tc>
        <w:tc>
          <w:tcPr>
            <w:tcW w:w="882" w:type="dxa"/>
            <w:shd w:val="clear" w:color="auto" w:fill="auto"/>
          </w:tcPr>
          <w:p w:rsidR="006D12D1" w:rsidRPr="00EB5F83" w:rsidRDefault="006D12D1" w:rsidP="00547E16">
            <w:r>
              <w:t>3</w:t>
            </w:r>
          </w:p>
        </w:tc>
        <w:tc>
          <w:tcPr>
            <w:tcW w:w="852" w:type="dxa"/>
            <w:shd w:val="clear" w:color="auto" w:fill="auto"/>
          </w:tcPr>
          <w:p w:rsidR="006D12D1" w:rsidRPr="00EB5F83" w:rsidRDefault="006D12D1" w:rsidP="00547E16">
            <w:r>
              <w:t>3</w:t>
            </w:r>
          </w:p>
        </w:tc>
      </w:tr>
    </w:tbl>
    <w:p w:rsidR="001111AE" w:rsidRDefault="001111AE" w:rsidP="00500B76"/>
    <w:p w:rsidR="0018515C" w:rsidRPr="003D23F4" w:rsidRDefault="0018515C" w:rsidP="005233B1">
      <w:pPr>
        <w:pStyle w:val="Heading4"/>
        <w:keepNext/>
        <w:spacing w:before="240"/>
      </w:pPr>
      <w:r>
        <w:t>NSQHS Standards</w:t>
      </w:r>
    </w:p>
    <w:p w:rsidR="0018515C" w:rsidRPr="00290A13" w:rsidRDefault="0018515C" w:rsidP="00E04D12">
      <w:pPr>
        <w:rPr>
          <w:rFonts w:eastAsia="MS Mincho"/>
        </w:rPr>
      </w:pPr>
      <w:r w:rsidRPr="00290A13">
        <w:rPr>
          <w:rFonts w:eastAsia="MS Mincho"/>
        </w:rPr>
        <w:t>There are</w:t>
      </w:r>
      <w:r w:rsidR="00DF1EC3">
        <w:rPr>
          <w:rFonts w:eastAsia="MS Mincho"/>
        </w:rPr>
        <w:t xml:space="preserve"> currently nine</w:t>
      </w:r>
      <w:r w:rsidRPr="00290A13">
        <w:rPr>
          <w:rFonts w:eastAsia="MS Mincho"/>
        </w:rPr>
        <w:t xml:space="preserve"> approved accrediting agencies within Australia </w:t>
      </w:r>
      <w:r w:rsidR="00D75A35">
        <w:rPr>
          <w:rFonts w:eastAsia="MS Mincho"/>
        </w:rPr>
        <w:t>that</w:t>
      </w:r>
      <w:r w:rsidR="00D75A35" w:rsidRPr="00290A13">
        <w:rPr>
          <w:rFonts w:eastAsia="MS Mincho"/>
        </w:rPr>
        <w:t xml:space="preserve"> </w:t>
      </w:r>
      <w:r w:rsidRPr="00290A13">
        <w:rPr>
          <w:rFonts w:eastAsia="MS Mincho"/>
        </w:rPr>
        <w:t>report monthly to the Commission on accreditation results against the NSQHS Standards. The Commission uses the data to track and monitor the percentage of required hospitals and day procedure</w:t>
      </w:r>
      <w:r w:rsidR="00DF1EC3">
        <w:rPr>
          <w:rFonts w:eastAsia="MS Mincho"/>
        </w:rPr>
        <w:t xml:space="preserve"> services</w:t>
      </w:r>
      <w:r w:rsidRPr="00290A13">
        <w:rPr>
          <w:rFonts w:eastAsia="MS Mincho"/>
        </w:rPr>
        <w:t xml:space="preserve"> that have been assessed against the NSQHS Standards. </w:t>
      </w:r>
      <w:r w:rsidR="00D75A35">
        <w:rPr>
          <w:rFonts w:eastAsia="MS Mincho"/>
        </w:rPr>
        <w:t>A</w:t>
      </w:r>
      <w:r w:rsidR="00D75A35" w:rsidRPr="00290A13">
        <w:rPr>
          <w:rFonts w:eastAsia="MS Mincho"/>
        </w:rPr>
        <w:t>t each Board meeting</w:t>
      </w:r>
      <w:r w:rsidR="00D75A35">
        <w:rPr>
          <w:rFonts w:eastAsia="MS Mincho"/>
        </w:rPr>
        <w:t>, t</w:t>
      </w:r>
      <w:r w:rsidRPr="00290A13">
        <w:rPr>
          <w:rFonts w:eastAsia="MS Mincho"/>
        </w:rPr>
        <w:t xml:space="preserve">he Board is provided with a report </w:t>
      </w:r>
      <w:r w:rsidR="00D75A35">
        <w:rPr>
          <w:rFonts w:eastAsia="MS Mincho"/>
        </w:rPr>
        <w:t>that</w:t>
      </w:r>
      <w:r w:rsidRPr="00290A13">
        <w:rPr>
          <w:rFonts w:eastAsia="MS Mincho"/>
        </w:rPr>
        <w:t xml:space="preserve"> details the percentage of health services that have been accredited.</w:t>
      </w:r>
    </w:p>
    <w:p w:rsidR="0018515C" w:rsidRPr="003D23F4" w:rsidRDefault="0018515C" w:rsidP="005233B1">
      <w:pPr>
        <w:pStyle w:val="Heading4"/>
        <w:keepNext/>
        <w:spacing w:before="240"/>
      </w:pPr>
      <w:r>
        <w:t>H</w:t>
      </w:r>
      <w:r w:rsidRPr="003D23F4">
        <w:t>and hygiene compliance</w:t>
      </w:r>
    </w:p>
    <w:p w:rsidR="0018515C" w:rsidRDefault="0018515C" w:rsidP="00E04D12">
      <w:pPr>
        <w:rPr>
          <w:rFonts w:eastAsia="MS Mincho"/>
        </w:rPr>
      </w:pPr>
      <w:r w:rsidRPr="00290A13">
        <w:rPr>
          <w:rFonts w:eastAsia="MS Mincho"/>
        </w:rPr>
        <w:t xml:space="preserve">The Commission </w:t>
      </w:r>
      <w:r>
        <w:rPr>
          <w:rFonts w:eastAsia="MS Mincho"/>
        </w:rPr>
        <w:t xml:space="preserve">has </w:t>
      </w:r>
      <w:r w:rsidRPr="00290A13">
        <w:rPr>
          <w:rFonts w:eastAsia="MS Mincho"/>
        </w:rPr>
        <w:t>engaged Hand Hygiene Australia to implement the National Hand Hygiene Initiative. Hand Hygiene Australia report</w:t>
      </w:r>
      <w:r w:rsidR="00D75A35">
        <w:rPr>
          <w:rFonts w:eastAsia="MS Mincho"/>
        </w:rPr>
        <w:t>s</w:t>
      </w:r>
      <w:r w:rsidRPr="00290A13">
        <w:rPr>
          <w:rFonts w:eastAsia="MS Mincho"/>
        </w:rPr>
        <w:t xml:space="preserve"> data quarterly to the Commission on hand hygiene compliance rates, including the percentage of public hospitals meeting the benchmark. </w:t>
      </w:r>
    </w:p>
    <w:p w:rsidR="0018515C" w:rsidRPr="003D23F4" w:rsidRDefault="0018515C" w:rsidP="005233B1">
      <w:pPr>
        <w:pStyle w:val="Heading4"/>
        <w:keepNext/>
        <w:spacing w:before="240"/>
      </w:pPr>
      <w:r>
        <w:t xml:space="preserve">Online education </w:t>
      </w:r>
      <w:r w:rsidRPr="003D23F4">
        <w:t>modules</w:t>
      </w:r>
    </w:p>
    <w:p w:rsidR="00206DA7" w:rsidRDefault="0018515C" w:rsidP="00991EDD">
      <w:r w:rsidRPr="00290A13">
        <w:rPr>
          <w:rFonts w:eastAsia="MS Mincho"/>
        </w:rPr>
        <w:t xml:space="preserve">The Commission’s healthcare associated infection online education modules are hosted by E3learning. Clinicians register for the online modules using an email address </w:t>
      </w:r>
      <w:r w:rsidR="001A0EE2">
        <w:rPr>
          <w:rFonts w:eastAsia="MS Mincho"/>
        </w:rPr>
        <w:t>that</w:t>
      </w:r>
      <w:r w:rsidRPr="00290A13">
        <w:rPr>
          <w:rFonts w:eastAsia="MS Mincho"/>
        </w:rPr>
        <w:t xml:space="preserve"> identifies them within the system. Commission staff have access to the E3learning portal and generate comprehensive reports on the number o</w:t>
      </w:r>
      <w:r w:rsidR="002F3735">
        <w:rPr>
          <w:rFonts w:eastAsia="MS Mincho"/>
        </w:rPr>
        <w:t>f</w:t>
      </w:r>
      <w:r w:rsidRPr="00290A13">
        <w:rPr>
          <w:rFonts w:eastAsia="MS Mincho"/>
        </w:rPr>
        <w:t xml:space="preserve"> clinicians </w:t>
      </w:r>
      <w:r w:rsidR="002F3735">
        <w:rPr>
          <w:rFonts w:eastAsia="MS Mincho"/>
        </w:rPr>
        <w:t>who</w:t>
      </w:r>
      <w:r w:rsidR="002F3735" w:rsidRPr="00290A13">
        <w:rPr>
          <w:rFonts w:eastAsia="MS Mincho"/>
        </w:rPr>
        <w:t xml:space="preserve"> </w:t>
      </w:r>
      <w:r w:rsidRPr="00290A13">
        <w:rPr>
          <w:rFonts w:eastAsia="MS Mincho"/>
        </w:rPr>
        <w:t xml:space="preserve">have registered for the online modules within a specified timeframe. </w:t>
      </w:r>
    </w:p>
    <w:p w:rsidR="005C54B6" w:rsidRDefault="005C54B6">
      <w:pPr>
        <w:spacing w:after="0" w:line="240" w:lineRule="auto"/>
        <w:rPr>
          <w:rFonts w:cs="Arial"/>
          <w:b/>
          <w:bCs/>
          <w:i/>
          <w:iCs/>
          <w:szCs w:val="28"/>
        </w:rPr>
      </w:pPr>
      <w:bookmarkStart w:id="27" w:name="_Toc483397757"/>
      <w:r>
        <w:br w:type="page"/>
      </w:r>
    </w:p>
    <w:p w:rsidR="0067426A" w:rsidRDefault="00433FE1" w:rsidP="005233B1">
      <w:pPr>
        <w:pStyle w:val="Heading2"/>
        <w:spacing w:after="120"/>
      </w:pPr>
      <w:r>
        <w:t>Key deliverables</w:t>
      </w:r>
      <w:bookmarkEnd w:id="27"/>
    </w:p>
    <w:p w:rsidR="005C54B6" w:rsidRDefault="0018515C" w:rsidP="00E04D12">
      <w:r>
        <w:t xml:space="preserve">In addition to its </w:t>
      </w:r>
      <w:r w:rsidR="002F3735">
        <w:t>key performance indicator</w:t>
      </w:r>
      <w:r>
        <w:t xml:space="preserve">s, the Commission has key deliverables over the </w:t>
      </w:r>
      <w:r w:rsidR="002F3735">
        <w:t xml:space="preserve">coming </w:t>
      </w:r>
      <w:r>
        <w:t xml:space="preserve">four year period. </w:t>
      </w:r>
    </w:p>
    <w:tbl>
      <w:tblPr>
        <w:tblStyle w:val="TableGrid"/>
        <w:tblW w:w="9639" w:type="dxa"/>
        <w:tblInd w:w="108" w:type="dxa"/>
        <w:tblLook w:val="04A0" w:firstRow="1" w:lastRow="0" w:firstColumn="1" w:lastColumn="0" w:noHBand="0" w:noVBand="1"/>
      </w:tblPr>
      <w:tblGrid>
        <w:gridCol w:w="622"/>
        <w:gridCol w:w="2213"/>
        <w:gridCol w:w="2410"/>
        <w:gridCol w:w="2248"/>
        <w:gridCol w:w="2146"/>
      </w:tblGrid>
      <w:tr w:rsidR="005C54B6" w:rsidTr="005C54B6">
        <w:tc>
          <w:tcPr>
            <w:tcW w:w="622" w:type="dxa"/>
            <w:shd w:val="clear" w:color="auto" w:fill="A6A6A6" w:themeFill="background1" w:themeFillShade="A6"/>
          </w:tcPr>
          <w:p w:rsidR="00175893" w:rsidRPr="00E01829" w:rsidRDefault="00175893" w:rsidP="00500B76">
            <w:pPr>
              <w:rPr>
                <w:rFonts w:cs="Arial"/>
                <w:szCs w:val="22"/>
              </w:rPr>
            </w:pPr>
          </w:p>
        </w:tc>
        <w:tc>
          <w:tcPr>
            <w:tcW w:w="2213" w:type="dxa"/>
            <w:shd w:val="clear" w:color="auto" w:fill="D9D9D9" w:themeFill="background1" w:themeFillShade="D9"/>
          </w:tcPr>
          <w:p w:rsidR="00175893" w:rsidRPr="00E01829" w:rsidRDefault="00175893" w:rsidP="00232B92">
            <w:pPr>
              <w:rPr>
                <w:rFonts w:cs="Arial"/>
                <w:szCs w:val="22"/>
              </w:rPr>
            </w:pPr>
            <w:r w:rsidRPr="00E01829">
              <w:rPr>
                <w:rFonts w:cs="Arial"/>
                <w:szCs w:val="22"/>
              </w:rPr>
              <w:t>2017-18</w:t>
            </w:r>
          </w:p>
        </w:tc>
        <w:tc>
          <w:tcPr>
            <w:tcW w:w="2410" w:type="dxa"/>
            <w:shd w:val="clear" w:color="auto" w:fill="D9D9D9" w:themeFill="background1" w:themeFillShade="D9"/>
          </w:tcPr>
          <w:p w:rsidR="00175893" w:rsidRPr="00E01829" w:rsidRDefault="00175893" w:rsidP="00232B92">
            <w:pPr>
              <w:rPr>
                <w:rFonts w:cs="Arial"/>
                <w:szCs w:val="22"/>
              </w:rPr>
            </w:pPr>
            <w:r w:rsidRPr="00E01829">
              <w:rPr>
                <w:rFonts w:cs="Arial"/>
                <w:szCs w:val="22"/>
              </w:rPr>
              <w:t>2018-19</w:t>
            </w:r>
          </w:p>
        </w:tc>
        <w:tc>
          <w:tcPr>
            <w:tcW w:w="2248" w:type="dxa"/>
            <w:shd w:val="clear" w:color="auto" w:fill="D9D9D9" w:themeFill="background1" w:themeFillShade="D9"/>
          </w:tcPr>
          <w:p w:rsidR="00175893" w:rsidRPr="00E01829" w:rsidRDefault="00175893" w:rsidP="00232B92">
            <w:pPr>
              <w:rPr>
                <w:rFonts w:cs="Arial"/>
                <w:szCs w:val="22"/>
              </w:rPr>
            </w:pPr>
            <w:r w:rsidRPr="00E01829">
              <w:rPr>
                <w:rFonts w:cs="Arial"/>
                <w:szCs w:val="22"/>
              </w:rPr>
              <w:t>2019-20</w:t>
            </w:r>
          </w:p>
        </w:tc>
        <w:tc>
          <w:tcPr>
            <w:tcW w:w="2146" w:type="dxa"/>
            <w:shd w:val="clear" w:color="auto" w:fill="D9D9D9" w:themeFill="background1" w:themeFillShade="D9"/>
          </w:tcPr>
          <w:p w:rsidR="00175893" w:rsidRPr="00E01829" w:rsidRDefault="00175893" w:rsidP="00232B92">
            <w:pPr>
              <w:rPr>
                <w:rFonts w:cs="Arial"/>
                <w:szCs w:val="22"/>
              </w:rPr>
            </w:pPr>
            <w:r>
              <w:rPr>
                <w:rFonts w:cs="Arial"/>
                <w:szCs w:val="22"/>
              </w:rPr>
              <w:t>2020-21</w:t>
            </w:r>
          </w:p>
        </w:tc>
      </w:tr>
      <w:tr w:rsidR="00821EF1" w:rsidTr="005C54B6">
        <w:trPr>
          <w:cantSplit/>
          <w:trHeight w:val="1134"/>
        </w:trPr>
        <w:tc>
          <w:tcPr>
            <w:tcW w:w="622" w:type="dxa"/>
            <w:shd w:val="clear" w:color="auto" w:fill="DBE5F1" w:themeFill="accent1" w:themeFillTint="33"/>
            <w:textDirection w:val="btLr"/>
          </w:tcPr>
          <w:p w:rsidR="00175893" w:rsidRPr="00E01829" w:rsidRDefault="00175893" w:rsidP="00666D48">
            <w:pPr>
              <w:jc w:val="center"/>
              <w:rPr>
                <w:rFonts w:cs="Arial"/>
                <w:szCs w:val="22"/>
              </w:rPr>
            </w:pPr>
            <w:r w:rsidRPr="00E01829">
              <w:rPr>
                <w:rFonts w:cs="Arial"/>
                <w:szCs w:val="22"/>
              </w:rPr>
              <w:t>Priority 1</w:t>
            </w:r>
          </w:p>
        </w:tc>
        <w:tc>
          <w:tcPr>
            <w:tcW w:w="2213" w:type="dxa"/>
          </w:tcPr>
          <w:p w:rsidR="00175893" w:rsidRDefault="00821EF1" w:rsidP="00821EF1">
            <w:pPr>
              <w:rPr>
                <w:rFonts w:cs="Arial"/>
                <w:szCs w:val="22"/>
              </w:rPr>
            </w:pPr>
            <w:r>
              <w:rPr>
                <w:rFonts w:cs="Arial"/>
                <w:szCs w:val="22"/>
              </w:rPr>
              <w:t>Release resources to s</w:t>
            </w:r>
            <w:r w:rsidR="00175893" w:rsidRPr="00E01829">
              <w:rPr>
                <w:rFonts w:cs="Arial"/>
                <w:szCs w:val="22"/>
              </w:rPr>
              <w:t xml:space="preserve">upport </w:t>
            </w:r>
            <w:r>
              <w:rPr>
                <w:rFonts w:cs="Arial"/>
                <w:szCs w:val="22"/>
              </w:rPr>
              <w:t>the</w:t>
            </w:r>
            <w:r w:rsidRPr="00E01829">
              <w:rPr>
                <w:rFonts w:cs="Arial"/>
                <w:szCs w:val="22"/>
              </w:rPr>
              <w:t xml:space="preserve"> </w:t>
            </w:r>
            <w:r w:rsidR="00175893" w:rsidRPr="00E01829">
              <w:rPr>
                <w:rFonts w:cs="Arial"/>
                <w:szCs w:val="22"/>
              </w:rPr>
              <w:t>implement</w:t>
            </w:r>
            <w:r>
              <w:rPr>
                <w:rFonts w:cs="Arial"/>
                <w:szCs w:val="22"/>
              </w:rPr>
              <w:t>ation of</w:t>
            </w:r>
            <w:r w:rsidR="00175893" w:rsidRPr="00E01829">
              <w:rPr>
                <w:rFonts w:cs="Arial"/>
                <w:szCs w:val="22"/>
              </w:rPr>
              <w:t xml:space="preserve"> the NSQHS Standards</w:t>
            </w:r>
            <w:r>
              <w:rPr>
                <w:rFonts w:cs="Arial"/>
                <w:szCs w:val="22"/>
              </w:rPr>
              <w:t xml:space="preserve"> (second edition)</w:t>
            </w:r>
            <w:r w:rsidR="00175893" w:rsidRPr="00E01829">
              <w:rPr>
                <w:rFonts w:cs="Arial"/>
                <w:szCs w:val="22"/>
              </w:rPr>
              <w:t>, with information sessions for health service organisations, training for accrediting agencies and assessors</w:t>
            </w:r>
          </w:p>
          <w:p w:rsidR="00821EF1" w:rsidRDefault="00821EF1" w:rsidP="00821EF1">
            <w:pPr>
              <w:rPr>
                <w:rFonts w:cs="Arial"/>
                <w:szCs w:val="22"/>
              </w:rPr>
            </w:pPr>
          </w:p>
          <w:p w:rsidR="00821EF1" w:rsidRDefault="00821EF1" w:rsidP="00821EF1">
            <w:pPr>
              <w:rPr>
                <w:rFonts w:cs="Arial"/>
                <w:szCs w:val="22"/>
              </w:rPr>
            </w:pPr>
            <w:r>
              <w:rPr>
                <w:rFonts w:cs="Arial"/>
                <w:szCs w:val="22"/>
              </w:rPr>
              <w:t xml:space="preserve">Develop an interactive online resource to provide information for clinicians and others on the </w:t>
            </w:r>
            <w:r w:rsidRPr="00E01829">
              <w:rPr>
                <w:rFonts w:cs="Arial"/>
                <w:szCs w:val="22"/>
              </w:rPr>
              <w:t>NSQHS Standards</w:t>
            </w:r>
            <w:r>
              <w:rPr>
                <w:rFonts w:cs="Arial"/>
                <w:szCs w:val="22"/>
              </w:rPr>
              <w:t xml:space="preserve"> (second edition)</w:t>
            </w:r>
          </w:p>
          <w:p w:rsidR="00C02D9C" w:rsidRDefault="00C02D9C" w:rsidP="00821EF1">
            <w:pPr>
              <w:rPr>
                <w:rFonts w:cs="Arial"/>
                <w:szCs w:val="22"/>
              </w:rPr>
            </w:pPr>
          </w:p>
          <w:p w:rsidR="00C02D9C" w:rsidRPr="00E01829" w:rsidRDefault="00C02D9C" w:rsidP="00821EF1">
            <w:pPr>
              <w:rPr>
                <w:rFonts w:cs="Arial"/>
                <w:szCs w:val="22"/>
              </w:rPr>
            </w:pPr>
          </w:p>
        </w:tc>
        <w:tc>
          <w:tcPr>
            <w:tcW w:w="2410" w:type="dxa"/>
          </w:tcPr>
          <w:p w:rsidR="00175893" w:rsidRPr="00E01829" w:rsidRDefault="00175893" w:rsidP="0040599A">
            <w:pPr>
              <w:rPr>
                <w:rFonts w:cs="Arial"/>
                <w:szCs w:val="22"/>
              </w:rPr>
            </w:pPr>
            <w:r w:rsidRPr="00E01829">
              <w:rPr>
                <w:rFonts w:cs="Arial"/>
                <w:szCs w:val="22"/>
              </w:rPr>
              <w:t>Develop specialist resources for implementation of the NSQHS Standards including:</w:t>
            </w:r>
          </w:p>
          <w:p w:rsidR="00175893" w:rsidRPr="00E01829" w:rsidRDefault="00175893" w:rsidP="0040599A">
            <w:pPr>
              <w:numPr>
                <w:ilvl w:val="0"/>
                <w:numId w:val="35"/>
              </w:numPr>
              <w:rPr>
                <w:rFonts w:cs="Arial"/>
                <w:szCs w:val="22"/>
              </w:rPr>
            </w:pPr>
            <w:r w:rsidRPr="00E01829">
              <w:rPr>
                <w:rFonts w:cs="Arial"/>
                <w:szCs w:val="22"/>
              </w:rPr>
              <w:t>LGBTQI</w:t>
            </w:r>
          </w:p>
          <w:p w:rsidR="00175893" w:rsidRPr="00E01829" w:rsidRDefault="00175893" w:rsidP="0040599A">
            <w:pPr>
              <w:numPr>
                <w:ilvl w:val="0"/>
                <w:numId w:val="35"/>
              </w:numPr>
              <w:rPr>
                <w:rFonts w:cs="Arial"/>
                <w:szCs w:val="22"/>
              </w:rPr>
            </w:pPr>
            <w:r w:rsidRPr="00E01829">
              <w:rPr>
                <w:rFonts w:cs="Arial"/>
                <w:szCs w:val="22"/>
              </w:rPr>
              <w:t>CALD</w:t>
            </w:r>
          </w:p>
          <w:p w:rsidR="00821EF1" w:rsidRDefault="00821EF1" w:rsidP="0040599A">
            <w:pPr>
              <w:numPr>
                <w:ilvl w:val="0"/>
                <w:numId w:val="35"/>
              </w:numPr>
              <w:rPr>
                <w:rFonts w:cs="Arial"/>
                <w:szCs w:val="22"/>
              </w:rPr>
            </w:pPr>
            <w:r>
              <w:rPr>
                <w:rFonts w:cs="Arial"/>
                <w:szCs w:val="22"/>
              </w:rPr>
              <w:t>Prison health</w:t>
            </w:r>
          </w:p>
          <w:p w:rsidR="00175893" w:rsidRDefault="00821EF1" w:rsidP="0040599A">
            <w:pPr>
              <w:numPr>
                <w:ilvl w:val="0"/>
                <w:numId w:val="35"/>
              </w:numPr>
              <w:rPr>
                <w:rFonts w:cs="Arial"/>
                <w:szCs w:val="22"/>
              </w:rPr>
            </w:pPr>
            <w:r>
              <w:rPr>
                <w:rFonts w:cs="Arial"/>
                <w:szCs w:val="22"/>
              </w:rPr>
              <w:t>Transport Services</w:t>
            </w:r>
          </w:p>
          <w:p w:rsidR="00C02D9C" w:rsidRPr="00E01829" w:rsidRDefault="00C02D9C" w:rsidP="0040599A">
            <w:pPr>
              <w:numPr>
                <w:ilvl w:val="0"/>
                <w:numId w:val="35"/>
              </w:numPr>
              <w:rPr>
                <w:rFonts w:cs="Arial"/>
                <w:szCs w:val="22"/>
              </w:rPr>
            </w:pPr>
            <w:r>
              <w:rPr>
                <w:rFonts w:cs="Arial"/>
                <w:szCs w:val="22"/>
              </w:rPr>
              <w:t>Mental health</w:t>
            </w:r>
          </w:p>
          <w:p w:rsidR="00175893" w:rsidRDefault="00175893" w:rsidP="00547E16">
            <w:pPr>
              <w:rPr>
                <w:rFonts w:cs="Arial"/>
                <w:szCs w:val="22"/>
              </w:rPr>
            </w:pPr>
          </w:p>
          <w:p w:rsidR="00C02D9C" w:rsidRPr="00E01829" w:rsidRDefault="00C02D9C" w:rsidP="00547E16">
            <w:pPr>
              <w:rPr>
                <w:rFonts w:cs="Arial"/>
                <w:szCs w:val="22"/>
              </w:rPr>
            </w:pPr>
          </w:p>
        </w:tc>
        <w:tc>
          <w:tcPr>
            <w:tcW w:w="2248" w:type="dxa"/>
          </w:tcPr>
          <w:p w:rsidR="00175893" w:rsidRDefault="00821EF1" w:rsidP="00D75A35">
            <w:pPr>
              <w:rPr>
                <w:rFonts w:cs="Arial"/>
                <w:szCs w:val="22"/>
              </w:rPr>
            </w:pPr>
            <w:r>
              <w:rPr>
                <w:rFonts w:cs="Arial"/>
                <w:szCs w:val="22"/>
              </w:rPr>
              <w:t xml:space="preserve">Develop further specialist resources as needed to address issues identified during the implementation of the </w:t>
            </w:r>
            <w:r w:rsidRPr="00E01829">
              <w:rPr>
                <w:rFonts w:cs="Arial"/>
                <w:szCs w:val="22"/>
              </w:rPr>
              <w:t>NSQHS Standards</w:t>
            </w:r>
            <w:r>
              <w:rPr>
                <w:rFonts w:cs="Arial"/>
                <w:szCs w:val="22"/>
              </w:rPr>
              <w:t xml:space="preserve"> (second edition)</w:t>
            </w:r>
          </w:p>
          <w:p w:rsidR="00821EF1" w:rsidRDefault="00821EF1" w:rsidP="00D75A35">
            <w:pPr>
              <w:rPr>
                <w:rFonts w:cs="Arial"/>
                <w:szCs w:val="22"/>
              </w:rPr>
            </w:pPr>
          </w:p>
          <w:p w:rsidR="00821EF1" w:rsidRDefault="00821EF1" w:rsidP="00D75A35">
            <w:pPr>
              <w:rPr>
                <w:rFonts w:cs="Arial"/>
                <w:szCs w:val="22"/>
              </w:rPr>
            </w:pPr>
            <w:r>
              <w:rPr>
                <w:rFonts w:cs="Arial"/>
                <w:szCs w:val="22"/>
              </w:rPr>
              <w:t xml:space="preserve">Provide training and support for the implementation of the </w:t>
            </w:r>
            <w:r w:rsidRPr="00E01829">
              <w:rPr>
                <w:rFonts w:cs="Arial"/>
                <w:szCs w:val="22"/>
              </w:rPr>
              <w:t>NSQHS Standards</w:t>
            </w:r>
            <w:r>
              <w:rPr>
                <w:rFonts w:cs="Arial"/>
                <w:szCs w:val="22"/>
              </w:rPr>
              <w:t xml:space="preserve"> (second edition) in health services</w:t>
            </w:r>
          </w:p>
          <w:p w:rsidR="001A7A7C" w:rsidRDefault="001A7A7C" w:rsidP="00D75A35">
            <w:pPr>
              <w:rPr>
                <w:rFonts w:cs="Arial"/>
                <w:szCs w:val="22"/>
              </w:rPr>
            </w:pPr>
          </w:p>
          <w:p w:rsidR="001A7A7C" w:rsidRPr="00E01829" w:rsidRDefault="001A7A7C" w:rsidP="00D75A35">
            <w:pPr>
              <w:rPr>
                <w:rFonts w:cs="Arial"/>
                <w:szCs w:val="22"/>
              </w:rPr>
            </w:pPr>
          </w:p>
        </w:tc>
        <w:tc>
          <w:tcPr>
            <w:tcW w:w="2146" w:type="dxa"/>
          </w:tcPr>
          <w:p w:rsidR="00175893" w:rsidRDefault="000C61FA" w:rsidP="00D75A35">
            <w:pPr>
              <w:rPr>
                <w:rFonts w:cs="Arial"/>
                <w:szCs w:val="22"/>
              </w:rPr>
            </w:pPr>
            <w:r>
              <w:rPr>
                <w:rFonts w:cs="Arial"/>
                <w:szCs w:val="22"/>
              </w:rPr>
              <w:t>Use metrics from the interactive resources and other data sources continually review the application and effectiveness of the NSQHS Standards (second edition) implementation resources</w:t>
            </w:r>
          </w:p>
          <w:p w:rsidR="000C61FA" w:rsidRDefault="000C61FA" w:rsidP="00D75A35">
            <w:pPr>
              <w:rPr>
                <w:rFonts w:cs="Arial"/>
                <w:szCs w:val="22"/>
              </w:rPr>
            </w:pPr>
          </w:p>
          <w:p w:rsidR="000C61FA" w:rsidRDefault="000C61FA" w:rsidP="00D75A35">
            <w:pPr>
              <w:rPr>
                <w:rFonts w:cs="Arial"/>
                <w:szCs w:val="22"/>
              </w:rPr>
            </w:pPr>
            <w:r>
              <w:rPr>
                <w:rFonts w:cs="Arial"/>
                <w:szCs w:val="22"/>
              </w:rPr>
              <w:t>Review and update content of the interactive resource to ensure its currency and completeness</w:t>
            </w:r>
          </w:p>
          <w:p w:rsidR="000C61FA" w:rsidRDefault="000C61FA" w:rsidP="00D75A35">
            <w:pPr>
              <w:rPr>
                <w:rFonts w:cs="Arial"/>
                <w:szCs w:val="22"/>
              </w:rPr>
            </w:pPr>
          </w:p>
          <w:p w:rsidR="000C61FA" w:rsidRPr="00E01829" w:rsidRDefault="000C61FA" w:rsidP="00D75A35">
            <w:pPr>
              <w:rPr>
                <w:rFonts w:cs="Arial"/>
                <w:szCs w:val="22"/>
              </w:rPr>
            </w:pPr>
            <w:r>
              <w:rPr>
                <w:rFonts w:cs="Arial"/>
                <w:szCs w:val="22"/>
              </w:rPr>
              <w:t>Provide ongoing support for issues management of the NSQHS Standards (second edition) via the Advice Centre and mediation services</w:t>
            </w:r>
          </w:p>
        </w:tc>
      </w:tr>
      <w:tr w:rsidR="005C54B6" w:rsidTr="005C54B6">
        <w:trPr>
          <w:cantSplit/>
          <w:trHeight w:val="1134"/>
        </w:trPr>
        <w:tc>
          <w:tcPr>
            <w:tcW w:w="622" w:type="dxa"/>
            <w:shd w:val="clear" w:color="auto" w:fill="DBE5F1" w:themeFill="accent1" w:themeFillTint="33"/>
            <w:textDirection w:val="btLr"/>
          </w:tcPr>
          <w:p w:rsidR="001A7A7C" w:rsidRPr="00E01829" w:rsidRDefault="001A7A7C" w:rsidP="00666D48">
            <w:pPr>
              <w:jc w:val="center"/>
              <w:rPr>
                <w:rFonts w:cs="Arial"/>
                <w:szCs w:val="22"/>
              </w:rPr>
            </w:pPr>
            <w:r>
              <w:rPr>
                <w:rFonts w:cs="Arial"/>
                <w:szCs w:val="22"/>
              </w:rPr>
              <w:t>Priority 1</w:t>
            </w:r>
          </w:p>
        </w:tc>
        <w:tc>
          <w:tcPr>
            <w:tcW w:w="2213" w:type="dxa"/>
            <w:shd w:val="clear" w:color="auto" w:fill="FFFFFF" w:themeFill="background1"/>
          </w:tcPr>
          <w:p w:rsidR="001A7A7C" w:rsidRPr="00E01829" w:rsidRDefault="001A7A7C" w:rsidP="00547E16">
            <w:pPr>
              <w:rPr>
                <w:rFonts w:cs="Arial"/>
                <w:szCs w:val="22"/>
              </w:rPr>
            </w:pPr>
            <w:r>
              <w:rPr>
                <w:rFonts w:cs="Arial"/>
                <w:szCs w:val="22"/>
              </w:rPr>
              <w:t xml:space="preserve">Consult with the primary care sector to introduce and support the application of the </w:t>
            </w:r>
            <w:r w:rsidRPr="00E01829">
              <w:rPr>
                <w:rFonts w:cs="Arial"/>
                <w:szCs w:val="22"/>
              </w:rPr>
              <w:t>NSQHS Standards</w:t>
            </w:r>
            <w:r>
              <w:rPr>
                <w:rFonts w:cs="Arial"/>
                <w:szCs w:val="22"/>
              </w:rPr>
              <w:t xml:space="preserve"> (second edition) for Primary Care into this sector</w:t>
            </w:r>
          </w:p>
        </w:tc>
        <w:tc>
          <w:tcPr>
            <w:tcW w:w="2410" w:type="dxa"/>
            <w:shd w:val="clear" w:color="auto" w:fill="FFFFFF" w:themeFill="background1"/>
          </w:tcPr>
          <w:p w:rsidR="001A7A7C" w:rsidRPr="00E01829" w:rsidRDefault="001A7A7C" w:rsidP="00547E16">
            <w:pPr>
              <w:rPr>
                <w:rFonts w:cs="Arial"/>
                <w:szCs w:val="22"/>
              </w:rPr>
            </w:pPr>
            <w:r>
              <w:rPr>
                <w:rFonts w:cs="Arial"/>
                <w:szCs w:val="22"/>
              </w:rPr>
              <w:t xml:space="preserve">Develop, amend and maintain resources and tools for implementing the </w:t>
            </w:r>
            <w:r w:rsidRPr="00E01829">
              <w:rPr>
                <w:rFonts w:cs="Arial"/>
                <w:szCs w:val="22"/>
              </w:rPr>
              <w:t>NSQHS Standards</w:t>
            </w:r>
            <w:r>
              <w:rPr>
                <w:rFonts w:cs="Arial"/>
                <w:szCs w:val="22"/>
              </w:rPr>
              <w:t xml:space="preserve"> (second edition) for primary care</w:t>
            </w:r>
          </w:p>
        </w:tc>
        <w:tc>
          <w:tcPr>
            <w:tcW w:w="2248" w:type="dxa"/>
            <w:shd w:val="clear" w:color="auto" w:fill="FFFFFF" w:themeFill="background1"/>
          </w:tcPr>
          <w:p w:rsidR="001A7A7C" w:rsidRPr="00E01829" w:rsidRDefault="001A7A7C" w:rsidP="00D75A35">
            <w:pPr>
              <w:rPr>
                <w:rFonts w:cs="Arial"/>
                <w:szCs w:val="22"/>
              </w:rPr>
            </w:pPr>
            <w:r>
              <w:rPr>
                <w:rFonts w:cs="Arial"/>
                <w:szCs w:val="22"/>
              </w:rPr>
              <w:t xml:space="preserve">Ongoing monitoring of the effectiveness of the implementation of the </w:t>
            </w:r>
            <w:r w:rsidRPr="00E01829">
              <w:rPr>
                <w:rFonts w:cs="Arial"/>
                <w:szCs w:val="22"/>
              </w:rPr>
              <w:t>NSQHS Standards</w:t>
            </w:r>
            <w:r>
              <w:rPr>
                <w:rFonts w:cs="Arial"/>
                <w:szCs w:val="22"/>
              </w:rPr>
              <w:t xml:space="preserve"> (second edition) for primary care</w:t>
            </w:r>
          </w:p>
        </w:tc>
        <w:tc>
          <w:tcPr>
            <w:tcW w:w="2146" w:type="dxa"/>
            <w:shd w:val="clear" w:color="auto" w:fill="FFFFFF" w:themeFill="background1"/>
          </w:tcPr>
          <w:p w:rsidR="001A7A7C" w:rsidRPr="00E01829" w:rsidRDefault="00712156" w:rsidP="00D75A35">
            <w:pPr>
              <w:rPr>
                <w:rFonts w:cs="Arial"/>
                <w:szCs w:val="22"/>
              </w:rPr>
            </w:pPr>
            <w:r>
              <w:rPr>
                <w:rFonts w:cs="Arial"/>
                <w:szCs w:val="22"/>
              </w:rPr>
              <w:t xml:space="preserve">Ongoing monitoring and review of the effectiveness of the implementation of the </w:t>
            </w:r>
            <w:r w:rsidRPr="00E01829">
              <w:rPr>
                <w:rFonts w:cs="Arial"/>
                <w:szCs w:val="22"/>
              </w:rPr>
              <w:t>NSQHS Standards</w:t>
            </w:r>
            <w:r>
              <w:rPr>
                <w:rFonts w:cs="Arial"/>
                <w:szCs w:val="22"/>
              </w:rPr>
              <w:t xml:space="preserve"> (second edition) for primary care</w:t>
            </w:r>
          </w:p>
        </w:tc>
      </w:tr>
      <w:tr w:rsidR="00821EF1" w:rsidTr="005C54B6">
        <w:trPr>
          <w:cantSplit/>
          <w:trHeight w:val="1134"/>
        </w:trPr>
        <w:tc>
          <w:tcPr>
            <w:tcW w:w="622" w:type="dxa"/>
            <w:shd w:val="clear" w:color="auto" w:fill="DBE5F1" w:themeFill="accent1" w:themeFillTint="33"/>
            <w:textDirection w:val="btLr"/>
          </w:tcPr>
          <w:p w:rsidR="00175893" w:rsidRPr="00E01829" w:rsidRDefault="00175893" w:rsidP="00666D48">
            <w:pPr>
              <w:jc w:val="center"/>
              <w:rPr>
                <w:rFonts w:cs="Arial"/>
                <w:szCs w:val="22"/>
              </w:rPr>
            </w:pPr>
            <w:r w:rsidRPr="00E01829">
              <w:rPr>
                <w:rFonts w:cs="Arial"/>
                <w:szCs w:val="22"/>
              </w:rPr>
              <w:t>Priority 1</w:t>
            </w:r>
          </w:p>
        </w:tc>
        <w:tc>
          <w:tcPr>
            <w:tcW w:w="2213" w:type="dxa"/>
          </w:tcPr>
          <w:p w:rsidR="00175893" w:rsidRDefault="00175893" w:rsidP="00547E16">
            <w:pPr>
              <w:rPr>
                <w:rFonts w:cs="Arial"/>
                <w:szCs w:val="22"/>
              </w:rPr>
            </w:pPr>
            <w:r w:rsidRPr="00E01829">
              <w:rPr>
                <w:rFonts w:cs="Arial"/>
                <w:szCs w:val="22"/>
              </w:rPr>
              <w:t>Finalise the national model clinical governance framework</w:t>
            </w:r>
          </w:p>
          <w:p w:rsidR="00821EF1" w:rsidRDefault="00821EF1" w:rsidP="00547E16">
            <w:pPr>
              <w:rPr>
                <w:rFonts w:cs="Arial"/>
                <w:szCs w:val="22"/>
              </w:rPr>
            </w:pPr>
          </w:p>
          <w:p w:rsidR="00821EF1" w:rsidRDefault="00821EF1" w:rsidP="00547E16">
            <w:pPr>
              <w:rPr>
                <w:rFonts w:cs="Arial"/>
                <w:szCs w:val="22"/>
              </w:rPr>
            </w:pPr>
            <w:r>
              <w:rPr>
                <w:rFonts w:cs="Arial"/>
                <w:szCs w:val="22"/>
              </w:rPr>
              <w:t xml:space="preserve">Develop resources for specialist settings and target groups </w:t>
            </w:r>
            <w:r w:rsidR="00985FE7">
              <w:rPr>
                <w:rFonts w:cs="Arial"/>
                <w:szCs w:val="22"/>
              </w:rPr>
              <w:t xml:space="preserve">supporting </w:t>
            </w:r>
            <w:r>
              <w:rPr>
                <w:rFonts w:cs="Arial"/>
                <w:szCs w:val="22"/>
              </w:rPr>
              <w:t>the national model clinical governance framework</w:t>
            </w:r>
          </w:p>
          <w:p w:rsidR="00821EF1" w:rsidRDefault="00821EF1" w:rsidP="00547E16">
            <w:pPr>
              <w:rPr>
                <w:rFonts w:cs="Arial"/>
                <w:szCs w:val="22"/>
              </w:rPr>
            </w:pPr>
          </w:p>
          <w:p w:rsidR="00821EF1" w:rsidRPr="00E01829" w:rsidRDefault="00821EF1" w:rsidP="00547E16">
            <w:pPr>
              <w:rPr>
                <w:rFonts w:cs="Arial"/>
                <w:szCs w:val="22"/>
              </w:rPr>
            </w:pPr>
            <w:r>
              <w:rPr>
                <w:rFonts w:cs="Arial"/>
                <w:szCs w:val="22"/>
              </w:rPr>
              <w:t>Establish a consultative network of Chairs of governing bodies in Australia</w:t>
            </w:r>
          </w:p>
        </w:tc>
        <w:tc>
          <w:tcPr>
            <w:tcW w:w="2410" w:type="dxa"/>
          </w:tcPr>
          <w:p w:rsidR="00175893" w:rsidRDefault="00175893" w:rsidP="00547E16">
            <w:pPr>
              <w:rPr>
                <w:rFonts w:cs="Arial"/>
                <w:szCs w:val="22"/>
              </w:rPr>
            </w:pPr>
            <w:r w:rsidRPr="00E01829">
              <w:rPr>
                <w:rFonts w:cs="Arial"/>
                <w:szCs w:val="22"/>
              </w:rPr>
              <w:t>Develop resources for the implementation of national model clinical governance framework and plan the education and information program for the national model clinical governance framework</w:t>
            </w:r>
          </w:p>
          <w:p w:rsidR="00C02D9C" w:rsidRDefault="00C02D9C" w:rsidP="00547E16">
            <w:pPr>
              <w:rPr>
                <w:rFonts w:cs="Arial"/>
                <w:szCs w:val="22"/>
              </w:rPr>
            </w:pPr>
          </w:p>
          <w:p w:rsidR="00C02D9C" w:rsidRPr="00E01829" w:rsidRDefault="00C02D9C" w:rsidP="00547E16">
            <w:pPr>
              <w:rPr>
                <w:rFonts w:cs="Arial"/>
                <w:szCs w:val="22"/>
              </w:rPr>
            </w:pPr>
          </w:p>
        </w:tc>
        <w:tc>
          <w:tcPr>
            <w:tcW w:w="2248" w:type="dxa"/>
          </w:tcPr>
          <w:p w:rsidR="00175893" w:rsidRDefault="00175893" w:rsidP="00D75A35">
            <w:pPr>
              <w:rPr>
                <w:rFonts w:cs="Arial"/>
                <w:szCs w:val="22"/>
              </w:rPr>
            </w:pPr>
            <w:r w:rsidRPr="00E01829">
              <w:rPr>
                <w:rFonts w:cs="Arial"/>
                <w:szCs w:val="22"/>
              </w:rPr>
              <w:t>Conduct the education and information program for the national model clinical governance framework</w:t>
            </w:r>
          </w:p>
          <w:p w:rsidR="005C54B6" w:rsidRDefault="005C54B6" w:rsidP="00D75A35">
            <w:pPr>
              <w:rPr>
                <w:rFonts w:cs="Arial"/>
                <w:szCs w:val="22"/>
              </w:rPr>
            </w:pPr>
          </w:p>
          <w:p w:rsidR="00C02D9C" w:rsidRPr="00E01829" w:rsidRDefault="00C02D9C" w:rsidP="00D75A35">
            <w:pPr>
              <w:rPr>
                <w:rFonts w:cs="Arial"/>
                <w:szCs w:val="22"/>
              </w:rPr>
            </w:pPr>
            <w:r>
              <w:rPr>
                <w:rFonts w:cs="Arial"/>
                <w:szCs w:val="22"/>
              </w:rPr>
              <w:t>Develop resources to support better clinical governance in primary care settings</w:t>
            </w:r>
          </w:p>
        </w:tc>
        <w:tc>
          <w:tcPr>
            <w:tcW w:w="2146" w:type="dxa"/>
          </w:tcPr>
          <w:p w:rsidR="00175893" w:rsidRDefault="000C61FA" w:rsidP="00D75A35">
            <w:pPr>
              <w:rPr>
                <w:rFonts w:cs="Arial"/>
                <w:szCs w:val="22"/>
              </w:rPr>
            </w:pPr>
            <w:r>
              <w:rPr>
                <w:rFonts w:cs="Arial"/>
                <w:szCs w:val="22"/>
              </w:rPr>
              <w:t>Maintain, review and where required revise guidance, tools and resources for supporting the Clinical Governance Standard</w:t>
            </w:r>
          </w:p>
          <w:p w:rsidR="005C54B6" w:rsidRDefault="005C54B6" w:rsidP="00D75A35">
            <w:pPr>
              <w:rPr>
                <w:rFonts w:cs="Arial"/>
                <w:szCs w:val="22"/>
              </w:rPr>
            </w:pPr>
          </w:p>
          <w:p w:rsidR="000C61FA" w:rsidRPr="00E01829" w:rsidRDefault="000C61FA" w:rsidP="00D75A35">
            <w:pPr>
              <w:rPr>
                <w:rFonts w:cs="Arial"/>
                <w:szCs w:val="22"/>
              </w:rPr>
            </w:pPr>
            <w:r>
              <w:rPr>
                <w:rFonts w:cs="Arial"/>
                <w:szCs w:val="22"/>
              </w:rPr>
              <w:t>Review the national model clinical governance framework for currency and potential to extend to primary care settings</w:t>
            </w:r>
          </w:p>
        </w:tc>
      </w:tr>
      <w:tr w:rsidR="00821EF1" w:rsidTr="005C54B6">
        <w:trPr>
          <w:cantSplit/>
          <w:trHeight w:val="1134"/>
        </w:trPr>
        <w:tc>
          <w:tcPr>
            <w:tcW w:w="622" w:type="dxa"/>
            <w:shd w:val="clear" w:color="auto" w:fill="DBE5F1" w:themeFill="accent1" w:themeFillTint="33"/>
            <w:textDirection w:val="btLr"/>
          </w:tcPr>
          <w:p w:rsidR="00175893" w:rsidRPr="00E01829" w:rsidRDefault="00175893" w:rsidP="00666D48">
            <w:pPr>
              <w:jc w:val="center"/>
              <w:rPr>
                <w:rFonts w:cs="Arial"/>
                <w:szCs w:val="22"/>
              </w:rPr>
            </w:pPr>
            <w:r w:rsidRPr="00E01829">
              <w:rPr>
                <w:rFonts w:cs="Arial"/>
                <w:szCs w:val="22"/>
              </w:rPr>
              <w:t>Priority 1</w:t>
            </w:r>
          </w:p>
        </w:tc>
        <w:tc>
          <w:tcPr>
            <w:tcW w:w="2213" w:type="dxa"/>
          </w:tcPr>
          <w:p w:rsidR="00175893" w:rsidRPr="00E01829" w:rsidRDefault="00175893" w:rsidP="00C57B72">
            <w:pPr>
              <w:rPr>
                <w:rFonts w:cs="Arial"/>
                <w:szCs w:val="22"/>
              </w:rPr>
            </w:pPr>
            <w:r w:rsidRPr="00E01829">
              <w:rPr>
                <w:rFonts w:cs="Arial"/>
                <w:szCs w:val="22"/>
              </w:rPr>
              <w:t>Continue support for the National Antimicrobial Resistance Strategy and the dissemination of data and reports for jurisdictional and local AMR and antibiotic usage AU strategies</w:t>
            </w:r>
          </w:p>
          <w:p w:rsidR="00175893" w:rsidRPr="00E01829" w:rsidRDefault="00175893" w:rsidP="00547E16">
            <w:pPr>
              <w:rPr>
                <w:rFonts w:cs="Arial"/>
                <w:szCs w:val="22"/>
              </w:rPr>
            </w:pPr>
          </w:p>
        </w:tc>
        <w:tc>
          <w:tcPr>
            <w:tcW w:w="2410" w:type="dxa"/>
          </w:tcPr>
          <w:p w:rsidR="00175893" w:rsidRPr="00E01829" w:rsidRDefault="00C02D9C" w:rsidP="00C02D9C">
            <w:pPr>
              <w:rPr>
                <w:rFonts w:cs="Arial"/>
                <w:szCs w:val="22"/>
              </w:rPr>
            </w:pPr>
            <w:r>
              <w:rPr>
                <w:rFonts w:cs="Arial"/>
                <w:szCs w:val="22"/>
              </w:rPr>
              <w:t>Develop guidance and training through</w:t>
            </w:r>
            <w:r w:rsidR="00175893" w:rsidRPr="00E01829">
              <w:rPr>
                <w:rFonts w:cs="Arial"/>
                <w:szCs w:val="22"/>
              </w:rPr>
              <w:t xml:space="preserve"> priority resources to promote the prevention and containment of HAI and AMR in the context of advice provided by AURA and the National Antimicrobial Resistance Strategy </w:t>
            </w:r>
          </w:p>
        </w:tc>
        <w:tc>
          <w:tcPr>
            <w:tcW w:w="2248" w:type="dxa"/>
          </w:tcPr>
          <w:p w:rsidR="00175893" w:rsidRPr="00E01829" w:rsidRDefault="00C02D9C" w:rsidP="00C57B72">
            <w:pPr>
              <w:rPr>
                <w:rFonts w:cs="Arial"/>
                <w:szCs w:val="22"/>
              </w:rPr>
            </w:pPr>
            <w:r>
              <w:rPr>
                <w:rFonts w:cs="Arial"/>
                <w:szCs w:val="22"/>
              </w:rPr>
              <w:t>P</w:t>
            </w:r>
            <w:r w:rsidR="00175893" w:rsidRPr="00E01829">
              <w:rPr>
                <w:rFonts w:cs="Arial"/>
                <w:szCs w:val="22"/>
              </w:rPr>
              <w:t xml:space="preserve">romote </w:t>
            </w:r>
            <w:r>
              <w:rPr>
                <w:rFonts w:cs="Arial"/>
                <w:szCs w:val="22"/>
              </w:rPr>
              <w:t xml:space="preserve">and maintain </w:t>
            </w:r>
            <w:r w:rsidR="00175893" w:rsidRPr="00E01829">
              <w:rPr>
                <w:rFonts w:cs="Arial"/>
                <w:szCs w:val="22"/>
              </w:rPr>
              <w:t xml:space="preserve">resources and guidance to promote the prevention and containment of HAI and AMR in the context of advice provided by AURA and the National Antimicrobial Resistance Strategy </w:t>
            </w:r>
          </w:p>
        </w:tc>
        <w:tc>
          <w:tcPr>
            <w:tcW w:w="2146" w:type="dxa"/>
          </w:tcPr>
          <w:p w:rsidR="00175893" w:rsidRPr="00E01829" w:rsidRDefault="000C61FA" w:rsidP="00712156">
            <w:pPr>
              <w:rPr>
                <w:rFonts w:cs="Arial"/>
                <w:szCs w:val="22"/>
              </w:rPr>
            </w:pPr>
            <w:r>
              <w:rPr>
                <w:rFonts w:cs="Arial"/>
                <w:szCs w:val="22"/>
              </w:rPr>
              <w:t xml:space="preserve">Maintain, review and where required revise guidance, tools and resources for supporting the Preventing and Controlling </w:t>
            </w:r>
            <w:r w:rsidR="00712156">
              <w:rPr>
                <w:rFonts w:cs="Arial"/>
                <w:szCs w:val="22"/>
              </w:rPr>
              <w:t>HAI</w:t>
            </w:r>
            <w:r>
              <w:rPr>
                <w:rFonts w:cs="Arial"/>
                <w:szCs w:val="22"/>
              </w:rPr>
              <w:t xml:space="preserve"> Standard</w:t>
            </w:r>
          </w:p>
        </w:tc>
      </w:tr>
      <w:tr w:rsidR="00821EF1" w:rsidTr="005C54B6">
        <w:trPr>
          <w:cantSplit/>
          <w:trHeight w:val="1134"/>
        </w:trPr>
        <w:tc>
          <w:tcPr>
            <w:tcW w:w="622" w:type="dxa"/>
            <w:shd w:val="clear" w:color="auto" w:fill="DBE5F1" w:themeFill="accent1" w:themeFillTint="33"/>
            <w:textDirection w:val="btLr"/>
          </w:tcPr>
          <w:p w:rsidR="00175893" w:rsidRPr="00E01829" w:rsidRDefault="00175893" w:rsidP="00666D48">
            <w:pPr>
              <w:jc w:val="center"/>
              <w:rPr>
                <w:rFonts w:cs="Arial"/>
                <w:szCs w:val="22"/>
              </w:rPr>
            </w:pPr>
            <w:r w:rsidRPr="00E01829">
              <w:rPr>
                <w:rFonts w:cs="Arial"/>
                <w:szCs w:val="22"/>
              </w:rPr>
              <w:t>Priority 2</w:t>
            </w:r>
          </w:p>
        </w:tc>
        <w:tc>
          <w:tcPr>
            <w:tcW w:w="2213" w:type="dxa"/>
          </w:tcPr>
          <w:p w:rsidR="001A7A7C" w:rsidRDefault="001A7A7C" w:rsidP="00C57B72">
            <w:pPr>
              <w:rPr>
                <w:rFonts w:cs="Arial"/>
                <w:szCs w:val="22"/>
              </w:rPr>
            </w:pPr>
            <w:r>
              <w:rPr>
                <w:rFonts w:cs="Arial"/>
                <w:szCs w:val="22"/>
              </w:rPr>
              <w:t>Draft resources for consumers, clinicians, health services and policy makers on attributes of high-performing person-centred healthcare organisations</w:t>
            </w:r>
          </w:p>
          <w:p w:rsidR="00175893" w:rsidRDefault="00175893" w:rsidP="00C57B72">
            <w:pPr>
              <w:rPr>
                <w:rFonts w:cs="Arial"/>
                <w:szCs w:val="22"/>
              </w:rPr>
            </w:pPr>
          </w:p>
          <w:p w:rsidR="001A7A7C" w:rsidRPr="00E01829" w:rsidRDefault="001A7A7C" w:rsidP="00C57B72">
            <w:pPr>
              <w:rPr>
                <w:rFonts w:cs="Arial"/>
                <w:szCs w:val="22"/>
              </w:rPr>
            </w:pPr>
            <w:r>
              <w:rPr>
                <w:rFonts w:cs="Arial"/>
                <w:szCs w:val="22"/>
              </w:rPr>
              <w:t>Map these attributes against the requirements of the NSQHS Standards (second edition)</w:t>
            </w:r>
          </w:p>
          <w:p w:rsidR="00175893" w:rsidRPr="00E01829" w:rsidRDefault="00175893" w:rsidP="00547E16">
            <w:pPr>
              <w:rPr>
                <w:rFonts w:cs="Arial"/>
                <w:szCs w:val="22"/>
              </w:rPr>
            </w:pPr>
          </w:p>
        </w:tc>
        <w:tc>
          <w:tcPr>
            <w:tcW w:w="2410" w:type="dxa"/>
          </w:tcPr>
          <w:p w:rsidR="00175893" w:rsidRPr="00E01829" w:rsidRDefault="00175893" w:rsidP="00C57B72">
            <w:pPr>
              <w:rPr>
                <w:rFonts w:cs="Arial"/>
                <w:szCs w:val="22"/>
              </w:rPr>
            </w:pPr>
            <w:r w:rsidRPr="00E01829">
              <w:rPr>
                <w:rFonts w:cs="Arial"/>
                <w:szCs w:val="22"/>
              </w:rPr>
              <w:t xml:space="preserve">Finalise resources for consumers, clinicians, health services and policy makers </w:t>
            </w:r>
            <w:r w:rsidR="001A7A7C">
              <w:rPr>
                <w:rFonts w:cs="Arial"/>
                <w:szCs w:val="22"/>
              </w:rPr>
              <w:t>on fostering attributes of high-performing person-centred healthcare organisations</w:t>
            </w:r>
          </w:p>
          <w:p w:rsidR="00175893" w:rsidRPr="00E01829" w:rsidRDefault="00175893" w:rsidP="00547E16">
            <w:pPr>
              <w:rPr>
                <w:rFonts w:cs="Arial"/>
                <w:szCs w:val="22"/>
              </w:rPr>
            </w:pPr>
          </w:p>
        </w:tc>
        <w:tc>
          <w:tcPr>
            <w:tcW w:w="2248" w:type="dxa"/>
          </w:tcPr>
          <w:p w:rsidR="00175893" w:rsidRPr="00E01829" w:rsidRDefault="00175893" w:rsidP="00C57B72">
            <w:pPr>
              <w:rPr>
                <w:rFonts w:cs="Arial"/>
                <w:szCs w:val="22"/>
              </w:rPr>
            </w:pPr>
            <w:r w:rsidRPr="00E01829">
              <w:rPr>
                <w:rFonts w:cs="Arial"/>
                <w:szCs w:val="22"/>
              </w:rPr>
              <w:t xml:space="preserve">Develop, consult on and commence implementation plan for a </w:t>
            </w:r>
            <w:r w:rsidR="001A7A7C">
              <w:rPr>
                <w:rFonts w:cs="Arial"/>
                <w:szCs w:val="22"/>
              </w:rPr>
              <w:t>system for partnering with consumers</w:t>
            </w:r>
          </w:p>
          <w:p w:rsidR="00175893" w:rsidRPr="00E01829" w:rsidRDefault="00175893" w:rsidP="00D75A35">
            <w:pPr>
              <w:rPr>
                <w:rFonts w:cs="Arial"/>
                <w:szCs w:val="22"/>
              </w:rPr>
            </w:pPr>
          </w:p>
        </w:tc>
        <w:tc>
          <w:tcPr>
            <w:tcW w:w="2146" w:type="dxa"/>
          </w:tcPr>
          <w:p w:rsidR="00712156" w:rsidRPr="00E01829" w:rsidRDefault="00712156" w:rsidP="00C57B72">
            <w:pPr>
              <w:rPr>
                <w:rFonts w:cs="Arial"/>
                <w:szCs w:val="22"/>
              </w:rPr>
            </w:pPr>
            <w:r>
              <w:rPr>
                <w:rFonts w:cs="Arial"/>
                <w:szCs w:val="22"/>
              </w:rPr>
              <w:t>Implement strategies to support the spread and sustainability of attributes of a high –performing person-centred healthcare organisation across the health system</w:t>
            </w:r>
          </w:p>
        </w:tc>
      </w:tr>
      <w:tr w:rsidR="00821EF1" w:rsidTr="005C54B6">
        <w:trPr>
          <w:cantSplit/>
          <w:trHeight w:val="1134"/>
        </w:trPr>
        <w:tc>
          <w:tcPr>
            <w:tcW w:w="622" w:type="dxa"/>
            <w:shd w:val="clear" w:color="auto" w:fill="DBE5F1" w:themeFill="accent1" w:themeFillTint="33"/>
            <w:textDirection w:val="btLr"/>
          </w:tcPr>
          <w:p w:rsidR="00175893" w:rsidRPr="00E01829" w:rsidRDefault="00175893" w:rsidP="00666D48">
            <w:pPr>
              <w:jc w:val="center"/>
              <w:rPr>
                <w:rFonts w:cs="Arial"/>
                <w:szCs w:val="22"/>
              </w:rPr>
            </w:pPr>
            <w:r w:rsidRPr="00E01829">
              <w:rPr>
                <w:rFonts w:cs="Arial"/>
                <w:szCs w:val="22"/>
              </w:rPr>
              <w:t>Priority 2</w:t>
            </w:r>
          </w:p>
        </w:tc>
        <w:tc>
          <w:tcPr>
            <w:tcW w:w="2213" w:type="dxa"/>
          </w:tcPr>
          <w:p w:rsidR="00175893" w:rsidRPr="00E01829" w:rsidRDefault="00175893" w:rsidP="00260A62">
            <w:pPr>
              <w:rPr>
                <w:rFonts w:cs="Arial"/>
                <w:szCs w:val="22"/>
              </w:rPr>
            </w:pPr>
            <w:r w:rsidRPr="00E01829">
              <w:rPr>
                <w:rFonts w:cs="Arial"/>
                <w:szCs w:val="22"/>
              </w:rPr>
              <w:t>Finalise, disseminate and distribute tools and resources to help primary care settings improve their health literacy environment</w:t>
            </w:r>
          </w:p>
          <w:p w:rsidR="00175893" w:rsidRPr="00E01829" w:rsidRDefault="00175893" w:rsidP="00547E16">
            <w:pPr>
              <w:rPr>
                <w:rFonts w:cs="Arial"/>
                <w:szCs w:val="22"/>
              </w:rPr>
            </w:pPr>
          </w:p>
        </w:tc>
        <w:tc>
          <w:tcPr>
            <w:tcW w:w="2410" w:type="dxa"/>
          </w:tcPr>
          <w:p w:rsidR="00175893" w:rsidRPr="00E01829" w:rsidRDefault="00175893" w:rsidP="00260A62">
            <w:pPr>
              <w:rPr>
                <w:rFonts w:cs="Arial"/>
                <w:szCs w:val="22"/>
              </w:rPr>
            </w:pPr>
            <w:r w:rsidRPr="00E01829">
              <w:rPr>
                <w:rFonts w:cs="Arial"/>
                <w:szCs w:val="22"/>
              </w:rPr>
              <w:t>Develop tools and resources to support Aboriginal and Torres Strait Islander organisations to improve their health literacy environment</w:t>
            </w:r>
          </w:p>
          <w:p w:rsidR="00175893" w:rsidRPr="00E01829" w:rsidRDefault="00175893" w:rsidP="00547E16">
            <w:pPr>
              <w:rPr>
                <w:rFonts w:cs="Arial"/>
                <w:szCs w:val="22"/>
              </w:rPr>
            </w:pPr>
          </w:p>
        </w:tc>
        <w:tc>
          <w:tcPr>
            <w:tcW w:w="2248" w:type="dxa"/>
          </w:tcPr>
          <w:p w:rsidR="00175893" w:rsidRPr="00E01829" w:rsidRDefault="00175893" w:rsidP="001A7A7C">
            <w:pPr>
              <w:rPr>
                <w:rFonts w:cs="Arial"/>
                <w:szCs w:val="22"/>
              </w:rPr>
            </w:pPr>
            <w:r w:rsidRPr="00E01829">
              <w:rPr>
                <w:rFonts w:cs="Arial"/>
                <w:szCs w:val="22"/>
              </w:rPr>
              <w:t>Develop tools and resources to guide health services</w:t>
            </w:r>
            <w:r>
              <w:rPr>
                <w:rFonts w:cs="Arial"/>
                <w:szCs w:val="22"/>
              </w:rPr>
              <w:t xml:space="preserve"> on</w:t>
            </w:r>
            <w:r w:rsidRPr="00E01829">
              <w:rPr>
                <w:rFonts w:cs="Arial"/>
                <w:szCs w:val="22"/>
              </w:rPr>
              <w:t xml:space="preserve"> how to develop high</w:t>
            </w:r>
            <w:r>
              <w:rPr>
                <w:rFonts w:cs="Arial"/>
                <w:szCs w:val="22"/>
              </w:rPr>
              <w:t xml:space="preserve"> </w:t>
            </w:r>
            <w:r w:rsidRPr="00E01829">
              <w:rPr>
                <w:rFonts w:cs="Arial"/>
                <w:szCs w:val="22"/>
              </w:rPr>
              <w:t xml:space="preserve">quality health information for consumers to support implementation of actions in the NSQHS Standards </w:t>
            </w:r>
            <w:r w:rsidR="001A7A7C">
              <w:rPr>
                <w:rFonts w:cs="Arial"/>
                <w:szCs w:val="22"/>
              </w:rPr>
              <w:t>(second edition)</w:t>
            </w:r>
          </w:p>
        </w:tc>
        <w:tc>
          <w:tcPr>
            <w:tcW w:w="2146" w:type="dxa"/>
          </w:tcPr>
          <w:p w:rsidR="00712156" w:rsidRDefault="00712156" w:rsidP="00712156">
            <w:pPr>
              <w:rPr>
                <w:rFonts w:cs="Arial"/>
                <w:szCs w:val="22"/>
              </w:rPr>
            </w:pPr>
            <w:r>
              <w:rPr>
                <w:rFonts w:cs="Arial"/>
                <w:szCs w:val="22"/>
              </w:rPr>
              <w:t>Maintain, review and where required revise guidance, tools and resources for supporting the Partnering with Consumers Standard</w:t>
            </w:r>
          </w:p>
          <w:p w:rsidR="00712156" w:rsidRDefault="00712156" w:rsidP="00712156">
            <w:pPr>
              <w:rPr>
                <w:rFonts w:cs="Arial"/>
                <w:szCs w:val="22"/>
              </w:rPr>
            </w:pPr>
          </w:p>
          <w:p w:rsidR="00712156" w:rsidRDefault="00712156" w:rsidP="00712156">
            <w:pPr>
              <w:rPr>
                <w:rFonts w:cs="Arial"/>
                <w:szCs w:val="22"/>
              </w:rPr>
            </w:pPr>
            <w:r>
              <w:rPr>
                <w:rFonts w:cs="Arial"/>
                <w:szCs w:val="22"/>
              </w:rPr>
              <w:t>Review and maintain existing decision support tools</w:t>
            </w:r>
          </w:p>
          <w:p w:rsidR="00175893" w:rsidRPr="00E01829" w:rsidRDefault="00175893" w:rsidP="00DF1EC3">
            <w:pPr>
              <w:rPr>
                <w:rFonts w:cs="Arial"/>
                <w:szCs w:val="22"/>
              </w:rPr>
            </w:pPr>
          </w:p>
        </w:tc>
      </w:tr>
      <w:tr w:rsidR="005C54B6" w:rsidTr="005C54B6">
        <w:trPr>
          <w:cantSplit/>
          <w:trHeight w:val="1134"/>
        </w:trPr>
        <w:tc>
          <w:tcPr>
            <w:tcW w:w="622" w:type="dxa"/>
            <w:shd w:val="clear" w:color="auto" w:fill="DBE5F1" w:themeFill="accent1" w:themeFillTint="33"/>
            <w:textDirection w:val="btLr"/>
          </w:tcPr>
          <w:p w:rsidR="001A7A7C" w:rsidRPr="00E01829" w:rsidRDefault="001A7A7C" w:rsidP="00666D48">
            <w:pPr>
              <w:jc w:val="center"/>
              <w:rPr>
                <w:rFonts w:cs="Arial"/>
                <w:szCs w:val="22"/>
              </w:rPr>
            </w:pPr>
            <w:r>
              <w:rPr>
                <w:rFonts w:cs="Arial"/>
                <w:szCs w:val="22"/>
              </w:rPr>
              <w:t>Priority 2</w:t>
            </w:r>
          </w:p>
        </w:tc>
        <w:tc>
          <w:tcPr>
            <w:tcW w:w="2213" w:type="dxa"/>
          </w:tcPr>
          <w:p w:rsidR="001A7A7C" w:rsidRDefault="001A7A7C" w:rsidP="00260A62">
            <w:pPr>
              <w:rPr>
                <w:rFonts w:cs="Arial"/>
                <w:szCs w:val="22"/>
              </w:rPr>
            </w:pPr>
            <w:r>
              <w:rPr>
                <w:rFonts w:cs="Arial"/>
                <w:szCs w:val="22"/>
              </w:rPr>
              <w:t>Finalise report on validation study for end-of-life audit tool</w:t>
            </w:r>
          </w:p>
          <w:p w:rsidR="001A7A7C" w:rsidRDefault="001A7A7C" w:rsidP="00260A62">
            <w:pPr>
              <w:rPr>
                <w:rFonts w:cs="Arial"/>
                <w:szCs w:val="22"/>
              </w:rPr>
            </w:pPr>
          </w:p>
          <w:p w:rsidR="001A7A7C" w:rsidRDefault="001A7A7C" w:rsidP="00260A62">
            <w:pPr>
              <w:rPr>
                <w:rFonts w:cs="Arial"/>
                <w:szCs w:val="22"/>
              </w:rPr>
            </w:pPr>
            <w:r>
              <w:rPr>
                <w:rFonts w:cs="Arial"/>
                <w:szCs w:val="22"/>
              </w:rPr>
              <w:t>Finalis</w:t>
            </w:r>
            <w:r w:rsidR="00770F58">
              <w:rPr>
                <w:rFonts w:cs="Arial"/>
                <w:szCs w:val="22"/>
              </w:rPr>
              <w:t>e toolkit to support measurement of quality end-of-life care in hospitals</w:t>
            </w:r>
          </w:p>
          <w:p w:rsidR="00770F58" w:rsidRDefault="00770F58" w:rsidP="00260A62">
            <w:pPr>
              <w:rPr>
                <w:rFonts w:cs="Arial"/>
                <w:szCs w:val="22"/>
              </w:rPr>
            </w:pPr>
          </w:p>
          <w:p w:rsidR="00770F58" w:rsidRPr="00E01829" w:rsidRDefault="00770F58" w:rsidP="00260A62">
            <w:pPr>
              <w:rPr>
                <w:rFonts w:cs="Arial"/>
                <w:szCs w:val="22"/>
              </w:rPr>
            </w:pPr>
            <w:r>
              <w:rPr>
                <w:rFonts w:cs="Arial"/>
                <w:szCs w:val="22"/>
              </w:rPr>
              <w:t>Draft and consult on indicators for measuring the safety and quality of end-of-life care</w:t>
            </w:r>
          </w:p>
        </w:tc>
        <w:tc>
          <w:tcPr>
            <w:tcW w:w="2410" w:type="dxa"/>
          </w:tcPr>
          <w:p w:rsidR="001A7A7C" w:rsidRDefault="00770F58" w:rsidP="00260A62">
            <w:pPr>
              <w:rPr>
                <w:rFonts w:cs="Arial"/>
                <w:szCs w:val="22"/>
              </w:rPr>
            </w:pPr>
            <w:r>
              <w:rPr>
                <w:rFonts w:cs="Arial"/>
                <w:szCs w:val="22"/>
              </w:rPr>
              <w:t>Finalise indicators for safety and quality in end-of-life care</w:t>
            </w:r>
          </w:p>
          <w:p w:rsidR="00770F58" w:rsidRDefault="00770F58" w:rsidP="00260A62">
            <w:pPr>
              <w:rPr>
                <w:rFonts w:cs="Arial"/>
                <w:szCs w:val="22"/>
              </w:rPr>
            </w:pPr>
          </w:p>
          <w:p w:rsidR="00770F58" w:rsidRPr="00E01829" w:rsidRDefault="00770F58" w:rsidP="00260A62">
            <w:pPr>
              <w:rPr>
                <w:rFonts w:cs="Arial"/>
                <w:szCs w:val="22"/>
              </w:rPr>
            </w:pPr>
            <w:r>
              <w:rPr>
                <w:rFonts w:cs="Arial"/>
                <w:szCs w:val="22"/>
              </w:rPr>
              <w:t>Work in partnership with the primary care sector to identify actions to support improved end-of-life care in primary care settings</w:t>
            </w:r>
          </w:p>
        </w:tc>
        <w:tc>
          <w:tcPr>
            <w:tcW w:w="2248" w:type="dxa"/>
          </w:tcPr>
          <w:p w:rsidR="001A7A7C" w:rsidRPr="00E01829" w:rsidRDefault="00770F58" w:rsidP="001A7A7C">
            <w:pPr>
              <w:rPr>
                <w:rFonts w:cs="Arial"/>
                <w:szCs w:val="22"/>
              </w:rPr>
            </w:pPr>
            <w:r>
              <w:rPr>
                <w:rFonts w:cs="Arial"/>
                <w:szCs w:val="22"/>
              </w:rPr>
              <w:t>Review the National consensus statement: Essential elements for safe and high-quality end-of-life care</w:t>
            </w:r>
          </w:p>
        </w:tc>
        <w:tc>
          <w:tcPr>
            <w:tcW w:w="2146" w:type="dxa"/>
          </w:tcPr>
          <w:p w:rsidR="001A7A7C" w:rsidRDefault="000C61FA" w:rsidP="00DF1EC3">
            <w:pPr>
              <w:rPr>
                <w:rFonts w:cs="Arial"/>
                <w:szCs w:val="22"/>
              </w:rPr>
            </w:pPr>
            <w:r>
              <w:rPr>
                <w:rFonts w:cs="Arial"/>
                <w:szCs w:val="22"/>
              </w:rPr>
              <w:t>Maintain, review and where required revise end-of-life toolkit for hospitals</w:t>
            </w:r>
          </w:p>
          <w:p w:rsidR="000C61FA" w:rsidRDefault="000C61FA" w:rsidP="00DF1EC3">
            <w:pPr>
              <w:rPr>
                <w:rFonts w:cs="Arial"/>
                <w:szCs w:val="22"/>
              </w:rPr>
            </w:pPr>
          </w:p>
          <w:p w:rsidR="000C61FA" w:rsidRPr="00E01829" w:rsidRDefault="000C61FA" w:rsidP="00DF1EC3">
            <w:pPr>
              <w:rPr>
                <w:rFonts w:cs="Arial"/>
                <w:szCs w:val="22"/>
              </w:rPr>
            </w:pPr>
            <w:r>
              <w:rPr>
                <w:rFonts w:cs="Arial"/>
                <w:szCs w:val="22"/>
              </w:rPr>
              <w:t>Finalise and disseminate guidance on end-of-life care in primary care settings</w:t>
            </w:r>
          </w:p>
        </w:tc>
      </w:tr>
      <w:tr w:rsidR="00821EF1" w:rsidTr="005C54B6">
        <w:trPr>
          <w:cantSplit/>
          <w:trHeight w:val="1134"/>
        </w:trPr>
        <w:tc>
          <w:tcPr>
            <w:tcW w:w="622" w:type="dxa"/>
            <w:shd w:val="clear" w:color="auto" w:fill="DBE5F1" w:themeFill="accent1" w:themeFillTint="33"/>
            <w:textDirection w:val="btLr"/>
          </w:tcPr>
          <w:p w:rsidR="00175893" w:rsidRPr="00E01829" w:rsidRDefault="00175893" w:rsidP="00666D48">
            <w:pPr>
              <w:jc w:val="center"/>
              <w:rPr>
                <w:rFonts w:cs="Arial"/>
                <w:szCs w:val="22"/>
              </w:rPr>
            </w:pPr>
            <w:r w:rsidRPr="00E01829">
              <w:rPr>
                <w:rFonts w:cs="Arial"/>
                <w:szCs w:val="22"/>
              </w:rPr>
              <w:t>Priority 3</w:t>
            </w:r>
          </w:p>
        </w:tc>
        <w:tc>
          <w:tcPr>
            <w:tcW w:w="2213" w:type="dxa"/>
          </w:tcPr>
          <w:p w:rsidR="005C54B6" w:rsidRDefault="005C54B6" w:rsidP="005C54B6">
            <w:pPr>
              <w:rPr>
                <w:rFonts w:cs="Arial"/>
                <w:szCs w:val="22"/>
                <w:lang w:eastAsia="en-AU"/>
              </w:rPr>
            </w:pPr>
            <w:r>
              <w:rPr>
                <w:rFonts w:cs="Arial"/>
                <w:szCs w:val="22"/>
                <w:lang w:eastAsia="en-AU"/>
              </w:rPr>
              <w:t xml:space="preserve">Implement a rolling program based on feedback from key users and health sector participants to publish further atlases or similar reports, identify themes and clarify data items for further atlases/reports, undertake time series analysis of key data items. </w:t>
            </w:r>
          </w:p>
          <w:p w:rsidR="00712156" w:rsidRPr="00E01829" w:rsidRDefault="00712156" w:rsidP="005C54B6">
            <w:pPr>
              <w:rPr>
                <w:rFonts w:cs="Arial"/>
                <w:szCs w:val="22"/>
                <w:lang w:eastAsia="en-AU"/>
              </w:rPr>
            </w:pPr>
          </w:p>
        </w:tc>
        <w:tc>
          <w:tcPr>
            <w:tcW w:w="2410" w:type="dxa"/>
          </w:tcPr>
          <w:p w:rsidR="00985FE7" w:rsidRDefault="00985FE7" w:rsidP="00985FE7">
            <w:pPr>
              <w:rPr>
                <w:rFonts w:cs="Arial"/>
                <w:szCs w:val="22"/>
                <w:lang w:eastAsia="en-AU"/>
              </w:rPr>
            </w:pPr>
            <w:r>
              <w:rPr>
                <w:rFonts w:cs="Arial"/>
                <w:szCs w:val="22"/>
                <w:lang w:eastAsia="en-AU"/>
              </w:rPr>
              <w:t xml:space="preserve">Implement a rolling program based on feedback from key users and health sector participants to publish further atlases or similar reports, identify themes and clarify data items for further atlases/reports, undertake time series analysis of key data items. </w:t>
            </w:r>
          </w:p>
          <w:p w:rsidR="00712156" w:rsidRDefault="00712156" w:rsidP="00DF1EC3">
            <w:pPr>
              <w:rPr>
                <w:rFonts w:cs="Arial"/>
                <w:szCs w:val="22"/>
              </w:rPr>
            </w:pPr>
          </w:p>
          <w:p w:rsidR="00175893" w:rsidRPr="00E01829" w:rsidRDefault="00175893" w:rsidP="00DF1EC3">
            <w:pPr>
              <w:rPr>
                <w:rFonts w:cs="Arial"/>
                <w:szCs w:val="22"/>
              </w:rPr>
            </w:pPr>
          </w:p>
        </w:tc>
        <w:tc>
          <w:tcPr>
            <w:tcW w:w="2248" w:type="dxa"/>
          </w:tcPr>
          <w:p w:rsidR="00712156" w:rsidRDefault="00712156" w:rsidP="00712156">
            <w:pPr>
              <w:rPr>
                <w:rFonts w:cs="Arial"/>
                <w:szCs w:val="22"/>
                <w:lang w:eastAsia="en-AU"/>
              </w:rPr>
            </w:pPr>
            <w:r>
              <w:rPr>
                <w:rFonts w:cs="Arial"/>
                <w:szCs w:val="22"/>
                <w:lang w:eastAsia="en-AU"/>
              </w:rPr>
              <w:t xml:space="preserve">Implement a rolling program based on feedback from key users and health sector participants to publish further atlases or similar reports, identify themes and clarify data items for further atlases/reports, undertake time series analysis of key data items. </w:t>
            </w:r>
          </w:p>
          <w:p w:rsidR="00175893" w:rsidRPr="00E01829" w:rsidRDefault="00175893" w:rsidP="00DF1EC3">
            <w:pPr>
              <w:rPr>
                <w:rFonts w:cs="Arial"/>
                <w:szCs w:val="22"/>
                <w:lang w:eastAsia="en-AU"/>
              </w:rPr>
            </w:pPr>
          </w:p>
        </w:tc>
        <w:tc>
          <w:tcPr>
            <w:tcW w:w="2146" w:type="dxa"/>
          </w:tcPr>
          <w:p w:rsidR="00712156" w:rsidRDefault="00712156" w:rsidP="00712156">
            <w:pPr>
              <w:rPr>
                <w:rFonts w:cs="Arial"/>
                <w:szCs w:val="22"/>
                <w:lang w:eastAsia="en-AU"/>
              </w:rPr>
            </w:pPr>
            <w:r>
              <w:rPr>
                <w:rFonts w:cs="Arial"/>
                <w:szCs w:val="22"/>
                <w:lang w:eastAsia="en-AU"/>
              </w:rPr>
              <w:t xml:space="preserve">Implement a rolling program based on feedback from key users and health sector participants to publish further atlases or similar reports, identify themes and clarify data items for further atlases/reports, undertake time series analysis of key data items. </w:t>
            </w:r>
          </w:p>
          <w:p w:rsidR="00175893" w:rsidRPr="00E01829" w:rsidRDefault="00175893" w:rsidP="00F80449">
            <w:pPr>
              <w:rPr>
                <w:rFonts w:cs="Arial"/>
                <w:szCs w:val="22"/>
              </w:rPr>
            </w:pPr>
          </w:p>
        </w:tc>
      </w:tr>
      <w:tr w:rsidR="00821EF1" w:rsidTr="005C54B6">
        <w:trPr>
          <w:cantSplit/>
          <w:trHeight w:val="1134"/>
        </w:trPr>
        <w:tc>
          <w:tcPr>
            <w:tcW w:w="622" w:type="dxa"/>
            <w:shd w:val="clear" w:color="auto" w:fill="DBE5F1" w:themeFill="accent1" w:themeFillTint="33"/>
            <w:textDirection w:val="btLr"/>
          </w:tcPr>
          <w:p w:rsidR="00175893" w:rsidRPr="00E01829" w:rsidRDefault="00175893" w:rsidP="00666D48">
            <w:pPr>
              <w:jc w:val="center"/>
              <w:rPr>
                <w:rFonts w:cs="Arial"/>
                <w:szCs w:val="22"/>
              </w:rPr>
            </w:pPr>
            <w:r w:rsidRPr="00E01829">
              <w:rPr>
                <w:rFonts w:cs="Arial"/>
                <w:szCs w:val="22"/>
              </w:rPr>
              <w:t>Priority 3</w:t>
            </w:r>
          </w:p>
        </w:tc>
        <w:tc>
          <w:tcPr>
            <w:tcW w:w="2213" w:type="dxa"/>
          </w:tcPr>
          <w:p w:rsidR="00175893" w:rsidRPr="00E01829" w:rsidDel="00A902AB" w:rsidRDefault="00175893" w:rsidP="00170AC1">
            <w:pPr>
              <w:rPr>
                <w:rFonts w:cs="Arial"/>
                <w:szCs w:val="22"/>
              </w:rPr>
            </w:pPr>
            <w:r>
              <w:rPr>
                <w:rFonts w:cs="Arial"/>
                <w:szCs w:val="22"/>
              </w:rPr>
              <w:t>National release of c</w:t>
            </w:r>
            <w:r w:rsidRPr="00E01829">
              <w:rPr>
                <w:rFonts w:cs="Arial"/>
                <w:szCs w:val="22"/>
              </w:rPr>
              <w:t xml:space="preserve">linical </w:t>
            </w:r>
            <w:r>
              <w:rPr>
                <w:rFonts w:cs="Arial"/>
                <w:szCs w:val="22"/>
              </w:rPr>
              <w:t>c</w:t>
            </w:r>
            <w:r w:rsidRPr="00E01829">
              <w:rPr>
                <w:rFonts w:cs="Arial"/>
                <w:szCs w:val="22"/>
              </w:rPr>
              <w:t xml:space="preserve">are </w:t>
            </w:r>
            <w:r>
              <w:rPr>
                <w:rFonts w:cs="Arial"/>
                <w:szCs w:val="22"/>
              </w:rPr>
              <w:t>s</w:t>
            </w:r>
            <w:r w:rsidRPr="00E01829">
              <w:rPr>
                <w:rFonts w:cs="Arial"/>
                <w:szCs w:val="22"/>
              </w:rPr>
              <w:t>tandards developed in 2016</w:t>
            </w:r>
            <w:r>
              <w:rPr>
                <w:rFonts w:cs="Arial"/>
                <w:szCs w:val="22"/>
              </w:rPr>
              <w:t>-</w:t>
            </w:r>
            <w:r w:rsidRPr="00E01829">
              <w:rPr>
                <w:rFonts w:cs="Arial"/>
                <w:szCs w:val="22"/>
              </w:rPr>
              <w:t xml:space="preserve">17, </w:t>
            </w:r>
            <w:r w:rsidR="00170AC1">
              <w:rPr>
                <w:rFonts w:cs="Arial"/>
                <w:szCs w:val="22"/>
              </w:rPr>
              <w:t>including those on heavy menstrual bleeding and venous thromboembolism</w:t>
            </w:r>
            <w:r w:rsidRPr="00E01829">
              <w:rPr>
                <w:rFonts w:cs="Arial"/>
                <w:szCs w:val="22"/>
              </w:rPr>
              <w:t xml:space="preserve"> </w:t>
            </w:r>
          </w:p>
        </w:tc>
        <w:tc>
          <w:tcPr>
            <w:tcW w:w="2410" w:type="dxa"/>
          </w:tcPr>
          <w:p w:rsidR="00175893" w:rsidRPr="00E01829" w:rsidRDefault="00175893" w:rsidP="001A0EE2">
            <w:pPr>
              <w:rPr>
                <w:rFonts w:cs="Arial"/>
                <w:szCs w:val="22"/>
              </w:rPr>
            </w:pPr>
            <w:r w:rsidRPr="00E01829">
              <w:rPr>
                <w:rFonts w:cs="Arial"/>
                <w:szCs w:val="22"/>
              </w:rPr>
              <w:t xml:space="preserve">National release of </w:t>
            </w:r>
            <w:r>
              <w:rPr>
                <w:rFonts w:cs="Arial"/>
                <w:szCs w:val="22"/>
              </w:rPr>
              <w:t>c</w:t>
            </w:r>
            <w:r w:rsidRPr="00E01829">
              <w:rPr>
                <w:rFonts w:cs="Arial"/>
                <w:szCs w:val="22"/>
              </w:rPr>
              <w:t xml:space="preserve">linical </w:t>
            </w:r>
            <w:r>
              <w:rPr>
                <w:rFonts w:cs="Arial"/>
                <w:szCs w:val="22"/>
              </w:rPr>
              <w:t>c</w:t>
            </w:r>
            <w:r w:rsidRPr="00E01829">
              <w:rPr>
                <w:rFonts w:cs="Arial"/>
                <w:szCs w:val="22"/>
              </w:rPr>
              <w:t xml:space="preserve">are </w:t>
            </w:r>
            <w:r>
              <w:rPr>
                <w:rFonts w:cs="Arial"/>
                <w:szCs w:val="22"/>
              </w:rPr>
              <w:t>s</w:t>
            </w:r>
            <w:r w:rsidRPr="00E01829">
              <w:rPr>
                <w:rFonts w:cs="Arial"/>
                <w:szCs w:val="22"/>
              </w:rPr>
              <w:t>tandards developed in 2017-18, and undertake evaluation process to measure the impact on process and outcomes of existing clinical care standards</w:t>
            </w:r>
          </w:p>
        </w:tc>
        <w:tc>
          <w:tcPr>
            <w:tcW w:w="2248" w:type="dxa"/>
          </w:tcPr>
          <w:p w:rsidR="00175893" w:rsidRPr="00E01829" w:rsidRDefault="00175893" w:rsidP="001A0EE2">
            <w:pPr>
              <w:rPr>
                <w:rFonts w:cs="Arial"/>
                <w:szCs w:val="22"/>
              </w:rPr>
            </w:pPr>
            <w:r w:rsidRPr="00E01829">
              <w:rPr>
                <w:rFonts w:cs="Arial"/>
                <w:szCs w:val="22"/>
              </w:rPr>
              <w:t xml:space="preserve">National release of </w:t>
            </w:r>
            <w:r>
              <w:rPr>
                <w:rFonts w:cs="Arial"/>
                <w:szCs w:val="22"/>
              </w:rPr>
              <w:t>c</w:t>
            </w:r>
            <w:r w:rsidRPr="00E01829">
              <w:rPr>
                <w:rFonts w:cs="Arial"/>
                <w:szCs w:val="22"/>
              </w:rPr>
              <w:t xml:space="preserve">linical </w:t>
            </w:r>
            <w:r>
              <w:rPr>
                <w:rFonts w:cs="Arial"/>
                <w:szCs w:val="22"/>
              </w:rPr>
              <w:t>c</w:t>
            </w:r>
            <w:r w:rsidRPr="00E01829">
              <w:rPr>
                <w:rFonts w:cs="Arial"/>
                <w:szCs w:val="22"/>
              </w:rPr>
              <w:t xml:space="preserve">are </w:t>
            </w:r>
            <w:r>
              <w:rPr>
                <w:rFonts w:cs="Arial"/>
                <w:szCs w:val="22"/>
              </w:rPr>
              <w:t>s</w:t>
            </w:r>
            <w:r w:rsidRPr="00E01829">
              <w:rPr>
                <w:rFonts w:cs="Arial"/>
                <w:szCs w:val="22"/>
              </w:rPr>
              <w:t>tandards developed in 2018-19, and implement national metrics for reporting patient safety</w:t>
            </w:r>
          </w:p>
        </w:tc>
        <w:tc>
          <w:tcPr>
            <w:tcW w:w="2146" w:type="dxa"/>
          </w:tcPr>
          <w:p w:rsidR="00175893" w:rsidRPr="00E01829" w:rsidRDefault="00F80449" w:rsidP="001A0EE2">
            <w:pPr>
              <w:rPr>
                <w:rFonts w:cs="Arial"/>
                <w:szCs w:val="22"/>
              </w:rPr>
            </w:pPr>
            <w:r w:rsidRPr="00E01829">
              <w:rPr>
                <w:rFonts w:cs="Arial"/>
                <w:szCs w:val="22"/>
              </w:rPr>
              <w:t xml:space="preserve">National release of </w:t>
            </w:r>
            <w:r>
              <w:rPr>
                <w:rFonts w:cs="Arial"/>
                <w:szCs w:val="22"/>
              </w:rPr>
              <w:t>c</w:t>
            </w:r>
            <w:r w:rsidRPr="00E01829">
              <w:rPr>
                <w:rFonts w:cs="Arial"/>
                <w:szCs w:val="22"/>
              </w:rPr>
              <w:t xml:space="preserve">linical </w:t>
            </w:r>
            <w:r>
              <w:rPr>
                <w:rFonts w:cs="Arial"/>
                <w:szCs w:val="22"/>
              </w:rPr>
              <w:t>c</w:t>
            </w:r>
            <w:r w:rsidRPr="00E01829">
              <w:rPr>
                <w:rFonts w:cs="Arial"/>
                <w:szCs w:val="22"/>
              </w:rPr>
              <w:t xml:space="preserve">are </w:t>
            </w:r>
            <w:r>
              <w:rPr>
                <w:rFonts w:cs="Arial"/>
                <w:szCs w:val="22"/>
              </w:rPr>
              <w:t>standards developed in 2019-20</w:t>
            </w:r>
            <w:r w:rsidRPr="00E01829">
              <w:rPr>
                <w:rFonts w:cs="Arial"/>
                <w:szCs w:val="22"/>
              </w:rPr>
              <w:t>, and implement national metrics for reporting patient safety</w:t>
            </w:r>
          </w:p>
        </w:tc>
      </w:tr>
      <w:tr w:rsidR="00821EF1" w:rsidTr="005C54B6">
        <w:trPr>
          <w:cantSplit/>
          <w:trHeight w:val="1134"/>
        </w:trPr>
        <w:tc>
          <w:tcPr>
            <w:tcW w:w="622" w:type="dxa"/>
            <w:shd w:val="clear" w:color="auto" w:fill="DBE5F1" w:themeFill="accent1" w:themeFillTint="33"/>
            <w:textDirection w:val="btLr"/>
          </w:tcPr>
          <w:p w:rsidR="00175893" w:rsidRPr="00E01829" w:rsidRDefault="00175893" w:rsidP="00666D48">
            <w:pPr>
              <w:jc w:val="center"/>
              <w:rPr>
                <w:rFonts w:cs="Arial"/>
                <w:szCs w:val="22"/>
              </w:rPr>
            </w:pPr>
            <w:r w:rsidRPr="00E01829">
              <w:rPr>
                <w:rFonts w:cs="Arial"/>
                <w:szCs w:val="22"/>
              </w:rPr>
              <w:t>Priority 4</w:t>
            </w:r>
          </w:p>
        </w:tc>
        <w:tc>
          <w:tcPr>
            <w:tcW w:w="2213" w:type="dxa"/>
          </w:tcPr>
          <w:p w:rsidR="00175893" w:rsidRPr="00E01829" w:rsidRDefault="00175893" w:rsidP="00547E16">
            <w:pPr>
              <w:rPr>
                <w:rFonts w:cs="Arial"/>
                <w:szCs w:val="22"/>
              </w:rPr>
            </w:pPr>
            <w:r w:rsidRPr="00E01829">
              <w:rPr>
                <w:rFonts w:cs="Arial"/>
                <w:szCs w:val="22"/>
              </w:rPr>
              <w:t xml:space="preserve">Progress the </w:t>
            </w:r>
            <w:r w:rsidRPr="00E01829">
              <w:rPr>
                <w:rFonts w:cs="Arial"/>
                <w:i/>
                <w:szCs w:val="22"/>
              </w:rPr>
              <w:t>Patient safety and learning model</w:t>
            </w:r>
            <w:r w:rsidRPr="00E01829">
              <w:rPr>
                <w:rFonts w:cs="Arial"/>
                <w:szCs w:val="22"/>
              </w:rPr>
              <w:t>, including implementation of the set of hospital-acquired complications</w:t>
            </w:r>
            <w:r w:rsidR="00060A78">
              <w:rPr>
                <w:rFonts w:cs="Arial"/>
                <w:szCs w:val="22"/>
              </w:rPr>
              <w:t>, AHPEQs and continuing the development of national core patient reported outcome measures</w:t>
            </w:r>
          </w:p>
        </w:tc>
        <w:tc>
          <w:tcPr>
            <w:tcW w:w="2410" w:type="dxa"/>
          </w:tcPr>
          <w:p w:rsidR="00175893" w:rsidRPr="00E01829" w:rsidRDefault="00060A78" w:rsidP="00E01829">
            <w:pPr>
              <w:rPr>
                <w:rFonts w:cs="Arial"/>
                <w:szCs w:val="22"/>
              </w:rPr>
            </w:pPr>
            <w:r>
              <w:rPr>
                <w:rFonts w:cs="Arial"/>
                <w:szCs w:val="22"/>
              </w:rPr>
              <w:t>Progress work on</w:t>
            </w:r>
            <w:r w:rsidRPr="00E01829">
              <w:rPr>
                <w:rFonts w:cs="Arial"/>
                <w:szCs w:val="22"/>
              </w:rPr>
              <w:t xml:space="preserve"> </w:t>
            </w:r>
            <w:r w:rsidR="00175893" w:rsidRPr="00E01829">
              <w:rPr>
                <w:rFonts w:cs="Arial"/>
                <w:szCs w:val="22"/>
              </w:rPr>
              <w:t xml:space="preserve">the </w:t>
            </w:r>
            <w:r w:rsidR="00175893" w:rsidRPr="00E01829">
              <w:rPr>
                <w:rFonts w:cs="Arial"/>
                <w:i/>
                <w:szCs w:val="22"/>
              </w:rPr>
              <w:t>Patient safety and learning model</w:t>
            </w:r>
            <w:r w:rsidR="00175893" w:rsidRPr="00E01829">
              <w:rPr>
                <w:rFonts w:cs="Arial"/>
                <w:szCs w:val="22"/>
              </w:rPr>
              <w:t xml:space="preserve"> </w:t>
            </w:r>
          </w:p>
        </w:tc>
        <w:tc>
          <w:tcPr>
            <w:tcW w:w="2248" w:type="dxa"/>
          </w:tcPr>
          <w:p w:rsidR="00060A78" w:rsidRDefault="00060A78" w:rsidP="00500B76">
            <w:pPr>
              <w:rPr>
                <w:rFonts w:cs="Arial"/>
                <w:i/>
                <w:szCs w:val="22"/>
              </w:rPr>
            </w:pPr>
            <w:r>
              <w:rPr>
                <w:rFonts w:cs="Arial"/>
                <w:szCs w:val="22"/>
              </w:rPr>
              <w:t xml:space="preserve">Finalise resources and mechanisms to support the implementation of the </w:t>
            </w:r>
            <w:r w:rsidRPr="00E01829">
              <w:rPr>
                <w:rFonts w:cs="Arial"/>
                <w:i/>
                <w:szCs w:val="22"/>
              </w:rPr>
              <w:t>Patient safety and learning model</w:t>
            </w:r>
          </w:p>
          <w:p w:rsidR="00060A78" w:rsidRDefault="00D36D0F" w:rsidP="00500B76">
            <w:pPr>
              <w:rPr>
                <w:rFonts w:cs="Arial"/>
                <w:szCs w:val="22"/>
              </w:rPr>
            </w:pPr>
            <w:r w:rsidRPr="005C54B6">
              <w:rPr>
                <w:rFonts w:cs="Arial"/>
                <w:szCs w:val="22"/>
              </w:rPr>
              <w:t>Finalise implementation of the</w:t>
            </w:r>
            <w:r>
              <w:rPr>
                <w:rFonts w:cs="Arial"/>
                <w:i/>
                <w:szCs w:val="22"/>
              </w:rPr>
              <w:t xml:space="preserve"> </w:t>
            </w:r>
            <w:r w:rsidRPr="00E01829">
              <w:rPr>
                <w:rFonts w:cs="Arial"/>
                <w:i/>
                <w:szCs w:val="22"/>
              </w:rPr>
              <w:t>Patient safety and learning model</w:t>
            </w:r>
          </w:p>
          <w:p w:rsidR="00175893" w:rsidRPr="00E01829" w:rsidRDefault="00175893" w:rsidP="00500B76">
            <w:pPr>
              <w:rPr>
                <w:rFonts w:cs="Arial"/>
                <w:szCs w:val="22"/>
              </w:rPr>
            </w:pPr>
          </w:p>
        </w:tc>
        <w:tc>
          <w:tcPr>
            <w:tcW w:w="2146" w:type="dxa"/>
          </w:tcPr>
          <w:p w:rsidR="00175893" w:rsidRPr="00E01829" w:rsidRDefault="00060A78" w:rsidP="00500B76">
            <w:pPr>
              <w:rPr>
                <w:rFonts w:cs="Arial"/>
                <w:szCs w:val="22"/>
              </w:rPr>
            </w:pPr>
            <w:r w:rsidRPr="00E01829">
              <w:rPr>
                <w:rFonts w:cs="Arial"/>
                <w:szCs w:val="22"/>
              </w:rPr>
              <w:t xml:space="preserve">Evaluate implementation of the </w:t>
            </w:r>
            <w:r w:rsidRPr="00E01829">
              <w:rPr>
                <w:rFonts w:cs="Arial"/>
                <w:i/>
                <w:szCs w:val="22"/>
              </w:rPr>
              <w:t>Patient safety and learning model</w:t>
            </w:r>
          </w:p>
        </w:tc>
      </w:tr>
      <w:tr w:rsidR="005C54B6" w:rsidTr="005C54B6">
        <w:trPr>
          <w:cantSplit/>
          <w:trHeight w:val="1134"/>
        </w:trPr>
        <w:tc>
          <w:tcPr>
            <w:tcW w:w="622" w:type="dxa"/>
            <w:shd w:val="clear" w:color="auto" w:fill="DBE5F1" w:themeFill="accent1" w:themeFillTint="33"/>
            <w:textDirection w:val="btLr"/>
          </w:tcPr>
          <w:p w:rsidR="00D36D0F" w:rsidRPr="00E01829" w:rsidRDefault="00D36D0F" w:rsidP="00666D48">
            <w:pPr>
              <w:jc w:val="center"/>
              <w:rPr>
                <w:rFonts w:cs="Arial"/>
                <w:szCs w:val="22"/>
              </w:rPr>
            </w:pPr>
            <w:r>
              <w:rPr>
                <w:rFonts w:cs="Arial"/>
                <w:szCs w:val="22"/>
              </w:rPr>
              <w:t xml:space="preserve">Priority 4   </w:t>
            </w:r>
          </w:p>
        </w:tc>
        <w:tc>
          <w:tcPr>
            <w:tcW w:w="2213" w:type="dxa"/>
          </w:tcPr>
          <w:p w:rsidR="00D36D0F" w:rsidRPr="00E01829" w:rsidRDefault="00D36D0F" w:rsidP="00547E16">
            <w:pPr>
              <w:rPr>
                <w:rFonts w:cs="Arial"/>
                <w:szCs w:val="22"/>
              </w:rPr>
            </w:pPr>
            <w:r>
              <w:rPr>
                <w:rFonts w:cs="Arial"/>
                <w:szCs w:val="22"/>
              </w:rPr>
              <w:t>Finalise development of a best practice governance model for registry development</w:t>
            </w:r>
          </w:p>
        </w:tc>
        <w:tc>
          <w:tcPr>
            <w:tcW w:w="2410" w:type="dxa"/>
          </w:tcPr>
          <w:p w:rsidR="00D36D0F" w:rsidRPr="00E01829" w:rsidDel="00060A78" w:rsidRDefault="00D36D0F" w:rsidP="00E01829">
            <w:pPr>
              <w:rPr>
                <w:rFonts w:cs="Arial"/>
                <w:szCs w:val="22"/>
              </w:rPr>
            </w:pPr>
            <w:r>
              <w:rPr>
                <w:rFonts w:cs="Arial"/>
                <w:szCs w:val="22"/>
              </w:rPr>
              <w:t xml:space="preserve">Review, and where required revise, the Framework for Australian clinical Quality Registries, incorporating the governance policy </w:t>
            </w:r>
          </w:p>
        </w:tc>
        <w:tc>
          <w:tcPr>
            <w:tcW w:w="2248" w:type="dxa"/>
          </w:tcPr>
          <w:p w:rsidR="00D36D0F" w:rsidRDefault="00D36D0F" w:rsidP="00500B76">
            <w:pPr>
              <w:rPr>
                <w:rFonts w:cs="Arial"/>
                <w:szCs w:val="22"/>
              </w:rPr>
            </w:pPr>
            <w:r>
              <w:rPr>
                <w:rFonts w:cs="Arial"/>
                <w:szCs w:val="22"/>
              </w:rPr>
              <w:t>Finalise and support implementation of a national standard for clinical quality registries passed on the Framework for Australian clinical quality registries</w:t>
            </w:r>
          </w:p>
        </w:tc>
        <w:tc>
          <w:tcPr>
            <w:tcW w:w="2146" w:type="dxa"/>
          </w:tcPr>
          <w:p w:rsidR="00D36D0F" w:rsidRPr="00E01829" w:rsidRDefault="007D2020" w:rsidP="007D2020">
            <w:pPr>
              <w:rPr>
                <w:rFonts w:cs="Arial"/>
                <w:szCs w:val="22"/>
              </w:rPr>
            </w:pPr>
            <w:r>
              <w:rPr>
                <w:rFonts w:cs="Arial"/>
                <w:szCs w:val="22"/>
              </w:rPr>
              <w:t>Finalise the development and support implementation of a national system which supports the national standard for clinical quality registries</w:t>
            </w:r>
          </w:p>
        </w:tc>
      </w:tr>
    </w:tbl>
    <w:p w:rsidR="00CD7EDE" w:rsidRDefault="00CD7EDE" w:rsidP="006F1491"/>
    <w:p w:rsidR="00190713" w:rsidRDefault="007936B1" w:rsidP="00E04D12">
      <w:pPr>
        <w:pStyle w:val="Heading1"/>
        <w:spacing w:before="0" w:after="120"/>
      </w:pPr>
      <w:bookmarkStart w:id="28" w:name="_Toc483397758"/>
      <w:r>
        <w:t>C</w:t>
      </w:r>
      <w:r w:rsidR="00190713">
        <w:t>apability</w:t>
      </w:r>
      <w:bookmarkEnd w:id="28"/>
    </w:p>
    <w:p w:rsidR="00865823" w:rsidRPr="00865823" w:rsidRDefault="00865823" w:rsidP="000C5C4B">
      <w:bookmarkStart w:id="29" w:name="_Toc455410137"/>
      <w:r w:rsidRPr="00865823">
        <w:t>To meet its objectives and f</w:t>
      </w:r>
      <w:r>
        <w:t xml:space="preserve">unctions the Commission </w:t>
      </w:r>
      <w:r w:rsidR="009775D5">
        <w:t>requires strong proficiency in</w:t>
      </w:r>
      <w:r>
        <w:t xml:space="preserve"> public sector </w:t>
      </w:r>
      <w:r w:rsidR="009775D5">
        <w:t>policy and health sector</w:t>
      </w:r>
      <w:r w:rsidR="00D66EF5">
        <w:t xml:space="preserve"> experience</w:t>
      </w:r>
      <w:r w:rsidR="009775D5">
        <w:t xml:space="preserve">, which is achieved through the engagement of appropriately qualified and </w:t>
      </w:r>
      <w:r w:rsidR="00D66EF5">
        <w:t>skilled</w:t>
      </w:r>
      <w:r w:rsidR="009775D5">
        <w:t xml:space="preserve"> staff. The Commission’s work is informed by specialist clinical and consumer expertise, which is often met through engagement with a variety of stakeholders across the health sector. Stakeholder engagement provides a level of expertise and oversight to Commission</w:t>
      </w:r>
      <w:r w:rsidR="00D66EF5">
        <w:t xml:space="preserve"> activities</w:t>
      </w:r>
      <w:r w:rsidR="009775D5">
        <w:t>, which</w:t>
      </w:r>
      <w:r w:rsidR="00D66EF5">
        <w:t xml:space="preserve"> contributes to the achievement of a natio</w:t>
      </w:r>
      <w:r w:rsidR="00DF1EC3">
        <w:t>nal consensus for Commission</w:t>
      </w:r>
      <w:r w:rsidR="00826ED2">
        <w:t>-</w:t>
      </w:r>
      <w:r w:rsidR="00DF1EC3">
        <w:t>le</w:t>
      </w:r>
      <w:r w:rsidR="00D66EF5">
        <w:t>d initiatives and reinforces the integrity of the Commission’s work.</w:t>
      </w:r>
      <w:bookmarkEnd w:id="29"/>
      <w:r w:rsidR="00D66EF5">
        <w:t xml:space="preserve">  </w:t>
      </w:r>
      <w:r w:rsidR="009775D5">
        <w:t xml:space="preserve">  </w:t>
      </w:r>
    </w:p>
    <w:p w:rsidR="00DB384D" w:rsidRPr="00D43BB8" w:rsidRDefault="00DB384D" w:rsidP="005233B1">
      <w:pPr>
        <w:pStyle w:val="Heading2"/>
        <w:spacing w:after="120"/>
        <w:rPr>
          <w:rStyle w:val="IntenseReference"/>
          <w:b/>
          <w:bCs/>
          <w:i/>
          <w:smallCaps w:val="0"/>
          <w:color w:val="auto"/>
          <w:spacing w:val="0"/>
        </w:rPr>
      </w:pPr>
      <w:bookmarkStart w:id="30" w:name="_Toc483397759"/>
      <w:r>
        <w:rPr>
          <w:rStyle w:val="IntenseReference"/>
          <w:b/>
          <w:bCs/>
          <w:i/>
          <w:smallCaps w:val="0"/>
          <w:color w:val="auto"/>
          <w:spacing w:val="0"/>
        </w:rPr>
        <w:t>Staff Profile</w:t>
      </w:r>
      <w:bookmarkEnd w:id="30"/>
    </w:p>
    <w:p w:rsidR="00232B92" w:rsidRDefault="00CD6852" w:rsidP="005233B1">
      <w:pPr>
        <w:spacing w:after="240"/>
      </w:pPr>
      <w:r w:rsidRPr="00232B92">
        <w:t>The Commission employs a diverse range of highly skilled and professional staff</w:t>
      </w:r>
      <w:r w:rsidR="00DB384D" w:rsidRPr="00232B92">
        <w:t xml:space="preserve"> from across the healthcare industry</w:t>
      </w:r>
      <w:r w:rsidRPr="00232B92">
        <w:t xml:space="preserve"> with experience</w:t>
      </w:r>
      <w:r w:rsidR="00C60D41" w:rsidRPr="00232B92">
        <w:t xml:space="preserve"> </w:t>
      </w:r>
      <w:r w:rsidR="003F7CEF" w:rsidRPr="00232B92">
        <w:t>in</w:t>
      </w:r>
      <w:r w:rsidR="004F16F1" w:rsidRPr="00232B92">
        <w:t xml:space="preserve"> </w:t>
      </w:r>
      <w:r w:rsidR="003F7CEF" w:rsidRPr="00232B92">
        <w:t>public sector governance</w:t>
      </w:r>
      <w:r w:rsidR="00DB384D" w:rsidRPr="00232B92">
        <w:t xml:space="preserve">. </w:t>
      </w:r>
      <w:r w:rsidR="003F7CEF" w:rsidRPr="00232B92">
        <w:t xml:space="preserve"> </w:t>
      </w:r>
      <w:r w:rsidR="00DB384D" w:rsidRPr="00232B92">
        <w:t xml:space="preserve">Commission staff have highly specific </w:t>
      </w:r>
      <w:r w:rsidR="00DB384D" w:rsidRPr="00E128EF">
        <w:rPr>
          <w:rFonts w:eastAsia="MS Mincho"/>
        </w:rPr>
        <w:t>healthcare</w:t>
      </w:r>
      <w:r w:rsidR="00DB384D" w:rsidRPr="00232B92">
        <w:t xml:space="preserve"> knowledge and skills and are committed to delivering safety and quality improvements in their area of healthcare expertise. </w:t>
      </w:r>
    </w:p>
    <w:p w:rsidR="005C54B6" w:rsidRDefault="005C54B6" w:rsidP="005233B1">
      <w:pPr>
        <w:spacing w:after="240"/>
      </w:pPr>
    </w:p>
    <w:p w:rsidR="005C54B6" w:rsidRDefault="005C54B6" w:rsidP="005233B1">
      <w:pPr>
        <w:spacing w:after="240"/>
      </w:pPr>
    </w:p>
    <w:p w:rsidR="005C54B6" w:rsidRDefault="005C54B6" w:rsidP="005233B1">
      <w:pPr>
        <w:spacing w:after="240"/>
      </w:pPr>
    </w:p>
    <w:p w:rsidR="0018054B" w:rsidRPr="007B2DB2" w:rsidRDefault="00722436" w:rsidP="0018054B">
      <w:pPr>
        <w:pStyle w:val="ListParagraph"/>
        <w:numPr>
          <w:ilvl w:val="0"/>
          <w:numId w:val="40"/>
        </w:numPr>
        <w:pBdr>
          <w:top w:val="single" w:sz="12" w:space="1" w:color="auto"/>
          <w:left w:val="single" w:sz="12" w:space="4" w:color="auto"/>
          <w:bottom w:val="single" w:sz="12" w:space="1" w:color="auto"/>
          <w:right w:val="single" w:sz="12" w:space="4" w:color="auto"/>
        </w:pBdr>
        <w:spacing w:after="40" w:line="140" w:lineRule="atLeast"/>
        <w:ind w:left="851" w:hanging="851"/>
        <w:contextualSpacing w:val="0"/>
        <w:rPr>
          <w:rFonts w:eastAsia="MS Mincho"/>
          <w:b/>
          <w:i/>
          <w:szCs w:val="22"/>
        </w:rPr>
      </w:pPr>
      <w:r>
        <w:rPr>
          <w:rFonts w:eastAsia="MS Mincho"/>
          <w:b/>
          <w:i/>
          <w:szCs w:val="22"/>
        </w:rPr>
        <w:t>The Commission proactively addresses c</w:t>
      </w:r>
      <w:r w:rsidR="00BC68F0">
        <w:rPr>
          <w:rFonts w:eastAsia="MS Mincho"/>
          <w:b/>
          <w:i/>
          <w:szCs w:val="22"/>
        </w:rPr>
        <w:t>hallenges in</w:t>
      </w:r>
      <w:r w:rsidR="0018054B">
        <w:rPr>
          <w:rFonts w:eastAsia="MS Mincho"/>
          <w:b/>
          <w:i/>
          <w:szCs w:val="22"/>
        </w:rPr>
        <w:t xml:space="preserve"> the recruitment of appropriately ski</w:t>
      </w:r>
      <w:r w:rsidR="00A61B8E">
        <w:rPr>
          <w:rFonts w:eastAsia="MS Mincho"/>
          <w:b/>
          <w:i/>
          <w:szCs w:val="22"/>
        </w:rPr>
        <w:t>lled and experienced staff</w:t>
      </w:r>
      <w:r>
        <w:rPr>
          <w:rFonts w:eastAsia="MS Mincho"/>
          <w:b/>
          <w:i/>
          <w:szCs w:val="22"/>
        </w:rPr>
        <w:t xml:space="preserve"> to prevent </w:t>
      </w:r>
      <w:r w:rsidR="0018054B">
        <w:rPr>
          <w:rFonts w:eastAsia="MS Mincho"/>
          <w:b/>
          <w:i/>
          <w:szCs w:val="22"/>
        </w:rPr>
        <w:t>delay</w:t>
      </w:r>
      <w:r>
        <w:rPr>
          <w:rFonts w:eastAsia="MS Mincho"/>
          <w:b/>
          <w:i/>
          <w:szCs w:val="22"/>
        </w:rPr>
        <w:t>s</w:t>
      </w:r>
      <w:r w:rsidR="0018054B">
        <w:rPr>
          <w:rFonts w:eastAsia="MS Mincho"/>
          <w:b/>
          <w:i/>
          <w:szCs w:val="22"/>
        </w:rPr>
        <w:t xml:space="preserve"> </w:t>
      </w:r>
      <w:r w:rsidR="008B415D">
        <w:rPr>
          <w:rFonts w:eastAsia="MS Mincho"/>
          <w:b/>
          <w:i/>
          <w:szCs w:val="22"/>
        </w:rPr>
        <w:t>in</w:t>
      </w:r>
      <w:r>
        <w:rPr>
          <w:rFonts w:eastAsia="MS Mincho"/>
          <w:b/>
          <w:i/>
          <w:szCs w:val="22"/>
        </w:rPr>
        <w:t xml:space="preserve"> the</w:t>
      </w:r>
      <w:r w:rsidR="0018054B">
        <w:rPr>
          <w:rFonts w:eastAsia="MS Mincho"/>
          <w:b/>
          <w:i/>
          <w:szCs w:val="22"/>
        </w:rPr>
        <w:t xml:space="preserve"> delivery of key elements of the work plan</w:t>
      </w:r>
      <w:r w:rsidR="001A0EE2">
        <w:rPr>
          <w:rFonts w:eastAsia="MS Mincho"/>
          <w:b/>
          <w:i/>
          <w:szCs w:val="22"/>
        </w:rPr>
        <w:t>.</w:t>
      </w:r>
    </w:p>
    <w:p w:rsidR="00E472B6" w:rsidRPr="005233B1" w:rsidRDefault="00E472B6" w:rsidP="005233B1">
      <w:pPr>
        <w:pBdr>
          <w:top w:val="single" w:sz="12" w:space="1" w:color="auto"/>
          <w:left w:val="single" w:sz="12" w:space="4" w:color="auto"/>
          <w:bottom w:val="single" w:sz="12" w:space="1" w:color="auto"/>
          <w:right w:val="single" w:sz="12" w:space="4" w:color="auto"/>
        </w:pBdr>
        <w:spacing w:after="40" w:line="140" w:lineRule="atLeast"/>
        <w:rPr>
          <w:rFonts w:eastAsia="MS Mincho"/>
          <w:szCs w:val="22"/>
        </w:rPr>
      </w:pPr>
      <w:r w:rsidRPr="005233B1">
        <w:rPr>
          <w:rFonts w:eastAsia="MS Mincho"/>
          <w:szCs w:val="22"/>
        </w:rPr>
        <w:t>To mitigate</w:t>
      </w:r>
      <w:r w:rsidR="003E4F55">
        <w:rPr>
          <w:rFonts w:eastAsia="MS Mincho"/>
          <w:szCs w:val="22"/>
        </w:rPr>
        <w:t xml:space="preserve"> </w:t>
      </w:r>
      <w:r w:rsidR="001A0EE2">
        <w:rPr>
          <w:rFonts w:eastAsia="MS Mincho"/>
          <w:szCs w:val="22"/>
        </w:rPr>
        <w:t>the</w:t>
      </w:r>
      <w:r w:rsidR="00722436">
        <w:rPr>
          <w:rFonts w:eastAsia="MS Mincho"/>
          <w:szCs w:val="22"/>
        </w:rPr>
        <w:t xml:space="preserve"> potential</w:t>
      </w:r>
      <w:r w:rsidRPr="005233B1">
        <w:rPr>
          <w:rFonts w:eastAsia="MS Mincho"/>
          <w:szCs w:val="22"/>
        </w:rPr>
        <w:t xml:space="preserve"> risk</w:t>
      </w:r>
      <w:r w:rsidR="00722436">
        <w:rPr>
          <w:rFonts w:eastAsia="MS Mincho"/>
          <w:szCs w:val="22"/>
        </w:rPr>
        <w:t xml:space="preserve">s that can be posed by recruitment challenges, </w:t>
      </w:r>
      <w:r w:rsidRPr="005233B1">
        <w:rPr>
          <w:rFonts w:eastAsia="MS Mincho"/>
          <w:szCs w:val="22"/>
        </w:rPr>
        <w:t>the Commission uses a range of recruitment techniques to suit specific requirements</w:t>
      </w:r>
      <w:r w:rsidR="00206DA7">
        <w:rPr>
          <w:rFonts w:eastAsia="MS Mincho"/>
          <w:szCs w:val="22"/>
        </w:rPr>
        <w:t xml:space="preserve"> in addition to the merit based recruitment processes</w:t>
      </w:r>
      <w:r w:rsidRPr="005233B1">
        <w:rPr>
          <w:rFonts w:eastAsia="MS Mincho"/>
          <w:szCs w:val="22"/>
        </w:rPr>
        <w:t xml:space="preserve">. These include temporary secondments of specialist staff from jurisdictional agencies, casual contracts with clinical experts and fee for service arrangements with topic area experts for short term projects.  </w:t>
      </w:r>
    </w:p>
    <w:p w:rsidR="00E472B6" w:rsidRDefault="00E472B6" w:rsidP="00E04D12"/>
    <w:p w:rsidR="00DB384D" w:rsidRPr="00D43BB8" w:rsidRDefault="00DB384D" w:rsidP="005233B1">
      <w:pPr>
        <w:pStyle w:val="Heading2"/>
        <w:spacing w:after="120"/>
        <w:rPr>
          <w:rStyle w:val="IntenseReference"/>
          <w:b/>
          <w:bCs/>
          <w:i/>
          <w:smallCaps w:val="0"/>
          <w:color w:val="auto"/>
          <w:spacing w:val="0"/>
        </w:rPr>
      </w:pPr>
      <w:bookmarkStart w:id="31" w:name="_Toc483397760"/>
      <w:r w:rsidRPr="00D43BB8">
        <w:rPr>
          <w:rStyle w:val="IntenseReference"/>
          <w:b/>
          <w:bCs/>
          <w:i/>
          <w:smallCaps w:val="0"/>
          <w:color w:val="auto"/>
          <w:spacing w:val="0"/>
        </w:rPr>
        <w:t>Strengthening capabilities</w:t>
      </w:r>
      <w:bookmarkEnd w:id="31"/>
      <w:r w:rsidRPr="00D43BB8">
        <w:rPr>
          <w:rStyle w:val="IntenseReference"/>
          <w:b/>
          <w:bCs/>
          <w:i/>
          <w:smallCaps w:val="0"/>
          <w:color w:val="auto"/>
          <w:spacing w:val="0"/>
        </w:rPr>
        <w:t xml:space="preserve"> </w:t>
      </w:r>
    </w:p>
    <w:p w:rsidR="00D43BB8" w:rsidRPr="00E128EF" w:rsidRDefault="00D43BB8" w:rsidP="00E04D12">
      <w:pPr>
        <w:rPr>
          <w:snapToGrid w:val="0"/>
        </w:rPr>
      </w:pPr>
      <w:r w:rsidRPr="00E128EF">
        <w:rPr>
          <w:snapToGrid w:val="0"/>
        </w:rPr>
        <w:t xml:space="preserve">The Commission </w:t>
      </w:r>
      <w:r w:rsidR="00DC5D4D" w:rsidRPr="00E128EF">
        <w:rPr>
          <w:snapToGrid w:val="0"/>
        </w:rPr>
        <w:t>has enhanced its</w:t>
      </w:r>
      <w:r w:rsidRPr="00E128EF">
        <w:rPr>
          <w:snapToGrid w:val="0"/>
        </w:rPr>
        <w:t xml:space="preserve"> people management </w:t>
      </w:r>
      <w:r w:rsidR="00DC5D4D" w:rsidRPr="00E128EF">
        <w:rPr>
          <w:snapToGrid w:val="0"/>
        </w:rPr>
        <w:t>strategies</w:t>
      </w:r>
      <w:r w:rsidRPr="00E128EF">
        <w:rPr>
          <w:snapToGrid w:val="0"/>
        </w:rPr>
        <w:t xml:space="preserve"> to </w:t>
      </w:r>
      <w:r w:rsidR="00DC5D4D" w:rsidRPr="00E128EF">
        <w:rPr>
          <w:snapToGrid w:val="0"/>
        </w:rPr>
        <w:t>promote</w:t>
      </w:r>
      <w:r w:rsidR="00524AD1" w:rsidRPr="00E128EF">
        <w:rPr>
          <w:snapToGrid w:val="0"/>
        </w:rPr>
        <w:t xml:space="preserve"> the</w:t>
      </w:r>
      <w:r w:rsidRPr="00E128EF">
        <w:rPr>
          <w:snapToGrid w:val="0"/>
        </w:rPr>
        <w:t xml:space="preserve"> successful recruitment, retention and </w:t>
      </w:r>
      <w:r w:rsidR="00DF1EC3">
        <w:rPr>
          <w:snapToGrid w:val="0"/>
        </w:rPr>
        <w:t>development</w:t>
      </w:r>
      <w:r w:rsidRPr="00E128EF">
        <w:rPr>
          <w:snapToGrid w:val="0"/>
        </w:rPr>
        <w:t xml:space="preserve"> of staff now and into the future. The Commission </w:t>
      </w:r>
      <w:r w:rsidR="001A0EE2">
        <w:rPr>
          <w:snapToGrid w:val="0"/>
        </w:rPr>
        <w:t>promotes staff engagement</w:t>
      </w:r>
      <w:r w:rsidRPr="00E128EF">
        <w:rPr>
          <w:snapToGrid w:val="0"/>
        </w:rPr>
        <w:t xml:space="preserve"> by providing ongoing support through performance management systems and by embedding a strong sense of direction across the organisation. </w:t>
      </w:r>
    </w:p>
    <w:p w:rsidR="00232B92" w:rsidRPr="00232B92" w:rsidRDefault="00232B92" w:rsidP="00E04D12">
      <w:r w:rsidRPr="00232B92">
        <w:t xml:space="preserve">The Commission values the talent and contribution of its staff and recognises the importance of building </w:t>
      </w:r>
      <w:r w:rsidRPr="00E128EF">
        <w:rPr>
          <w:snapToGrid w:val="0"/>
        </w:rPr>
        <w:t>expertise</w:t>
      </w:r>
      <w:r w:rsidRPr="00232B92">
        <w:t xml:space="preserve"> within the organisation.</w:t>
      </w:r>
      <w:r>
        <w:t xml:space="preserve"> </w:t>
      </w:r>
      <w:r w:rsidRPr="00232B92">
        <w:t>Learning and development needs and opportunities are primarily identified through the performance development scheme.</w:t>
      </w:r>
    </w:p>
    <w:p w:rsidR="00232B92" w:rsidRPr="00232B92" w:rsidRDefault="00232B92" w:rsidP="00E04D12">
      <w:pPr>
        <w:pStyle w:val="NoSpacing"/>
        <w:spacing w:after="120" w:line="280" w:lineRule="atLeast"/>
        <w:rPr>
          <w:rFonts w:ascii="Arial" w:hAnsi="Arial"/>
          <w:color w:val="000000"/>
          <w:sz w:val="22"/>
          <w:lang w:eastAsia="ko-KR"/>
        </w:rPr>
      </w:pPr>
      <w:r>
        <w:rPr>
          <w:rFonts w:ascii="Arial" w:hAnsi="Arial"/>
          <w:color w:val="000000"/>
          <w:sz w:val="22"/>
          <w:lang w:eastAsia="ko-KR"/>
        </w:rPr>
        <w:t>T</w:t>
      </w:r>
      <w:r w:rsidRPr="00232B92">
        <w:rPr>
          <w:rFonts w:ascii="Arial" w:hAnsi="Arial"/>
          <w:color w:val="000000"/>
          <w:sz w:val="22"/>
          <w:lang w:eastAsia="ko-KR"/>
        </w:rPr>
        <w:t>he Commission</w:t>
      </w:r>
      <w:r>
        <w:rPr>
          <w:rFonts w:ascii="Arial" w:hAnsi="Arial"/>
          <w:color w:val="000000"/>
          <w:sz w:val="22"/>
          <w:lang w:eastAsia="ko-KR"/>
        </w:rPr>
        <w:t xml:space="preserve"> has </w:t>
      </w:r>
      <w:r w:rsidRPr="00232B92">
        <w:rPr>
          <w:rFonts w:ascii="Arial" w:hAnsi="Arial"/>
          <w:color w:val="000000"/>
          <w:sz w:val="22"/>
          <w:lang w:eastAsia="ko-KR"/>
        </w:rPr>
        <w:t>study support and training arrangements</w:t>
      </w:r>
      <w:r>
        <w:rPr>
          <w:rFonts w:ascii="Arial" w:hAnsi="Arial"/>
          <w:color w:val="000000"/>
          <w:sz w:val="22"/>
          <w:lang w:eastAsia="ko-KR"/>
        </w:rPr>
        <w:t xml:space="preserve"> in place that</w:t>
      </w:r>
      <w:r w:rsidRPr="00232B92">
        <w:rPr>
          <w:rFonts w:ascii="Arial" w:hAnsi="Arial"/>
          <w:color w:val="000000"/>
          <w:sz w:val="22"/>
          <w:lang w:eastAsia="ko-KR"/>
        </w:rPr>
        <w:t xml:space="preserve"> ensure the ongoing development of staff skills and capabilities. </w:t>
      </w:r>
      <w:r w:rsidR="005D04C8">
        <w:rPr>
          <w:rFonts w:ascii="Arial" w:hAnsi="Arial"/>
          <w:color w:val="000000"/>
          <w:sz w:val="22"/>
          <w:lang w:eastAsia="ko-KR"/>
        </w:rPr>
        <w:t xml:space="preserve">The Commission has high rates of </w:t>
      </w:r>
      <w:r w:rsidRPr="00E128EF">
        <w:rPr>
          <w:rFonts w:ascii="Arial" w:hAnsi="Arial"/>
          <w:snapToGrid w:val="0"/>
          <w:color w:val="000000"/>
          <w:sz w:val="22"/>
          <w:lang w:eastAsia="ko-KR"/>
        </w:rPr>
        <w:t>participation</w:t>
      </w:r>
      <w:r w:rsidRPr="00232B92">
        <w:rPr>
          <w:rFonts w:ascii="Arial" w:hAnsi="Arial"/>
          <w:color w:val="000000"/>
          <w:sz w:val="22"/>
          <w:lang w:eastAsia="ko-KR"/>
        </w:rPr>
        <w:t xml:space="preserve"> in study and training with </w:t>
      </w:r>
      <w:r w:rsidR="00DF1EC3">
        <w:rPr>
          <w:rFonts w:ascii="Arial" w:hAnsi="Arial"/>
          <w:color w:val="000000"/>
          <w:sz w:val="22"/>
          <w:lang w:eastAsia="ko-KR"/>
        </w:rPr>
        <w:t>around one in five</w:t>
      </w:r>
      <w:r w:rsidR="005D04C8">
        <w:rPr>
          <w:rFonts w:ascii="Arial" w:hAnsi="Arial"/>
          <w:color w:val="000000"/>
          <w:sz w:val="22"/>
          <w:lang w:eastAsia="ko-KR"/>
        </w:rPr>
        <w:t xml:space="preserve"> </w:t>
      </w:r>
      <w:r w:rsidRPr="00232B92">
        <w:rPr>
          <w:rFonts w:ascii="Arial" w:hAnsi="Arial"/>
          <w:color w:val="000000"/>
          <w:sz w:val="22"/>
          <w:lang w:eastAsia="ko-KR"/>
        </w:rPr>
        <w:t xml:space="preserve">staff accessing study support assistance and </w:t>
      </w:r>
      <w:r w:rsidR="00206DA7">
        <w:rPr>
          <w:rFonts w:ascii="Arial" w:hAnsi="Arial"/>
          <w:color w:val="000000"/>
          <w:sz w:val="22"/>
          <w:lang w:eastAsia="ko-KR"/>
        </w:rPr>
        <w:t xml:space="preserve">around </w:t>
      </w:r>
      <w:r w:rsidR="00DF1EC3">
        <w:rPr>
          <w:rFonts w:ascii="Arial" w:hAnsi="Arial"/>
          <w:color w:val="000000"/>
          <w:sz w:val="22"/>
          <w:lang w:eastAsia="ko-KR"/>
        </w:rPr>
        <w:t xml:space="preserve">one in </w:t>
      </w:r>
      <w:r w:rsidR="00206DA7">
        <w:rPr>
          <w:rFonts w:ascii="Arial" w:hAnsi="Arial"/>
          <w:color w:val="000000"/>
          <w:sz w:val="22"/>
          <w:lang w:eastAsia="ko-KR"/>
        </w:rPr>
        <w:t>two</w:t>
      </w:r>
      <w:r w:rsidR="00206DA7" w:rsidRPr="00232B92">
        <w:rPr>
          <w:rFonts w:ascii="Arial" w:hAnsi="Arial"/>
          <w:color w:val="000000"/>
          <w:sz w:val="22"/>
          <w:lang w:eastAsia="ko-KR"/>
        </w:rPr>
        <w:t xml:space="preserve"> </w:t>
      </w:r>
      <w:r w:rsidRPr="00232B92">
        <w:rPr>
          <w:rFonts w:ascii="Arial" w:hAnsi="Arial"/>
          <w:color w:val="000000"/>
          <w:sz w:val="22"/>
          <w:lang w:eastAsia="ko-KR"/>
        </w:rPr>
        <w:t>employees completing external training courses</w:t>
      </w:r>
      <w:r w:rsidR="00727BDC">
        <w:rPr>
          <w:rFonts w:ascii="Arial" w:hAnsi="Arial"/>
          <w:color w:val="000000"/>
          <w:sz w:val="22"/>
          <w:lang w:eastAsia="ko-KR"/>
        </w:rPr>
        <w:t xml:space="preserve"> annually</w:t>
      </w:r>
      <w:r w:rsidRPr="00232B92">
        <w:rPr>
          <w:rFonts w:ascii="Arial" w:hAnsi="Arial"/>
          <w:color w:val="000000"/>
          <w:sz w:val="22"/>
          <w:lang w:eastAsia="ko-KR"/>
        </w:rPr>
        <w:t xml:space="preserve">. Tertiary courses being undertaken include Masters of Public Health, Master of Health Service Management, Masters of Health Policy and various </w:t>
      </w:r>
      <w:r w:rsidR="001C3690">
        <w:rPr>
          <w:rFonts w:ascii="Arial" w:hAnsi="Arial"/>
          <w:color w:val="000000"/>
          <w:sz w:val="22"/>
          <w:lang w:eastAsia="ko-KR"/>
        </w:rPr>
        <w:t>g</w:t>
      </w:r>
      <w:r w:rsidRPr="00232B92">
        <w:rPr>
          <w:rFonts w:ascii="Arial" w:hAnsi="Arial"/>
          <w:color w:val="000000"/>
          <w:sz w:val="22"/>
          <w:lang w:eastAsia="ko-KR"/>
        </w:rPr>
        <w:t xml:space="preserve">raduate </w:t>
      </w:r>
      <w:r w:rsidR="001C3690">
        <w:rPr>
          <w:rFonts w:ascii="Arial" w:hAnsi="Arial"/>
          <w:color w:val="000000"/>
          <w:sz w:val="22"/>
          <w:lang w:eastAsia="ko-KR"/>
        </w:rPr>
        <w:t>c</w:t>
      </w:r>
      <w:r w:rsidRPr="00232B92">
        <w:rPr>
          <w:rFonts w:ascii="Arial" w:hAnsi="Arial"/>
          <w:color w:val="000000"/>
          <w:sz w:val="22"/>
          <w:lang w:eastAsia="ko-KR"/>
        </w:rPr>
        <w:t>ertificates in health related fields.</w:t>
      </w:r>
    </w:p>
    <w:p w:rsidR="00D94679" w:rsidRDefault="00FF1DB8" w:rsidP="005233B1">
      <w:pPr>
        <w:pStyle w:val="Heading2"/>
        <w:spacing w:after="120"/>
        <w:rPr>
          <w:rStyle w:val="IntenseReference"/>
          <w:b/>
          <w:bCs/>
          <w:i/>
          <w:smallCaps w:val="0"/>
          <w:color w:val="auto"/>
          <w:spacing w:val="0"/>
        </w:rPr>
      </w:pPr>
      <w:bookmarkStart w:id="32" w:name="_Toc483397761"/>
      <w:r w:rsidRPr="00FF1DB8">
        <w:rPr>
          <w:rStyle w:val="IntenseReference"/>
          <w:b/>
          <w:bCs/>
          <w:i/>
          <w:smallCaps w:val="0"/>
          <w:color w:val="auto"/>
          <w:spacing w:val="0"/>
        </w:rPr>
        <w:t>Stakeholder engagement</w:t>
      </w:r>
      <w:bookmarkEnd w:id="32"/>
    </w:p>
    <w:p w:rsidR="00500B76" w:rsidRDefault="00D94679" w:rsidP="00E04D12">
      <w:r>
        <w:t>T</w:t>
      </w:r>
      <w:r w:rsidRPr="00D94679">
        <w:t xml:space="preserve">he Commission works closely with a number of </w:t>
      </w:r>
      <w:r>
        <w:t>c</w:t>
      </w:r>
      <w:r w:rsidRPr="00D94679">
        <w:t>ommittees including the</w:t>
      </w:r>
      <w:r w:rsidR="003C7EA3">
        <w:t xml:space="preserve"> Inter-Jurisdictional Committee, with representatives from the Australian Govern</w:t>
      </w:r>
      <w:r w:rsidR="00DF1EC3">
        <w:t xml:space="preserve">ment </w:t>
      </w:r>
      <w:r w:rsidR="003C7EA3">
        <w:t>and each state and territory governments, the</w:t>
      </w:r>
      <w:r w:rsidR="007863D6">
        <w:t xml:space="preserve"> </w:t>
      </w:r>
      <w:r w:rsidRPr="00D94679">
        <w:t>Private Hospital Sector Committee, with nominees from key private healthcare bodies</w:t>
      </w:r>
      <w:r w:rsidR="007863D6">
        <w:t>, and the P</w:t>
      </w:r>
      <w:r w:rsidRPr="00D94679">
        <w:t xml:space="preserve">rimary Care Committee, </w:t>
      </w:r>
      <w:r w:rsidR="00341D4F">
        <w:t>which p</w:t>
      </w:r>
      <w:r w:rsidRPr="00D94679">
        <w:t>rovid</w:t>
      </w:r>
      <w:r w:rsidR="00341D4F">
        <w:t>es</w:t>
      </w:r>
      <w:r w:rsidRPr="00D94679">
        <w:t xml:space="preserve"> primary care advice and liaison with </w:t>
      </w:r>
      <w:r w:rsidR="00727BDC">
        <w:t>the primary</w:t>
      </w:r>
      <w:r w:rsidRPr="00D94679">
        <w:t xml:space="preserve"> sector. </w:t>
      </w:r>
    </w:p>
    <w:p w:rsidR="00D94679" w:rsidRPr="00D94679" w:rsidRDefault="00D94679" w:rsidP="00E04D12">
      <w:r w:rsidRPr="00D94679">
        <w:t>The Commission also works in close partnership with</w:t>
      </w:r>
      <w:r>
        <w:t xml:space="preserve"> </w:t>
      </w:r>
      <w:r w:rsidR="00CD7EDE">
        <w:t>around 35</w:t>
      </w:r>
      <w:r w:rsidRPr="00D94679">
        <w:t xml:space="preserve"> </w:t>
      </w:r>
      <w:r>
        <w:t>a</w:t>
      </w:r>
      <w:r w:rsidRPr="00D94679">
        <w:t xml:space="preserve">dvisory </w:t>
      </w:r>
      <w:r>
        <w:t>c</w:t>
      </w:r>
      <w:r w:rsidRPr="00D94679">
        <w:t>ommittees</w:t>
      </w:r>
      <w:r>
        <w:t xml:space="preserve"> and working groups</w:t>
      </w:r>
      <w:r w:rsidRPr="00D94679">
        <w:t xml:space="preserve"> that directly relate to key aspects of individual work programs</w:t>
      </w:r>
      <w:r w:rsidR="00992AED">
        <w:t xml:space="preserve"> and provide expert input to specific Commission projects</w:t>
      </w:r>
      <w:r w:rsidRPr="00D94679">
        <w:t>. These involve key stakeholder groups, including consumers</w:t>
      </w:r>
      <w:r w:rsidR="00727BDC">
        <w:t>, clinical colleges, professional bodies</w:t>
      </w:r>
      <w:r w:rsidRPr="00D94679">
        <w:t xml:space="preserve"> and health professionals</w:t>
      </w:r>
      <w:r>
        <w:t xml:space="preserve">. </w:t>
      </w:r>
    </w:p>
    <w:p w:rsidR="00535BBD" w:rsidRDefault="00D94679" w:rsidP="00E04D12">
      <w:r>
        <w:t>The Commission has</w:t>
      </w:r>
      <w:r w:rsidRPr="00D94679">
        <w:t xml:space="preserve"> a strong commitment </w:t>
      </w:r>
      <w:r w:rsidR="00DF1EC3">
        <w:t>to</w:t>
      </w:r>
      <w:r w:rsidRPr="00D94679">
        <w:t xml:space="preserve"> ensuring the interests</w:t>
      </w:r>
      <w:r w:rsidR="0030053C">
        <w:t xml:space="preserve"> of</w:t>
      </w:r>
      <w:r>
        <w:t xml:space="preserve"> its</w:t>
      </w:r>
      <w:r w:rsidRPr="00D94679">
        <w:t xml:space="preserve"> internal and external stakeholders are adequately addressed.</w:t>
      </w:r>
      <w:r w:rsidR="0030053C">
        <w:t xml:space="preserve"> </w:t>
      </w:r>
      <w:r w:rsidRPr="00D94679">
        <w:t>The structure under which the Commission was established creates a strong environment for effective stakeholder engagement practices</w:t>
      </w:r>
      <w:r w:rsidR="0030053C">
        <w:t xml:space="preserve">, and </w:t>
      </w:r>
      <w:r w:rsidRPr="00D94679">
        <w:t>provides a high degree of oversight and input from leading external health representatives</w:t>
      </w:r>
      <w:r w:rsidR="00500B76">
        <w:t xml:space="preserve"> through</w:t>
      </w:r>
      <w:r w:rsidRPr="00D94679">
        <w:t xml:space="preserve"> their participation in specialist working gro</w:t>
      </w:r>
      <w:r w:rsidR="0030053C">
        <w:t xml:space="preserve">ups. </w:t>
      </w:r>
    </w:p>
    <w:p w:rsidR="00535BBD" w:rsidRDefault="00535BBD" w:rsidP="005233B1">
      <w:pPr>
        <w:pStyle w:val="Heading2"/>
        <w:spacing w:after="120"/>
        <w:rPr>
          <w:rStyle w:val="IntenseReference"/>
          <w:b/>
          <w:bCs/>
          <w:i/>
          <w:smallCaps w:val="0"/>
          <w:color w:val="auto"/>
          <w:spacing w:val="0"/>
        </w:rPr>
      </w:pPr>
      <w:bookmarkStart w:id="33" w:name="_Toc483397762"/>
      <w:r>
        <w:rPr>
          <w:rStyle w:val="IntenseReference"/>
          <w:b/>
          <w:bCs/>
          <w:i/>
          <w:smallCaps w:val="0"/>
          <w:color w:val="auto"/>
          <w:spacing w:val="0"/>
        </w:rPr>
        <w:t>Shared services</w:t>
      </w:r>
      <w:bookmarkEnd w:id="33"/>
      <w:r>
        <w:rPr>
          <w:rStyle w:val="IntenseReference"/>
          <w:b/>
          <w:bCs/>
          <w:i/>
          <w:smallCaps w:val="0"/>
          <w:color w:val="auto"/>
          <w:spacing w:val="0"/>
        </w:rPr>
        <w:t xml:space="preserve"> </w:t>
      </w:r>
    </w:p>
    <w:p w:rsidR="00C03412" w:rsidRPr="00BA0051" w:rsidRDefault="00C03412" w:rsidP="00E04D12">
      <w:r w:rsidRPr="00BA0051">
        <w:t xml:space="preserve">The Commission has adopted the </w:t>
      </w:r>
      <w:r w:rsidR="001C3690">
        <w:t xml:space="preserve">Australian Government </w:t>
      </w:r>
      <w:r w:rsidRPr="00BA0051">
        <w:t xml:space="preserve">Department of Health’s outsourced business model where </w:t>
      </w:r>
      <w:r>
        <w:t>services including f</w:t>
      </w:r>
      <w:r w:rsidRPr="00BA0051">
        <w:t xml:space="preserve">inance, IT, property management, mail services, payroll and human resource reporting </w:t>
      </w:r>
      <w:r>
        <w:t xml:space="preserve">are provided under a </w:t>
      </w:r>
      <w:r w:rsidR="001C3690">
        <w:t>m</w:t>
      </w:r>
      <w:r>
        <w:t xml:space="preserve">emorandum of </w:t>
      </w:r>
      <w:r w:rsidR="001C3690">
        <w:t>u</w:t>
      </w:r>
      <w:r>
        <w:t xml:space="preserve">nderstanding </w:t>
      </w:r>
      <w:r w:rsidRPr="00BA0051">
        <w:t>arrangement.</w:t>
      </w:r>
    </w:p>
    <w:p w:rsidR="00C03412" w:rsidRPr="00BA0051" w:rsidRDefault="00C03412" w:rsidP="00E04D12">
      <w:r>
        <w:t>I</w:t>
      </w:r>
      <w:r w:rsidRPr="00BA0051">
        <w:t>ndividual services are</w:t>
      </w:r>
      <w:r w:rsidR="001C3690">
        <w:t xml:space="preserve"> negotiated and agreed under a s</w:t>
      </w:r>
      <w:r w:rsidRPr="00BA0051">
        <w:t xml:space="preserve">ervice </w:t>
      </w:r>
      <w:r w:rsidR="001C3690">
        <w:t>l</w:t>
      </w:r>
      <w:r w:rsidRPr="00BA0051">
        <w:t xml:space="preserve">evel </w:t>
      </w:r>
      <w:r w:rsidR="001C3690">
        <w:t>a</w:t>
      </w:r>
      <w:r w:rsidRPr="00BA0051">
        <w:t>greement between the Commission and the Department of Health</w:t>
      </w:r>
      <w:r>
        <w:t>,</w:t>
      </w:r>
      <w:r w:rsidRPr="00BA0051">
        <w:t xml:space="preserve"> which details the services to be provided, the price of each service and the timeframe for the services to be provided.</w:t>
      </w:r>
      <w:r>
        <w:t xml:space="preserve"> </w:t>
      </w:r>
    </w:p>
    <w:p w:rsidR="00C03412" w:rsidRPr="00BA0051" w:rsidRDefault="00C03412" w:rsidP="00E04D12">
      <w:r w:rsidRPr="00BA0051">
        <w:t xml:space="preserve">The Commission considers the outsourced arrangement with </w:t>
      </w:r>
      <w:r>
        <w:t xml:space="preserve">the Department of </w:t>
      </w:r>
      <w:r w:rsidRPr="00BA0051">
        <w:t xml:space="preserve">Health to be the most cost-effective and efficient method of procuring these services. </w:t>
      </w:r>
    </w:p>
    <w:p w:rsidR="00D94679" w:rsidRPr="00C03412" w:rsidRDefault="00D94679" w:rsidP="00E04D12">
      <w:r>
        <w:br w:type="page"/>
      </w:r>
    </w:p>
    <w:p w:rsidR="004B7776" w:rsidRDefault="004B7776" w:rsidP="00E04D12">
      <w:pPr>
        <w:pStyle w:val="Heading1"/>
        <w:spacing w:before="0" w:after="120"/>
      </w:pPr>
      <w:bookmarkStart w:id="34" w:name="_Toc483397763"/>
      <w:r>
        <w:t xml:space="preserve">Risk </w:t>
      </w:r>
      <w:r w:rsidR="004C4992">
        <w:t>o</w:t>
      </w:r>
      <w:r w:rsidR="009474C1">
        <w:t xml:space="preserve">versight </w:t>
      </w:r>
      <w:r>
        <w:t xml:space="preserve">and </w:t>
      </w:r>
      <w:r w:rsidR="004C4992">
        <w:t>m</w:t>
      </w:r>
      <w:r w:rsidR="009474C1">
        <w:t>anagement</w:t>
      </w:r>
      <w:bookmarkEnd w:id="34"/>
    </w:p>
    <w:p w:rsidR="00D34571" w:rsidRPr="00281DD2" w:rsidRDefault="00281DD2" w:rsidP="005233B1">
      <w:pPr>
        <w:pStyle w:val="Heading2"/>
        <w:spacing w:after="120"/>
        <w:rPr>
          <w:rStyle w:val="IntenseReference"/>
          <w:b/>
          <w:bCs/>
          <w:i/>
          <w:smallCaps w:val="0"/>
          <w:color w:val="auto"/>
          <w:spacing w:val="0"/>
        </w:rPr>
      </w:pPr>
      <w:bookmarkStart w:id="35" w:name="_Toc483397764"/>
      <w:r w:rsidRPr="00281DD2">
        <w:rPr>
          <w:rStyle w:val="IntenseReference"/>
          <w:b/>
          <w:bCs/>
          <w:i/>
          <w:smallCaps w:val="0"/>
          <w:color w:val="auto"/>
          <w:spacing w:val="0"/>
        </w:rPr>
        <w:t xml:space="preserve">Risk </w:t>
      </w:r>
      <w:r w:rsidR="004C4992">
        <w:rPr>
          <w:rStyle w:val="IntenseReference"/>
          <w:b/>
          <w:bCs/>
          <w:i/>
          <w:smallCaps w:val="0"/>
          <w:color w:val="auto"/>
          <w:spacing w:val="0"/>
        </w:rPr>
        <w:t>o</w:t>
      </w:r>
      <w:r w:rsidRPr="00281DD2">
        <w:rPr>
          <w:rStyle w:val="IntenseReference"/>
          <w:b/>
          <w:bCs/>
          <w:i/>
          <w:smallCaps w:val="0"/>
          <w:color w:val="auto"/>
          <w:spacing w:val="0"/>
        </w:rPr>
        <w:t>versight</w:t>
      </w:r>
      <w:bookmarkEnd w:id="35"/>
      <w:r w:rsidRPr="00281DD2">
        <w:rPr>
          <w:rStyle w:val="IntenseReference"/>
          <w:b/>
          <w:bCs/>
          <w:i/>
          <w:smallCaps w:val="0"/>
          <w:color w:val="auto"/>
          <w:spacing w:val="0"/>
        </w:rPr>
        <w:t xml:space="preserve"> </w:t>
      </w:r>
    </w:p>
    <w:p w:rsidR="00500B76" w:rsidRDefault="00281DD2" w:rsidP="00E04D12">
      <w:r w:rsidRPr="00281DD2">
        <w:t>Risk influences every aspect of the Commission’s</w:t>
      </w:r>
      <w:r w:rsidR="00EE3E63">
        <w:t xml:space="preserve"> </w:t>
      </w:r>
      <w:r w:rsidR="00A93B81">
        <w:t>operations</w:t>
      </w:r>
      <w:r w:rsidRPr="00281DD2">
        <w:t>. Understanding risks and managing them appropriately enhance</w:t>
      </w:r>
      <w:r w:rsidR="00DF1EC3">
        <w:t>s</w:t>
      </w:r>
      <w:r w:rsidRPr="00281DD2">
        <w:t xml:space="preserve"> the Commission’s ability to make better decisions, deliver on objectives and subsequently improve performance. Risk management is part of the Commission’s strategy to promote accountability through good governance and </w:t>
      </w:r>
      <w:r w:rsidR="006F1491">
        <w:t>sound</w:t>
      </w:r>
      <w:r w:rsidRPr="00281DD2">
        <w:t xml:space="preserve"> business practices. </w:t>
      </w:r>
    </w:p>
    <w:p w:rsidR="004C4992" w:rsidRDefault="00281DD2" w:rsidP="00E04D12">
      <w:r w:rsidRPr="00281DD2">
        <w:t>The Commission has developed a Risk Management Framework</w:t>
      </w:r>
      <w:r w:rsidR="00A93B81">
        <w:t xml:space="preserve"> that aligns with the commonwealth Risk Management Policy.  This framework</w:t>
      </w:r>
      <w:r w:rsidR="00EE3E63">
        <w:t xml:space="preserve"> </w:t>
      </w:r>
      <w:r w:rsidR="004C4992">
        <w:t>is</w:t>
      </w:r>
      <w:r w:rsidRPr="00281DD2">
        <w:t xml:space="preserve"> an essential component of effective governance. The Commission is committed to embedding risk management principles and practices into its</w:t>
      </w:r>
      <w:r w:rsidR="004C4992">
        <w:t>:</w:t>
      </w:r>
    </w:p>
    <w:p w:rsidR="004C4992" w:rsidRPr="00500B76" w:rsidRDefault="00281DD2" w:rsidP="00E04D12">
      <w:pPr>
        <w:pStyle w:val="ListParagraph"/>
        <w:numPr>
          <w:ilvl w:val="0"/>
          <w:numId w:val="24"/>
        </w:numPr>
        <w:contextualSpacing w:val="0"/>
      </w:pPr>
      <w:r w:rsidRPr="00500B76">
        <w:t>organisational culture</w:t>
      </w:r>
    </w:p>
    <w:p w:rsidR="004C4992" w:rsidRPr="00500B76" w:rsidRDefault="00281DD2" w:rsidP="00E04D12">
      <w:pPr>
        <w:pStyle w:val="ListParagraph"/>
        <w:numPr>
          <w:ilvl w:val="0"/>
          <w:numId w:val="24"/>
        </w:numPr>
        <w:contextualSpacing w:val="0"/>
      </w:pPr>
      <w:r w:rsidRPr="00500B76">
        <w:t>governance and accountability arrangements</w:t>
      </w:r>
    </w:p>
    <w:p w:rsidR="00500B76" w:rsidRPr="00500B76" w:rsidRDefault="00281DD2" w:rsidP="00E04D12">
      <w:pPr>
        <w:pStyle w:val="ListParagraph"/>
        <w:numPr>
          <w:ilvl w:val="0"/>
          <w:numId w:val="24"/>
        </w:numPr>
        <w:contextualSpacing w:val="0"/>
      </w:pPr>
      <w:r w:rsidRPr="00500B76">
        <w:t>reporting</w:t>
      </w:r>
      <w:r w:rsidR="00500B76" w:rsidRPr="00500B76">
        <w:t xml:space="preserve"> and</w:t>
      </w:r>
      <w:r w:rsidRPr="00500B76">
        <w:t xml:space="preserve"> performance review</w:t>
      </w:r>
      <w:r w:rsidR="00500B76" w:rsidRPr="00500B76">
        <w:t xml:space="preserve"> processes</w:t>
      </w:r>
      <w:r w:rsidRPr="00500B76">
        <w:t xml:space="preserve"> </w:t>
      </w:r>
    </w:p>
    <w:p w:rsidR="0033530C" w:rsidRDefault="00281DD2" w:rsidP="00E04D12">
      <w:pPr>
        <w:pStyle w:val="ListParagraph"/>
        <w:numPr>
          <w:ilvl w:val="0"/>
          <w:numId w:val="24"/>
        </w:numPr>
        <w:contextualSpacing w:val="0"/>
      </w:pPr>
      <w:r w:rsidRPr="00500B76">
        <w:t>business transformation and improvement processes</w:t>
      </w:r>
    </w:p>
    <w:p w:rsidR="00500B76" w:rsidRPr="00500B76" w:rsidRDefault="0033530C" w:rsidP="00E04D12">
      <w:pPr>
        <w:pStyle w:val="ListParagraph"/>
        <w:numPr>
          <w:ilvl w:val="0"/>
          <w:numId w:val="24"/>
        </w:numPr>
        <w:contextualSpacing w:val="0"/>
      </w:pPr>
      <w:r>
        <w:t>Risk appetite statement</w:t>
      </w:r>
      <w:r w:rsidR="00281DD2" w:rsidRPr="00500B76">
        <w:t xml:space="preserve"> </w:t>
      </w:r>
    </w:p>
    <w:p w:rsidR="00281DD2" w:rsidRPr="00281DD2" w:rsidRDefault="00281DD2" w:rsidP="00E04D12">
      <w:pPr>
        <w:rPr>
          <w:rFonts w:cs="Arial"/>
          <w:bCs/>
        </w:rPr>
      </w:pPr>
      <w:r w:rsidRPr="00281DD2">
        <w:t>Through the Commission’s Risk Management Framework and its supporting processes, the Commission formally establishes and communicates its approach to ongoing risk management, and guides staff members in their actions and abilities to accept and control risks.</w:t>
      </w:r>
    </w:p>
    <w:p w:rsidR="004B7776" w:rsidRPr="00023EF9" w:rsidRDefault="00281DD2" w:rsidP="005233B1">
      <w:pPr>
        <w:pStyle w:val="Heading2"/>
        <w:spacing w:after="120"/>
      </w:pPr>
      <w:bookmarkStart w:id="36" w:name="_Toc483397765"/>
      <w:r>
        <w:t xml:space="preserve">Risk </w:t>
      </w:r>
      <w:r w:rsidR="000921BA">
        <w:t>m</w:t>
      </w:r>
      <w:r>
        <w:t>anagement</w:t>
      </w:r>
      <w:bookmarkEnd w:id="36"/>
    </w:p>
    <w:p w:rsidR="00281DD2" w:rsidRPr="00281DD2" w:rsidRDefault="00281DD2" w:rsidP="00E04D12">
      <w:r w:rsidRPr="00281DD2">
        <w:t xml:space="preserve">The Commission </w:t>
      </w:r>
      <w:r w:rsidR="00354996">
        <w:t xml:space="preserve">has </w:t>
      </w:r>
      <w:r w:rsidRPr="00281DD2">
        <w:t>adopt</w:t>
      </w:r>
      <w:r w:rsidR="00354996">
        <w:t>ed</w:t>
      </w:r>
      <w:r w:rsidRPr="00281DD2">
        <w:t xml:space="preserve"> a risk management approach based on </w:t>
      </w:r>
      <w:r w:rsidR="00FF1DB8">
        <w:t xml:space="preserve">the </w:t>
      </w:r>
      <w:r w:rsidR="00FF1DB8" w:rsidRPr="006F1491">
        <w:rPr>
          <w:i/>
        </w:rPr>
        <w:t xml:space="preserve">AS/NZS ISO 31000:2009 Risk </w:t>
      </w:r>
      <w:r w:rsidR="000921BA">
        <w:rPr>
          <w:i/>
        </w:rPr>
        <w:t>m</w:t>
      </w:r>
      <w:r w:rsidRPr="006F1491">
        <w:rPr>
          <w:i/>
        </w:rPr>
        <w:t>anagem</w:t>
      </w:r>
      <w:r w:rsidR="00FF1DB8" w:rsidRPr="006F1491">
        <w:rPr>
          <w:i/>
        </w:rPr>
        <w:t xml:space="preserve">ent – </w:t>
      </w:r>
      <w:r w:rsidR="000921BA">
        <w:rPr>
          <w:i/>
        </w:rPr>
        <w:t>p</w:t>
      </w:r>
      <w:r w:rsidR="00FF1DB8" w:rsidRPr="006F1491">
        <w:rPr>
          <w:i/>
        </w:rPr>
        <w:t xml:space="preserve">rinciples and </w:t>
      </w:r>
      <w:r w:rsidR="000921BA">
        <w:rPr>
          <w:i/>
        </w:rPr>
        <w:t>g</w:t>
      </w:r>
      <w:r w:rsidRPr="006F1491">
        <w:rPr>
          <w:i/>
        </w:rPr>
        <w:t>uidelines</w:t>
      </w:r>
      <w:r w:rsidRPr="00281DD2">
        <w:t>. The risk management process ensure</w:t>
      </w:r>
      <w:r w:rsidR="00354996">
        <w:t>s</w:t>
      </w:r>
      <w:r w:rsidRPr="00281DD2">
        <w:t xml:space="preserve"> that decisions are based on a robust approach, assessments are conducted in a consistent manner</w:t>
      </w:r>
      <w:r w:rsidR="000921BA">
        <w:t>,</w:t>
      </w:r>
      <w:r w:rsidRPr="00281DD2">
        <w:t xml:space="preserve"> and a common language is used and understood across the Commission. </w:t>
      </w:r>
    </w:p>
    <w:p w:rsidR="00281DD2" w:rsidRPr="00281DD2" w:rsidRDefault="00281DD2" w:rsidP="00E04D12">
      <w:r w:rsidRPr="00281DD2">
        <w:t>Risk identificati</w:t>
      </w:r>
      <w:r w:rsidR="00354996">
        <w:t>on, assessment and management are</w:t>
      </w:r>
      <w:r w:rsidRPr="00281DD2">
        <w:t xml:space="preserve"> undertaken formally at four levels across the Commission:</w:t>
      </w:r>
    </w:p>
    <w:p w:rsidR="00281DD2" w:rsidRPr="000921BA" w:rsidRDefault="000921BA" w:rsidP="00E04D12">
      <w:pPr>
        <w:pStyle w:val="ListParagraph"/>
        <w:numPr>
          <w:ilvl w:val="0"/>
          <w:numId w:val="24"/>
        </w:numPr>
        <w:contextualSpacing w:val="0"/>
      </w:pPr>
      <w:r>
        <w:t>s</w:t>
      </w:r>
      <w:r w:rsidR="00281DD2" w:rsidRPr="006F1491">
        <w:t xml:space="preserve">trategic </w:t>
      </w:r>
      <w:r w:rsidR="00411E6A" w:rsidRPr="006F1491">
        <w:t>l</w:t>
      </w:r>
      <w:r w:rsidR="00281DD2" w:rsidRPr="006F1491">
        <w:t>evel</w:t>
      </w:r>
      <w:r w:rsidR="00281DD2" w:rsidRPr="000921BA">
        <w:t xml:space="preserve"> – </w:t>
      </w:r>
      <w:r w:rsidR="004C4992">
        <w:t>risks that</w:t>
      </w:r>
      <w:r w:rsidR="00281DD2" w:rsidRPr="000921BA">
        <w:t xml:space="preserve"> could affect the achievement of the Commission’s vision and objectives </w:t>
      </w:r>
    </w:p>
    <w:p w:rsidR="00281DD2" w:rsidRPr="000921BA" w:rsidRDefault="000921BA" w:rsidP="00E04D12">
      <w:pPr>
        <w:pStyle w:val="ListParagraph"/>
        <w:numPr>
          <w:ilvl w:val="0"/>
          <w:numId w:val="24"/>
        </w:numPr>
        <w:contextualSpacing w:val="0"/>
      </w:pPr>
      <w:r>
        <w:t>o</w:t>
      </w:r>
      <w:r w:rsidR="00281DD2" w:rsidRPr="006F1491">
        <w:t xml:space="preserve">perational </w:t>
      </w:r>
      <w:r w:rsidR="00411E6A" w:rsidRPr="006F1491">
        <w:t>l</w:t>
      </w:r>
      <w:r w:rsidR="00281DD2" w:rsidRPr="006F1491">
        <w:t>evel</w:t>
      </w:r>
      <w:r w:rsidR="00281DD2" w:rsidRPr="000921BA">
        <w:t xml:space="preserve"> – risks </w:t>
      </w:r>
      <w:r w:rsidR="004C4992">
        <w:t>that</w:t>
      </w:r>
      <w:r w:rsidR="00281DD2" w:rsidRPr="000921BA">
        <w:t xml:space="preserve"> may affect the objectives of one or more business areas </w:t>
      </w:r>
    </w:p>
    <w:p w:rsidR="00281DD2" w:rsidRPr="000921BA" w:rsidRDefault="000921BA" w:rsidP="00E04D12">
      <w:pPr>
        <w:pStyle w:val="ListParagraph"/>
        <w:numPr>
          <w:ilvl w:val="0"/>
          <w:numId w:val="24"/>
        </w:numPr>
        <w:contextualSpacing w:val="0"/>
      </w:pPr>
      <w:r>
        <w:t>p</w:t>
      </w:r>
      <w:r w:rsidR="00281DD2" w:rsidRPr="006F1491">
        <w:t xml:space="preserve">rogram </w:t>
      </w:r>
      <w:r w:rsidR="00411E6A" w:rsidRPr="006F1491">
        <w:t>l</w:t>
      </w:r>
      <w:r w:rsidR="00281DD2" w:rsidRPr="006F1491">
        <w:t>evel</w:t>
      </w:r>
      <w:r w:rsidR="00281DD2" w:rsidRPr="000921BA">
        <w:t xml:space="preserve"> – risks </w:t>
      </w:r>
      <w:r w:rsidR="004C4992">
        <w:t>that have</w:t>
      </w:r>
      <w:r w:rsidR="00DF1EC3">
        <w:t xml:space="preserve"> the potential to impact </w:t>
      </w:r>
      <w:r w:rsidR="00281DD2" w:rsidRPr="000921BA">
        <w:t xml:space="preserve">on a set of projects </w:t>
      </w:r>
      <w:r w:rsidR="004C4992">
        <w:t>that</w:t>
      </w:r>
      <w:r w:rsidR="004C4992" w:rsidRPr="000921BA">
        <w:t xml:space="preserve"> </w:t>
      </w:r>
      <w:r w:rsidR="00281DD2" w:rsidRPr="000921BA">
        <w:t>are grouped and managed together to deliver a combined outcome</w:t>
      </w:r>
    </w:p>
    <w:p w:rsidR="00281DD2" w:rsidRPr="000921BA" w:rsidRDefault="000921BA" w:rsidP="00E04D12">
      <w:pPr>
        <w:pStyle w:val="ListParagraph"/>
        <w:numPr>
          <w:ilvl w:val="0"/>
          <w:numId w:val="24"/>
        </w:numPr>
        <w:contextualSpacing w:val="0"/>
      </w:pPr>
      <w:r>
        <w:t>p</w:t>
      </w:r>
      <w:r w:rsidR="00281DD2" w:rsidRPr="006F1491">
        <w:t xml:space="preserve">roject </w:t>
      </w:r>
      <w:r w:rsidR="00411E6A" w:rsidRPr="006F1491">
        <w:t>l</w:t>
      </w:r>
      <w:r w:rsidR="00281DD2" w:rsidRPr="006F1491">
        <w:t>evel</w:t>
      </w:r>
      <w:r w:rsidR="00281DD2" w:rsidRPr="000921BA">
        <w:t xml:space="preserve"> –</w:t>
      </w:r>
      <w:r w:rsidR="004C4992">
        <w:t xml:space="preserve"> </w:t>
      </w:r>
      <w:r w:rsidR="00281DD2" w:rsidRPr="000921BA">
        <w:t xml:space="preserve">risks </w:t>
      </w:r>
      <w:r w:rsidR="004C4992">
        <w:t xml:space="preserve">that </w:t>
      </w:r>
      <w:r w:rsidR="00281DD2" w:rsidRPr="000921BA">
        <w:t xml:space="preserve">could affect the time, cost, scope or quality of </w:t>
      </w:r>
      <w:r w:rsidR="004C4992">
        <w:t>a</w:t>
      </w:r>
      <w:r w:rsidR="004C4992" w:rsidRPr="000921BA">
        <w:t xml:space="preserve"> </w:t>
      </w:r>
      <w:r w:rsidR="00281DD2" w:rsidRPr="000921BA">
        <w:t xml:space="preserve">project. </w:t>
      </w:r>
    </w:p>
    <w:p w:rsidR="00281DD2" w:rsidRPr="00281DD2" w:rsidRDefault="00281DD2" w:rsidP="00E04D12">
      <w:r w:rsidRPr="00281DD2">
        <w:t>Risks identified at the strategic an</w:t>
      </w:r>
      <w:r w:rsidR="00354996">
        <w:t>d operational level are</w:t>
      </w:r>
      <w:r w:rsidRPr="00281DD2">
        <w:t xml:space="preserve"> listed and maintained in the Commission’s Risk Register. These risks </w:t>
      </w:r>
      <w:r w:rsidR="00354996">
        <w:t>are</w:t>
      </w:r>
      <w:r w:rsidRPr="00281DD2">
        <w:t xml:space="preserve"> monitored and reviewed on an ongoing basis by the Board, the </w:t>
      </w:r>
      <w:r w:rsidR="001C3690">
        <w:t xml:space="preserve">Audit and Risk Committee </w:t>
      </w:r>
      <w:r w:rsidRPr="00281DD2">
        <w:t>and the Commission’s executive staff</w:t>
      </w:r>
      <w:r>
        <w:t xml:space="preserve">. </w:t>
      </w:r>
    </w:p>
    <w:p w:rsidR="00AA0CFB" w:rsidRPr="00AA0CFB" w:rsidRDefault="00AA0CFB" w:rsidP="005233B1">
      <w:pPr>
        <w:pStyle w:val="Heading2"/>
        <w:spacing w:after="120"/>
      </w:pPr>
      <w:bookmarkStart w:id="37" w:name="_Toc483397766"/>
      <w:r w:rsidRPr="00AA0CFB">
        <w:t xml:space="preserve">Compliance with </w:t>
      </w:r>
      <w:r w:rsidR="000921BA">
        <w:t>l</w:t>
      </w:r>
      <w:r w:rsidRPr="00AA0CFB">
        <w:t>egislation</w:t>
      </w:r>
      <w:bookmarkEnd w:id="37"/>
    </w:p>
    <w:p w:rsidR="00AA0CFB" w:rsidRPr="00E72E3D" w:rsidRDefault="00AA0CFB" w:rsidP="00E04D12">
      <w:pPr>
        <w:rPr>
          <w:lang w:val="en-US"/>
        </w:rPr>
      </w:pPr>
      <w:r w:rsidRPr="00A10F48">
        <w:t xml:space="preserve">The </w:t>
      </w:r>
      <w:r>
        <w:rPr>
          <w:lang w:val="en-US"/>
        </w:rPr>
        <w:t xml:space="preserve">Commission is committed to achieving its compliance requirements, meeting its statutory obligations and maintaining the highest of ethical standards. </w:t>
      </w:r>
      <w:r w:rsidRPr="00A10F48">
        <w:t xml:space="preserve">The </w:t>
      </w:r>
      <w:r w:rsidRPr="00A10F48">
        <w:rPr>
          <w:lang w:val="en-US"/>
        </w:rPr>
        <w:t>Commission</w:t>
      </w:r>
      <w:r w:rsidR="00354996">
        <w:rPr>
          <w:lang w:val="en-US"/>
        </w:rPr>
        <w:t xml:space="preserve">’s </w:t>
      </w:r>
      <w:r w:rsidRPr="006F1491">
        <w:rPr>
          <w:i/>
        </w:rPr>
        <w:t xml:space="preserve">Legislative and </w:t>
      </w:r>
      <w:r w:rsidR="000921BA" w:rsidRPr="006F1491">
        <w:rPr>
          <w:i/>
        </w:rPr>
        <w:t>p</w:t>
      </w:r>
      <w:r w:rsidRPr="006F1491">
        <w:rPr>
          <w:i/>
        </w:rPr>
        <w:t xml:space="preserve">olicy </w:t>
      </w:r>
      <w:r w:rsidR="000921BA" w:rsidRPr="006F1491">
        <w:rPr>
          <w:i/>
        </w:rPr>
        <w:t>c</w:t>
      </w:r>
      <w:r w:rsidRPr="006F1491">
        <w:rPr>
          <w:i/>
        </w:rPr>
        <w:t xml:space="preserve">ompliance </w:t>
      </w:r>
      <w:r w:rsidR="000921BA" w:rsidRPr="006F1491">
        <w:rPr>
          <w:i/>
        </w:rPr>
        <w:t>f</w:t>
      </w:r>
      <w:r w:rsidRPr="006F1491">
        <w:rPr>
          <w:i/>
        </w:rPr>
        <w:t>ramework</w:t>
      </w:r>
      <w:r>
        <w:t xml:space="preserve"> help</w:t>
      </w:r>
      <w:r w:rsidR="00354996">
        <w:t xml:space="preserve">s to </w:t>
      </w:r>
      <w:r>
        <w:t xml:space="preserve">identify and manage its obligations around compliance, and </w:t>
      </w:r>
      <w:r w:rsidRPr="00A10F48">
        <w:t>establish</w:t>
      </w:r>
      <w:r w:rsidR="00354996">
        <w:t>es</w:t>
      </w:r>
      <w:r>
        <w:t xml:space="preserve"> a system for reviewing its performance </w:t>
      </w:r>
      <w:r w:rsidR="00A93B81">
        <w:t>on</w:t>
      </w:r>
      <w:r>
        <w:t xml:space="preserve"> compliance. </w:t>
      </w:r>
      <w:r>
        <w:rPr>
          <w:lang w:val="en-US"/>
        </w:rPr>
        <w:t xml:space="preserve">The </w:t>
      </w:r>
      <w:r w:rsidR="000921BA">
        <w:rPr>
          <w:lang w:val="en-US"/>
        </w:rPr>
        <w:t>c</w:t>
      </w:r>
      <w:r>
        <w:rPr>
          <w:lang w:val="en-US"/>
        </w:rPr>
        <w:t xml:space="preserve">ompliance </w:t>
      </w:r>
      <w:r w:rsidR="000921BA">
        <w:rPr>
          <w:lang w:val="en-US"/>
        </w:rPr>
        <w:t>f</w:t>
      </w:r>
      <w:r>
        <w:rPr>
          <w:lang w:val="en-US"/>
        </w:rPr>
        <w:t>ramework establishes the overarching principles and commitment to action for the Commission to achiev</w:t>
      </w:r>
      <w:r w:rsidR="000921BA">
        <w:rPr>
          <w:lang w:val="en-US"/>
        </w:rPr>
        <w:t>e</w:t>
      </w:r>
      <w:r>
        <w:rPr>
          <w:lang w:val="en-US"/>
        </w:rPr>
        <w:t xml:space="preserve"> compliance, and promotes</w:t>
      </w:r>
      <w:r w:rsidRPr="00E72E3D">
        <w:rPr>
          <w:lang w:val="en-US"/>
        </w:rPr>
        <w:t xml:space="preserve"> the understanding and awaren</w:t>
      </w:r>
      <w:r>
        <w:rPr>
          <w:lang w:val="en-US"/>
        </w:rPr>
        <w:t>ess of compliance obligations for</w:t>
      </w:r>
      <w:r w:rsidRPr="00E72E3D">
        <w:rPr>
          <w:lang w:val="en-US"/>
        </w:rPr>
        <w:t xml:space="preserve"> all staff. </w:t>
      </w:r>
      <w:r>
        <w:rPr>
          <w:lang w:val="en-US"/>
        </w:rPr>
        <w:t xml:space="preserve">The </w:t>
      </w:r>
      <w:r w:rsidR="000921BA">
        <w:rPr>
          <w:lang w:val="en-US"/>
        </w:rPr>
        <w:t>c</w:t>
      </w:r>
      <w:r w:rsidRPr="004D5B8B">
        <w:rPr>
          <w:lang w:val="en-US"/>
        </w:rPr>
        <w:t xml:space="preserve">ompliance </w:t>
      </w:r>
      <w:r w:rsidR="000921BA">
        <w:rPr>
          <w:lang w:val="en-US"/>
        </w:rPr>
        <w:t>f</w:t>
      </w:r>
      <w:r>
        <w:rPr>
          <w:lang w:val="en-US"/>
        </w:rPr>
        <w:t>ramework includes measures such as</w:t>
      </w:r>
      <w:r w:rsidRPr="00E72E3D">
        <w:rPr>
          <w:lang w:val="en-US"/>
        </w:rPr>
        <w:t>:</w:t>
      </w:r>
    </w:p>
    <w:p w:rsidR="00AA0CFB" w:rsidRPr="006F1491" w:rsidRDefault="000921BA" w:rsidP="00E04D12">
      <w:pPr>
        <w:pStyle w:val="ListParagraph"/>
        <w:numPr>
          <w:ilvl w:val="0"/>
          <w:numId w:val="24"/>
        </w:numPr>
        <w:contextualSpacing w:val="0"/>
      </w:pPr>
      <w:r>
        <w:t>s</w:t>
      </w:r>
      <w:r w:rsidR="00AA0CFB" w:rsidRPr="000921BA">
        <w:t>tating</w:t>
      </w:r>
      <w:r w:rsidR="00AA0CFB" w:rsidRPr="006F1491">
        <w:t xml:space="preserve"> key compliance obligations in policy documents and position descriptions</w:t>
      </w:r>
    </w:p>
    <w:p w:rsidR="00AA0CFB" w:rsidRPr="006F1491" w:rsidRDefault="000921BA" w:rsidP="00E04D12">
      <w:pPr>
        <w:pStyle w:val="ListParagraph"/>
        <w:numPr>
          <w:ilvl w:val="0"/>
          <w:numId w:val="24"/>
        </w:numPr>
        <w:contextualSpacing w:val="0"/>
      </w:pPr>
      <w:r>
        <w:t>i</w:t>
      </w:r>
      <w:r w:rsidR="00AA0CFB" w:rsidRPr="000921BA">
        <w:t>ncorporating</w:t>
      </w:r>
      <w:r w:rsidR="00AA0CFB" w:rsidRPr="006F1491">
        <w:t xml:space="preserve"> compliance training in appropriate staff development activities</w:t>
      </w:r>
    </w:p>
    <w:p w:rsidR="00AA0CFB" w:rsidRPr="006F1491" w:rsidRDefault="000921BA" w:rsidP="00E04D12">
      <w:pPr>
        <w:pStyle w:val="ListParagraph"/>
        <w:numPr>
          <w:ilvl w:val="0"/>
          <w:numId w:val="24"/>
        </w:numPr>
        <w:contextualSpacing w:val="0"/>
      </w:pPr>
      <w:r>
        <w:t>p</w:t>
      </w:r>
      <w:r w:rsidR="00AA0CFB" w:rsidRPr="000921BA">
        <w:t>roviding</w:t>
      </w:r>
      <w:r w:rsidR="00AA0CFB" w:rsidRPr="006F1491">
        <w:t xml:space="preserve"> specific training to staff with specific responsibilities </w:t>
      </w:r>
      <w:r>
        <w:t>before</w:t>
      </w:r>
      <w:r w:rsidR="00AA0CFB" w:rsidRPr="006F1491">
        <w:t xml:space="preserve"> or when there are legislative changes</w:t>
      </w:r>
    </w:p>
    <w:p w:rsidR="00AA0CFB" w:rsidRPr="006F1491" w:rsidRDefault="000921BA" w:rsidP="00E04D12">
      <w:pPr>
        <w:pStyle w:val="ListParagraph"/>
        <w:numPr>
          <w:ilvl w:val="0"/>
          <w:numId w:val="24"/>
        </w:numPr>
        <w:contextualSpacing w:val="0"/>
      </w:pPr>
      <w:r>
        <w:t>i</w:t>
      </w:r>
      <w:r w:rsidR="00AA0CFB" w:rsidRPr="000921BA">
        <w:t>ncorporating</w:t>
      </w:r>
      <w:r w:rsidR="00AA0CFB" w:rsidRPr="006F1491">
        <w:t xml:space="preserve"> relevant compliance components into the Commission’s strategic planning and review processes</w:t>
      </w:r>
    </w:p>
    <w:p w:rsidR="00AA0CFB" w:rsidRPr="004D5B8B" w:rsidRDefault="00826ED2" w:rsidP="00E04D12">
      <w:pPr>
        <w:rPr>
          <w:lang w:val="en-US"/>
        </w:rPr>
      </w:pPr>
      <w:r>
        <w:t>R</w:t>
      </w:r>
      <w:r w:rsidR="00A93B81">
        <w:t>eporting any significant breaches on compliance to the Minister for Health and the Minister for Finance.</w:t>
      </w:r>
      <w:r w:rsidR="00AA0CFB" w:rsidRPr="004D5B8B">
        <w:rPr>
          <w:lang w:val="en-US"/>
        </w:rPr>
        <w:t xml:space="preserve">Compliance is achieved through the actions of staff and </w:t>
      </w:r>
      <w:r w:rsidR="001C3690">
        <w:rPr>
          <w:lang w:val="en-US"/>
        </w:rPr>
        <w:t>the executive</w:t>
      </w:r>
      <w:r w:rsidR="00AA0CFB">
        <w:rPr>
          <w:lang w:val="en-US"/>
        </w:rPr>
        <w:t xml:space="preserve">. The </w:t>
      </w:r>
      <w:r w:rsidR="000921BA">
        <w:rPr>
          <w:lang w:val="en-US"/>
        </w:rPr>
        <w:t>c</w:t>
      </w:r>
      <w:r w:rsidR="00AA0CFB" w:rsidRPr="004D5B8B">
        <w:rPr>
          <w:lang w:val="en-US"/>
        </w:rPr>
        <w:t xml:space="preserve">ompliance </w:t>
      </w:r>
      <w:r w:rsidR="000921BA">
        <w:rPr>
          <w:lang w:val="en-US"/>
        </w:rPr>
        <w:t>f</w:t>
      </w:r>
      <w:r w:rsidR="00AA0CFB">
        <w:rPr>
          <w:lang w:val="en-US"/>
        </w:rPr>
        <w:t>ramework</w:t>
      </w:r>
      <w:r w:rsidR="00AA0CFB" w:rsidRPr="004D5B8B">
        <w:rPr>
          <w:lang w:val="en-US"/>
        </w:rPr>
        <w:t xml:space="preserve"> prevent</w:t>
      </w:r>
      <w:r w:rsidR="00411E6A">
        <w:rPr>
          <w:lang w:val="en-US"/>
        </w:rPr>
        <w:t>s</w:t>
      </w:r>
      <w:r w:rsidR="00AA0CFB" w:rsidRPr="004D5B8B">
        <w:rPr>
          <w:lang w:val="en-US"/>
        </w:rPr>
        <w:t xml:space="preserve"> non-compliance through a structured and planned program. </w:t>
      </w:r>
      <w:r w:rsidR="00AA0CFB">
        <w:rPr>
          <w:lang w:val="en-US"/>
        </w:rPr>
        <w:t xml:space="preserve">The Commission’s </w:t>
      </w:r>
      <w:r w:rsidR="000921BA">
        <w:rPr>
          <w:lang w:val="en-US"/>
        </w:rPr>
        <w:t>c</w:t>
      </w:r>
      <w:r w:rsidR="00AA0CFB" w:rsidRPr="004D5B8B">
        <w:rPr>
          <w:lang w:val="en-US"/>
        </w:rPr>
        <w:t xml:space="preserve">ompliance </w:t>
      </w:r>
      <w:r w:rsidR="000921BA">
        <w:rPr>
          <w:lang w:val="en-US"/>
        </w:rPr>
        <w:t>f</w:t>
      </w:r>
      <w:r w:rsidR="00AA0CFB">
        <w:rPr>
          <w:lang w:val="en-US"/>
        </w:rPr>
        <w:t>ramework includes</w:t>
      </w:r>
      <w:r w:rsidR="00AA0CFB" w:rsidRPr="004D5B8B">
        <w:rPr>
          <w:lang w:val="en-US"/>
        </w:rPr>
        <w:t xml:space="preserve">: </w:t>
      </w:r>
    </w:p>
    <w:p w:rsidR="00AA0CFB" w:rsidRPr="006F1491" w:rsidRDefault="00AA0CFB" w:rsidP="00E04D12">
      <w:pPr>
        <w:pStyle w:val="ListParagraph"/>
        <w:numPr>
          <w:ilvl w:val="0"/>
          <w:numId w:val="24"/>
        </w:numPr>
        <w:contextualSpacing w:val="0"/>
      </w:pPr>
      <w:r w:rsidRPr="00010C3C">
        <w:rPr>
          <w:rFonts w:cs="Arial"/>
          <w:szCs w:val="22"/>
        </w:rPr>
        <w:t>identifying</w:t>
      </w:r>
      <w:r w:rsidRPr="004D5B8B">
        <w:rPr>
          <w:rFonts w:cs="Arial"/>
          <w:szCs w:val="22"/>
          <w:lang w:val="en-US"/>
        </w:rPr>
        <w:t xml:space="preserve"> </w:t>
      </w:r>
      <w:r w:rsidRPr="006F1491">
        <w:t xml:space="preserve">compliance obligations and promoting awareness </w:t>
      </w:r>
    </w:p>
    <w:p w:rsidR="00AA0CFB" w:rsidRPr="006F1491" w:rsidRDefault="00AA0CFB" w:rsidP="00E04D12">
      <w:pPr>
        <w:pStyle w:val="ListParagraph"/>
        <w:numPr>
          <w:ilvl w:val="0"/>
          <w:numId w:val="24"/>
        </w:numPr>
        <w:contextualSpacing w:val="0"/>
      </w:pPr>
      <w:r w:rsidRPr="000921BA">
        <w:t>allocating</w:t>
      </w:r>
      <w:r w:rsidRPr="006F1491">
        <w:t xml:space="preserve"> responsibility to the relevant officers to facilitate staff and organisational compliance with obligations</w:t>
      </w:r>
    </w:p>
    <w:p w:rsidR="00AA0CFB" w:rsidRPr="00450E48" w:rsidRDefault="00AA0CFB" w:rsidP="00E04D12">
      <w:pPr>
        <w:pStyle w:val="ListParagraph"/>
        <w:numPr>
          <w:ilvl w:val="0"/>
          <w:numId w:val="24"/>
        </w:numPr>
        <w:contextualSpacing w:val="0"/>
      </w:pPr>
      <w:r w:rsidRPr="000921BA">
        <w:t>undertaking</w:t>
      </w:r>
      <w:r w:rsidRPr="00450E48">
        <w:t xml:space="preserve"> a risk assessment of obligations, whe</w:t>
      </w:r>
      <w:r w:rsidR="000921BA">
        <w:t>n</w:t>
      </w:r>
      <w:r w:rsidRPr="00450E48">
        <w:t xml:space="preserve"> necessary, to identify actions and strategies to prevent or minimise risks of non-compliance</w:t>
      </w:r>
    </w:p>
    <w:p w:rsidR="00AA0CFB" w:rsidRPr="00450E48" w:rsidRDefault="00AA0CFB" w:rsidP="00E04D12">
      <w:pPr>
        <w:pStyle w:val="ListParagraph"/>
        <w:numPr>
          <w:ilvl w:val="0"/>
          <w:numId w:val="24"/>
        </w:numPr>
        <w:contextualSpacing w:val="0"/>
      </w:pPr>
      <w:r w:rsidRPr="000921BA">
        <w:t>establishing</w:t>
      </w:r>
      <w:r w:rsidRPr="00450E48">
        <w:t xml:space="preserve"> monitoring mechanisms to provide information to </w:t>
      </w:r>
      <w:r w:rsidR="001C3690">
        <w:rPr>
          <w:lang w:val="en-US"/>
        </w:rPr>
        <w:t>the executive</w:t>
      </w:r>
      <w:r w:rsidRPr="00450E48">
        <w:t>, including identifying any non-compliance and remedial action taken</w:t>
      </w:r>
    </w:p>
    <w:p w:rsidR="00AA0CFB" w:rsidRPr="00450E48" w:rsidRDefault="00AA0CFB" w:rsidP="00E04D12">
      <w:pPr>
        <w:pStyle w:val="ListParagraph"/>
        <w:numPr>
          <w:ilvl w:val="0"/>
          <w:numId w:val="24"/>
        </w:numPr>
        <w:contextualSpacing w:val="0"/>
      </w:pPr>
      <w:r w:rsidRPr="000921BA">
        <w:t>establishing</w:t>
      </w:r>
      <w:r w:rsidRPr="00450E48">
        <w:t xml:space="preserve"> reporting mechanisms to relevant </w:t>
      </w:r>
      <w:r w:rsidR="001C3690">
        <w:rPr>
          <w:lang w:val="en-US"/>
        </w:rPr>
        <w:t>the executive</w:t>
      </w:r>
      <w:r w:rsidRPr="00450E48">
        <w:t xml:space="preserve">, the </w:t>
      </w:r>
      <w:r w:rsidR="001C3690">
        <w:t>Audit and Risk Committee</w:t>
      </w:r>
      <w:r w:rsidRPr="00450E48">
        <w:t xml:space="preserve"> and the Board</w:t>
      </w:r>
    </w:p>
    <w:p w:rsidR="00AA0CFB" w:rsidRPr="00450E48" w:rsidRDefault="00AA0CFB" w:rsidP="00E04D12">
      <w:pPr>
        <w:pStyle w:val="ListParagraph"/>
        <w:numPr>
          <w:ilvl w:val="0"/>
          <w:numId w:val="24"/>
        </w:numPr>
        <w:contextualSpacing w:val="0"/>
      </w:pPr>
      <w:r w:rsidRPr="000921BA">
        <w:t>promoting</w:t>
      </w:r>
      <w:r w:rsidRPr="00450E48">
        <w:t xml:space="preserve"> to staff and </w:t>
      </w:r>
      <w:r w:rsidR="001C3690">
        <w:rPr>
          <w:lang w:val="en-US"/>
        </w:rPr>
        <w:t>the executive</w:t>
      </w:r>
      <w:r w:rsidR="001C3690" w:rsidRPr="00450E48">
        <w:t xml:space="preserve"> </w:t>
      </w:r>
      <w:r w:rsidRPr="00450E48">
        <w:t>awareness of the importance of compliance with specific obligations, as well as commitment to compliance, as an organisational value</w:t>
      </w:r>
    </w:p>
    <w:p w:rsidR="00AA0CFB" w:rsidRPr="000921BA" w:rsidRDefault="00AA0CFB" w:rsidP="00E04D12">
      <w:pPr>
        <w:pStyle w:val="ListParagraph"/>
        <w:numPr>
          <w:ilvl w:val="0"/>
          <w:numId w:val="24"/>
        </w:numPr>
        <w:contextualSpacing w:val="0"/>
      </w:pPr>
      <w:r w:rsidRPr="000921BA">
        <w:t xml:space="preserve">fostering continuous improvement in compliance processes across the </w:t>
      </w:r>
      <w:r w:rsidR="001C3690">
        <w:t>organisation</w:t>
      </w:r>
      <w:r w:rsidRPr="000921BA">
        <w:t xml:space="preserve"> to ensure obligations are met.</w:t>
      </w:r>
    </w:p>
    <w:sectPr w:rsidR="00AA0CFB" w:rsidRPr="000921BA" w:rsidSect="001731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CF" w:rsidRDefault="000629CF" w:rsidP="00500B76">
      <w:r>
        <w:separator/>
      </w:r>
    </w:p>
  </w:endnote>
  <w:endnote w:type="continuationSeparator" w:id="0">
    <w:p w:rsidR="000629CF" w:rsidRDefault="000629CF" w:rsidP="005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altName w:val="Arial"/>
    <w:panose1 w:val="00000000000000000000"/>
    <w:charset w:val="4D"/>
    <w:family w:val="auto"/>
    <w:notTrueType/>
    <w:pitch w:val="default"/>
    <w:sig w:usb0="00000003" w:usb1="00000000" w:usb2="00000000" w:usb3="00000000" w:csb0="00000001"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Black">
    <w:altName w:val="Gotham 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B9" w:rsidRDefault="008913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362116"/>
      <w:docPartObj>
        <w:docPartGallery w:val="Page Numbers (Bottom of Page)"/>
        <w:docPartUnique/>
      </w:docPartObj>
    </w:sdtPr>
    <w:sdtEndPr>
      <w:rPr>
        <w:noProof/>
      </w:rPr>
    </w:sdtEndPr>
    <w:sdtContent>
      <w:p w:rsidR="008913B9" w:rsidRDefault="008913B9" w:rsidP="0020000F">
        <w:pPr>
          <w:pStyle w:val="Footer"/>
          <w:jc w:val="right"/>
        </w:pPr>
        <w:r>
          <w:fldChar w:fldCharType="begin"/>
        </w:r>
        <w:r>
          <w:instrText xml:space="preserve"> PAGE   \* MERGEFORMAT </w:instrText>
        </w:r>
        <w:r>
          <w:fldChar w:fldCharType="separate"/>
        </w:r>
        <w:r w:rsidR="004A7781">
          <w:rPr>
            <w:noProof/>
          </w:rPr>
          <w:t>3</w:t>
        </w:r>
        <w:r>
          <w:rPr>
            <w:noProof/>
          </w:rPr>
          <w:fldChar w:fldCharType="end"/>
        </w:r>
      </w:p>
    </w:sdtContent>
  </w:sdt>
  <w:p w:rsidR="008913B9" w:rsidRDefault="008913B9" w:rsidP="00500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B9" w:rsidRDefault="00891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CF" w:rsidRDefault="000629CF" w:rsidP="00500B76">
      <w:r>
        <w:separator/>
      </w:r>
    </w:p>
  </w:footnote>
  <w:footnote w:type="continuationSeparator" w:id="0">
    <w:p w:rsidR="000629CF" w:rsidRDefault="000629CF" w:rsidP="0050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B9" w:rsidRDefault="00891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B9" w:rsidRDefault="008913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B9" w:rsidRDefault="008913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894EE878"/>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44D2474"/>
    <w:multiLevelType w:val="hybridMultilevel"/>
    <w:tmpl w:val="6C2C3F10"/>
    <w:lvl w:ilvl="0" w:tplc="0C090001">
      <w:start w:val="1"/>
      <w:numFmt w:val="bullet"/>
      <w:lvlText w:val=""/>
      <w:lvlJc w:val="left"/>
      <w:pPr>
        <w:ind w:left="-491" w:hanging="360"/>
      </w:pPr>
      <w:rPr>
        <w:rFonts w:ascii="Symbol" w:hAnsi="Symbol" w:hint="default"/>
        <w:color w:val="auto"/>
        <w:sz w:val="16"/>
      </w:rPr>
    </w:lvl>
    <w:lvl w:ilvl="1" w:tplc="0C090003">
      <w:start w:val="1"/>
      <w:numFmt w:val="bullet"/>
      <w:lvlText w:val="o"/>
      <w:lvlJc w:val="left"/>
      <w:pPr>
        <w:ind w:left="229" w:hanging="360"/>
      </w:pPr>
      <w:rPr>
        <w:rFonts w:ascii="Courier New" w:hAnsi="Courier New" w:cs="Courier New" w:hint="default"/>
      </w:rPr>
    </w:lvl>
    <w:lvl w:ilvl="2" w:tplc="0C090005" w:tentative="1">
      <w:start w:val="1"/>
      <w:numFmt w:val="bullet"/>
      <w:lvlText w:val=""/>
      <w:lvlJc w:val="left"/>
      <w:pPr>
        <w:ind w:left="949" w:hanging="360"/>
      </w:pPr>
      <w:rPr>
        <w:rFonts w:ascii="Wingdings" w:hAnsi="Wingdings" w:hint="default"/>
      </w:rPr>
    </w:lvl>
    <w:lvl w:ilvl="3" w:tplc="0C090001" w:tentative="1">
      <w:start w:val="1"/>
      <w:numFmt w:val="bullet"/>
      <w:lvlText w:val=""/>
      <w:lvlJc w:val="left"/>
      <w:pPr>
        <w:ind w:left="1669" w:hanging="360"/>
      </w:pPr>
      <w:rPr>
        <w:rFonts w:ascii="Symbol" w:hAnsi="Symbol" w:hint="default"/>
      </w:rPr>
    </w:lvl>
    <w:lvl w:ilvl="4" w:tplc="0C090003" w:tentative="1">
      <w:start w:val="1"/>
      <w:numFmt w:val="bullet"/>
      <w:lvlText w:val="o"/>
      <w:lvlJc w:val="left"/>
      <w:pPr>
        <w:ind w:left="2389" w:hanging="360"/>
      </w:pPr>
      <w:rPr>
        <w:rFonts w:ascii="Courier New" w:hAnsi="Courier New" w:cs="Courier New" w:hint="default"/>
      </w:rPr>
    </w:lvl>
    <w:lvl w:ilvl="5" w:tplc="0C090005" w:tentative="1">
      <w:start w:val="1"/>
      <w:numFmt w:val="bullet"/>
      <w:lvlText w:val=""/>
      <w:lvlJc w:val="left"/>
      <w:pPr>
        <w:ind w:left="3109" w:hanging="360"/>
      </w:pPr>
      <w:rPr>
        <w:rFonts w:ascii="Wingdings" w:hAnsi="Wingdings" w:hint="default"/>
      </w:rPr>
    </w:lvl>
    <w:lvl w:ilvl="6" w:tplc="0C090001" w:tentative="1">
      <w:start w:val="1"/>
      <w:numFmt w:val="bullet"/>
      <w:lvlText w:val=""/>
      <w:lvlJc w:val="left"/>
      <w:pPr>
        <w:ind w:left="3829" w:hanging="360"/>
      </w:pPr>
      <w:rPr>
        <w:rFonts w:ascii="Symbol" w:hAnsi="Symbol" w:hint="default"/>
      </w:rPr>
    </w:lvl>
    <w:lvl w:ilvl="7" w:tplc="0C090003" w:tentative="1">
      <w:start w:val="1"/>
      <w:numFmt w:val="bullet"/>
      <w:lvlText w:val="o"/>
      <w:lvlJc w:val="left"/>
      <w:pPr>
        <w:ind w:left="4549" w:hanging="360"/>
      </w:pPr>
      <w:rPr>
        <w:rFonts w:ascii="Courier New" w:hAnsi="Courier New" w:cs="Courier New" w:hint="default"/>
      </w:rPr>
    </w:lvl>
    <w:lvl w:ilvl="8" w:tplc="0C090005" w:tentative="1">
      <w:start w:val="1"/>
      <w:numFmt w:val="bullet"/>
      <w:lvlText w:val=""/>
      <w:lvlJc w:val="left"/>
      <w:pPr>
        <w:ind w:left="5269" w:hanging="360"/>
      </w:pPr>
      <w:rPr>
        <w:rFonts w:ascii="Wingdings" w:hAnsi="Wingdings" w:hint="default"/>
      </w:rPr>
    </w:lvl>
  </w:abstractNum>
  <w:abstractNum w:abstractNumId="2">
    <w:nsid w:val="052162CF"/>
    <w:multiLevelType w:val="hybridMultilevel"/>
    <w:tmpl w:val="B888E66C"/>
    <w:lvl w:ilvl="0" w:tplc="F46A44FC">
      <w:start w:val="1"/>
      <w:numFmt w:val="bullet"/>
      <w:lvlText w:val=""/>
      <w:lvlJc w:val="left"/>
      <w:pPr>
        <w:tabs>
          <w:tab w:val="num" w:pos="360"/>
        </w:tabs>
        <w:ind w:left="360" w:hanging="360"/>
      </w:pPr>
      <w:rPr>
        <w:rFonts w:ascii="Symbol" w:hAnsi="Symbol" w:hint="default"/>
        <w:spacing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4D1181"/>
    <w:multiLevelType w:val="hybridMultilevel"/>
    <w:tmpl w:val="412EE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9C32EB"/>
    <w:multiLevelType w:val="multilevel"/>
    <w:tmpl w:val="D1DCA2EC"/>
    <w:lvl w:ilvl="0">
      <w:start w:val="1"/>
      <w:numFmt w:val="bullet"/>
      <w:pStyle w:val="Bulletlist"/>
      <w:lvlText w:val=""/>
      <w:lvlJc w:val="left"/>
      <w:pPr>
        <w:ind w:left="3260"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11023456"/>
    <w:multiLevelType w:val="hybridMultilevel"/>
    <w:tmpl w:val="F34087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5132D91"/>
    <w:multiLevelType w:val="hybridMultilevel"/>
    <w:tmpl w:val="BD782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4063A1"/>
    <w:multiLevelType w:val="hybridMultilevel"/>
    <w:tmpl w:val="0EE22E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105C16"/>
    <w:multiLevelType w:val="hybridMultilevel"/>
    <w:tmpl w:val="FCEC9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82035E3"/>
    <w:multiLevelType w:val="hybridMultilevel"/>
    <w:tmpl w:val="28ACC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00786"/>
    <w:multiLevelType w:val="hybridMultilevel"/>
    <w:tmpl w:val="949CBE1C"/>
    <w:lvl w:ilvl="0" w:tplc="596CE2CE">
      <w:start w:val="20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69485D"/>
    <w:multiLevelType w:val="hybridMultilevel"/>
    <w:tmpl w:val="CB8E8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6D5557"/>
    <w:multiLevelType w:val="hybridMultilevel"/>
    <w:tmpl w:val="EB68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15691A"/>
    <w:multiLevelType w:val="hybridMultilevel"/>
    <w:tmpl w:val="0F441FDC"/>
    <w:lvl w:ilvl="0" w:tplc="9AAE9582">
      <w:start w:val="1"/>
      <w:numFmt w:val="bullet"/>
      <w:lvlText w:val=""/>
      <w:lvlJc w:val="left"/>
      <w:pPr>
        <w:ind w:left="-491" w:hanging="360"/>
      </w:pPr>
      <w:rPr>
        <w:rFonts w:ascii="Wingdings" w:hAnsi="Wingdings" w:hint="default"/>
        <w:color w:val="auto"/>
        <w:sz w:val="16"/>
      </w:rPr>
    </w:lvl>
    <w:lvl w:ilvl="1" w:tplc="0C090003">
      <w:start w:val="1"/>
      <w:numFmt w:val="bullet"/>
      <w:lvlText w:val="o"/>
      <w:lvlJc w:val="left"/>
      <w:pPr>
        <w:ind w:left="229" w:hanging="360"/>
      </w:pPr>
      <w:rPr>
        <w:rFonts w:ascii="Courier New" w:hAnsi="Courier New" w:cs="Courier New" w:hint="default"/>
      </w:rPr>
    </w:lvl>
    <w:lvl w:ilvl="2" w:tplc="0C090005" w:tentative="1">
      <w:start w:val="1"/>
      <w:numFmt w:val="bullet"/>
      <w:lvlText w:val=""/>
      <w:lvlJc w:val="left"/>
      <w:pPr>
        <w:ind w:left="949" w:hanging="360"/>
      </w:pPr>
      <w:rPr>
        <w:rFonts w:ascii="Wingdings" w:hAnsi="Wingdings" w:hint="default"/>
      </w:rPr>
    </w:lvl>
    <w:lvl w:ilvl="3" w:tplc="0C090001" w:tentative="1">
      <w:start w:val="1"/>
      <w:numFmt w:val="bullet"/>
      <w:lvlText w:val=""/>
      <w:lvlJc w:val="left"/>
      <w:pPr>
        <w:ind w:left="1669" w:hanging="360"/>
      </w:pPr>
      <w:rPr>
        <w:rFonts w:ascii="Symbol" w:hAnsi="Symbol" w:hint="default"/>
      </w:rPr>
    </w:lvl>
    <w:lvl w:ilvl="4" w:tplc="0C090003" w:tentative="1">
      <w:start w:val="1"/>
      <w:numFmt w:val="bullet"/>
      <w:lvlText w:val="o"/>
      <w:lvlJc w:val="left"/>
      <w:pPr>
        <w:ind w:left="2389" w:hanging="360"/>
      </w:pPr>
      <w:rPr>
        <w:rFonts w:ascii="Courier New" w:hAnsi="Courier New" w:cs="Courier New" w:hint="default"/>
      </w:rPr>
    </w:lvl>
    <w:lvl w:ilvl="5" w:tplc="0C090005" w:tentative="1">
      <w:start w:val="1"/>
      <w:numFmt w:val="bullet"/>
      <w:lvlText w:val=""/>
      <w:lvlJc w:val="left"/>
      <w:pPr>
        <w:ind w:left="3109" w:hanging="360"/>
      </w:pPr>
      <w:rPr>
        <w:rFonts w:ascii="Wingdings" w:hAnsi="Wingdings" w:hint="default"/>
      </w:rPr>
    </w:lvl>
    <w:lvl w:ilvl="6" w:tplc="0C090001" w:tentative="1">
      <w:start w:val="1"/>
      <w:numFmt w:val="bullet"/>
      <w:lvlText w:val=""/>
      <w:lvlJc w:val="left"/>
      <w:pPr>
        <w:ind w:left="3829" w:hanging="360"/>
      </w:pPr>
      <w:rPr>
        <w:rFonts w:ascii="Symbol" w:hAnsi="Symbol" w:hint="default"/>
      </w:rPr>
    </w:lvl>
    <w:lvl w:ilvl="7" w:tplc="0C090003" w:tentative="1">
      <w:start w:val="1"/>
      <w:numFmt w:val="bullet"/>
      <w:lvlText w:val="o"/>
      <w:lvlJc w:val="left"/>
      <w:pPr>
        <w:ind w:left="4549" w:hanging="360"/>
      </w:pPr>
      <w:rPr>
        <w:rFonts w:ascii="Courier New" w:hAnsi="Courier New" w:cs="Courier New" w:hint="default"/>
      </w:rPr>
    </w:lvl>
    <w:lvl w:ilvl="8" w:tplc="0C090005" w:tentative="1">
      <w:start w:val="1"/>
      <w:numFmt w:val="bullet"/>
      <w:lvlText w:val=""/>
      <w:lvlJc w:val="left"/>
      <w:pPr>
        <w:ind w:left="5269" w:hanging="360"/>
      </w:pPr>
      <w:rPr>
        <w:rFonts w:ascii="Wingdings" w:hAnsi="Wingdings" w:hint="default"/>
      </w:rPr>
    </w:lvl>
  </w:abstractNum>
  <w:abstractNum w:abstractNumId="14">
    <w:nsid w:val="2C0A27A7"/>
    <w:multiLevelType w:val="hybridMultilevel"/>
    <w:tmpl w:val="CA387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4265CBB"/>
    <w:multiLevelType w:val="hybridMultilevel"/>
    <w:tmpl w:val="6922C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6DC58BF"/>
    <w:multiLevelType w:val="singleLevel"/>
    <w:tmpl w:val="0C090001"/>
    <w:lvl w:ilvl="0">
      <w:start w:val="1"/>
      <w:numFmt w:val="bullet"/>
      <w:lvlText w:val=""/>
      <w:lvlJc w:val="left"/>
      <w:pPr>
        <w:ind w:left="720" w:hanging="360"/>
      </w:pPr>
      <w:rPr>
        <w:rFonts w:ascii="Symbol" w:hAnsi="Symbol" w:hint="default"/>
      </w:rPr>
    </w:lvl>
  </w:abstractNum>
  <w:abstractNum w:abstractNumId="17">
    <w:nsid w:val="38F26E05"/>
    <w:multiLevelType w:val="multilevel"/>
    <w:tmpl w:val="E5A47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4105822"/>
    <w:multiLevelType w:val="hybridMultilevel"/>
    <w:tmpl w:val="B46292DA"/>
    <w:lvl w:ilvl="0" w:tplc="BD12CF5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nsid w:val="45CD7F3D"/>
    <w:multiLevelType w:val="hybridMultilevel"/>
    <w:tmpl w:val="1778AC02"/>
    <w:lvl w:ilvl="0" w:tplc="126E8476">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8DA1FA5"/>
    <w:multiLevelType w:val="hybridMultilevel"/>
    <w:tmpl w:val="4650F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C7090D"/>
    <w:multiLevelType w:val="hybridMultilevel"/>
    <w:tmpl w:val="DE145D6A"/>
    <w:lvl w:ilvl="0" w:tplc="0C090001">
      <w:start w:val="201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FB2AE7"/>
    <w:multiLevelType w:val="hybridMultilevel"/>
    <w:tmpl w:val="33768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0A47C31"/>
    <w:multiLevelType w:val="hybridMultilevel"/>
    <w:tmpl w:val="5A10B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25241E"/>
    <w:multiLevelType w:val="multilevel"/>
    <w:tmpl w:val="AC5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CA3C4B"/>
    <w:multiLevelType w:val="hybridMultilevel"/>
    <w:tmpl w:val="A37663B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ADC6854"/>
    <w:multiLevelType w:val="hybridMultilevel"/>
    <w:tmpl w:val="7A62641E"/>
    <w:lvl w:ilvl="0" w:tplc="51EE6F3A">
      <w:start w:val="1"/>
      <w:numFmt w:val="decimal"/>
      <w:lvlText w:val="%1."/>
      <w:lvlJc w:val="left"/>
      <w:pPr>
        <w:ind w:left="360" w:hanging="360"/>
      </w:pPr>
      <w:rPr>
        <w:rFonts w:ascii="Arial" w:eastAsia="Times New Roman" w:hAnsi="Arial" w:cs="Times New Roman"/>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CD932EE"/>
    <w:multiLevelType w:val="hybridMultilevel"/>
    <w:tmpl w:val="42BEC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432F91"/>
    <w:multiLevelType w:val="hybridMultilevel"/>
    <w:tmpl w:val="2D4AE7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5B064FA"/>
    <w:multiLevelType w:val="hybridMultilevel"/>
    <w:tmpl w:val="4992B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7154B7F"/>
    <w:multiLevelType w:val="hybridMultilevel"/>
    <w:tmpl w:val="1DDCD3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nsid w:val="68403DDE"/>
    <w:multiLevelType w:val="hybridMultilevel"/>
    <w:tmpl w:val="DC00AB78"/>
    <w:lvl w:ilvl="0" w:tplc="B0B0C1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A2C67BE"/>
    <w:multiLevelType w:val="hybridMultilevel"/>
    <w:tmpl w:val="544C76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F67BAF"/>
    <w:multiLevelType w:val="hybridMultilevel"/>
    <w:tmpl w:val="22B6E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2F4429F"/>
    <w:multiLevelType w:val="hybridMultilevel"/>
    <w:tmpl w:val="14207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3F67A12"/>
    <w:multiLevelType w:val="hybridMultilevel"/>
    <w:tmpl w:val="901E4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212CF"/>
    <w:multiLevelType w:val="hybridMultilevel"/>
    <w:tmpl w:val="1660A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51A3119"/>
    <w:multiLevelType w:val="hybridMultilevel"/>
    <w:tmpl w:val="6C7C3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6707073"/>
    <w:multiLevelType w:val="hybridMultilevel"/>
    <w:tmpl w:val="9992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77170D0"/>
    <w:multiLevelType w:val="hybridMultilevel"/>
    <w:tmpl w:val="EB68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F647BE"/>
    <w:multiLevelType w:val="hybridMultilevel"/>
    <w:tmpl w:val="1D18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612DF6"/>
    <w:multiLevelType w:val="hybridMultilevel"/>
    <w:tmpl w:val="CF708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CFE6EFB"/>
    <w:multiLevelType w:val="hybridMultilevel"/>
    <w:tmpl w:val="8862A538"/>
    <w:lvl w:ilvl="0" w:tplc="FE7EDE62">
      <w:start w:val="1"/>
      <w:numFmt w:val="bullet"/>
      <w:lvlText w:val=""/>
      <w:lvlJc w:val="left"/>
      <w:pPr>
        <w:ind w:left="360" w:hanging="360"/>
      </w:pPr>
      <w:rPr>
        <w:rFonts w:ascii="Wingdings" w:hAnsi="Wingdings" w:hint="default"/>
        <w:color w:val="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41"/>
  </w:num>
  <w:num w:numId="3">
    <w:abstractNumId w:val="20"/>
  </w:num>
  <w:num w:numId="4">
    <w:abstractNumId w:val="25"/>
  </w:num>
  <w:num w:numId="5">
    <w:abstractNumId w:val="6"/>
  </w:num>
  <w:num w:numId="6">
    <w:abstractNumId w:val="14"/>
  </w:num>
  <w:num w:numId="7">
    <w:abstractNumId w:val="21"/>
  </w:num>
  <w:num w:numId="8">
    <w:abstractNumId w:val="10"/>
  </w:num>
  <w:num w:numId="9">
    <w:abstractNumId w:val="27"/>
  </w:num>
  <w:num w:numId="10">
    <w:abstractNumId w:val="5"/>
  </w:num>
  <w:num w:numId="11">
    <w:abstractNumId w:val="9"/>
  </w:num>
  <w:num w:numId="12">
    <w:abstractNumId w:val="29"/>
  </w:num>
  <w:num w:numId="13">
    <w:abstractNumId w:val="34"/>
  </w:num>
  <w:num w:numId="14">
    <w:abstractNumId w:val="37"/>
  </w:num>
  <w:num w:numId="15">
    <w:abstractNumId w:val="0"/>
  </w:num>
  <w:num w:numId="16">
    <w:abstractNumId w:val="13"/>
  </w:num>
  <w:num w:numId="17">
    <w:abstractNumId w:val="12"/>
  </w:num>
  <w:num w:numId="18">
    <w:abstractNumId w:val="39"/>
  </w:num>
  <w:num w:numId="19">
    <w:abstractNumId w:val="31"/>
  </w:num>
  <w:num w:numId="20">
    <w:abstractNumId w:val="2"/>
  </w:num>
  <w:num w:numId="21">
    <w:abstractNumId w:val="19"/>
  </w:num>
  <w:num w:numId="22">
    <w:abstractNumId w:val="35"/>
  </w:num>
  <w:num w:numId="23">
    <w:abstractNumId w:val="24"/>
  </w:num>
  <w:num w:numId="24">
    <w:abstractNumId w:val="3"/>
  </w:num>
  <w:num w:numId="25">
    <w:abstractNumId w:val="30"/>
  </w:num>
  <w:num w:numId="26">
    <w:abstractNumId w:val="18"/>
  </w:num>
  <w:num w:numId="27">
    <w:abstractNumId w:val="32"/>
  </w:num>
  <w:num w:numId="28">
    <w:abstractNumId w:val="1"/>
  </w:num>
  <w:num w:numId="29">
    <w:abstractNumId w:val="26"/>
  </w:num>
  <w:num w:numId="30">
    <w:abstractNumId w:val="17"/>
  </w:num>
  <w:num w:numId="31">
    <w:abstractNumId w:val="36"/>
  </w:num>
  <w:num w:numId="32">
    <w:abstractNumId w:val="16"/>
  </w:num>
  <w:num w:numId="33">
    <w:abstractNumId w:val="38"/>
  </w:num>
  <w:num w:numId="34">
    <w:abstractNumId w:val="22"/>
  </w:num>
  <w:num w:numId="35">
    <w:abstractNumId w:val="8"/>
  </w:num>
  <w:num w:numId="36">
    <w:abstractNumId w:val="33"/>
  </w:num>
  <w:num w:numId="37">
    <w:abstractNumId w:val="7"/>
  </w:num>
  <w:num w:numId="38">
    <w:abstractNumId w:val="11"/>
  </w:num>
  <w:num w:numId="39">
    <w:abstractNumId w:val="40"/>
  </w:num>
  <w:num w:numId="40">
    <w:abstractNumId w:val="42"/>
  </w:num>
  <w:num w:numId="41">
    <w:abstractNumId w:val="4"/>
  </w:num>
  <w:num w:numId="42">
    <w:abstractNumId w:val="23"/>
  </w:num>
  <w:num w:numId="43">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CC"/>
    <w:rsid w:val="00003743"/>
    <w:rsid w:val="00005ECE"/>
    <w:rsid w:val="00014F73"/>
    <w:rsid w:val="000158B9"/>
    <w:rsid w:val="00023EF9"/>
    <w:rsid w:val="00031603"/>
    <w:rsid w:val="00032BD4"/>
    <w:rsid w:val="00045C03"/>
    <w:rsid w:val="00051E2D"/>
    <w:rsid w:val="00060A78"/>
    <w:rsid w:val="000629CF"/>
    <w:rsid w:val="00067456"/>
    <w:rsid w:val="00076708"/>
    <w:rsid w:val="00080CB5"/>
    <w:rsid w:val="00090675"/>
    <w:rsid w:val="000909EE"/>
    <w:rsid w:val="000921BA"/>
    <w:rsid w:val="00093F30"/>
    <w:rsid w:val="000958D1"/>
    <w:rsid w:val="000A3A51"/>
    <w:rsid w:val="000C5C4B"/>
    <w:rsid w:val="000C5EBC"/>
    <w:rsid w:val="000C61FA"/>
    <w:rsid w:val="000D2D09"/>
    <w:rsid w:val="000E1ADE"/>
    <w:rsid w:val="000E4225"/>
    <w:rsid w:val="000F2256"/>
    <w:rsid w:val="000F5A4B"/>
    <w:rsid w:val="0010378E"/>
    <w:rsid w:val="001111AE"/>
    <w:rsid w:val="0011348A"/>
    <w:rsid w:val="00116A49"/>
    <w:rsid w:val="00122577"/>
    <w:rsid w:val="001252BA"/>
    <w:rsid w:val="00130787"/>
    <w:rsid w:val="001312A3"/>
    <w:rsid w:val="00131B8E"/>
    <w:rsid w:val="00134243"/>
    <w:rsid w:val="00135962"/>
    <w:rsid w:val="00146773"/>
    <w:rsid w:val="00151120"/>
    <w:rsid w:val="001519E0"/>
    <w:rsid w:val="001549A3"/>
    <w:rsid w:val="00160CA1"/>
    <w:rsid w:val="00162723"/>
    <w:rsid w:val="001655C0"/>
    <w:rsid w:val="00170AC1"/>
    <w:rsid w:val="00173175"/>
    <w:rsid w:val="00175409"/>
    <w:rsid w:val="00175893"/>
    <w:rsid w:val="0018054B"/>
    <w:rsid w:val="0018515C"/>
    <w:rsid w:val="001863F0"/>
    <w:rsid w:val="00186AEE"/>
    <w:rsid w:val="00190713"/>
    <w:rsid w:val="001A0484"/>
    <w:rsid w:val="001A0EE2"/>
    <w:rsid w:val="001A2909"/>
    <w:rsid w:val="001A6F0F"/>
    <w:rsid w:val="001A7A7C"/>
    <w:rsid w:val="001B3443"/>
    <w:rsid w:val="001B581A"/>
    <w:rsid w:val="001B5BC4"/>
    <w:rsid w:val="001B632C"/>
    <w:rsid w:val="001C2C30"/>
    <w:rsid w:val="001C3690"/>
    <w:rsid w:val="001C5BB6"/>
    <w:rsid w:val="001D68BA"/>
    <w:rsid w:val="001D6BBD"/>
    <w:rsid w:val="001E67B8"/>
    <w:rsid w:val="001E6C5F"/>
    <w:rsid w:val="001F53A7"/>
    <w:rsid w:val="001F6283"/>
    <w:rsid w:val="001F7652"/>
    <w:rsid w:val="0020000F"/>
    <w:rsid w:val="00203C94"/>
    <w:rsid w:val="00206DA7"/>
    <w:rsid w:val="002147C2"/>
    <w:rsid w:val="00214D4C"/>
    <w:rsid w:val="00216C3F"/>
    <w:rsid w:val="002207C1"/>
    <w:rsid w:val="00220E41"/>
    <w:rsid w:val="00224ACF"/>
    <w:rsid w:val="002258DC"/>
    <w:rsid w:val="00226D52"/>
    <w:rsid w:val="002279A9"/>
    <w:rsid w:val="002310BB"/>
    <w:rsid w:val="00232B92"/>
    <w:rsid w:val="002403D3"/>
    <w:rsid w:val="00250170"/>
    <w:rsid w:val="00250C8D"/>
    <w:rsid w:val="00251AE1"/>
    <w:rsid w:val="00256C66"/>
    <w:rsid w:val="00260213"/>
    <w:rsid w:val="00260A62"/>
    <w:rsid w:val="002640B9"/>
    <w:rsid w:val="0027242E"/>
    <w:rsid w:val="00276D10"/>
    <w:rsid w:val="00280BA6"/>
    <w:rsid w:val="00281DD2"/>
    <w:rsid w:val="00281F12"/>
    <w:rsid w:val="00282CA2"/>
    <w:rsid w:val="00284B1A"/>
    <w:rsid w:val="0029002F"/>
    <w:rsid w:val="00296ED1"/>
    <w:rsid w:val="002A254B"/>
    <w:rsid w:val="002A5B05"/>
    <w:rsid w:val="002B0201"/>
    <w:rsid w:val="002B1DD4"/>
    <w:rsid w:val="002B2448"/>
    <w:rsid w:val="002C0833"/>
    <w:rsid w:val="002C41D8"/>
    <w:rsid w:val="002C45E9"/>
    <w:rsid w:val="002D6AF8"/>
    <w:rsid w:val="002F0C1C"/>
    <w:rsid w:val="002F3735"/>
    <w:rsid w:val="0030053C"/>
    <w:rsid w:val="0030786C"/>
    <w:rsid w:val="00312212"/>
    <w:rsid w:val="0032081E"/>
    <w:rsid w:val="00320BAE"/>
    <w:rsid w:val="00324E9D"/>
    <w:rsid w:val="00325BC3"/>
    <w:rsid w:val="00327080"/>
    <w:rsid w:val="003311A4"/>
    <w:rsid w:val="0033530C"/>
    <w:rsid w:val="00336927"/>
    <w:rsid w:val="00341D4F"/>
    <w:rsid w:val="00344439"/>
    <w:rsid w:val="00347736"/>
    <w:rsid w:val="00354065"/>
    <w:rsid w:val="00354996"/>
    <w:rsid w:val="003572FF"/>
    <w:rsid w:val="00364DC6"/>
    <w:rsid w:val="00365C0F"/>
    <w:rsid w:val="00366449"/>
    <w:rsid w:val="00370F02"/>
    <w:rsid w:val="003731B6"/>
    <w:rsid w:val="00373BA6"/>
    <w:rsid w:val="0037417B"/>
    <w:rsid w:val="0037484D"/>
    <w:rsid w:val="00377901"/>
    <w:rsid w:val="00384382"/>
    <w:rsid w:val="0039044C"/>
    <w:rsid w:val="00390B96"/>
    <w:rsid w:val="00392734"/>
    <w:rsid w:val="00397DF8"/>
    <w:rsid w:val="003A2701"/>
    <w:rsid w:val="003B1C36"/>
    <w:rsid w:val="003B3961"/>
    <w:rsid w:val="003C315C"/>
    <w:rsid w:val="003C475E"/>
    <w:rsid w:val="003C7EA3"/>
    <w:rsid w:val="003D17F9"/>
    <w:rsid w:val="003D23D3"/>
    <w:rsid w:val="003E23F8"/>
    <w:rsid w:val="003E3157"/>
    <w:rsid w:val="003E4F55"/>
    <w:rsid w:val="003E7A26"/>
    <w:rsid w:val="003F7CEF"/>
    <w:rsid w:val="004028A9"/>
    <w:rsid w:val="0040492A"/>
    <w:rsid w:val="00404972"/>
    <w:rsid w:val="0040599A"/>
    <w:rsid w:val="00406A82"/>
    <w:rsid w:val="00406CC0"/>
    <w:rsid w:val="00411E6A"/>
    <w:rsid w:val="0041724F"/>
    <w:rsid w:val="004211A4"/>
    <w:rsid w:val="00421FCC"/>
    <w:rsid w:val="00423848"/>
    <w:rsid w:val="004268A8"/>
    <w:rsid w:val="00431267"/>
    <w:rsid w:val="00433FE1"/>
    <w:rsid w:val="0044148C"/>
    <w:rsid w:val="00445EF0"/>
    <w:rsid w:val="00450E48"/>
    <w:rsid w:val="0045292A"/>
    <w:rsid w:val="004557B4"/>
    <w:rsid w:val="0046675E"/>
    <w:rsid w:val="00467916"/>
    <w:rsid w:val="00480FBE"/>
    <w:rsid w:val="004867E2"/>
    <w:rsid w:val="004A7781"/>
    <w:rsid w:val="004B7776"/>
    <w:rsid w:val="004C0648"/>
    <w:rsid w:val="004C18ED"/>
    <w:rsid w:val="004C1BF8"/>
    <w:rsid w:val="004C4992"/>
    <w:rsid w:val="004C583C"/>
    <w:rsid w:val="004D2AC2"/>
    <w:rsid w:val="004D2FBA"/>
    <w:rsid w:val="004E4551"/>
    <w:rsid w:val="004E4BE2"/>
    <w:rsid w:val="004E4C26"/>
    <w:rsid w:val="004E57BD"/>
    <w:rsid w:val="004E64EB"/>
    <w:rsid w:val="004F16F1"/>
    <w:rsid w:val="004F5978"/>
    <w:rsid w:val="004F5986"/>
    <w:rsid w:val="004F69C8"/>
    <w:rsid w:val="00500B76"/>
    <w:rsid w:val="005017FE"/>
    <w:rsid w:val="00506F17"/>
    <w:rsid w:val="00514AC5"/>
    <w:rsid w:val="00516D6D"/>
    <w:rsid w:val="00522F83"/>
    <w:rsid w:val="005233B1"/>
    <w:rsid w:val="00524208"/>
    <w:rsid w:val="00524AD1"/>
    <w:rsid w:val="00535BBD"/>
    <w:rsid w:val="0054686A"/>
    <w:rsid w:val="00547E16"/>
    <w:rsid w:val="005502CE"/>
    <w:rsid w:val="00553FF5"/>
    <w:rsid w:val="005639A6"/>
    <w:rsid w:val="00580738"/>
    <w:rsid w:val="005907A1"/>
    <w:rsid w:val="00594279"/>
    <w:rsid w:val="00596BAA"/>
    <w:rsid w:val="005970D0"/>
    <w:rsid w:val="005B58F8"/>
    <w:rsid w:val="005B68BB"/>
    <w:rsid w:val="005C4FF4"/>
    <w:rsid w:val="005C54B6"/>
    <w:rsid w:val="005C5F92"/>
    <w:rsid w:val="005C6FC6"/>
    <w:rsid w:val="005D028E"/>
    <w:rsid w:val="005D04C8"/>
    <w:rsid w:val="005D50FD"/>
    <w:rsid w:val="005D7A8C"/>
    <w:rsid w:val="005E0F8A"/>
    <w:rsid w:val="005E21AD"/>
    <w:rsid w:val="005F2AE3"/>
    <w:rsid w:val="005F6729"/>
    <w:rsid w:val="005F6939"/>
    <w:rsid w:val="006254E0"/>
    <w:rsid w:val="00630BFF"/>
    <w:rsid w:val="00634CD4"/>
    <w:rsid w:val="006448F4"/>
    <w:rsid w:val="00652F3B"/>
    <w:rsid w:val="00657A12"/>
    <w:rsid w:val="006662EB"/>
    <w:rsid w:val="00666D48"/>
    <w:rsid w:val="00670F27"/>
    <w:rsid w:val="0067426A"/>
    <w:rsid w:val="00677826"/>
    <w:rsid w:val="00677B27"/>
    <w:rsid w:val="00680317"/>
    <w:rsid w:val="006836E1"/>
    <w:rsid w:val="00683E68"/>
    <w:rsid w:val="00685439"/>
    <w:rsid w:val="00690354"/>
    <w:rsid w:val="006A5859"/>
    <w:rsid w:val="006B1E2F"/>
    <w:rsid w:val="006B3638"/>
    <w:rsid w:val="006C0D86"/>
    <w:rsid w:val="006C386A"/>
    <w:rsid w:val="006C472F"/>
    <w:rsid w:val="006D12D1"/>
    <w:rsid w:val="006D2AB3"/>
    <w:rsid w:val="006D588A"/>
    <w:rsid w:val="006E067E"/>
    <w:rsid w:val="006E1A73"/>
    <w:rsid w:val="006E20DF"/>
    <w:rsid w:val="006E3201"/>
    <w:rsid w:val="006E59DD"/>
    <w:rsid w:val="006F1491"/>
    <w:rsid w:val="006F4158"/>
    <w:rsid w:val="006F461F"/>
    <w:rsid w:val="00701393"/>
    <w:rsid w:val="007025A9"/>
    <w:rsid w:val="0070766C"/>
    <w:rsid w:val="00710E14"/>
    <w:rsid w:val="00712156"/>
    <w:rsid w:val="007138A2"/>
    <w:rsid w:val="00722436"/>
    <w:rsid w:val="007250E2"/>
    <w:rsid w:val="00727116"/>
    <w:rsid w:val="00727BDC"/>
    <w:rsid w:val="00731F0B"/>
    <w:rsid w:val="007359BA"/>
    <w:rsid w:val="00735D30"/>
    <w:rsid w:val="00741698"/>
    <w:rsid w:val="00742A3C"/>
    <w:rsid w:val="007503F4"/>
    <w:rsid w:val="007562D4"/>
    <w:rsid w:val="0077071F"/>
    <w:rsid w:val="00770F58"/>
    <w:rsid w:val="0077460D"/>
    <w:rsid w:val="00780578"/>
    <w:rsid w:val="007863D6"/>
    <w:rsid w:val="0079002D"/>
    <w:rsid w:val="007936B1"/>
    <w:rsid w:val="00794791"/>
    <w:rsid w:val="007A6833"/>
    <w:rsid w:val="007B2DB2"/>
    <w:rsid w:val="007B3BC1"/>
    <w:rsid w:val="007C6CEF"/>
    <w:rsid w:val="007D2020"/>
    <w:rsid w:val="007D358B"/>
    <w:rsid w:val="007E05D9"/>
    <w:rsid w:val="007E1B00"/>
    <w:rsid w:val="007F6E26"/>
    <w:rsid w:val="008003DD"/>
    <w:rsid w:val="00812D3B"/>
    <w:rsid w:val="00821EF1"/>
    <w:rsid w:val="00825137"/>
    <w:rsid w:val="00825797"/>
    <w:rsid w:val="008264EB"/>
    <w:rsid w:val="00826ED2"/>
    <w:rsid w:val="00832CD2"/>
    <w:rsid w:val="008506F4"/>
    <w:rsid w:val="00855446"/>
    <w:rsid w:val="00856C2C"/>
    <w:rsid w:val="00865823"/>
    <w:rsid w:val="00866850"/>
    <w:rsid w:val="00867D6E"/>
    <w:rsid w:val="0088084E"/>
    <w:rsid w:val="00884F70"/>
    <w:rsid w:val="00890DC5"/>
    <w:rsid w:val="008913B9"/>
    <w:rsid w:val="008964B1"/>
    <w:rsid w:val="008965DF"/>
    <w:rsid w:val="008B2B67"/>
    <w:rsid w:val="008B415D"/>
    <w:rsid w:val="008D76E8"/>
    <w:rsid w:val="008E2E28"/>
    <w:rsid w:val="008E43C8"/>
    <w:rsid w:val="008F2A05"/>
    <w:rsid w:val="008F2B9D"/>
    <w:rsid w:val="008F3D2C"/>
    <w:rsid w:val="008F4426"/>
    <w:rsid w:val="008F48C0"/>
    <w:rsid w:val="0090098B"/>
    <w:rsid w:val="00902EC3"/>
    <w:rsid w:val="00910098"/>
    <w:rsid w:val="009145F2"/>
    <w:rsid w:val="00926096"/>
    <w:rsid w:val="009340D2"/>
    <w:rsid w:val="00935C44"/>
    <w:rsid w:val="00942E55"/>
    <w:rsid w:val="0094427B"/>
    <w:rsid w:val="0094717E"/>
    <w:rsid w:val="009474C1"/>
    <w:rsid w:val="009532B2"/>
    <w:rsid w:val="0095357E"/>
    <w:rsid w:val="009607EC"/>
    <w:rsid w:val="00960C83"/>
    <w:rsid w:val="00971C80"/>
    <w:rsid w:val="009775D5"/>
    <w:rsid w:val="009776EA"/>
    <w:rsid w:val="009804CD"/>
    <w:rsid w:val="00985FE7"/>
    <w:rsid w:val="00991EDD"/>
    <w:rsid w:val="00992AED"/>
    <w:rsid w:val="009976D8"/>
    <w:rsid w:val="009B320C"/>
    <w:rsid w:val="009B5ACD"/>
    <w:rsid w:val="009C0E7D"/>
    <w:rsid w:val="009C7406"/>
    <w:rsid w:val="009D3837"/>
    <w:rsid w:val="009E1887"/>
    <w:rsid w:val="009E2099"/>
    <w:rsid w:val="009F2D50"/>
    <w:rsid w:val="009F7B57"/>
    <w:rsid w:val="00A02F6C"/>
    <w:rsid w:val="00A0626B"/>
    <w:rsid w:val="00A06B94"/>
    <w:rsid w:val="00A11277"/>
    <w:rsid w:val="00A1194C"/>
    <w:rsid w:val="00A126EB"/>
    <w:rsid w:val="00A136FB"/>
    <w:rsid w:val="00A13910"/>
    <w:rsid w:val="00A16BDA"/>
    <w:rsid w:val="00A175CF"/>
    <w:rsid w:val="00A17648"/>
    <w:rsid w:val="00A17EC3"/>
    <w:rsid w:val="00A20972"/>
    <w:rsid w:val="00A21F97"/>
    <w:rsid w:val="00A235A0"/>
    <w:rsid w:val="00A23B4C"/>
    <w:rsid w:val="00A32610"/>
    <w:rsid w:val="00A35F40"/>
    <w:rsid w:val="00A3731E"/>
    <w:rsid w:val="00A41DCF"/>
    <w:rsid w:val="00A4512D"/>
    <w:rsid w:val="00A50271"/>
    <w:rsid w:val="00A508F6"/>
    <w:rsid w:val="00A54C30"/>
    <w:rsid w:val="00A61B8E"/>
    <w:rsid w:val="00A65022"/>
    <w:rsid w:val="00A6785A"/>
    <w:rsid w:val="00A705AF"/>
    <w:rsid w:val="00A779F7"/>
    <w:rsid w:val="00A80652"/>
    <w:rsid w:val="00A83A28"/>
    <w:rsid w:val="00A902AB"/>
    <w:rsid w:val="00A92D15"/>
    <w:rsid w:val="00A93B81"/>
    <w:rsid w:val="00A97996"/>
    <w:rsid w:val="00AA0CFB"/>
    <w:rsid w:val="00AA6607"/>
    <w:rsid w:val="00AC0E83"/>
    <w:rsid w:val="00AC702C"/>
    <w:rsid w:val="00AD10BE"/>
    <w:rsid w:val="00AE2370"/>
    <w:rsid w:val="00AE3182"/>
    <w:rsid w:val="00AE6BD9"/>
    <w:rsid w:val="00AF1BFD"/>
    <w:rsid w:val="00AF734F"/>
    <w:rsid w:val="00B0194E"/>
    <w:rsid w:val="00B01CA7"/>
    <w:rsid w:val="00B13ED1"/>
    <w:rsid w:val="00B1499B"/>
    <w:rsid w:val="00B15C4A"/>
    <w:rsid w:val="00B1654A"/>
    <w:rsid w:val="00B20C0E"/>
    <w:rsid w:val="00B26008"/>
    <w:rsid w:val="00B2652C"/>
    <w:rsid w:val="00B316E7"/>
    <w:rsid w:val="00B363D1"/>
    <w:rsid w:val="00B37155"/>
    <w:rsid w:val="00B406BA"/>
    <w:rsid w:val="00B42851"/>
    <w:rsid w:val="00B44A61"/>
    <w:rsid w:val="00B450AA"/>
    <w:rsid w:val="00B61F1F"/>
    <w:rsid w:val="00B7336A"/>
    <w:rsid w:val="00B738B4"/>
    <w:rsid w:val="00B74D82"/>
    <w:rsid w:val="00B75325"/>
    <w:rsid w:val="00B77A79"/>
    <w:rsid w:val="00B80C38"/>
    <w:rsid w:val="00B82EB2"/>
    <w:rsid w:val="00B83D4C"/>
    <w:rsid w:val="00B94C39"/>
    <w:rsid w:val="00BA16C7"/>
    <w:rsid w:val="00BA3D90"/>
    <w:rsid w:val="00BB077D"/>
    <w:rsid w:val="00BB1251"/>
    <w:rsid w:val="00BB6501"/>
    <w:rsid w:val="00BC2051"/>
    <w:rsid w:val="00BC2EE7"/>
    <w:rsid w:val="00BC5A13"/>
    <w:rsid w:val="00BC68F0"/>
    <w:rsid w:val="00BD2E9B"/>
    <w:rsid w:val="00BE020F"/>
    <w:rsid w:val="00BE0883"/>
    <w:rsid w:val="00BF2219"/>
    <w:rsid w:val="00C01198"/>
    <w:rsid w:val="00C02D9C"/>
    <w:rsid w:val="00C03412"/>
    <w:rsid w:val="00C03944"/>
    <w:rsid w:val="00C0549F"/>
    <w:rsid w:val="00C26830"/>
    <w:rsid w:val="00C30136"/>
    <w:rsid w:val="00C331B5"/>
    <w:rsid w:val="00C3704C"/>
    <w:rsid w:val="00C42ADF"/>
    <w:rsid w:val="00C43B7D"/>
    <w:rsid w:val="00C44170"/>
    <w:rsid w:val="00C44DCC"/>
    <w:rsid w:val="00C524E7"/>
    <w:rsid w:val="00C52848"/>
    <w:rsid w:val="00C57B72"/>
    <w:rsid w:val="00C60D41"/>
    <w:rsid w:val="00C661BE"/>
    <w:rsid w:val="00C96561"/>
    <w:rsid w:val="00C97168"/>
    <w:rsid w:val="00CB1CE4"/>
    <w:rsid w:val="00CB5B1A"/>
    <w:rsid w:val="00CC3DC1"/>
    <w:rsid w:val="00CC4764"/>
    <w:rsid w:val="00CC4EB1"/>
    <w:rsid w:val="00CC618A"/>
    <w:rsid w:val="00CC709D"/>
    <w:rsid w:val="00CD2CF8"/>
    <w:rsid w:val="00CD6852"/>
    <w:rsid w:val="00CD6C75"/>
    <w:rsid w:val="00CD7EDE"/>
    <w:rsid w:val="00CE5E39"/>
    <w:rsid w:val="00CE70C8"/>
    <w:rsid w:val="00CF036F"/>
    <w:rsid w:val="00D0525D"/>
    <w:rsid w:val="00D059B4"/>
    <w:rsid w:val="00D05ECF"/>
    <w:rsid w:val="00D10C1D"/>
    <w:rsid w:val="00D11EAC"/>
    <w:rsid w:val="00D12269"/>
    <w:rsid w:val="00D12C35"/>
    <w:rsid w:val="00D13961"/>
    <w:rsid w:val="00D163C5"/>
    <w:rsid w:val="00D169D3"/>
    <w:rsid w:val="00D16B0D"/>
    <w:rsid w:val="00D17F41"/>
    <w:rsid w:val="00D22F1A"/>
    <w:rsid w:val="00D31085"/>
    <w:rsid w:val="00D32AE9"/>
    <w:rsid w:val="00D34571"/>
    <w:rsid w:val="00D35373"/>
    <w:rsid w:val="00D367A9"/>
    <w:rsid w:val="00D36D0F"/>
    <w:rsid w:val="00D37230"/>
    <w:rsid w:val="00D43BB8"/>
    <w:rsid w:val="00D44094"/>
    <w:rsid w:val="00D47826"/>
    <w:rsid w:val="00D5592D"/>
    <w:rsid w:val="00D60C4F"/>
    <w:rsid w:val="00D645D0"/>
    <w:rsid w:val="00D66B6F"/>
    <w:rsid w:val="00D66EF5"/>
    <w:rsid w:val="00D737F2"/>
    <w:rsid w:val="00D75A35"/>
    <w:rsid w:val="00D818FB"/>
    <w:rsid w:val="00D83C43"/>
    <w:rsid w:val="00D850A0"/>
    <w:rsid w:val="00D94679"/>
    <w:rsid w:val="00DA143B"/>
    <w:rsid w:val="00DA694C"/>
    <w:rsid w:val="00DB384D"/>
    <w:rsid w:val="00DB420A"/>
    <w:rsid w:val="00DC3117"/>
    <w:rsid w:val="00DC5125"/>
    <w:rsid w:val="00DC5D4D"/>
    <w:rsid w:val="00DD5AA5"/>
    <w:rsid w:val="00DD784A"/>
    <w:rsid w:val="00DE3084"/>
    <w:rsid w:val="00DF1EC3"/>
    <w:rsid w:val="00E01829"/>
    <w:rsid w:val="00E030BE"/>
    <w:rsid w:val="00E04D12"/>
    <w:rsid w:val="00E124E6"/>
    <w:rsid w:val="00E128EF"/>
    <w:rsid w:val="00E14033"/>
    <w:rsid w:val="00E14AB8"/>
    <w:rsid w:val="00E339AC"/>
    <w:rsid w:val="00E45C39"/>
    <w:rsid w:val="00E4717D"/>
    <w:rsid w:val="00E472B6"/>
    <w:rsid w:val="00E50DED"/>
    <w:rsid w:val="00E53437"/>
    <w:rsid w:val="00E572FC"/>
    <w:rsid w:val="00E575CD"/>
    <w:rsid w:val="00E57C6C"/>
    <w:rsid w:val="00E805E8"/>
    <w:rsid w:val="00E81933"/>
    <w:rsid w:val="00E83D79"/>
    <w:rsid w:val="00E905A4"/>
    <w:rsid w:val="00E925B6"/>
    <w:rsid w:val="00EA44A1"/>
    <w:rsid w:val="00EA4DC1"/>
    <w:rsid w:val="00EA7E63"/>
    <w:rsid w:val="00EB3B52"/>
    <w:rsid w:val="00EB4473"/>
    <w:rsid w:val="00EB4755"/>
    <w:rsid w:val="00EC310D"/>
    <w:rsid w:val="00EC44CF"/>
    <w:rsid w:val="00EC4A1A"/>
    <w:rsid w:val="00EC6915"/>
    <w:rsid w:val="00EE377A"/>
    <w:rsid w:val="00EE3E63"/>
    <w:rsid w:val="00F014E1"/>
    <w:rsid w:val="00F02D1B"/>
    <w:rsid w:val="00F21AED"/>
    <w:rsid w:val="00F33C78"/>
    <w:rsid w:val="00F33CF7"/>
    <w:rsid w:val="00F3446E"/>
    <w:rsid w:val="00F36605"/>
    <w:rsid w:val="00F40674"/>
    <w:rsid w:val="00F4072F"/>
    <w:rsid w:val="00F40C49"/>
    <w:rsid w:val="00F41B53"/>
    <w:rsid w:val="00F55EF9"/>
    <w:rsid w:val="00F64771"/>
    <w:rsid w:val="00F73989"/>
    <w:rsid w:val="00F73F56"/>
    <w:rsid w:val="00F75C96"/>
    <w:rsid w:val="00F80449"/>
    <w:rsid w:val="00F80494"/>
    <w:rsid w:val="00F82008"/>
    <w:rsid w:val="00F82C74"/>
    <w:rsid w:val="00F84A04"/>
    <w:rsid w:val="00F91B8B"/>
    <w:rsid w:val="00FA4371"/>
    <w:rsid w:val="00FA6F4B"/>
    <w:rsid w:val="00FB1A9E"/>
    <w:rsid w:val="00FB1FCD"/>
    <w:rsid w:val="00FC39C1"/>
    <w:rsid w:val="00FC5010"/>
    <w:rsid w:val="00FD1447"/>
    <w:rsid w:val="00FD440E"/>
    <w:rsid w:val="00FD6FF5"/>
    <w:rsid w:val="00FE36A0"/>
    <w:rsid w:val="00FF0811"/>
    <w:rsid w:val="00FF1DB8"/>
    <w:rsid w:val="00FF26A9"/>
    <w:rsid w:val="00FF2969"/>
    <w:rsid w:val="00FF448C"/>
    <w:rsid w:val="00FF6A30"/>
    <w:rsid w:val="00FF762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B76"/>
    <w:pPr>
      <w:spacing w:after="120" w:line="280" w:lineRule="atLeast"/>
    </w:pPr>
    <w:rPr>
      <w:rFonts w:ascii="Arial" w:hAnsi="Arial"/>
      <w:color w:val="000000"/>
      <w:sz w:val="22"/>
      <w:szCs w:val="24"/>
      <w:lang w:eastAsia="ko-KR"/>
    </w:rPr>
  </w:style>
  <w:style w:type="paragraph" w:styleId="Heading1">
    <w:name w:val="heading 1"/>
    <w:basedOn w:val="Normal"/>
    <w:next w:val="Normal"/>
    <w:link w:val="Heading1Char"/>
    <w:uiPriority w:val="9"/>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cs="Arial"/>
      <w:bCs/>
      <w:szCs w:val="26"/>
    </w:rPr>
  </w:style>
  <w:style w:type="paragraph" w:styleId="Heading4">
    <w:name w:val="heading 4"/>
    <w:basedOn w:val="Normal"/>
    <w:next w:val="Normal"/>
    <w:qFormat/>
    <w:rsid w:val="00500B76"/>
    <w:pPr>
      <w:outlineLvl w:val="3"/>
    </w:pPr>
    <w:rPr>
      <w:b/>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Bullet table"/>
    <w:basedOn w:val="Normal"/>
    <w:link w:val="ListParagraphChar"/>
    <w:uiPriority w:val="34"/>
    <w:qFormat/>
    <w:rsid w:val="00A4512D"/>
    <w:pPr>
      <w:ind w:left="720"/>
      <w:contextualSpacing/>
    </w:pPr>
  </w:style>
  <w:style w:type="paragraph" w:styleId="BalloonText">
    <w:name w:val="Balloon Text"/>
    <w:basedOn w:val="Normal"/>
    <w:link w:val="BalloonTextChar"/>
    <w:rsid w:val="00A06B94"/>
    <w:rPr>
      <w:rFonts w:ascii="Tahoma" w:hAnsi="Tahoma" w:cs="Tahoma"/>
      <w:sz w:val="16"/>
      <w:szCs w:val="16"/>
    </w:rPr>
  </w:style>
  <w:style w:type="character" w:customStyle="1" w:styleId="BalloonTextChar">
    <w:name w:val="Balloon Text Char"/>
    <w:basedOn w:val="DefaultParagraphFont"/>
    <w:link w:val="BalloonText"/>
    <w:rsid w:val="00A06B94"/>
    <w:rPr>
      <w:rFonts w:ascii="Tahoma" w:hAnsi="Tahoma" w:cs="Tahoma"/>
      <w:sz w:val="16"/>
      <w:szCs w:val="16"/>
      <w:lang w:eastAsia="en-US"/>
    </w:rPr>
  </w:style>
  <w:style w:type="character" w:customStyle="1" w:styleId="Heading3Char">
    <w:name w:val="Heading 3 Char"/>
    <w:basedOn w:val="DefaultParagraphFont"/>
    <w:link w:val="Heading3"/>
    <w:uiPriority w:val="99"/>
    <w:rsid w:val="00A20972"/>
    <w:rPr>
      <w:rFonts w:ascii="Arial" w:hAnsi="Arial" w:cs="Arial"/>
      <w:bCs/>
      <w:sz w:val="22"/>
      <w:szCs w:val="26"/>
      <w:lang w:eastAsia="en-US"/>
    </w:rPr>
  </w:style>
  <w:style w:type="paragraph" w:customStyle="1" w:styleId="02Bodycopy">
    <w:name w:val="02_Body copy"/>
    <w:basedOn w:val="Normal"/>
    <w:uiPriority w:val="99"/>
    <w:rsid w:val="00A20972"/>
    <w:pPr>
      <w:tabs>
        <w:tab w:val="left" w:pos="283"/>
        <w:tab w:val="left" w:pos="567"/>
        <w:tab w:val="left" w:pos="850"/>
        <w:tab w:val="left" w:pos="1134"/>
        <w:tab w:val="left" w:pos="1417"/>
        <w:tab w:val="left" w:pos="1701"/>
        <w:tab w:val="left" w:pos="1984"/>
        <w:tab w:val="left" w:pos="2268"/>
      </w:tabs>
      <w:suppressAutoHyphens/>
      <w:autoSpaceDE w:val="0"/>
      <w:autoSpaceDN w:val="0"/>
      <w:adjustRightInd w:val="0"/>
      <w:spacing w:line="312" w:lineRule="auto"/>
    </w:pPr>
    <w:rPr>
      <w:rFonts w:eastAsiaTheme="minorEastAsia" w:cs="HelveticaNeue-Light"/>
      <w:spacing w:val="4"/>
      <w:sz w:val="20"/>
      <w:szCs w:val="20"/>
      <w:lang w:val="en-GB" w:eastAsia="ja-JP"/>
    </w:rPr>
  </w:style>
  <w:style w:type="character" w:customStyle="1" w:styleId="02Bodyitalic">
    <w:name w:val="02_Body italic"/>
    <w:uiPriority w:val="99"/>
    <w:rsid w:val="00A20972"/>
    <w:rPr>
      <w:rFonts w:ascii="HelveticaNeue-LightItalic" w:hAnsi="HelveticaNeue-LightItalic" w:cs="HelveticaNeue-LightItalic" w:hint="default"/>
      <w:i/>
      <w:iCs/>
    </w:rPr>
  </w:style>
  <w:style w:type="table" w:styleId="TableGrid">
    <w:name w:val="Table Grid"/>
    <w:basedOn w:val="TableNormal"/>
    <w:rsid w:val="0032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324E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324E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24E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4E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24E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uiPriority w:val="9"/>
    <w:rsid w:val="00160CA1"/>
    <w:rPr>
      <w:rFonts w:ascii="Arial" w:hAnsi="Arial" w:cs="Arial"/>
      <w:b/>
      <w:bCs/>
      <w:kern w:val="28"/>
      <w:sz w:val="28"/>
      <w:szCs w:val="32"/>
      <w:lang w:eastAsia="en-US"/>
    </w:rPr>
  </w:style>
  <w:style w:type="paragraph" w:styleId="Header">
    <w:name w:val="header"/>
    <w:basedOn w:val="Normal"/>
    <w:link w:val="HeaderChar"/>
    <w:rsid w:val="00173175"/>
    <w:pPr>
      <w:tabs>
        <w:tab w:val="center" w:pos="4513"/>
        <w:tab w:val="right" w:pos="9026"/>
      </w:tabs>
    </w:pPr>
  </w:style>
  <w:style w:type="character" w:customStyle="1" w:styleId="HeaderChar">
    <w:name w:val="Header Char"/>
    <w:basedOn w:val="DefaultParagraphFont"/>
    <w:link w:val="Header"/>
    <w:rsid w:val="00173175"/>
    <w:rPr>
      <w:rFonts w:ascii="Arial" w:hAnsi="Arial"/>
      <w:sz w:val="22"/>
      <w:szCs w:val="24"/>
      <w:lang w:eastAsia="en-US"/>
    </w:rPr>
  </w:style>
  <w:style w:type="paragraph" w:styleId="Footer">
    <w:name w:val="footer"/>
    <w:basedOn w:val="Normal"/>
    <w:link w:val="FooterChar"/>
    <w:uiPriority w:val="99"/>
    <w:rsid w:val="00173175"/>
    <w:pPr>
      <w:tabs>
        <w:tab w:val="center" w:pos="4513"/>
        <w:tab w:val="right" w:pos="9026"/>
      </w:tabs>
    </w:pPr>
  </w:style>
  <w:style w:type="character" w:customStyle="1" w:styleId="FooterChar">
    <w:name w:val="Footer Char"/>
    <w:basedOn w:val="DefaultParagraphFont"/>
    <w:link w:val="Footer"/>
    <w:uiPriority w:val="99"/>
    <w:rsid w:val="00173175"/>
    <w:rPr>
      <w:rFonts w:ascii="Arial" w:hAnsi="Arial"/>
      <w:sz w:val="22"/>
      <w:szCs w:val="24"/>
      <w:lang w:eastAsia="en-US"/>
    </w:rPr>
  </w:style>
  <w:style w:type="paragraph" w:styleId="NormalWeb">
    <w:name w:val="Normal (Web)"/>
    <w:basedOn w:val="Normal"/>
    <w:unhideWhenUsed/>
    <w:rsid w:val="00D83C43"/>
    <w:pPr>
      <w:spacing w:before="100" w:beforeAutospacing="1" w:after="100" w:afterAutospacing="1"/>
    </w:pPr>
    <w:rPr>
      <w:rFonts w:ascii="Times New Roman" w:hAnsi="Times New Roman"/>
      <w:sz w:val="24"/>
      <w:lang w:eastAsia="en-AU"/>
    </w:rPr>
  </w:style>
  <w:style w:type="paragraph" w:customStyle="1" w:styleId="Default">
    <w:name w:val="Default"/>
    <w:rsid w:val="00C43B7D"/>
    <w:pPr>
      <w:autoSpaceDE w:val="0"/>
      <w:autoSpaceDN w:val="0"/>
      <w:adjustRightInd w:val="0"/>
    </w:pPr>
    <w:rPr>
      <w:rFonts w:ascii="HelveticaNeueLT Com 45 Lt" w:hAnsi="HelveticaNeueLT Com 45 Lt" w:cs="HelveticaNeueLT Com 45 Lt"/>
      <w:color w:val="000000"/>
      <w:sz w:val="24"/>
      <w:szCs w:val="24"/>
    </w:rPr>
  </w:style>
  <w:style w:type="paragraph" w:customStyle="1" w:styleId="Commissionbodytext">
    <w:name w:val="Commission body text"/>
    <w:basedOn w:val="Normal"/>
    <w:link w:val="CommissionbodytextChar"/>
    <w:qFormat/>
    <w:rsid w:val="00A17EC3"/>
    <w:pPr>
      <w:spacing w:line="276" w:lineRule="auto"/>
    </w:pPr>
    <w:rPr>
      <w:rFonts w:eastAsiaTheme="minorEastAsia" w:cs="Arial"/>
      <w:szCs w:val="22"/>
      <w:lang w:val="en-US" w:eastAsia="ja-JP"/>
    </w:rPr>
  </w:style>
  <w:style w:type="character" w:customStyle="1" w:styleId="CommissionbodytextChar">
    <w:name w:val="Commission body text Char"/>
    <w:basedOn w:val="DefaultParagraphFont"/>
    <w:link w:val="Commissionbodytext"/>
    <w:rsid w:val="00A17EC3"/>
    <w:rPr>
      <w:rFonts w:ascii="Arial" w:eastAsiaTheme="minorEastAsia" w:hAnsi="Arial" w:cs="Arial"/>
      <w:sz w:val="22"/>
      <w:szCs w:val="22"/>
      <w:lang w:val="en-US" w:eastAsia="ja-JP"/>
    </w:rPr>
  </w:style>
  <w:style w:type="character" w:customStyle="1" w:styleId="ListParagraphChar">
    <w:name w:val="List Paragraph Char"/>
    <w:aliases w:val="List Paragraph1 Char,Recommendation Char,Bullet table Char"/>
    <w:basedOn w:val="DefaultParagraphFont"/>
    <w:link w:val="ListParagraph"/>
    <w:rsid w:val="00A17EC3"/>
    <w:rPr>
      <w:rFonts w:ascii="Arial" w:hAnsi="Arial"/>
      <w:sz w:val="22"/>
      <w:szCs w:val="24"/>
      <w:lang w:eastAsia="en-US"/>
    </w:rPr>
  </w:style>
  <w:style w:type="paragraph" w:styleId="TOCHeading">
    <w:name w:val="TOC Heading"/>
    <w:basedOn w:val="Heading1"/>
    <w:next w:val="Normal"/>
    <w:uiPriority w:val="39"/>
    <w:unhideWhenUsed/>
    <w:qFormat/>
    <w:rsid w:val="00BA16C7"/>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BA16C7"/>
    <w:pPr>
      <w:spacing w:after="100"/>
    </w:pPr>
  </w:style>
  <w:style w:type="paragraph" w:styleId="TOC2">
    <w:name w:val="toc 2"/>
    <w:basedOn w:val="Normal"/>
    <w:next w:val="Normal"/>
    <w:autoRedefine/>
    <w:uiPriority w:val="39"/>
    <w:rsid w:val="00BA16C7"/>
    <w:pPr>
      <w:spacing w:after="100"/>
      <w:ind w:left="220"/>
    </w:pPr>
  </w:style>
  <w:style w:type="character" w:styleId="Hyperlink">
    <w:name w:val="Hyperlink"/>
    <w:basedOn w:val="DefaultParagraphFont"/>
    <w:uiPriority w:val="99"/>
    <w:unhideWhenUsed/>
    <w:rsid w:val="00BA16C7"/>
    <w:rPr>
      <w:color w:val="0000FF" w:themeColor="hyperlink"/>
      <w:u w:val="single"/>
    </w:rPr>
  </w:style>
  <w:style w:type="paragraph" w:styleId="TOC3">
    <w:name w:val="toc 3"/>
    <w:basedOn w:val="Normal"/>
    <w:next w:val="Normal"/>
    <w:autoRedefine/>
    <w:uiPriority w:val="39"/>
    <w:rsid w:val="00BC2051"/>
    <w:pPr>
      <w:spacing w:after="100"/>
      <w:ind w:left="440"/>
    </w:pPr>
  </w:style>
  <w:style w:type="paragraph" w:styleId="BodyText">
    <w:name w:val="Body Text"/>
    <w:basedOn w:val="Normal"/>
    <w:link w:val="BodyTextChar"/>
    <w:rsid w:val="00AA0CFB"/>
    <w:pPr>
      <w:overflowPunct w:val="0"/>
      <w:autoSpaceDE w:val="0"/>
      <w:autoSpaceDN w:val="0"/>
      <w:adjustRightInd w:val="0"/>
      <w:spacing w:line="300" w:lineRule="atLeast"/>
      <w:textAlignment w:val="baseline"/>
    </w:pPr>
    <w:rPr>
      <w:sz w:val="24"/>
      <w:szCs w:val="20"/>
    </w:rPr>
  </w:style>
  <w:style w:type="character" w:customStyle="1" w:styleId="BodyTextChar">
    <w:name w:val="Body Text Char"/>
    <w:basedOn w:val="DefaultParagraphFont"/>
    <w:link w:val="BodyText"/>
    <w:rsid w:val="00AA0CFB"/>
    <w:rPr>
      <w:rFonts w:ascii="Arial" w:hAnsi="Arial"/>
      <w:sz w:val="24"/>
      <w:lang w:eastAsia="en-US"/>
    </w:rPr>
  </w:style>
  <w:style w:type="paragraph" w:customStyle="1" w:styleId="paragraph">
    <w:name w:val="paragraph"/>
    <w:aliases w:val="a"/>
    <w:link w:val="paragraphChar"/>
    <w:rsid w:val="00960C83"/>
    <w:pPr>
      <w:tabs>
        <w:tab w:val="right" w:pos="1531"/>
      </w:tabs>
      <w:spacing w:before="40"/>
      <w:ind w:left="1644" w:hanging="1644"/>
    </w:pPr>
    <w:rPr>
      <w:sz w:val="22"/>
      <w:szCs w:val="24"/>
    </w:rPr>
  </w:style>
  <w:style w:type="paragraph" w:customStyle="1" w:styleId="paragraphsub">
    <w:name w:val="paragraph(sub)"/>
    <w:aliases w:val="aa"/>
    <w:basedOn w:val="paragraph"/>
    <w:rsid w:val="00960C83"/>
    <w:pPr>
      <w:tabs>
        <w:tab w:val="clear" w:pos="1531"/>
        <w:tab w:val="right" w:pos="1985"/>
      </w:tabs>
      <w:ind w:left="2098" w:hanging="2098"/>
    </w:pPr>
  </w:style>
  <w:style w:type="character" w:customStyle="1" w:styleId="paragraphChar">
    <w:name w:val="paragraph Char"/>
    <w:aliases w:val="a Char"/>
    <w:basedOn w:val="DefaultParagraphFont"/>
    <w:link w:val="paragraph"/>
    <w:rsid w:val="00960C83"/>
    <w:rPr>
      <w:sz w:val="22"/>
      <w:szCs w:val="24"/>
    </w:rPr>
  </w:style>
  <w:style w:type="paragraph" w:customStyle="1" w:styleId="subsection">
    <w:name w:val="subsection"/>
    <w:aliases w:val="ss"/>
    <w:link w:val="subsectionChar"/>
    <w:rsid w:val="006F461F"/>
    <w:pPr>
      <w:tabs>
        <w:tab w:val="right" w:pos="1021"/>
      </w:tabs>
      <w:spacing w:before="180"/>
      <w:ind w:left="1134" w:hanging="1134"/>
    </w:pPr>
    <w:rPr>
      <w:sz w:val="22"/>
      <w:szCs w:val="24"/>
    </w:rPr>
  </w:style>
  <w:style w:type="paragraph" w:customStyle="1" w:styleId="ActHead5">
    <w:name w:val="ActHead 5"/>
    <w:aliases w:val="s"/>
    <w:basedOn w:val="Normal"/>
    <w:next w:val="Normal"/>
    <w:rsid w:val="006F461F"/>
    <w:pPr>
      <w:keepNext/>
      <w:keepLines/>
      <w:spacing w:before="280"/>
      <w:ind w:left="1134" w:hanging="1134"/>
      <w:outlineLvl w:val="4"/>
    </w:pPr>
    <w:rPr>
      <w:rFonts w:ascii="Times New Roman" w:hAnsi="Times New Roman"/>
      <w:b/>
      <w:bCs/>
      <w:kern w:val="28"/>
      <w:sz w:val="24"/>
      <w:szCs w:val="32"/>
      <w:lang w:eastAsia="en-AU"/>
    </w:rPr>
  </w:style>
  <w:style w:type="character" w:customStyle="1" w:styleId="subsectionChar">
    <w:name w:val="subsection Char"/>
    <w:aliases w:val="ss Char"/>
    <w:basedOn w:val="DefaultParagraphFont"/>
    <w:link w:val="subsection"/>
    <w:rsid w:val="006F461F"/>
    <w:rPr>
      <w:sz w:val="22"/>
      <w:szCs w:val="24"/>
    </w:rPr>
  </w:style>
  <w:style w:type="character" w:customStyle="1" w:styleId="A5">
    <w:name w:val="A5"/>
    <w:uiPriority w:val="99"/>
    <w:rsid w:val="00D94679"/>
    <w:rPr>
      <w:color w:val="000000"/>
      <w:sz w:val="22"/>
      <w:szCs w:val="22"/>
    </w:rPr>
  </w:style>
  <w:style w:type="paragraph" w:customStyle="1" w:styleId="2bodyparaoverride-14">
    <w:name w:val="_2_body paraoverride-14"/>
    <w:basedOn w:val="Normal"/>
    <w:rsid w:val="00122577"/>
    <w:pPr>
      <w:spacing w:beforeLines="1" w:afterLines="50"/>
    </w:pPr>
    <w:rPr>
      <w:rFonts w:eastAsiaTheme="minorEastAsia" w:cstheme="minorBidi"/>
      <w:sz w:val="20"/>
      <w:szCs w:val="20"/>
    </w:rPr>
  </w:style>
  <w:style w:type="paragraph" w:customStyle="1" w:styleId="CharCharChar">
    <w:name w:val="Char Char Char"/>
    <w:basedOn w:val="Normal"/>
    <w:rsid w:val="00884F70"/>
    <w:rPr>
      <w:rFonts w:cs="Arial"/>
      <w:szCs w:val="22"/>
    </w:rPr>
  </w:style>
  <w:style w:type="paragraph" w:styleId="FootnoteText">
    <w:name w:val="footnote text"/>
    <w:basedOn w:val="Normal"/>
    <w:link w:val="FootnoteTextChar"/>
    <w:rsid w:val="006E20DF"/>
    <w:rPr>
      <w:rFonts w:eastAsiaTheme="minorEastAsia" w:cstheme="minorBidi"/>
      <w:sz w:val="20"/>
      <w:szCs w:val="20"/>
      <w:lang w:val="en-US" w:eastAsia="ja-JP"/>
    </w:rPr>
  </w:style>
  <w:style w:type="character" w:customStyle="1" w:styleId="FootnoteTextChar">
    <w:name w:val="Footnote Text Char"/>
    <w:basedOn w:val="DefaultParagraphFont"/>
    <w:link w:val="FootnoteText"/>
    <w:rsid w:val="006E20DF"/>
    <w:rPr>
      <w:rFonts w:ascii="Arial" w:eastAsiaTheme="minorEastAsia" w:hAnsi="Arial" w:cstheme="minorBidi"/>
      <w:lang w:val="en-US" w:eastAsia="ja-JP"/>
    </w:rPr>
  </w:style>
  <w:style w:type="character" w:styleId="FootnoteReference">
    <w:name w:val="footnote reference"/>
    <w:basedOn w:val="DefaultParagraphFont"/>
    <w:rsid w:val="006E20DF"/>
    <w:rPr>
      <w:vertAlign w:val="superscript"/>
    </w:rPr>
  </w:style>
  <w:style w:type="character" w:customStyle="1" w:styleId="apple-converted-space">
    <w:name w:val="apple-converted-space"/>
    <w:basedOn w:val="DefaultParagraphFont"/>
    <w:rsid w:val="00FB1FCD"/>
  </w:style>
  <w:style w:type="character" w:styleId="CommentReference">
    <w:name w:val="annotation reference"/>
    <w:basedOn w:val="DefaultParagraphFont"/>
    <w:uiPriority w:val="99"/>
    <w:rsid w:val="00E14033"/>
    <w:rPr>
      <w:sz w:val="16"/>
      <w:szCs w:val="16"/>
    </w:rPr>
  </w:style>
  <w:style w:type="paragraph" w:styleId="CommentText">
    <w:name w:val="annotation text"/>
    <w:basedOn w:val="Normal"/>
    <w:link w:val="CommentTextChar"/>
    <w:uiPriority w:val="99"/>
    <w:rsid w:val="00E14033"/>
    <w:rPr>
      <w:sz w:val="20"/>
      <w:szCs w:val="20"/>
    </w:rPr>
  </w:style>
  <w:style w:type="character" w:customStyle="1" w:styleId="CommentTextChar">
    <w:name w:val="Comment Text Char"/>
    <w:basedOn w:val="DefaultParagraphFont"/>
    <w:link w:val="CommentText"/>
    <w:uiPriority w:val="99"/>
    <w:rsid w:val="00E14033"/>
    <w:rPr>
      <w:rFonts w:ascii="Arial" w:hAnsi="Arial"/>
      <w:lang w:eastAsia="en-US"/>
    </w:rPr>
  </w:style>
  <w:style w:type="paragraph" w:styleId="CommentSubject">
    <w:name w:val="annotation subject"/>
    <w:basedOn w:val="CommentText"/>
    <w:next w:val="CommentText"/>
    <w:link w:val="CommentSubjectChar"/>
    <w:rsid w:val="00E14033"/>
    <w:rPr>
      <w:b/>
      <w:bCs/>
    </w:rPr>
  </w:style>
  <w:style w:type="character" w:customStyle="1" w:styleId="CommentSubjectChar">
    <w:name w:val="Comment Subject Char"/>
    <w:basedOn w:val="CommentTextChar"/>
    <w:link w:val="CommentSubject"/>
    <w:rsid w:val="00E14033"/>
    <w:rPr>
      <w:rFonts w:ascii="Arial" w:hAnsi="Arial"/>
      <w:b/>
      <w:bCs/>
      <w:lang w:eastAsia="en-US"/>
    </w:rPr>
  </w:style>
  <w:style w:type="paragraph" w:styleId="Revision">
    <w:name w:val="Revision"/>
    <w:hidden/>
    <w:uiPriority w:val="99"/>
    <w:semiHidden/>
    <w:rsid w:val="005C6FC6"/>
    <w:rPr>
      <w:rFonts w:ascii="Arial" w:hAnsi="Arial"/>
      <w:sz w:val="22"/>
      <w:szCs w:val="24"/>
      <w:lang w:eastAsia="en-US"/>
    </w:rPr>
  </w:style>
  <w:style w:type="character" w:customStyle="1" w:styleId="oneclick-link">
    <w:name w:val="oneclick-link"/>
    <w:basedOn w:val="DefaultParagraphFont"/>
    <w:rsid w:val="00971C80"/>
  </w:style>
  <w:style w:type="paragraph" w:styleId="PlainText">
    <w:name w:val="Plain Text"/>
    <w:basedOn w:val="Normal"/>
    <w:link w:val="PlainTextChar1"/>
    <w:rsid w:val="00C97168"/>
    <w:pPr>
      <w:spacing w:after="0" w:line="240" w:lineRule="auto"/>
    </w:pPr>
    <w:rPr>
      <w:rFonts w:ascii="Calibri" w:hAnsi="Calibri"/>
      <w:color w:val="auto"/>
      <w:sz w:val="24"/>
      <w:szCs w:val="21"/>
      <w:lang w:eastAsia="en-US"/>
    </w:rPr>
  </w:style>
  <w:style w:type="character" w:customStyle="1" w:styleId="PlainTextChar">
    <w:name w:val="Plain Text Char"/>
    <w:basedOn w:val="DefaultParagraphFont"/>
    <w:rsid w:val="00C97168"/>
    <w:rPr>
      <w:rFonts w:ascii="Consolas" w:hAnsi="Consolas" w:cs="Consolas"/>
      <w:color w:val="000000"/>
      <w:sz w:val="21"/>
      <w:szCs w:val="21"/>
      <w:lang w:eastAsia="ko-KR"/>
    </w:rPr>
  </w:style>
  <w:style w:type="character" w:customStyle="1" w:styleId="PlainTextChar1">
    <w:name w:val="Plain Text Char1"/>
    <w:basedOn w:val="DefaultParagraphFont"/>
    <w:link w:val="PlainText"/>
    <w:locked/>
    <w:rsid w:val="00C97168"/>
    <w:rPr>
      <w:rFonts w:ascii="Calibri" w:hAnsi="Calibri"/>
      <w:sz w:val="24"/>
      <w:szCs w:val="21"/>
      <w:lang w:eastAsia="en-US"/>
    </w:rPr>
  </w:style>
  <w:style w:type="paragraph" w:customStyle="1" w:styleId="a">
    <w:name w:val="_"/>
    <w:basedOn w:val="Normal"/>
    <w:rsid w:val="00232B92"/>
    <w:pPr>
      <w:widowControl w:val="0"/>
      <w:spacing w:after="0" w:line="240" w:lineRule="auto"/>
      <w:ind w:left="770" w:hanging="770"/>
    </w:pPr>
    <w:rPr>
      <w:rFonts w:ascii="Times New Roman" w:hAnsi="Times New Roman"/>
      <w:snapToGrid w:val="0"/>
      <w:color w:val="auto"/>
      <w:sz w:val="24"/>
      <w:szCs w:val="20"/>
      <w:lang w:val="en-US" w:eastAsia="en-US"/>
    </w:rPr>
  </w:style>
  <w:style w:type="paragraph" w:customStyle="1" w:styleId="Bulletlist">
    <w:name w:val="Bullet list"/>
    <w:qFormat/>
    <w:rsid w:val="00280BA6"/>
    <w:pPr>
      <w:numPr>
        <w:numId w:val="41"/>
      </w:numPr>
      <w:spacing w:after="200"/>
      <w:ind w:left="567"/>
      <w:contextualSpacing/>
    </w:pPr>
    <w:rPr>
      <w:rFonts w:ascii="Arial" w:hAnsi="Arial"/>
      <w:color w:val="000000" w:themeColor="text1"/>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B76"/>
    <w:pPr>
      <w:spacing w:after="120" w:line="280" w:lineRule="atLeast"/>
    </w:pPr>
    <w:rPr>
      <w:rFonts w:ascii="Arial" w:hAnsi="Arial"/>
      <w:color w:val="000000"/>
      <w:sz w:val="22"/>
      <w:szCs w:val="24"/>
      <w:lang w:eastAsia="ko-KR"/>
    </w:rPr>
  </w:style>
  <w:style w:type="paragraph" w:styleId="Heading1">
    <w:name w:val="heading 1"/>
    <w:basedOn w:val="Normal"/>
    <w:next w:val="Normal"/>
    <w:link w:val="Heading1Char"/>
    <w:uiPriority w:val="9"/>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cs="Arial"/>
      <w:bCs/>
      <w:szCs w:val="26"/>
    </w:rPr>
  </w:style>
  <w:style w:type="paragraph" w:styleId="Heading4">
    <w:name w:val="heading 4"/>
    <w:basedOn w:val="Normal"/>
    <w:next w:val="Normal"/>
    <w:qFormat/>
    <w:rsid w:val="00500B76"/>
    <w:pPr>
      <w:outlineLvl w:val="3"/>
    </w:pPr>
    <w:rPr>
      <w:b/>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Bullet table"/>
    <w:basedOn w:val="Normal"/>
    <w:link w:val="ListParagraphChar"/>
    <w:uiPriority w:val="34"/>
    <w:qFormat/>
    <w:rsid w:val="00A4512D"/>
    <w:pPr>
      <w:ind w:left="720"/>
      <w:contextualSpacing/>
    </w:pPr>
  </w:style>
  <w:style w:type="paragraph" w:styleId="BalloonText">
    <w:name w:val="Balloon Text"/>
    <w:basedOn w:val="Normal"/>
    <w:link w:val="BalloonTextChar"/>
    <w:rsid w:val="00A06B94"/>
    <w:rPr>
      <w:rFonts w:ascii="Tahoma" w:hAnsi="Tahoma" w:cs="Tahoma"/>
      <w:sz w:val="16"/>
      <w:szCs w:val="16"/>
    </w:rPr>
  </w:style>
  <w:style w:type="character" w:customStyle="1" w:styleId="BalloonTextChar">
    <w:name w:val="Balloon Text Char"/>
    <w:basedOn w:val="DefaultParagraphFont"/>
    <w:link w:val="BalloonText"/>
    <w:rsid w:val="00A06B94"/>
    <w:rPr>
      <w:rFonts w:ascii="Tahoma" w:hAnsi="Tahoma" w:cs="Tahoma"/>
      <w:sz w:val="16"/>
      <w:szCs w:val="16"/>
      <w:lang w:eastAsia="en-US"/>
    </w:rPr>
  </w:style>
  <w:style w:type="character" w:customStyle="1" w:styleId="Heading3Char">
    <w:name w:val="Heading 3 Char"/>
    <w:basedOn w:val="DefaultParagraphFont"/>
    <w:link w:val="Heading3"/>
    <w:uiPriority w:val="99"/>
    <w:rsid w:val="00A20972"/>
    <w:rPr>
      <w:rFonts w:ascii="Arial" w:hAnsi="Arial" w:cs="Arial"/>
      <w:bCs/>
      <w:sz w:val="22"/>
      <w:szCs w:val="26"/>
      <w:lang w:eastAsia="en-US"/>
    </w:rPr>
  </w:style>
  <w:style w:type="paragraph" w:customStyle="1" w:styleId="02Bodycopy">
    <w:name w:val="02_Body copy"/>
    <w:basedOn w:val="Normal"/>
    <w:uiPriority w:val="99"/>
    <w:rsid w:val="00A20972"/>
    <w:pPr>
      <w:tabs>
        <w:tab w:val="left" w:pos="283"/>
        <w:tab w:val="left" w:pos="567"/>
        <w:tab w:val="left" w:pos="850"/>
        <w:tab w:val="left" w:pos="1134"/>
        <w:tab w:val="left" w:pos="1417"/>
        <w:tab w:val="left" w:pos="1701"/>
        <w:tab w:val="left" w:pos="1984"/>
        <w:tab w:val="left" w:pos="2268"/>
      </w:tabs>
      <w:suppressAutoHyphens/>
      <w:autoSpaceDE w:val="0"/>
      <w:autoSpaceDN w:val="0"/>
      <w:adjustRightInd w:val="0"/>
      <w:spacing w:line="312" w:lineRule="auto"/>
    </w:pPr>
    <w:rPr>
      <w:rFonts w:eastAsiaTheme="minorEastAsia" w:cs="HelveticaNeue-Light"/>
      <w:spacing w:val="4"/>
      <w:sz w:val="20"/>
      <w:szCs w:val="20"/>
      <w:lang w:val="en-GB" w:eastAsia="ja-JP"/>
    </w:rPr>
  </w:style>
  <w:style w:type="character" w:customStyle="1" w:styleId="02Bodyitalic">
    <w:name w:val="02_Body italic"/>
    <w:uiPriority w:val="99"/>
    <w:rsid w:val="00A20972"/>
    <w:rPr>
      <w:rFonts w:ascii="HelveticaNeue-LightItalic" w:hAnsi="HelveticaNeue-LightItalic" w:cs="HelveticaNeue-LightItalic" w:hint="default"/>
      <w:i/>
      <w:iCs/>
    </w:rPr>
  </w:style>
  <w:style w:type="table" w:styleId="TableGrid">
    <w:name w:val="Table Grid"/>
    <w:basedOn w:val="TableNormal"/>
    <w:rsid w:val="00324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324E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324E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24E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24E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24E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uiPriority w:val="9"/>
    <w:rsid w:val="00160CA1"/>
    <w:rPr>
      <w:rFonts w:ascii="Arial" w:hAnsi="Arial" w:cs="Arial"/>
      <w:b/>
      <w:bCs/>
      <w:kern w:val="28"/>
      <w:sz w:val="28"/>
      <w:szCs w:val="32"/>
      <w:lang w:eastAsia="en-US"/>
    </w:rPr>
  </w:style>
  <w:style w:type="paragraph" w:styleId="Header">
    <w:name w:val="header"/>
    <w:basedOn w:val="Normal"/>
    <w:link w:val="HeaderChar"/>
    <w:rsid w:val="00173175"/>
    <w:pPr>
      <w:tabs>
        <w:tab w:val="center" w:pos="4513"/>
        <w:tab w:val="right" w:pos="9026"/>
      </w:tabs>
    </w:pPr>
  </w:style>
  <w:style w:type="character" w:customStyle="1" w:styleId="HeaderChar">
    <w:name w:val="Header Char"/>
    <w:basedOn w:val="DefaultParagraphFont"/>
    <w:link w:val="Header"/>
    <w:rsid w:val="00173175"/>
    <w:rPr>
      <w:rFonts w:ascii="Arial" w:hAnsi="Arial"/>
      <w:sz w:val="22"/>
      <w:szCs w:val="24"/>
      <w:lang w:eastAsia="en-US"/>
    </w:rPr>
  </w:style>
  <w:style w:type="paragraph" w:styleId="Footer">
    <w:name w:val="footer"/>
    <w:basedOn w:val="Normal"/>
    <w:link w:val="FooterChar"/>
    <w:uiPriority w:val="99"/>
    <w:rsid w:val="00173175"/>
    <w:pPr>
      <w:tabs>
        <w:tab w:val="center" w:pos="4513"/>
        <w:tab w:val="right" w:pos="9026"/>
      </w:tabs>
    </w:pPr>
  </w:style>
  <w:style w:type="character" w:customStyle="1" w:styleId="FooterChar">
    <w:name w:val="Footer Char"/>
    <w:basedOn w:val="DefaultParagraphFont"/>
    <w:link w:val="Footer"/>
    <w:uiPriority w:val="99"/>
    <w:rsid w:val="00173175"/>
    <w:rPr>
      <w:rFonts w:ascii="Arial" w:hAnsi="Arial"/>
      <w:sz w:val="22"/>
      <w:szCs w:val="24"/>
      <w:lang w:eastAsia="en-US"/>
    </w:rPr>
  </w:style>
  <w:style w:type="paragraph" w:styleId="NormalWeb">
    <w:name w:val="Normal (Web)"/>
    <w:basedOn w:val="Normal"/>
    <w:unhideWhenUsed/>
    <w:rsid w:val="00D83C43"/>
    <w:pPr>
      <w:spacing w:before="100" w:beforeAutospacing="1" w:after="100" w:afterAutospacing="1"/>
    </w:pPr>
    <w:rPr>
      <w:rFonts w:ascii="Times New Roman" w:hAnsi="Times New Roman"/>
      <w:sz w:val="24"/>
      <w:lang w:eastAsia="en-AU"/>
    </w:rPr>
  </w:style>
  <w:style w:type="paragraph" w:customStyle="1" w:styleId="Default">
    <w:name w:val="Default"/>
    <w:rsid w:val="00C43B7D"/>
    <w:pPr>
      <w:autoSpaceDE w:val="0"/>
      <w:autoSpaceDN w:val="0"/>
      <w:adjustRightInd w:val="0"/>
    </w:pPr>
    <w:rPr>
      <w:rFonts w:ascii="HelveticaNeueLT Com 45 Lt" w:hAnsi="HelveticaNeueLT Com 45 Lt" w:cs="HelveticaNeueLT Com 45 Lt"/>
      <w:color w:val="000000"/>
      <w:sz w:val="24"/>
      <w:szCs w:val="24"/>
    </w:rPr>
  </w:style>
  <w:style w:type="paragraph" w:customStyle="1" w:styleId="Commissionbodytext">
    <w:name w:val="Commission body text"/>
    <w:basedOn w:val="Normal"/>
    <w:link w:val="CommissionbodytextChar"/>
    <w:qFormat/>
    <w:rsid w:val="00A17EC3"/>
    <w:pPr>
      <w:spacing w:line="276" w:lineRule="auto"/>
    </w:pPr>
    <w:rPr>
      <w:rFonts w:eastAsiaTheme="minorEastAsia" w:cs="Arial"/>
      <w:szCs w:val="22"/>
      <w:lang w:val="en-US" w:eastAsia="ja-JP"/>
    </w:rPr>
  </w:style>
  <w:style w:type="character" w:customStyle="1" w:styleId="CommissionbodytextChar">
    <w:name w:val="Commission body text Char"/>
    <w:basedOn w:val="DefaultParagraphFont"/>
    <w:link w:val="Commissionbodytext"/>
    <w:rsid w:val="00A17EC3"/>
    <w:rPr>
      <w:rFonts w:ascii="Arial" w:eastAsiaTheme="minorEastAsia" w:hAnsi="Arial" w:cs="Arial"/>
      <w:sz w:val="22"/>
      <w:szCs w:val="22"/>
      <w:lang w:val="en-US" w:eastAsia="ja-JP"/>
    </w:rPr>
  </w:style>
  <w:style w:type="character" w:customStyle="1" w:styleId="ListParagraphChar">
    <w:name w:val="List Paragraph Char"/>
    <w:aliases w:val="List Paragraph1 Char,Recommendation Char,Bullet table Char"/>
    <w:basedOn w:val="DefaultParagraphFont"/>
    <w:link w:val="ListParagraph"/>
    <w:rsid w:val="00A17EC3"/>
    <w:rPr>
      <w:rFonts w:ascii="Arial" w:hAnsi="Arial"/>
      <w:sz w:val="22"/>
      <w:szCs w:val="24"/>
      <w:lang w:eastAsia="en-US"/>
    </w:rPr>
  </w:style>
  <w:style w:type="paragraph" w:styleId="TOCHeading">
    <w:name w:val="TOC Heading"/>
    <w:basedOn w:val="Heading1"/>
    <w:next w:val="Normal"/>
    <w:uiPriority w:val="39"/>
    <w:unhideWhenUsed/>
    <w:qFormat/>
    <w:rsid w:val="00BA16C7"/>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BA16C7"/>
    <w:pPr>
      <w:spacing w:after="100"/>
    </w:pPr>
  </w:style>
  <w:style w:type="paragraph" w:styleId="TOC2">
    <w:name w:val="toc 2"/>
    <w:basedOn w:val="Normal"/>
    <w:next w:val="Normal"/>
    <w:autoRedefine/>
    <w:uiPriority w:val="39"/>
    <w:rsid w:val="00BA16C7"/>
    <w:pPr>
      <w:spacing w:after="100"/>
      <w:ind w:left="220"/>
    </w:pPr>
  </w:style>
  <w:style w:type="character" w:styleId="Hyperlink">
    <w:name w:val="Hyperlink"/>
    <w:basedOn w:val="DefaultParagraphFont"/>
    <w:uiPriority w:val="99"/>
    <w:unhideWhenUsed/>
    <w:rsid w:val="00BA16C7"/>
    <w:rPr>
      <w:color w:val="0000FF" w:themeColor="hyperlink"/>
      <w:u w:val="single"/>
    </w:rPr>
  </w:style>
  <w:style w:type="paragraph" w:styleId="TOC3">
    <w:name w:val="toc 3"/>
    <w:basedOn w:val="Normal"/>
    <w:next w:val="Normal"/>
    <w:autoRedefine/>
    <w:uiPriority w:val="39"/>
    <w:rsid w:val="00BC2051"/>
    <w:pPr>
      <w:spacing w:after="100"/>
      <w:ind w:left="440"/>
    </w:pPr>
  </w:style>
  <w:style w:type="paragraph" w:styleId="BodyText">
    <w:name w:val="Body Text"/>
    <w:basedOn w:val="Normal"/>
    <w:link w:val="BodyTextChar"/>
    <w:rsid w:val="00AA0CFB"/>
    <w:pPr>
      <w:overflowPunct w:val="0"/>
      <w:autoSpaceDE w:val="0"/>
      <w:autoSpaceDN w:val="0"/>
      <w:adjustRightInd w:val="0"/>
      <w:spacing w:line="300" w:lineRule="atLeast"/>
      <w:textAlignment w:val="baseline"/>
    </w:pPr>
    <w:rPr>
      <w:sz w:val="24"/>
      <w:szCs w:val="20"/>
    </w:rPr>
  </w:style>
  <w:style w:type="character" w:customStyle="1" w:styleId="BodyTextChar">
    <w:name w:val="Body Text Char"/>
    <w:basedOn w:val="DefaultParagraphFont"/>
    <w:link w:val="BodyText"/>
    <w:rsid w:val="00AA0CFB"/>
    <w:rPr>
      <w:rFonts w:ascii="Arial" w:hAnsi="Arial"/>
      <w:sz w:val="24"/>
      <w:lang w:eastAsia="en-US"/>
    </w:rPr>
  </w:style>
  <w:style w:type="paragraph" w:customStyle="1" w:styleId="paragraph">
    <w:name w:val="paragraph"/>
    <w:aliases w:val="a"/>
    <w:link w:val="paragraphChar"/>
    <w:rsid w:val="00960C83"/>
    <w:pPr>
      <w:tabs>
        <w:tab w:val="right" w:pos="1531"/>
      </w:tabs>
      <w:spacing w:before="40"/>
      <w:ind w:left="1644" w:hanging="1644"/>
    </w:pPr>
    <w:rPr>
      <w:sz w:val="22"/>
      <w:szCs w:val="24"/>
    </w:rPr>
  </w:style>
  <w:style w:type="paragraph" w:customStyle="1" w:styleId="paragraphsub">
    <w:name w:val="paragraph(sub)"/>
    <w:aliases w:val="aa"/>
    <w:basedOn w:val="paragraph"/>
    <w:rsid w:val="00960C83"/>
    <w:pPr>
      <w:tabs>
        <w:tab w:val="clear" w:pos="1531"/>
        <w:tab w:val="right" w:pos="1985"/>
      </w:tabs>
      <w:ind w:left="2098" w:hanging="2098"/>
    </w:pPr>
  </w:style>
  <w:style w:type="character" w:customStyle="1" w:styleId="paragraphChar">
    <w:name w:val="paragraph Char"/>
    <w:aliases w:val="a Char"/>
    <w:basedOn w:val="DefaultParagraphFont"/>
    <w:link w:val="paragraph"/>
    <w:rsid w:val="00960C83"/>
    <w:rPr>
      <w:sz w:val="22"/>
      <w:szCs w:val="24"/>
    </w:rPr>
  </w:style>
  <w:style w:type="paragraph" w:customStyle="1" w:styleId="subsection">
    <w:name w:val="subsection"/>
    <w:aliases w:val="ss"/>
    <w:link w:val="subsectionChar"/>
    <w:rsid w:val="006F461F"/>
    <w:pPr>
      <w:tabs>
        <w:tab w:val="right" w:pos="1021"/>
      </w:tabs>
      <w:spacing w:before="180"/>
      <w:ind w:left="1134" w:hanging="1134"/>
    </w:pPr>
    <w:rPr>
      <w:sz w:val="22"/>
      <w:szCs w:val="24"/>
    </w:rPr>
  </w:style>
  <w:style w:type="paragraph" w:customStyle="1" w:styleId="ActHead5">
    <w:name w:val="ActHead 5"/>
    <w:aliases w:val="s"/>
    <w:basedOn w:val="Normal"/>
    <w:next w:val="Normal"/>
    <w:rsid w:val="006F461F"/>
    <w:pPr>
      <w:keepNext/>
      <w:keepLines/>
      <w:spacing w:before="280"/>
      <w:ind w:left="1134" w:hanging="1134"/>
      <w:outlineLvl w:val="4"/>
    </w:pPr>
    <w:rPr>
      <w:rFonts w:ascii="Times New Roman" w:hAnsi="Times New Roman"/>
      <w:b/>
      <w:bCs/>
      <w:kern w:val="28"/>
      <w:sz w:val="24"/>
      <w:szCs w:val="32"/>
      <w:lang w:eastAsia="en-AU"/>
    </w:rPr>
  </w:style>
  <w:style w:type="character" w:customStyle="1" w:styleId="subsectionChar">
    <w:name w:val="subsection Char"/>
    <w:aliases w:val="ss Char"/>
    <w:basedOn w:val="DefaultParagraphFont"/>
    <w:link w:val="subsection"/>
    <w:rsid w:val="006F461F"/>
    <w:rPr>
      <w:sz w:val="22"/>
      <w:szCs w:val="24"/>
    </w:rPr>
  </w:style>
  <w:style w:type="character" w:customStyle="1" w:styleId="A5">
    <w:name w:val="A5"/>
    <w:uiPriority w:val="99"/>
    <w:rsid w:val="00D94679"/>
    <w:rPr>
      <w:color w:val="000000"/>
      <w:sz w:val="22"/>
      <w:szCs w:val="22"/>
    </w:rPr>
  </w:style>
  <w:style w:type="paragraph" w:customStyle="1" w:styleId="2bodyparaoverride-14">
    <w:name w:val="_2_body paraoverride-14"/>
    <w:basedOn w:val="Normal"/>
    <w:rsid w:val="00122577"/>
    <w:pPr>
      <w:spacing w:beforeLines="1" w:afterLines="50"/>
    </w:pPr>
    <w:rPr>
      <w:rFonts w:eastAsiaTheme="minorEastAsia" w:cstheme="minorBidi"/>
      <w:sz w:val="20"/>
      <w:szCs w:val="20"/>
    </w:rPr>
  </w:style>
  <w:style w:type="paragraph" w:customStyle="1" w:styleId="CharCharChar">
    <w:name w:val="Char Char Char"/>
    <w:basedOn w:val="Normal"/>
    <w:rsid w:val="00884F70"/>
    <w:rPr>
      <w:rFonts w:cs="Arial"/>
      <w:szCs w:val="22"/>
    </w:rPr>
  </w:style>
  <w:style w:type="paragraph" w:styleId="FootnoteText">
    <w:name w:val="footnote text"/>
    <w:basedOn w:val="Normal"/>
    <w:link w:val="FootnoteTextChar"/>
    <w:rsid w:val="006E20DF"/>
    <w:rPr>
      <w:rFonts w:eastAsiaTheme="minorEastAsia" w:cstheme="minorBidi"/>
      <w:sz w:val="20"/>
      <w:szCs w:val="20"/>
      <w:lang w:val="en-US" w:eastAsia="ja-JP"/>
    </w:rPr>
  </w:style>
  <w:style w:type="character" w:customStyle="1" w:styleId="FootnoteTextChar">
    <w:name w:val="Footnote Text Char"/>
    <w:basedOn w:val="DefaultParagraphFont"/>
    <w:link w:val="FootnoteText"/>
    <w:rsid w:val="006E20DF"/>
    <w:rPr>
      <w:rFonts w:ascii="Arial" w:eastAsiaTheme="minorEastAsia" w:hAnsi="Arial" w:cstheme="minorBidi"/>
      <w:lang w:val="en-US" w:eastAsia="ja-JP"/>
    </w:rPr>
  </w:style>
  <w:style w:type="character" w:styleId="FootnoteReference">
    <w:name w:val="footnote reference"/>
    <w:basedOn w:val="DefaultParagraphFont"/>
    <w:rsid w:val="006E20DF"/>
    <w:rPr>
      <w:vertAlign w:val="superscript"/>
    </w:rPr>
  </w:style>
  <w:style w:type="character" w:customStyle="1" w:styleId="apple-converted-space">
    <w:name w:val="apple-converted-space"/>
    <w:basedOn w:val="DefaultParagraphFont"/>
    <w:rsid w:val="00FB1FCD"/>
  </w:style>
  <w:style w:type="character" w:styleId="CommentReference">
    <w:name w:val="annotation reference"/>
    <w:basedOn w:val="DefaultParagraphFont"/>
    <w:uiPriority w:val="99"/>
    <w:rsid w:val="00E14033"/>
    <w:rPr>
      <w:sz w:val="16"/>
      <w:szCs w:val="16"/>
    </w:rPr>
  </w:style>
  <w:style w:type="paragraph" w:styleId="CommentText">
    <w:name w:val="annotation text"/>
    <w:basedOn w:val="Normal"/>
    <w:link w:val="CommentTextChar"/>
    <w:uiPriority w:val="99"/>
    <w:rsid w:val="00E14033"/>
    <w:rPr>
      <w:sz w:val="20"/>
      <w:szCs w:val="20"/>
    </w:rPr>
  </w:style>
  <w:style w:type="character" w:customStyle="1" w:styleId="CommentTextChar">
    <w:name w:val="Comment Text Char"/>
    <w:basedOn w:val="DefaultParagraphFont"/>
    <w:link w:val="CommentText"/>
    <w:uiPriority w:val="99"/>
    <w:rsid w:val="00E14033"/>
    <w:rPr>
      <w:rFonts w:ascii="Arial" w:hAnsi="Arial"/>
      <w:lang w:eastAsia="en-US"/>
    </w:rPr>
  </w:style>
  <w:style w:type="paragraph" w:styleId="CommentSubject">
    <w:name w:val="annotation subject"/>
    <w:basedOn w:val="CommentText"/>
    <w:next w:val="CommentText"/>
    <w:link w:val="CommentSubjectChar"/>
    <w:rsid w:val="00E14033"/>
    <w:rPr>
      <w:b/>
      <w:bCs/>
    </w:rPr>
  </w:style>
  <w:style w:type="character" w:customStyle="1" w:styleId="CommentSubjectChar">
    <w:name w:val="Comment Subject Char"/>
    <w:basedOn w:val="CommentTextChar"/>
    <w:link w:val="CommentSubject"/>
    <w:rsid w:val="00E14033"/>
    <w:rPr>
      <w:rFonts w:ascii="Arial" w:hAnsi="Arial"/>
      <w:b/>
      <w:bCs/>
      <w:lang w:eastAsia="en-US"/>
    </w:rPr>
  </w:style>
  <w:style w:type="paragraph" w:styleId="Revision">
    <w:name w:val="Revision"/>
    <w:hidden/>
    <w:uiPriority w:val="99"/>
    <w:semiHidden/>
    <w:rsid w:val="005C6FC6"/>
    <w:rPr>
      <w:rFonts w:ascii="Arial" w:hAnsi="Arial"/>
      <w:sz w:val="22"/>
      <w:szCs w:val="24"/>
      <w:lang w:eastAsia="en-US"/>
    </w:rPr>
  </w:style>
  <w:style w:type="character" w:customStyle="1" w:styleId="oneclick-link">
    <w:name w:val="oneclick-link"/>
    <w:basedOn w:val="DefaultParagraphFont"/>
    <w:rsid w:val="00971C80"/>
  </w:style>
  <w:style w:type="paragraph" w:styleId="PlainText">
    <w:name w:val="Plain Text"/>
    <w:basedOn w:val="Normal"/>
    <w:link w:val="PlainTextChar1"/>
    <w:rsid w:val="00C97168"/>
    <w:pPr>
      <w:spacing w:after="0" w:line="240" w:lineRule="auto"/>
    </w:pPr>
    <w:rPr>
      <w:rFonts w:ascii="Calibri" w:hAnsi="Calibri"/>
      <w:color w:val="auto"/>
      <w:sz w:val="24"/>
      <w:szCs w:val="21"/>
      <w:lang w:eastAsia="en-US"/>
    </w:rPr>
  </w:style>
  <w:style w:type="character" w:customStyle="1" w:styleId="PlainTextChar">
    <w:name w:val="Plain Text Char"/>
    <w:basedOn w:val="DefaultParagraphFont"/>
    <w:rsid w:val="00C97168"/>
    <w:rPr>
      <w:rFonts w:ascii="Consolas" w:hAnsi="Consolas" w:cs="Consolas"/>
      <w:color w:val="000000"/>
      <w:sz w:val="21"/>
      <w:szCs w:val="21"/>
      <w:lang w:eastAsia="ko-KR"/>
    </w:rPr>
  </w:style>
  <w:style w:type="character" w:customStyle="1" w:styleId="PlainTextChar1">
    <w:name w:val="Plain Text Char1"/>
    <w:basedOn w:val="DefaultParagraphFont"/>
    <w:link w:val="PlainText"/>
    <w:locked/>
    <w:rsid w:val="00C97168"/>
    <w:rPr>
      <w:rFonts w:ascii="Calibri" w:hAnsi="Calibri"/>
      <w:sz w:val="24"/>
      <w:szCs w:val="21"/>
      <w:lang w:eastAsia="en-US"/>
    </w:rPr>
  </w:style>
  <w:style w:type="paragraph" w:customStyle="1" w:styleId="a">
    <w:name w:val="_"/>
    <w:basedOn w:val="Normal"/>
    <w:rsid w:val="00232B92"/>
    <w:pPr>
      <w:widowControl w:val="0"/>
      <w:spacing w:after="0" w:line="240" w:lineRule="auto"/>
      <w:ind w:left="770" w:hanging="770"/>
    </w:pPr>
    <w:rPr>
      <w:rFonts w:ascii="Times New Roman" w:hAnsi="Times New Roman"/>
      <w:snapToGrid w:val="0"/>
      <w:color w:val="auto"/>
      <w:sz w:val="24"/>
      <w:szCs w:val="20"/>
      <w:lang w:val="en-US" w:eastAsia="en-US"/>
    </w:rPr>
  </w:style>
  <w:style w:type="paragraph" w:customStyle="1" w:styleId="Bulletlist">
    <w:name w:val="Bullet list"/>
    <w:qFormat/>
    <w:rsid w:val="00280BA6"/>
    <w:pPr>
      <w:numPr>
        <w:numId w:val="41"/>
      </w:numPr>
      <w:spacing w:after="200"/>
      <w:ind w:left="567"/>
      <w:contextualSpacing/>
    </w:pPr>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2300">
      <w:bodyDiv w:val="1"/>
      <w:marLeft w:val="0"/>
      <w:marRight w:val="0"/>
      <w:marTop w:val="0"/>
      <w:marBottom w:val="0"/>
      <w:divBdr>
        <w:top w:val="none" w:sz="0" w:space="0" w:color="auto"/>
        <w:left w:val="none" w:sz="0" w:space="0" w:color="auto"/>
        <w:bottom w:val="none" w:sz="0" w:space="0" w:color="auto"/>
        <w:right w:val="none" w:sz="0" w:space="0" w:color="auto"/>
      </w:divBdr>
    </w:div>
    <w:div w:id="583688317">
      <w:bodyDiv w:val="1"/>
      <w:marLeft w:val="0"/>
      <w:marRight w:val="0"/>
      <w:marTop w:val="0"/>
      <w:marBottom w:val="0"/>
      <w:divBdr>
        <w:top w:val="none" w:sz="0" w:space="0" w:color="auto"/>
        <w:left w:val="none" w:sz="0" w:space="0" w:color="auto"/>
        <w:bottom w:val="none" w:sz="0" w:space="0" w:color="auto"/>
        <w:right w:val="none" w:sz="0" w:space="0" w:color="auto"/>
      </w:divBdr>
    </w:div>
    <w:div w:id="895163848">
      <w:bodyDiv w:val="1"/>
      <w:marLeft w:val="0"/>
      <w:marRight w:val="0"/>
      <w:marTop w:val="0"/>
      <w:marBottom w:val="0"/>
      <w:divBdr>
        <w:top w:val="none" w:sz="0" w:space="0" w:color="auto"/>
        <w:left w:val="none" w:sz="0" w:space="0" w:color="auto"/>
        <w:bottom w:val="none" w:sz="0" w:space="0" w:color="auto"/>
        <w:right w:val="none" w:sz="0" w:space="0" w:color="auto"/>
      </w:divBdr>
    </w:div>
    <w:div w:id="911622411">
      <w:bodyDiv w:val="1"/>
      <w:marLeft w:val="0"/>
      <w:marRight w:val="0"/>
      <w:marTop w:val="0"/>
      <w:marBottom w:val="0"/>
      <w:divBdr>
        <w:top w:val="none" w:sz="0" w:space="0" w:color="auto"/>
        <w:left w:val="none" w:sz="0" w:space="0" w:color="auto"/>
        <w:bottom w:val="none" w:sz="0" w:space="0" w:color="auto"/>
        <w:right w:val="none" w:sz="0" w:space="0" w:color="auto"/>
      </w:divBdr>
    </w:div>
    <w:div w:id="953487996">
      <w:bodyDiv w:val="1"/>
      <w:marLeft w:val="0"/>
      <w:marRight w:val="0"/>
      <w:marTop w:val="0"/>
      <w:marBottom w:val="0"/>
      <w:divBdr>
        <w:top w:val="none" w:sz="0" w:space="0" w:color="auto"/>
        <w:left w:val="none" w:sz="0" w:space="0" w:color="auto"/>
        <w:bottom w:val="none" w:sz="0" w:space="0" w:color="auto"/>
        <w:right w:val="none" w:sz="0" w:space="0" w:color="auto"/>
      </w:divBdr>
    </w:div>
    <w:div w:id="1662350665">
      <w:bodyDiv w:val="1"/>
      <w:marLeft w:val="0"/>
      <w:marRight w:val="0"/>
      <w:marTop w:val="0"/>
      <w:marBottom w:val="0"/>
      <w:divBdr>
        <w:top w:val="none" w:sz="0" w:space="0" w:color="auto"/>
        <w:left w:val="none" w:sz="0" w:space="0" w:color="auto"/>
        <w:bottom w:val="none" w:sz="0" w:space="0" w:color="auto"/>
        <w:right w:val="none" w:sz="0" w:space="0" w:color="auto"/>
      </w:divBdr>
    </w:div>
    <w:div w:id="1780946823">
      <w:bodyDiv w:val="1"/>
      <w:marLeft w:val="0"/>
      <w:marRight w:val="0"/>
      <w:marTop w:val="0"/>
      <w:marBottom w:val="0"/>
      <w:divBdr>
        <w:top w:val="none" w:sz="0" w:space="0" w:color="auto"/>
        <w:left w:val="none" w:sz="0" w:space="0" w:color="auto"/>
        <w:bottom w:val="none" w:sz="0" w:space="0" w:color="auto"/>
        <w:right w:val="none" w:sz="0" w:space="0" w:color="auto"/>
      </w:divBdr>
    </w:div>
    <w:div w:id="1881361558">
      <w:bodyDiv w:val="1"/>
      <w:marLeft w:val="0"/>
      <w:marRight w:val="0"/>
      <w:marTop w:val="0"/>
      <w:marBottom w:val="0"/>
      <w:divBdr>
        <w:top w:val="none" w:sz="0" w:space="0" w:color="auto"/>
        <w:left w:val="none" w:sz="0" w:space="0" w:color="auto"/>
        <w:bottom w:val="none" w:sz="0" w:space="0" w:color="auto"/>
        <w:right w:val="none" w:sz="0" w:space="0" w:color="auto"/>
      </w:divBdr>
      <w:divsChild>
        <w:div w:id="424350058">
          <w:marLeft w:val="0"/>
          <w:marRight w:val="0"/>
          <w:marTop w:val="0"/>
          <w:marBottom w:val="0"/>
          <w:divBdr>
            <w:top w:val="none" w:sz="0" w:space="0" w:color="auto"/>
            <w:left w:val="none" w:sz="0" w:space="0" w:color="auto"/>
            <w:bottom w:val="none" w:sz="0" w:space="0" w:color="auto"/>
            <w:right w:val="none" w:sz="0" w:space="0" w:color="auto"/>
          </w:divBdr>
          <w:divsChild>
            <w:div w:id="195123033">
              <w:marLeft w:val="0"/>
              <w:marRight w:val="0"/>
              <w:marTop w:val="0"/>
              <w:marBottom w:val="0"/>
              <w:divBdr>
                <w:top w:val="none" w:sz="0" w:space="0" w:color="auto"/>
                <w:left w:val="none" w:sz="0" w:space="0" w:color="auto"/>
                <w:bottom w:val="none" w:sz="0" w:space="0" w:color="auto"/>
                <w:right w:val="none" w:sz="0" w:space="0" w:color="auto"/>
              </w:divBdr>
              <w:divsChild>
                <w:div w:id="1574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111">
          <w:marLeft w:val="0"/>
          <w:marRight w:val="0"/>
          <w:marTop w:val="0"/>
          <w:marBottom w:val="0"/>
          <w:divBdr>
            <w:top w:val="none" w:sz="0" w:space="0" w:color="auto"/>
            <w:left w:val="none" w:sz="0" w:space="0" w:color="auto"/>
            <w:bottom w:val="none" w:sz="0" w:space="0" w:color="auto"/>
            <w:right w:val="none" w:sz="0" w:space="0" w:color="auto"/>
          </w:divBdr>
          <w:divsChild>
            <w:div w:id="1834450302">
              <w:marLeft w:val="0"/>
              <w:marRight w:val="0"/>
              <w:marTop w:val="0"/>
              <w:marBottom w:val="0"/>
              <w:divBdr>
                <w:top w:val="none" w:sz="0" w:space="0" w:color="auto"/>
                <w:left w:val="none" w:sz="0" w:space="0" w:color="auto"/>
                <w:bottom w:val="none" w:sz="0" w:space="0" w:color="auto"/>
                <w:right w:val="none" w:sz="0" w:space="0" w:color="auto"/>
              </w:divBdr>
              <w:divsChild>
                <w:div w:id="6003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50765">
          <w:marLeft w:val="0"/>
          <w:marRight w:val="0"/>
          <w:marTop w:val="0"/>
          <w:marBottom w:val="0"/>
          <w:divBdr>
            <w:top w:val="none" w:sz="0" w:space="0" w:color="auto"/>
            <w:left w:val="none" w:sz="0" w:space="0" w:color="auto"/>
            <w:bottom w:val="none" w:sz="0" w:space="0" w:color="auto"/>
            <w:right w:val="none" w:sz="0" w:space="0" w:color="auto"/>
          </w:divBdr>
          <w:divsChild>
            <w:div w:id="1504592827">
              <w:marLeft w:val="0"/>
              <w:marRight w:val="0"/>
              <w:marTop w:val="0"/>
              <w:marBottom w:val="0"/>
              <w:divBdr>
                <w:top w:val="none" w:sz="0" w:space="0" w:color="auto"/>
                <w:left w:val="none" w:sz="0" w:space="0" w:color="auto"/>
                <w:bottom w:val="none" w:sz="0" w:space="0" w:color="auto"/>
                <w:right w:val="none" w:sz="0" w:space="0" w:color="auto"/>
              </w:divBdr>
              <w:divsChild>
                <w:div w:id="4972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49357">
          <w:marLeft w:val="0"/>
          <w:marRight w:val="0"/>
          <w:marTop w:val="0"/>
          <w:marBottom w:val="0"/>
          <w:divBdr>
            <w:top w:val="none" w:sz="0" w:space="0" w:color="auto"/>
            <w:left w:val="none" w:sz="0" w:space="0" w:color="auto"/>
            <w:bottom w:val="none" w:sz="0" w:space="0" w:color="auto"/>
            <w:right w:val="none" w:sz="0" w:space="0" w:color="auto"/>
          </w:divBdr>
          <w:divsChild>
            <w:div w:id="170069697">
              <w:marLeft w:val="0"/>
              <w:marRight w:val="0"/>
              <w:marTop w:val="0"/>
              <w:marBottom w:val="0"/>
              <w:divBdr>
                <w:top w:val="none" w:sz="0" w:space="0" w:color="auto"/>
                <w:left w:val="none" w:sz="0" w:space="0" w:color="auto"/>
                <w:bottom w:val="none" w:sz="0" w:space="0" w:color="auto"/>
                <w:right w:val="none" w:sz="0" w:space="0" w:color="auto"/>
              </w:divBdr>
            </w:div>
          </w:divsChild>
        </w:div>
        <w:div w:id="1322466985">
          <w:marLeft w:val="0"/>
          <w:marRight w:val="0"/>
          <w:marTop w:val="0"/>
          <w:marBottom w:val="0"/>
          <w:divBdr>
            <w:top w:val="none" w:sz="0" w:space="0" w:color="auto"/>
            <w:left w:val="none" w:sz="0" w:space="0" w:color="auto"/>
            <w:bottom w:val="none" w:sz="0" w:space="0" w:color="auto"/>
            <w:right w:val="none" w:sz="0" w:space="0" w:color="auto"/>
          </w:divBdr>
          <w:divsChild>
            <w:div w:id="15046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2557">
      <w:bodyDiv w:val="1"/>
      <w:marLeft w:val="0"/>
      <w:marRight w:val="0"/>
      <w:marTop w:val="0"/>
      <w:marBottom w:val="0"/>
      <w:divBdr>
        <w:top w:val="none" w:sz="0" w:space="0" w:color="auto"/>
        <w:left w:val="none" w:sz="0" w:space="0" w:color="auto"/>
        <w:bottom w:val="none" w:sz="0" w:space="0" w:color="auto"/>
        <w:right w:val="none" w:sz="0" w:space="0" w:color="auto"/>
      </w:divBdr>
      <w:divsChild>
        <w:div w:id="1241140579">
          <w:marLeft w:val="0"/>
          <w:marRight w:val="0"/>
          <w:marTop w:val="0"/>
          <w:marBottom w:val="0"/>
          <w:divBdr>
            <w:top w:val="none" w:sz="0" w:space="0" w:color="auto"/>
            <w:left w:val="none" w:sz="0" w:space="0" w:color="auto"/>
            <w:bottom w:val="none" w:sz="0" w:space="0" w:color="auto"/>
            <w:right w:val="none" w:sz="0" w:space="0" w:color="auto"/>
          </w:divBdr>
          <w:divsChild>
            <w:div w:id="165244524">
              <w:marLeft w:val="0"/>
              <w:marRight w:val="0"/>
              <w:marTop w:val="0"/>
              <w:marBottom w:val="0"/>
              <w:divBdr>
                <w:top w:val="none" w:sz="0" w:space="0" w:color="auto"/>
                <w:left w:val="none" w:sz="0" w:space="0" w:color="auto"/>
                <w:bottom w:val="none" w:sz="0" w:space="0" w:color="auto"/>
                <w:right w:val="none" w:sz="0" w:space="0" w:color="auto"/>
              </w:divBdr>
              <w:divsChild>
                <w:div w:id="978610417">
                  <w:marLeft w:val="0"/>
                  <w:marRight w:val="0"/>
                  <w:marTop w:val="0"/>
                  <w:marBottom w:val="0"/>
                  <w:divBdr>
                    <w:top w:val="none" w:sz="0" w:space="0" w:color="auto"/>
                    <w:left w:val="none" w:sz="0" w:space="0" w:color="auto"/>
                    <w:bottom w:val="none" w:sz="0" w:space="0" w:color="auto"/>
                    <w:right w:val="none" w:sz="0" w:space="0" w:color="auto"/>
                  </w:divBdr>
                  <w:divsChild>
                    <w:div w:id="758529887">
                      <w:marLeft w:val="0"/>
                      <w:marRight w:val="0"/>
                      <w:marTop w:val="0"/>
                      <w:marBottom w:val="0"/>
                      <w:divBdr>
                        <w:top w:val="none" w:sz="0" w:space="0" w:color="auto"/>
                        <w:left w:val="none" w:sz="0" w:space="0" w:color="auto"/>
                        <w:bottom w:val="none" w:sz="0" w:space="0" w:color="auto"/>
                        <w:right w:val="none" w:sz="0" w:space="0" w:color="auto"/>
                      </w:divBdr>
                      <w:divsChild>
                        <w:div w:id="1056585810">
                          <w:marLeft w:val="0"/>
                          <w:marRight w:val="0"/>
                          <w:marTop w:val="0"/>
                          <w:marBottom w:val="0"/>
                          <w:divBdr>
                            <w:top w:val="none" w:sz="0" w:space="0" w:color="auto"/>
                            <w:left w:val="none" w:sz="0" w:space="0" w:color="auto"/>
                            <w:bottom w:val="none" w:sz="0" w:space="0" w:color="auto"/>
                            <w:right w:val="none" w:sz="0" w:space="0" w:color="auto"/>
                          </w:divBdr>
                          <w:divsChild>
                            <w:div w:id="1917592560">
                              <w:marLeft w:val="0"/>
                              <w:marRight w:val="0"/>
                              <w:marTop w:val="0"/>
                              <w:marBottom w:val="0"/>
                              <w:divBdr>
                                <w:top w:val="none" w:sz="0" w:space="0" w:color="auto"/>
                                <w:left w:val="none" w:sz="0" w:space="0" w:color="auto"/>
                                <w:bottom w:val="none" w:sz="0" w:space="0" w:color="auto"/>
                                <w:right w:val="none" w:sz="0" w:space="0" w:color="auto"/>
                              </w:divBdr>
                              <w:divsChild>
                                <w:div w:id="12130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79145-69FA-47A8-88E2-03EC0AF5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8197</Words>
  <Characters>46729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Dunbar</dc:creator>
  <cp:lastModifiedBy>JEFFERYS, Susannah</cp:lastModifiedBy>
  <cp:revision>2</cp:revision>
  <cp:lastPrinted>2017-08-11T06:27:00Z</cp:lastPrinted>
  <dcterms:created xsi:type="dcterms:W3CDTF">2017-08-23T02:50:00Z</dcterms:created>
  <dcterms:modified xsi:type="dcterms:W3CDTF">2017-08-23T02:50:00Z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