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743" w:rsidRPr="00E4717D" w:rsidRDefault="00A06B94" w:rsidP="00500B76">
      <w:pPr>
        <w:rPr>
          <w:rStyle w:val="IntenseReference"/>
          <w:b w:val="0"/>
          <w:bCs w:val="0"/>
          <w:i w:val="0"/>
          <w:smallCaps w:val="0"/>
          <w:color w:val="auto"/>
          <w:spacing w:val="0"/>
        </w:rPr>
      </w:pPr>
      <w:r w:rsidRPr="00E4717D">
        <w:rPr>
          <w:noProof/>
          <w:lang w:eastAsia="en-AU"/>
        </w:rPr>
        <w:drawing>
          <wp:inline distT="0" distB="0" distL="0" distR="0" wp14:anchorId="7D79AB62" wp14:editId="3FB0DB78">
            <wp:extent cx="5274310" cy="69850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698500"/>
                    </a:xfrm>
                    <a:prstGeom prst="rect">
                      <a:avLst/>
                    </a:prstGeom>
                    <a:noFill/>
                    <a:ln>
                      <a:noFill/>
                    </a:ln>
                  </pic:spPr>
                </pic:pic>
              </a:graphicData>
            </a:graphic>
          </wp:inline>
        </w:drawing>
      </w:r>
    </w:p>
    <w:p w:rsidR="00421FCC" w:rsidRDefault="00421FCC" w:rsidP="00500B76">
      <w:pPr>
        <w:rPr>
          <w:rStyle w:val="IntenseReference"/>
          <w:b w:val="0"/>
          <w:bCs w:val="0"/>
          <w:i w:val="0"/>
          <w:smallCaps w:val="0"/>
          <w:color w:val="auto"/>
          <w:spacing w:val="0"/>
        </w:rPr>
      </w:pPr>
    </w:p>
    <w:p w:rsidR="00160CA1" w:rsidRPr="00E4717D" w:rsidRDefault="00A97996" w:rsidP="00500B76">
      <w:pPr>
        <w:rPr>
          <w:rStyle w:val="IntenseReference"/>
          <w:b w:val="0"/>
          <w:bCs w:val="0"/>
          <w:i w:val="0"/>
          <w:smallCaps w:val="0"/>
          <w:color w:val="auto"/>
          <w:spacing w:val="0"/>
        </w:rPr>
      </w:pPr>
      <w:r w:rsidRPr="00A97996">
        <w:rPr>
          <w:rStyle w:val="IntenseReference"/>
          <w:b w:val="0"/>
          <w:bCs w:val="0"/>
          <w:i w:val="0"/>
          <w:smallCaps w:val="0"/>
          <w:color w:val="auto"/>
          <w:spacing w:val="0"/>
        </w:rPr>
        <w:t>D16-17819</w:t>
      </w:r>
    </w:p>
    <w:p w:rsidR="00421FCC" w:rsidRDefault="00421FCC" w:rsidP="0020000F">
      <w:pPr>
        <w:rPr>
          <w:rStyle w:val="IntenseReference"/>
          <w:b w:val="0"/>
          <w:bCs w:val="0"/>
          <w:i w:val="0"/>
          <w:smallCaps w:val="0"/>
          <w:color w:val="auto"/>
          <w:spacing w:val="0"/>
        </w:rPr>
      </w:pPr>
    </w:p>
    <w:p w:rsidR="00160CA1" w:rsidRPr="00160CA1" w:rsidRDefault="00160CA1" w:rsidP="00DC5125"/>
    <w:p w:rsidR="00160CA1" w:rsidRPr="00160CA1" w:rsidRDefault="00160CA1" w:rsidP="00DC5125"/>
    <w:p w:rsidR="00160CA1" w:rsidRPr="0020000F" w:rsidRDefault="00741698" w:rsidP="00500B76">
      <w:pPr>
        <w:rPr>
          <w:b/>
          <w:color w:val="0070C0"/>
          <w:sz w:val="72"/>
          <w:szCs w:val="72"/>
        </w:rPr>
      </w:pPr>
      <w:r w:rsidRPr="0020000F">
        <w:rPr>
          <w:b/>
          <w:color w:val="0070C0"/>
          <w:sz w:val="72"/>
          <w:szCs w:val="72"/>
        </w:rPr>
        <w:t>Corporate</w:t>
      </w:r>
      <w:r w:rsidR="00160CA1" w:rsidRPr="0020000F">
        <w:rPr>
          <w:b/>
          <w:color w:val="0070C0"/>
          <w:sz w:val="72"/>
          <w:szCs w:val="72"/>
        </w:rPr>
        <w:t xml:space="preserve"> </w:t>
      </w:r>
      <w:r w:rsidR="00AF1BFD" w:rsidRPr="0020000F">
        <w:rPr>
          <w:b/>
          <w:color w:val="0070C0"/>
          <w:sz w:val="72"/>
          <w:szCs w:val="72"/>
        </w:rPr>
        <w:t>p</w:t>
      </w:r>
      <w:r w:rsidR="00160CA1" w:rsidRPr="0020000F">
        <w:rPr>
          <w:b/>
          <w:color w:val="0070C0"/>
          <w:sz w:val="72"/>
          <w:szCs w:val="72"/>
        </w:rPr>
        <w:t>lan</w:t>
      </w:r>
    </w:p>
    <w:p w:rsidR="00160CA1" w:rsidRDefault="00160CA1" w:rsidP="00DC5125"/>
    <w:p w:rsidR="0020000F" w:rsidRPr="00A21F97" w:rsidRDefault="0020000F" w:rsidP="00DC5125"/>
    <w:p w:rsidR="00160CA1" w:rsidRPr="0020000F" w:rsidRDefault="00160CA1" w:rsidP="00500B76">
      <w:pPr>
        <w:rPr>
          <w:b/>
          <w:color w:val="0070C0"/>
          <w:sz w:val="72"/>
          <w:szCs w:val="72"/>
        </w:rPr>
      </w:pPr>
      <w:r w:rsidRPr="0020000F">
        <w:rPr>
          <w:b/>
          <w:color w:val="0070C0"/>
          <w:sz w:val="72"/>
          <w:szCs w:val="72"/>
        </w:rPr>
        <w:t>201</w:t>
      </w:r>
      <w:r w:rsidR="00F41B53">
        <w:rPr>
          <w:b/>
          <w:color w:val="0070C0"/>
          <w:sz w:val="72"/>
          <w:szCs w:val="72"/>
        </w:rPr>
        <w:t>6</w:t>
      </w:r>
      <w:r w:rsidRPr="0020000F">
        <w:rPr>
          <w:b/>
          <w:color w:val="0070C0"/>
          <w:sz w:val="72"/>
          <w:szCs w:val="72"/>
        </w:rPr>
        <w:t>–</w:t>
      </w:r>
      <w:r w:rsidR="001C5BB6">
        <w:rPr>
          <w:b/>
          <w:color w:val="0070C0"/>
          <w:sz w:val="72"/>
          <w:szCs w:val="72"/>
        </w:rPr>
        <w:t>17</w:t>
      </w:r>
    </w:p>
    <w:p w:rsidR="001519E0" w:rsidRPr="00E4717D" w:rsidRDefault="001519E0" w:rsidP="00500B76">
      <w:pPr>
        <w:rPr>
          <w:rStyle w:val="IntenseReference"/>
          <w:b w:val="0"/>
          <w:bCs w:val="0"/>
          <w:i w:val="0"/>
          <w:smallCaps w:val="0"/>
          <w:color w:val="auto"/>
          <w:spacing w:val="0"/>
        </w:rPr>
      </w:pPr>
    </w:p>
    <w:p w:rsidR="00023EF9" w:rsidRDefault="00023EF9" w:rsidP="00500B76">
      <w:pPr>
        <w:rPr>
          <w:rFonts w:cs="Arial"/>
          <w:kern w:val="28"/>
        </w:rPr>
      </w:pPr>
      <w:r>
        <w:br w:type="page"/>
      </w:r>
    </w:p>
    <w:sdt>
      <w:sdtPr>
        <w:rPr>
          <w:rFonts w:ascii="Arial" w:eastAsia="Times New Roman" w:hAnsi="Arial" w:cs="Times New Roman"/>
          <w:b w:val="0"/>
          <w:bCs w:val="0"/>
          <w:color w:val="auto"/>
          <w:sz w:val="22"/>
          <w:szCs w:val="24"/>
          <w:lang w:val="en-AU" w:eastAsia="en-US"/>
        </w:rPr>
        <w:id w:val="-1293279449"/>
        <w:docPartObj>
          <w:docPartGallery w:val="Table of Contents"/>
          <w:docPartUnique/>
        </w:docPartObj>
      </w:sdtPr>
      <w:sdtEndPr>
        <w:rPr>
          <w:noProof/>
          <w:color w:val="000000"/>
          <w:lang w:eastAsia="ko-KR"/>
        </w:rPr>
      </w:sdtEndPr>
      <w:sdtContent>
        <w:p w:rsidR="00BA16C7" w:rsidRDefault="00BA16C7" w:rsidP="00500B76">
          <w:pPr>
            <w:pStyle w:val="TOCHeading"/>
          </w:pPr>
          <w:r>
            <w:t xml:space="preserve">Table of </w:t>
          </w:r>
          <w:r w:rsidR="00AF1BFD">
            <w:t>c</w:t>
          </w:r>
          <w:r>
            <w:t>ontents</w:t>
          </w:r>
        </w:p>
        <w:p w:rsidR="00D22F1A" w:rsidRDefault="00BA16C7">
          <w:pPr>
            <w:pStyle w:val="TOC1"/>
            <w:tabs>
              <w:tab w:val="right" w:leader="dot" w:pos="8296"/>
            </w:tabs>
            <w:rPr>
              <w:rFonts w:asciiTheme="minorHAnsi" w:eastAsiaTheme="minorEastAsia" w:hAnsiTheme="minorHAnsi" w:cstheme="minorBidi"/>
              <w:noProof/>
              <w:color w:val="auto"/>
              <w:szCs w:val="22"/>
              <w:lang w:eastAsia="en-AU"/>
            </w:rPr>
          </w:pPr>
          <w:r>
            <w:fldChar w:fldCharType="begin"/>
          </w:r>
          <w:r>
            <w:instrText xml:space="preserve"> TOC \o "1-3" \h \z \u </w:instrText>
          </w:r>
          <w:r>
            <w:fldChar w:fldCharType="separate"/>
          </w:r>
          <w:hyperlink w:anchor="_Toc456019965" w:history="1">
            <w:r w:rsidR="00D22F1A" w:rsidRPr="00496B1A">
              <w:rPr>
                <w:rStyle w:val="Hyperlink"/>
                <w:noProof/>
              </w:rPr>
              <w:t>Introduction</w:t>
            </w:r>
            <w:r w:rsidR="00D22F1A">
              <w:rPr>
                <w:noProof/>
                <w:webHidden/>
              </w:rPr>
              <w:tab/>
            </w:r>
            <w:r w:rsidR="00D22F1A">
              <w:rPr>
                <w:noProof/>
                <w:webHidden/>
              </w:rPr>
              <w:fldChar w:fldCharType="begin"/>
            </w:r>
            <w:r w:rsidR="00D22F1A">
              <w:rPr>
                <w:noProof/>
                <w:webHidden/>
              </w:rPr>
              <w:instrText xml:space="preserve"> PAGEREF _Toc456019965 \h </w:instrText>
            </w:r>
            <w:r w:rsidR="00D22F1A">
              <w:rPr>
                <w:noProof/>
                <w:webHidden/>
              </w:rPr>
            </w:r>
            <w:r w:rsidR="00D22F1A">
              <w:rPr>
                <w:noProof/>
                <w:webHidden/>
              </w:rPr>
              <w:fldChar w:fldCharType="separate"/>
            </w:r>
            <w:r w:rsidR="00D22F1A">
              <w:rPr>
                <w:noProof/>
                <w:webHidden/>
              </w:rPr>
              <w:t>2</w:t>
            </w:r>
            <w:r w:rsidR="00D22F1A">
              <w:rPr>
                <w:noProof/>
                <w:webHidden/>
              </w:rPr>
              <w:fldChar w:fldCharType="end"/>
            </w:r>
          </w:hyperlink>
        </w:p>
        <w:p w:rsidR="00D22F1A" w:rsidRDefault="00D22F1A">
          <w:pPr>
            <w:pStyle w:val="TOC1"/>
            <w:tabs>
              <w:tab w:val="right" w:leader="dot" w:pos="8296"/>
            </w:tabs>
            <w:rPr>
              <w:rFonts w:asciiTheme="minorHAnsi" w:eastAsiaTheme="minorEastAsia" w:hAnsiTheme="minorHAnsi" w:cstheme="minorBidi"/>
              <w:noProof/>
              <w:color w:val="auto"/>
              <w:szCs w:val="22"/>
              <w:lang w:eastAsia="en-AU"/>
            </w:rPr>
          </w:pPr>
          <w:hyperlink w:anchor="_Toc456019966" w:history="1">
            <w:r w:rsidRPr="00496B1A">
              <w:rPr>
                <w:rStyle w:val="Hyperlink"/>
                <w:noProof/>
              </w:rPr>
              <w:t>Overview</w:t>
            </w:r>
            <w:r>
              <w:rPr>
                <w:noProof/>
                <w:webHidden/>
              </w:rPr>
              <w:tab/>
            </w:r>
            <w:r>
              <w:rPr>
                <w:noProof/>
                <w:webHidden/>
              </w:rPr>
              <w:fldChar w:fldCharType="begin"/>
            </w:r>
            <w:r>
              <w:rPr>
                <w:noProof/>
                <w:webHidden/>
              </w:rPr>
              <w:instrText xml:space="preserve"> PAGEREF _Toc456019966 \h </w:instrText>
            </w:r>
            <w:r>
              <w:rPr>
                <w:noProof/>
                <w:webHidden/>
              </w:rPr>
            </w:r>
            <w:r>
              <w:rPr>
                <w:noProof/>
                <w:webHidden/>
              </w:rPr>
              <w:fldChar w:fldCharType="separate"/>
            </w:r>
            <w:r>
              <w:rPr>
                <w:noProof/>
                <w:webHidden/>
              </w:rPr>
              <w:t>3</w:t>
            </w:r>
            <w:r>
              <w:rPr>
                <w:noProof/>
                <w:webHidden/>
              </w:rPr>
              <w:fldChar w:fldCharType="end"/>
            </w:r>
          </w:hyperlink>
        </w:p>
        <w:p w:rsidR="00D22F1A" w:rsidRDefault="00D22F1A">
          <w:pPr>
            <w:pStyle w:val="TOC1"/>
            <w:tabs>
              <w:tab w:val="right" w:leader="dot" w:pos="8296"/>
            </w:tabs>
            <w:rPr>
              <w:rFonts w:asciiTheme="minorHAnsi" w:eastAsiaTheme="minorEastAsia" w:hAnsiTheme="minorHAnsi" w:cstheme="minorBidi"/>
              <w:noProof/>
              <w:color w:val="auto"/>
              <w:szCs w:val="22"/>
              <w:lang w:eastAsia="en-AU"/>
            </w:rPr>
          </w:pPr>
          <w:hyperlink w:anchor="_Toc456019967" w:history="1">
            <w:r w:rsidRPr="00496B1A">
              <w:rPr>
                <w:rStyle w:val="Hyperlink"/>
                <w:noProof/>
              </w:rPr>
              <w:t>Purpose</w:t>
            </w:r>
            <w:r>
              <w:rPr>
                <w:noProof/>
                <w:webHidden/>
              </w:rPr>
              <w:tab/>
            </w:r>
            <w:r>
              <w:rPr>
                <w:noProof/>
                <w:webHidden/>
              </w:rPr>
              <w:fldChar w:fldCharType="begin"/>
            </w:r>
            <w:r>
              <w:rPr>
                <w:noProof/>
                <w:webHidden/>
              </w:rPr>
              <w:instrText xml:space="preserve"> PAGEREF _Toc456019967 \h </w:instrText>
            </w:r>
            <w:r>
              <w:rPr>
                <w:noProof/>
                <w:webHidden/>
              </w:rPr>
            </w:r>
            <w:r>
              <w:rPr>
                <w:noProof/>
                <w:webHidden/>
              </w:rPr>
              <w:fldChar w:fldCharType="separate"/>
            </w:r>
            <w:r>
              <w:rPr>
                <w:noProof/>
                <w:webHidden/>
              </w:rPr>
              <w:t>4</w:t>
            </w:r>
            <w:r>
              <w:rPr>
                <w:noProof/>
                <w:webHidden/>
              </w:rPr>
              <w:fldChar w:fldCharType="end"/>
            </w:r>
          </w:hyperlink>
        </w:p>
        <w:p w:rsidR="00D22F1A" w:rsidRDefault="00D22F1A">
          <w:pPr>
            <w:pStyle w:val="TOC2"/>
            <w:tabs>
              <w:tab w:val="right" w:leader="dot" w:pos="8296"/>
            </w:tabs>
            <w:rPr>
              <w:rFonts w:asciiTheme="minorHAnsi" w:eastAsiaTheme="minorEastAsia" w:hAnsiTheme="minorHAnsi" w:cstheme="minorBidi"/>
              <w:noProof/>
              <w:color w:val="auto"/>
              <w:szCs w:val="22"/>
              <w:lang w:eastAsia="en-AU"/>
            </w:rPr>
          </w:pPr>
          <w:hyperlink w:anchor="_Toc456019968" w:history="1">
            <w:r w:rsidRPr="00496B1A">
              <w:rPr>
                <w:rStyle w:val="Hyperlink"/>
                <w:noProof/>
              </w:rPr>
              <w:t>Role</w:t>
            </w:r>
            <w:r>
              <w:rPr>
                <w:noProof/>
                <w:webHidden/>
              </w:rPr>
              <w:tab/>
            </w:r>
            <w:r>
              <w:rPr>
                <w:noProof/>
                <w:webHidden/>
              </w:rPr>
              <w:fldChar w:fldCharType="begin"/>
            </w:r>
            <w:r>
              <w:rPr>
                <w:noProof/>
                <w:webHidden/>
              </w:rPr>
              <w:instrText xml:space="preserve"> PAGEREF _Toc456019968 \h </w:instrText>
            </w:r>
            <w:r>
              <w:rPr>
                <w:noProof/>
                <w:webHidden/>
              </w:rPr>
            </w:r>
            <w:r>
              <w:rPr>
                <w:noProof/>
                <w:webHidden/>
              </w:rPr>
              <w:fldChar w:fldCharType="separate"/>
            </w:r>
            <w:r>
              <w:rPr>
                <w:noProof/>
                <w:webHidden/>
              </w:rPr>
              <w:t>4</w:t>
            </w:r>
            <w:r>
              <w:rPr>
                <w:noProof/>
                <w:webHidden/>
              </w:rPr>
              <w:fldChar w:fldCharType="end"/>
            </w:r>
          </w:hyperlink>
        </w:p>
        <w:p w:rsidR="00D22F1A" w:rsidRDefault="00D22F1A">
          <w:pPr>
            <w:pStyle w:val="TOC2"/>
            <w:tabs>
              <w:tab w:val="right" w:leader="dot" w:pos="8296"/>
            </w:tabs>
            <w:rPr>
              <w:rFonts w:asciiTheme="minorHAnsi" w:eastAsiaTheme="minorEastAsia" w:hAnsiTheme="minorHAnsi" w:cstheme="minorBidi"/>
              <w:noProof/>
              <w:color w:val="auto"/>
              <w:szCs w:val="22"/>
              <w:lang w:eastAsia="en-AU"/>
            </w:rPr>
          </w:pPr>
          <w:hyperlink w:anchor="_Toc456019969" w:history="1">
            <w:r w:rsidRPr="00496B1A">
              <w:rPr>
                <w:rStyle w:val="Hyperlink"/>
                <w:noProof/>
              </w:rPr>
              <w:t>Objectives</w:t>
            </w:r>
            <w:r>
              <w:rPr>
                <w:noProof/>
                <w:webHidden/>
              </w:rPr>
              <w:tab/>
            </w:r>
            <w:r>
              <w:rPr>
                <w:noProof/>
                <w:webHidden/>
              </w:rPr>
              <w:fldChar w:fldCharType="begin"/>
            </w:r>
            <w:r>
              <w:rPr>
                <w:noProof/>
                <w:webHidden/>
              </w:rPr>
              <w:instrText xml:space="preserve"> PAGEREF _Toc456019969 \h </w:instrText>
            </w:r>
            <w:r>
              <w:rPr>
                <w:noProof/>
                <w:webHidden/>
              </w:rPr>
            </w:r>
            <w:r>
              <w:rPr>
                <w:noProof/>
                <w:webHidden/>
              </w:rPr>
              <w:fldChar w:fldCharType="separate"/>
            </w:r>
            <w:r>
              <w:rPr>
                <w:noProof/>
                <w:webHidden/>
              </w:rPr>
              <w:t>4</w:t>
            </w:r>
            <w:r>
              <w:rPr>
                <w:noProof/>
                <w:webHidden/>
              </w:rPr>
              <w:fldChar w:fldCharType="end"/>
            </w:r>
          </w:hyperlink>
        </w:p>
        <w:p w:rsidR="00D22F1A" w:rsidRDefault="00D22F1A">
          <w:pPr>
            <w:pStyle w:val="TOC2"/>
            <w:tabs>
              <w:tab w:val="right" w:leader="dot" w:pos="8296"/>
            </w:tabs>
            <w:rPr>
              <w:rFonts w:asciiTheme="minorHAnsi" w:eastAsiaTheme="minorEastAsia" w:hAnsiTheme="minorHAnsi" w:cstheme="minorBidi"/>
              <w:noProof/>
              <w:color w:val="auto"/>
              <w:szCs w:val="22"/>
              <w:lang w:eastAsia="en-AU"/>
            </w:rPr>
          </w:pPr>
          <w:hyperlink w:anchor="_Toc456019970" w:history="1">
            <w:r w:rsidRPr="00496B1A">
              <w:rPr>
                <w:rStyle w:val="Hyperlink"/>
                <w:noProof/>
              </w:rPr>
              <w:t>Functions</w:t>
            </w:r>
            <w:r>
              <w:rPr>
                <w:noProof/>
                <w:webHidden/>
              </w:rPr>
              <w:tab/>
            </w:r>
            <w:r>
              <w:rPr>
                <w:noProof/>
                <w:webHidden/>
              </w:rPr>
              <w:fldChar w:fldCharType="begin"/>
            </w:r>
            <w:r>
              <w:rPr>
                <w:noProof/>
                <w:webHidden/>
              </w:rPr>
              <w:instrText xml:space="preserve"> PAGEREF _Toc456019970 \h </w:instrText>
            </w:r>
            <w:r>
              <w:rPr>
                <w:noProof/>
                <w:webHidden/>
              </w:rPr>
            </w:r>
            <w:r>
              <w:rPr>
                <w:noProof/>
                <w:webHidden/>
              </w:rPr>
              <w:fldChar w:fldCharType="separate"/>
            </w:r>
            <w:r>
              <w:rPr>
                <w:noProof/>
                <w:webHidden/>
              </w:rPr>
              <w:t>4</w:t>
            </w:r>
            <w:r>
              <w:rPr>
                <w:noProof/>
                <w:webHidden/>
              </w:rPr>
              <w:fldChar w:fldCharType="end"/>
            </w:r>
          </w:hyperlink>
        </w:p>
        <w:p w:rsidR="00D22F1A" w:rsidRDefault="00D22F1A">
          <w:pPr>
            <w:pStyle w:val="TOC2"/>
            <w:tabs>
              <w:tab w:val="right" w:leader="dot" w:pos="8296"/>
            </w:tabs>
            <w:rPr>
              <w:rFonts w:asciiTheme="minorHAnsi" w:eastAsiaTheme="minorEastAsia" w:hAnsiTheme="minorHAnsi" w:cstheme="minorBidi"/>
              <w:noProof/>
              <w:color w:val="auto"/>
              <w:szCs w:val="22"/>
              <w:lang w:eastAsia="en-AU"/>
            </w:rPr>
          </w:pPr>
          <w:hyperlink w:anchor="_Toc456019971" w:history="1">
            <w:r w:rsidRPr="00496B1A">
              <w:rPr>
                <w:rStyle w:val="Hyperlink"/>
                <w:noProof/>
              </w:rPr>
              <w:t>Alignment with Australian Government priorities</w:t>
            </w:r>
            <w:r>
              <w:rPr>
                <w:noProof/>
                <w:webHidden/>
              </w:rPr>
              <w:tab/>
            </w:r>
            <w:r>
              <w:rPr>
                <w:noProof/>
                <w:webHidden/>
              </w:rPr>
              <w:fldChar w:fldCharType="begin"/>
            </w:r>
            <w:r>
              <w:rPr>
                <w:noProof/>
                <w:webHidden/>
              </w:rPr>
              <w:instrText xml:space="preserve"> PAGEREF _Toc456019971 \h </w:instrText>
            </w:r>
            <w:r>
              <w:rPr>
                <w:noProof/>
                <w:webHidden/>
              </w:rPr>
            </w:r>
            <w:r>
              <w:rPr>
                <w:noProof/>
                <w:webHidden/>
              </w:rPr>
              <w:fldChar w:fldCharType="separate"/>
            </w:r>
            <w:r>
              <w:rPr>
                <w:noProof/>
                <w:webHidden/>
              </w:rPr>
              <w:t>5</w:t>
            </w:r>
            <w:r>
              <w:rPr>
                <w:noProof/>
                <w:webHidden/>
              </w:rPr>
              <w:fldChar w:fldCharType="end"/>
            </w:r>
          </w:hyperlink>
        </w:p>
        <w:p w:rsidR="00D22F1A" w:rsidRDefault="00D22F1A">
          <w:pPr>
            <w:pStyle w:val="TOC1"/>
            <w:tabs>
              <w:tab w:val="right" w:leader="dot" w:pos="8296"/>
            </w:tabs>
            <w:rPr>
              <w:rFonts w:asciiTheme="minorHAnsi" w:eastAsiaTheme="minorEastAsia" w:hAnsiTheme="minorHAnsi" w:cstheme="minorBidi"/>
              <w:noProof/>
              <w:color w:val="auto"/>
              <w:szCs w:val="22"/>
              <w:lang w:eastAsia="en-AU"/>
            </w:rPr>
          </w:pPr>
          <w:hyperlink w:anchor="_Toc456019972" w:history="1">
            <w:r w:rsidRPr="00496B1A">
              <w:rPr>
                <w:rStyle w:val="Hyperlink"/>
                <w:noProof/>
              </w:rPr>
              <w:t>Environment</w:t>
            </w:r>
            <w:r>
              <w:rPr>
                <w:noProof/>
                <w:webHidden/>
              </w:rPr>
              <w:tab/>
            </w:r>
            <w:r>
              <w:rPr>
                <w:noProof/>
                <w:webHidden/>
              </w:rPr>
              <w:fldChar w:fldCharType="begin"/>
            </w:r>
            <w:r>
              <w:rPr>
                <w:noProof/>
                <w:webHidden/>
              </w:rPr>
              <w:instrText xml:space="preserve"> PAGEREF _Toc456019972 \h </w:instrText>
            </w:r>
            <w:r>
              <w:rPr>
                <w:noProof/>
                <w:webHidden/>
              </w:rPr>
            </w:r>
            <w:r>
              <w:rPr>
                <w:noProof/>
                <w:webHidden/>
              </w:rPr>
              <w:fldChar w:fldCharType="separate"/>
            </w:r>
            <w:r>
              <w:rPr>
                <w:noProof/>
                <w:webHidden/>
              </w:rPr>
              <w:t>6</w:t>
            </w:r>
            <w:r>
              <w:rPr>
                <w:noProof/>
                <w:webHidden/>
              </w:rPr>
              <w:fldChar w:fldCharType="end"/>
            </w:r>
          </w:hyperlink>
        </w:p>
        <w:p w:rsidR="00D22F1A" w:rsidRDefault="00D22F1A">
          <w:pPr>
            <w:pStyle w:val="TOC2"/>
            <w:tabs>
              <w:tab w:val="right" w:leader="dot" w:pos="8296"/>
            </w:tabs>
            <w:rPr>
              <w:rFonts w:asciiTheme="minorHAnsi" w:eastAsiaTheme="minorEastAsia" w:hAnsiTheme="minorHAnsi" w:cstheme="minorBidi"/>
              <w:noProof/>
              <w:color w:val="auto"/>
              <w:szCs w:val="22"/>
              <w:lang w:eastAsia="en-AU"/>
            </w:rPr>
          </w:pPr>
          <w:hyperlink w:anchor="_Toc456019973" w:history="1">
            <w:r w:rsidRPr="00496B1A">
              <w:rPr>
                <w:rStyle w:val="Hyperlink"/>
                <w:noProof/>
              </w:rPr>
              <w:t>Background</w:t>
            </w:r>
            <w:r>
              <w:rPr>
                <w:noProof/>
                <w:webHidden/>
              </w:rPr>
              <w:tab/>
            </w:r>
            <w:r>
              <w:rPr>
                <w:noProof/>
                <w:webHidden/>
              </w:rPr>
              <w:fldChar w:fldCharType="begin"/>
            </w:r>
            <w:r>
              <w:rPr>
                <w:noProof/>
                <w:webHidden/>
              </w:rPr>
              <w:instrText xml:space="preserve"> PAGEREF _Toc456019973 \h </w:instrText>
            </w:r>
            <w:r>
              <w:rPr>
                <w:noProof/>
                <w:webHidden/>
              </w:rPr>
            </w:r>
            <w:r>
              <w:rPr>
                <w:noProof/>
                <w:webHidden/>
              </w:rPr>
              <w:fldChar w:fldCharType="separate"/>
            </w:r>
            <w:r>
              <w:rPr>
                <w:noProof/>
                <w:webHidden/>
              </w:rPr>
              <w:t>6</w:t>
            </w:r>
            <w:r>
              <w:rPr>
                <w:noProof/>
                <w:webHidden/>
              </w:rPr>
              <w:fldChar w:fldCharType="end"/>
            </w:r>
          </w:hyperlink>
        </w:p>
        <w:p w:rsidR="00D22F1A" w:rsidRDefault="00D22F1A">
          <w:pPr>
            <w:pStyle w:val="TOC2"/>
            <w:tabs>
              <w:tab w:val="right" w:leader="dot" w:pos="8296"/>
            </w:tabs>
            <w:rPr>
              <w:rFonts w:asciiTheme="minorHAnsi" w:eastAsiaTheme="minorEastAsia" w:hAnsiTheme="minorHAnsi" w:cstheme="minorBidi"/>
              <w:noProof/>
              <w:color w:val="auto"/>
              <w:szCs w:val="22"/>
              <w:lang w:eastAsia="en-AU"/>
            </w:rPr>
          </w:pPr>
          <w:hyperlink w:anchor="_Toc456019974" w:history="1">
            <w:r w:rsidRPr="00496B1A">
              <w:rPr>
                <w:rStyle w:val="Hyperlink"/>
                <w:noProof/>
              </w:rPr>
              <w:t>Governance</w:t>
            </w:r>
            <w:r>
              <w:rPr>
                <w:noProof/>
                <w:webHidden/>
              </w:rPr>
              <w:tab/>
            </w:r>
            <w:r>
              <w:rPr>
                <w:noProof/>
                <w:webHidden/>
              </w:rPr>
              <w:fldChar w:fldCharType="begin"/>
            </w:r>
            <w:r>
              <w:rPr>
                <w:noProof/>
                <w:webHidden/>
              </w:rPr>
              <w:instrText xml:space="preserve"> PAGEREF _Toc456019974 \h </w:instrText>
            </w:r>
            <w:r>
              <w:rPr>
                <w:noProof/>
                <w:webHidden/>
              </w:rPr>
            </w:r>
            <w:r>
              <w:rPr>
                <w:noProof/>
                <w:webHidden/>
              </w:rPr>
              <w:fldChar w:fldCharType="separate"/>
            </w:r>
            <w:r>
              <w:rPr>
                <w:noProof/>
                <w:webHidden/>
              </w:rPr>
              <w:t>6</w:t>
            </w:r>
            <w:r>
              <w:rPr>
                <w:noProof/>
                <w:webHidden/>
              </w:rPr>
              <w:fldChar w:fldCharType="end"/>
            </w:r>
          </w:hyperlink>
        </w:p>
        <w:p w:rsidR="00D22F1A" w:rsidRDefault="00D22F1A">
          <w:pPr>
            <w:pStyle w:val="TOC2"/>
            <w:tabs>
              <w:tab w:val="right" w:leader="dot" w:pos="8296"/>
            </w:tabs>
            <w:rPr>
              <w:rFonts w:asciiTheme="minorHAnsi" w:eastAsiaTheme="minorEastAsia" w:hAnsiTheme="minorHAnsi" w:cstheme="minorBidi"/>
              <w:noProof/>
              <w:color w:val="auto"/>
              <w:szCs w:val="22"/>
              <w:lang w:eastAsia="en-AU"/>
            </w:rPr>
          </w:pPr>
          <w:hyperlink w:anchor="_Toc456019975" w:history="1">
            <w:r w:rsidRPr="00496B1A">
              <w:rPr>
                <w:rStyle w:val="Hyperlink"/>
                <w:noProof/>
              </w:rPr>
              <w:t>Relationships</w:t>
            </w:r>
            <w:r>
              <w:rPr>
                <w:noProof/>
                <w:webHidden/>
              </w:rPr>
              <w:tab/>
            </w:r>
            <w:r>
              <w:rPr>
                <w:noProof/>
                <w:webHidden/>
              </w:rPr>
              <w:fldChar w:fldCharType="begin"/>
            </w:r>
            <w:r>
              <w:rPr>
                <w:noProof/>
                <w:webHidden/>
              </w:rPr>
              <w:instrText xml:space="preserve"> PAGEREF _Toc456019975 \h </w:instrText>
            </w:r>
            <w:r>
              <w:rPr>
                <w:noProof/>
                <w:webHidden/>
              </w:rPr>
            </w:r>
            <w:r>
              <w:rPr>
                <w:noProof/>
                <w:webHidden/>
              </w:rPr>
              <w:fldChar w:fldCharType="separate"/>
            </w:r>
            <w:r>
              <w:rPr>
                <w:noProof/>
                <w:webHidden/>
              </w:rPr>
              <w:t>6</w:t>
            </w:r>
            <w:r>
              <w:rPr>
                <w:noProof/>
                <w:webHidden/>
              </w:rPr>
              <w:fldChar w:fldCharType="end"/>
            </w:r>
          </w:hyperlink>
        </w:p>
        <w:p w:rsidR="00D22F1A" w:rsidRDefault="00D22F1A">
          <w:pPr>
            <w:pStyle w:val="TOC2"/>
            <w:tabs>
              <w:tab w:val="right" w:leader="dot" w:pos="8296"/>
            </w:tabs>
            <w:rPr>
              <w:rFonts w:asciiTheme="minorHAnsi" w:eastAsiaTheme="minorEastAsia" w:hAnsiTheme="minorHAnsi" w:cstheme="minorBidi"/>
              <w:noProof/>
              <w:color w:val="auto"/>
              <w:szCs w:val="22"/>
              <w:lang w:eastAsia="en-AU"/>
            </w:rPr>
          </w:pPr>
          <w:hyperlink w:anchor="_Toc456019976" w:history="1">
            <w:r w:rsidRPr="00496B1A">
              <w:rPr>
                <w:rStyle w:val="Hyperlink"/>
                <w:noProof/>
              </w:rPr>
              <w:t>Safety and quality</w:t>
            </w:r>
            <w:r>
              <w:rPr>
                <w:noProof/>
                <w:webHidden/>
              </w:rPr>
              <w:tab/>
            </w:r>
            <w:r>
              <w:rPr>
                <w:noProof/>
                <w:webHidden/>
              </w:rPr>
              <w:fldChar w:fldCharType="begin"/>
            </w:r>
            <w:r>
              <w:rPr>
                <w:noProof/>
                <w:webHidden/>
              </w:rPr>
              <w:instrText xml:space="preserve"> PAGEREF _Toc456019976 \h </w:instrText>
            </w:r>
            <w:r>
              <w:rPr>
                <w:noProof/>
                <w:webHidden/>
              </w:rPr>
            </w:r>
            <w:r>
              <w:rPr>
                <w:noProof/>
                <w:webHidden/>
              </w:rPr>
              <w:fldChar w:fldCharType="separate"/>
            </w:r>
            <w:r>
              <w:rPr>
                <w:noProof/>
                <w:webHidden/>
              </w:rPr>
              <w:t>7</w:t>
            </w:r>
            <w:r>
              <w:rPr>
                <w:noProof/>
                <w:webHidden/>
              </w:rPr>
              <w:fldChar w:fldCharType="end"/>
            </w:r>
          </w:hyperlink>
        </w:p>
        <w:p w:rsidR="00D22F1A" w:rsidRDefault="00D22F1A">
          <w:pPr>
            <w:pStyle w:val="TOC2"/>
            <w:tabs>
              <w:tab w:val="right" w:leader="dot" w:pos="8296"/>
            </w:tabs>
            <w:rPr>
              <w:rFonts w:asciiTheme="minorHAnsi" w:eastAsiaTheme="minorEastAsia" w:hAnsiTheme="minorHAnsi" w:cstheme="minorBidi"/>
              <w:noProof/>
              <w:color w:val="auto"/>
              <w:szCs w:val="22"/>
              <w:lang w:eastAsia="en-AU"/>
            </w:rPr>
          </w:pPr>
          <w:hyperlink w:anchor="_Toc456019977" w:history="1">
            <w:r w:rsidRPr="00496B1A">
              <w:rPr>
                <w:rStyle w:val="Hyperlink"/>
                <w:noProof/>
              </w:rPr>
              <w:t>National Safety and Quality Health Service Standards</w:t>
            </w:r>
            <w:r>
              <w:rPr>
                <w:noProof/>
                <w:webHidden/>
              </w:rPr>
              <w:tab/>
            </w:r>
            <w:r>
              <w:rPr>
                <w:noProof/>
                <w:webHidden/>
              </w:rPr>
              <w:fldChar w:fldCharType="begin"/>
            </w:r>
            <w:r>
              <w:rPr>
                <w:noProof/>
                <w:webHidden/>
              </w:rPr>
              <w:instrText xml:space="preserve"> PAGEREF _Toc456019977 \h </w:instrText>
            </w:r>
            <w:r>
              <w:rPr>
                <w:noProof/>
                <w:webHidden/>
              </w:rPr>
            </w:r>
            <w:r>
              <w:rPr>
                <w:noProof/>
                <w:webHidden/>
              </w:rPr>
              <w:fldChar w:fldCharType="separate"/>
            </w:r>
            <w:r>
              <w:rPr>
                <w:noProof/>
                <w:webHidden/>
              </w:rPr>
              <w:t>7</w:t>
            </w:r>
            <w:r>
              <w:rPr>
                <w:noProof/>
                <w:webHidden/>
              </w:rPr>
              <w:fldChar w:fldCharType="end"/>
            </w:r>
          </w:hyperlink>
        </w:p>
        <w:p w:rsidR="00D22F1A" w:rsidRDefault="00D22F1A">
          <w:pPr>
            <w:pStyle w:val="TOC2"/>
            <w:tabs>
              <w:tab w:val="right" w:leader="dot" w:pos="8296"/>
            </w:tabs>
            <w:rPr>
              <w:rFonts w:asciiTheme="minorHAnsi" w:eastAsiaTheme="minorEastAsia" w:hAnsiTheme="minorHAnsi" w:cstheme="minorBidi"/>
              <w:noProof/>
              <w:color w:val="auto"/>
              <w:szCs w:val="22"/>
              <w:lang w:eastAsia="en-AU"/>
            </w:rPr>
          </w:pPr>
          <w:hyperlink w:anchor="_Toc456019978" w:history="1">
            <w:r w:rsidRPr="00496B1A">
              <w:rPr>
                <w:rStyle w:val="Hyperlink"/>
                <w:noProof/>
              </w:rPr>
              <w:t>Version 2 of the NSQHS Standards</w:t>
            </w:r>
            <w:r>
              <w:rPr>
                <w:noProof/>
                <w:webHidden/>
              </w:rPr>
              <w:tab/>
            </w:r>
            <w:r>
              <w:rPr>
                <w:noProof/>
                <w:webHidden/>
              </w:rPr>
              <w:fldChar w:fldCharType="begin"/>
            </w:r>
            <w:r>
              <w:rPr>
                <w:noProof/>
                <w:webHidden/>
              </w:rPr>
              <w:instrText xml:space="preserve"> PAGEREF _Toc456019978 \h </w:instrText>
            </w:r>
            <w:r>
              <w:rPr>
                <w:noProof/>
                <w:webHidden/>
              </w:rPr>
            </w:r>
            <w:r>
              <w:rPr>
                <w:noProof/>
                <w:webHidden/>
              </w:rPr>
              <w:fldChar w:fldCharType="separate"/>
            </w:r>
            <w:r>
              <w:rPr>
                <w:noProof/>
                <w:webHidden/>
              </w:rPr>
              <w:t>8</w:t>
            </w:r>
            <w:r>
              <w:rPr>
                <w:noProof/>
                <w:webHidden/>
              </w:rPr>
              <w:fldChar w:fldCharType="end"/>
            </w:r>
          </w:hyperlink>
        </w:p>
        <w:p w:rsidR="00D22F1A" w:rsidRDefault="00D22F1A">
          <w:pPr>
            <w:pStyle w:val="TOC1"/>
            <w:tabs>
              <w:tab w:val="right" w:leader="dot" w:pos="8296"/>
            </w:tabs>
            <w:rPr>
              <w:rFonts w:asciiTheme="minorHAnsi" w:eastAsiaTheme="minorEastAsia" w:hAnsiTheme="minorHAnsi" w:cstheme="minorBidi"/>
              <w:noProof/>
              <w:color w:val="auto"/>
              <w:szCs w:val="22"/>
              <w:lang w:eastAsia="en-AU"/>
            </w:rPr>
          </w:pPr>
          <w:hyperlink w:anchor="_Toc456019979" w:history="1">
            <w:r w:rsidRPr="00496B1A">
              <w:rPr>
                <w:rStyle w:val="Hyperlink"/>
                <w:noProof/>
              </w:rPr>
              <w:t>Performance</w:t>
            </w:r>
            <w:r>
              <w:rPr>
                <w:noProof/>
                <w:webHidden/>
              </w:rPr>
              <w:tab/>
            </w:r>
            <w:r>
              <w:rPr>
                <w:noProof/>
                <w:webHidden/>
              </w:rPr>
              <w:fldChar w:fldCharType="begin"/>
            </w:r>
            <w:r>
              <w:rPr>
                <w:noProof/>
                <w:webHidden/>
              </w:rPr>
              <w:instrText xml:space="preserve"> PAGEREF _Toc456019979 \h </w:instrText>
            </w:r>
            <w:r>
              <w:rPr>
                <w:noProof/>
                <w:webHidden/>
              </w:rPr>
            </w:r>
            <w:r>
              <w:rPr>
                <w:noProof/>
                <w:webHidden/>
              </w:rPr>
              <w:fldChar w:fldCharType="separate"/>
            </w:r>
            <w:r>
              <w:rPr>
                <w:noProof/>
                <w:webHidden/>
              </w:rPr>
              <w:t>9</w:t>
            </w:r>
            <w:r>
              <w:rPr>
                <w:noProof/>
                <w:webHidden/>
              </w:rPr>
              <w:fldChar w:fldCharType="end"/>
            </w:r>
          </w:hyperlink>
        </w:p>
        <w:p w:rsidR="00D22F1A" w:rsidRDefault="00D22F1A">
          <w:pPr>
            <w:pStyle w:val="TOC2"/>
            <w:tabs>
              <w:tab w:val="right" w:leader="dot" w:pos="8296"/>
            </w:tabs>
            <w:rPr>
              <w:rFonts w:asciiTheme="minorHAnsi" w:eastAsiaTheme="minorEastAsia" w:hAnsiTheme="minorHAnsi" w:cstheme="minorBidi"/>
              <w:noProof/>
              <w:color w:val="auto"/>
              <w:szCs w:val="22"/>
              <w:lang w:eastAsia="en-AU"/>
            </w:rPr>
          </w:pPr>
          <w:hyperlink w:anchor="_Toc456019980" w:history="1">
            <w:r w:rsidRPr="00496B1A">
              <w:rPr>
                <w:rStyle w:val="Hyperlink"/>
                <w:noProof/>
              </w:rPr>
              <w:t>Strategic priorities</w:t>
            </w:r>
            <w:r>
              <w:rPr>
                <w:noProof/>
                <w:webHidden/>
              </w:rPr>
              <w:tab/>
            </w:r>
            <w:r>
              <w:rPr>
                <w:noProof/>
                <w:webHidden/>
              </w:rPr>
              <w:fldChar w:fldCharType="begin"/>
            </w:r>
            <w:r>
              <w:rPr>
                <w:noProof/>
                <w:webHidden/>
              </w:rPr>
              <w:instrText xml:space="preserve"> PAGEREF _Toc456019980 \h </w:instrText>
            </w:r>
            <w:r>
              <w:rPr>
                <w:noProof/>
                <w:webHidden/>
              </w:rPr>
            </w:r>
            <w:r>
              <w:rPr>
                <w:noProof/>
                <w:webHidden/>
              </w:rPr>
              <w:fldChar w:fldCharType="separate"/>
            </w:r>
            <w:r>
              <w:rPr>
                <w:noProof/>
                <w:webHidden/>
              </w:rPr>
              <w:t>9</w:t>
            </w:r>
            <w:r>
              <w:rPr>
                <w:noProof/>
                <w:webHidden/>
              </w:rPr>
              <w:fldChar w:fldCharType="end"/>
            </w:r>
          </w:hyperlink>
        </w:p>
        <w:p w:rsidR="00D22F1A" w:rsidRDefault="00D22F1A">
          <w:pPr>
            <w:pStyle w:val="TOC2"/>
            <w:tabs>
              <w:tab w:val="right" w:leader="dot" w:pos="8296"/>
            </w:tabs>
            <w:rPr>
              <w:rFonts w:asciiTheme="minorHAnsi" w:eastAsiaTheme="minorEastAsia" w:hAnsiTheme="minorHAnsi" w:cstheme="minorBidi"/>
              <w:noProof/>
              <w:color w:val="auto"/>
              <w:szCs w:val="22"/>
              <w:lang w:eastAsia="en-AU"/>
            </w:rPr>
          </w:pPr>
          <w:hyperlink w:anchor="_Toc456019981" w:history="1">
            <w:r w:rsidRPr="00496B1A">
              <w:rPr>
                <w:rStyle w:val="Hyperlink"/>
                <w:noProof/>
              </w:rPr>
              <w:t>Work plan 2016–20</w:t>
            </w:r>
            <w:r>
              <w:rPr>
                <w:noProof/>
                <w:webHidden/>
              </w:rPr>
              <w:tab/>
            </w:r>
            <w:r>
              <w:rPr>
                <w:noProof/>
                <w:webHidden/>
              </w:rPr>
              <w:fldChar w:fldCharType="begin"/>
            </w:r>
            <w:r>
              <w:rPr>
                <w:noProof/>
                <w:webHidden/>
              </w:rPr>
              <w:instrText xml:space="preserve"> PAGEREF _Toc456019981 \h </w:instrText>
            </w:r>
            <w:r>
              <w:rPr>
                <w:noProof/>
                <w:webHidden/>
              </w:rPr>
            </w:r>
            <w:r>
              <w:rPr>
                <w:noProof/>
                <w:webHidden/>
              </w:rPr>
              <w:fldChar w:fldCharType="separate"/>
            </w:r>
            <w:r>
              <w:rPr>
                <w:noProof/>
                <w:webHidden/>
              </w:rPr>
              <w:t>9</w:t>
            </w:r>
            <w:r>
              <w:rPr>
                <w:noProof/>
                <w:webHidden/>
              </w:rPr>
              <w:fldChar w:fldCharType="end"/>
            </w:r>
          </w:hyperlink>
        </w:p>
        <w:p w:rsidR="00D22F1A" w:rsidRDefault="00D22F1A">
          <w:pPr>
            <w:pStyle w:val="TOC2"/>
            <w:tabs>
              <w:tab w:val="right" w:leader="dot" w:pos="8296"/>
            </w:tabs>
            <w:rPr>
              <w:rFonts w:asciiTheme="minorHAnsi" w:eastAsiaTheme="minorEastAsia" w:hAnsiTheme="minorHAnsi" w:cstheme="minorBidi"/>
              <w:noProof/>
              <w:color w:val="auto"/>
              <w:szCs w:val="22"/>
              <w:lang w:eastAsia="en-AU"/>
            </w:rPr>
          </w:pPr>
          <w:hyperlink w:anchor="_Toc456019982" w:history="1">
            <w:r w:rsidRPr="00496B1A">
              <w:rPr>
                <w:rStyle w:val="Hyperlink"/>
                <w:rFonts w:eastAsia="MS Mincho"/>
                <w:noProof/>
              </w:rPr>
              <w:t>Measuring and reporting on performance</w:t>
            </w:r>
            <w:r>
              <w:rPr>
                <w:noProof/>
                <w:webHidden/>
              </w:rPr>
              <w:tab/>
            </w:r>
            <w:r>
              <w:rPr>
                <w:noProof/>
                <w:webHidden/>
              </w:rPr>
              <w:fldChar w:fldCharType="begin"/>
            </w:r>
            <w:r>
              <w:rPr>
                <w:noProof/>
                <w:webHidden/>
              </w:rPr>
              <w:instrText xml:space="preserve"> PAGEREF _Toc456019982 \h </w:instrText>
            </w:r>
            <w:r>
              <w:rPr>
                <w:noProof/>
                <w:webHidden/>
              </w:rPr>
            </w:r>
            <w:r>
              <w:rPr>
                <w:noProof/>
                <w:webHidden/>
              </w:rPr>
              <w:fldChar w:fldCharType="separate"/>
            </w:r>
            <w:r>
              <w:rPr>
                <w:noProof/>
                <w:webHidden/>
              </w:rPr>
              <w:t>12</w:t>
            </w:r>
            <w:r>
              <w:rPr>
                <w:noProof/>
                <w:webHidden/>
              </w:rPr>
              <w:fldChar w:fldCharType="end"/>
            </w:r>
          </w:hyperlink>
        </w:p>
        <w:p w:rsidR="00D22F1A" w:rsidRDefault="00D22F1A">
          <w:pPr>
            <w:pStyle w:val="TOC2"/>
            <w:tabs>
              <w:tab w:val="right" w:leader="dot" w:pos="8296"/>
            </w:tabs>
            <w:rPr>
              <w:rFonts w:asciiTheme="minorHAnsi" w:eastAsiaTheme="minorEastAsia" w:hAnsiTheme="minorHAnsi" w:cstheme="minorBidi"/>
              <w:noProof/>
              <w:color w:val="auto"/>
              <w:szCs w:val="22"/>
              <w:lang w:eastAsia="en-AU"/>
            </w:rPr>
          </w:pPr>
          <w:hyperlink w:anchor="_Toc456019983" w:history="1">
            <w:r w:rsidRPr="00496B1A">
              <w:rPr>
                <w:rStyle w:val="Hyperlink"/>
                <w:noProof/>
              </w:rPr>
              <w:t>Key performance indicators</w:t>
            </w:r>
            <w:r>
              <w:rPr>
                <w:noProof/>
                <w:webHidden/>
              </w:rPr>
              <w:tab/>
            </w:r>
            <w:r>
              <w:rPr>
                <w:noProof/>
                <w:webHidden/>
              </w:rPr>
              <w:fldChar w:fldCharType="begin"/>
            </w:r>
            <w:r>
              <w:rPr>
                <w:noProof/>
                <w:webHidden/>
              </w:rPr>
              <w:instrText xml:space="preserve"> PAGEREF _Toc456019983 \h </w:instrText>
            </w:r>
            <w:r>
              <w:rPr>
                <w:noProof/>
                <w:webHidden/>
              </w:rPr>
            </w:r>
            <w:r>
              <w:rPr>
                <w:noProof/>
                <w:webHidden/>
              </w:rPr>
              <w:fldChar w:fldCharType="separate"/>
            </w:r>
            <w:r>
              <w:rPr>
                <w:noProof/>
                <w:webHidden/>
              </w:rPr>
              <w:t>13</w:t>
            </w:r>
            <w:r>
              <w:rPr>
                <w:noProof/>
                <w:webHidden/>
              </w:rPr>
              <w:fldChar w:fldCharType="end"/>
            </w:r>
          </w:hyperlink>
        </w:p>
        <w:p w:rsidR="00D22F1A" w:rsidRDefault="00D22F1A">
          <w:pPr>
            <w:pStyle w:val="TOC2"/>
            <w:tabs>
              <w:tab w:val="right" w:leader="dot" w:pos="8296"/>
            </w:tabs>
            <w:rPr>
              <w:rFonts w:asciiTheme="minorHAnsi" w:eastAsiaTheme="minorEastAsia" w:hAnsiTheme="minorHAnsi" w:cstheme="minorBidi"/>
              <w:noProof/>
              <w:color w:val="auto"/>
              <w:szCs w:val="22"/>
              <w:lang w:eastAsia="en-AU"/>
            </w:rPr>
          </w:pPr>
          <w:hyperlink w:anchor="_Toc456019984" w:history="1">
            <w:r w:rsidRPr="00496B1A">
              <w:rPr>
                <w:rStyle w:val="Hyperlink"/>
                <w:noProof/>
              </w:rPr>
              <w:t>Key deliverables</w:t>
            </w:r>
            <w:r>
              <w:rPr>
                <w:noProof/>
                <w:webHidden/>
              </w:rPr>
              <w:tab/>
            </w:r>
            <w:r>
              <w:rPr>
                <w:noProof/>
                <w:webHidden/>
              </w:rPr>
              <w:fldChar w:fldCharType="begin"/>
            </w:r>
            <w:r>
              <w:rPr>
                <w:noProof/>
                <w:webHidden/>
              </w:rPr>
              <w:instrText xml:space="preserve"> PAGEREF _Toc456019984 \h </w:instrText>
            </w:r>
            <w:r>
              <w:rPr>
                <w:noProof/>
                <w:webHidden/>
              </w:rPr>
            </w:r>
            <w:r>
              <w:rPr>
                <w:noProof/>
                <w:webHidden/>
              </w:rPr>
              <w:fldChar w:fldCharType="separate"/>
            </w:r>
            <w:r>
              <w:rPr>
                <w:noProof/>
                <w:webHidden/>
              </w:rPr>
              <w:t>15</w:t>
            </w:r>
            <w:r>
              <w:rPr>
                <w:noProof/>
                <w:webHidden/>
              </w:rPr>
              <w:fldChar w:fldCharType="end"/>
            </w:r>
          </w:hyperlink>
        </w:p>
        <w:p w:rsidR="00D22F1A" w:rsidRDefault="00D22F1A">
          <w:pPr>
            <w:pStyle w:val="TOC1"/>
            <w:tabs>
              <w:tab w:val="right" w:leader="dot" w:pos="8296"/>
            </w:tabs>
            <w:rPr>
              <w:rFonts w:asciiTheme="minorHAnsi" w:eastAsiaTheme="minorEastAsia" w:hAnsiTheme="minorHAnsi" w:cstheme="minorBidi"/>
              <w:noProof/>
              <w:color w:val="auto"/>
              <w:szCs w:val="22"/>
              <w:lang w:eastAsia="en-AU"/>
            </w:rPr>
          </w:pPr>
          <w:hyperlink w:anchor="_Toc456019985" w:history="1">
            <w:r w:rsidRPr="00496B1A">
              <w:rPr>
                <w:rStyle w:val="Hyperlink"/>
                <w:noProof/>
              </w:rPr>
              <w:t>Capability</w:t>
            </w:r>
            <w:r>
              <w:rPr>
                <w:noProof/>
                <w:webHidden/>
              </w:rPr>
              <w:tab/>
            </w:r>
            <w:r>
              <w:rPr>
                <w:noProof/>
                <w:webHidden/>
              </w:rPr>
              <w:fldChar w:fldCharType="begin"/>
            </w:r>
            <w:r>
              <w:rPr>
                <w:noProof/>
                <w:webHidden/>
              </w:rPr>
              <w:instrText xml:space="preserve"> PAGEREF _Toc456019985 \h </w:instrText>
            </w:r>
            <w:r>
              <w:rPr>
                <w:noProof/>
                <w:webHidden/>
              </w:rPr>
            </w:r>
            <w:r>
              <w:rPr>
                <w:noProof/>
                <w:webHidden/>
              </w:rPr>
              <w:fldChar w:fldCharType="separate"/>
            </w:r>
            <w:r>
              <w:rPr>
                <w:noProof/>
                <w:webHidden/>
              </w:rPr>
              <w:t>18</w:t>
            </w:r>
            <w:r>
              <w:rPr>
                <w:noProof/>
                <w:webHidden/>
              </w:rPr>
              <w:fldChar w:fldCharType="end"/>
            </w:r>
          </w:hyperlink>
        </w:p>
        <w:p w:rsidR="00D22F1A" w:rsidRDefault="00D22F1A">
          <w:pPr>
            <w:pStyle w:val="TOC2"/>
            <w:tabs>
              <w:tab w:val="right" w:leader="dot" w:pos="8296"/>
            </w:tabs>
            <w:rPr>
              <w:rFonts w:asciiTheme="minorHAnsi" w:eastAsiaTheme="minorEastAsia" w:hAnsiTheme="minorHAnsi" w:cstheme="minorBidi"/>
              <w:noProof/>
              <w:color w:val="auto"/>
              <w:szCs w:val="22"/>
              <w:lang w:eastAsia="en-AU"/>
            </w:rPr>
          </w:pPr>
          <w:hyperlink w:anchor="_Toc456019986" w:history="1">
            <w:r w:rsidRPr="00496B1A">
              <w:rPr>
                <w:rStyle w:val="Hyperlink"/>
                <w:noProof/>
              </w:rPr>
              <w:t>Staff Profile</w:t>
            </w:r>
            <w:r>
              <w:rPr>
                <w:noProof/>
                <w:webHidden/>
              </w:rPr>
              <w:tab/>
            </w:r>
            <w:r>
              <w:rPr>
                <w:noProof/>
                <w:webHidden/>
              </w:rPr>
              <w:fldChar w:fldCharType="begin"/>
            </w:r>
            <w:r>
              <w:rPr>
                <w:noProof/>
                <w:webHidden/>
              </w:rPr>
              <w:instrText xml:space="preserve"> PAGEREF _Toc456019986 \h </w:instrText>
            </w:r>
            <w:r>
              <w:rPr>
                <w:noProof/>
                <w:webHidden/>
              </w:rPr>
            </w:r>
            <w:r>
              <w:rPr>
                <w:noProof/>
                <w:webHidden/>
              </w:rPr>
              <w:fldChar w:fldCharType="separate"/>
            </w:r>
            <w:r>
              <w:rPr>
                <w:noProof/>
                <w:webHidden/>
              </w:rPr>
              <w:t>18</w:t>
            </w:r>
            <w:r>
              <w:rPr>
                <w:noProof/>
                <w:webHidden/>
              </w:rPr>
              <w:fldChar w:fldCharType="end"/>
            </w:r>
          </w:hyperlink>
        </w:p>
        <w:p w:rsidR="00D22F1A" w:rsidRDefault="00D22F1A">
          <w:pPr>
            <w:pStyle w:val="TOC2"/>
            <w:tabs>
              <w:tab w:val="right" w:leader="dot" w:pos="8296"/>
            </w:tabs>
            <w:rPr>
              <w:rFonts w:asciiTheme="minorHAnsi" w:eastAsiaTheme="minorEastAsia" w:hAnsiTheme="minorHAnsi" w:cstheme="minorBidi"/>
              <w:noProof/>
              <w:color w:val="auto"/>
              <w:szCs w:val="22"/>
              <w:lang w:eastAsia="en-AU"/>
            </w:rPr>
          </w:pPr>
          <w:hyperlink w:anchor="_Toc456019987" w:history="1">
            <w:r w:rsidRPr="00496B1A">
              <w:rPr>
                <w:rStyle w:val="Hyperlink"/>
                <w:noProof/>
              </w:rPr>
              <w:t>Strengthening capabilities</w:t>
            </w:r>
            <w:r>
              <w:rPr>
                <w:noProof/>
                <w:webHidden/>
              </w:rPr>
              <w:tab/>
            </w:r>
            <w:r>
              <w:rPr>
                <w:noProof/>
                <w:webHidden/>
              </w:rPr>
              <w:fldChar w:fldCharType="begin"/>
            </w:r>
            <w:r>
              <w:rPr>
                <w:noProof/>
                <w:webHidden/>
              </w:rPr>
              <w:instrText xml:space="preserve"> PAGEREF _Toc456019987 \h </w:instrText>
            </w:r>
            <w:r>
              <w:rPr>
                <w:noProof/>
                <w:webHidden/>
              </w:rPr>
            </w:r>
            <w:r>
              <w:rPr>
                <w:noProof/>
                <w:webHidden/>
              </w:rPr>
              <w:fldChar w:fldCharType="separate"/>
            </w:r>
            <w:r>
              <w:rPr>
                <w:noProof/>
                <w:webHidden/>
              </w:rPr>
              <w:t>18</w:t>
            </w:r>
            <w:r>
              <w:rPr>
                <w:noProof/>
                <w:webHidden/>
              </w:rPr>
              <w:fldChar w:fldCharType="end"/>
            </w:r>
          </w:hyperlink>
        </w:p>
        <w:p w:rsidR="00D22F1A" w:rsidRDefault="00D22F1A">
          <w:pPr>
            <w:pStyle w:val="TOC2"/>
            <w:tabs>
              <w:tab w:val="right" w:leader="dot" w:pos="8296"/>
            </w:tabs>
            <w:rPr>
              <w:rFonts w:asciiTheme="minorHAnsi" w:eastAsiaTheme="minorEastAsia" w:hAnsiTheme="minorHAnsi" w:cstheme="minorBidi"/>
              <w:noProof/>
              <w:color w:val="auto"/>
              <w:szCs w:val="22"/>
              <w:lang w:eastAsia="en-AU"/>
            </w:rPr>
          </w:pPr>
          <w:hyperlink w:anchor="_Toc456019988" w:history="1">
            <w:r w:rsidRPr="00496B1A">
              <w:rPr>
                <w:rStyle w:val="Hyperlink"/>
                <w:noProof/>
              </w:rPr>
              <w:t>Stakeholder engagement</w:t>
            </w:r>
            <w:r>
              <w:rPr>
                <w:noProof/>
                <w:webHidden/>
              </w:rPr>
              <w:tab/>
            </w:r>
            <w:r>
              <w:rPr>
                <w:noProof/>
                <w:webHidden/>
              </w:rPr>
              <w:fldChar w:fldCharType="begin"/>
            </w:r>
            <w:r>
              <w:rPr>
                <w:noProof/>
                <w:webHidden/>
              </w:rPr>
              <w:instrText xml:space="preserve"> PAGEREF _Toc456019988 \h </w:instrText>
            </w:r>
            <w:r>
              <w:rPr>
                <w:noProof/>
                <w:webHidden/>
              </w:rPr>
            </w:r>
            <w:r>
              <w:rPr>
                <w:noProof/>
                <w:webHidden/>
              </w:rPr>
              <w:fldChar w:fldCharType="separate"/>
            </w:r>
            <w:r>
              <w:rPr>
                <w:noProof/>
                <w:webHidden/>
              </w:rPr>
              <w:t>19</w:t>
            </w:r>
            <w:r>
              <w:rPr>
                <w:noProof/>
                <w:webHidden/>
              </w:rPr>
              <w:fldChar w:fldCharType="end"/>
            </w:r>
          </w:hyperlink>
        </w:p>
        <w:p w:rsidR="00D22F1A" w:rsidRDefault="00D22F1A">
          <w:pPr>
            <w:pStyle w:val="TOC2"/>
            <w:tabs>
              <w:tab w:val="right" w:leader="dot" w:pos="8296"/>
            </w:tabs>
            <w:rPr>
              <w:rFonts w:asciiTheme="minorHAnsi" w:eastAsiaTheme="minorEastAsia" w:hAnsiTheme="minorHAnsi" w:cstheme="minorBidi"/>
              <w:noProof/>
              <w:color w:val="auto"/>
              <w:szCs w:val="22"/>
              <w:lang w:eastAsia="en-AU"/>
            </w:rPr>
          </w:pPr>
          <w:hyperlink w:anchor="_Toc456019989" w:history="1">
            <w:r w:rsidRPr="00496B1A">
              <w:rPr>
                <w:rStyle w:val="Hyperlink"/>
                <w:noProof/>
              </w:rPr>
              <w:t>Shared services</w:t>
            </w:r>
            <w:r>
              <w:rPr>
                <w:noProof/>
                <w:webHidden/>
              </w:rPr>
              <w:tab/>
            </w:r>
            <w:r>
              <w:rPr>
                <w:noProof/>
                <w:webHidden/>
              </w:rPr>
              <w:fldChar w:fldCharType="begin"/>
            </w:r>
            <w:r>
              <w:rPr>
                <w:noProof/>
                <w:webHidden/>
              </w:rPr>
              <w:instrText xml:space="preserve"> PAGEREF _Toc456019989 \h </w:instrText>
            </w:r>
            <w:r>
              <w:rPr>
                <w:noProof/>
                <w:webHidden/>
              </w:rPr>
            </w:r>
            <w:r>
              <w:rPr>
                <w:noProof/>
                <w:webHidden/>
              </w:rPr>
              <w:fldChar w:fldCharType="separate"/>
            </w:r>
            <w:r>
              <w:rPr>
                <w:noProof/>
                <w:webHidden/>
              </w:rPr>
              <w:t>19</w:t>
            </w:r>
            <w:r>
              <w:rPr>
                <w:noProof/>
                <w:webHidden/>
              </w:rPr>
              <w:fldChar w:fldCharType="end"/>
            </w:r>
          </w:hyperlink>
        </w:p>
        <w:p w:rsidR="00D22F1A" w:rsidRDefault="00D22F1A">
          <w:pPr>
            <w:pStyle w:val="TOC1"/>
            <w:tabs>
              <w:tab w:val="right" w:leader="dot" w:pos="8296"/>
            </w:tabs>
            <w:rPr>
              <w:rFonts w:asciiTheme="minorHAnsi" w:eastAsiaTheme="minorEastAsia" w:hAnsiTheme="minorHAnsi" w:cstheme="minorBidi"/>
              <w:noProof/>
              <w:color w:val="auto"/>
              <w:szCs w:val="22"/>
              <w:lang w:eastAsia="en-AU"/>
            </w:rPr>
          </w:pPr>
          <w:hyperlink w:anchor="_Toc456019990" w:history="1">
            <w:r w:rsidRPr="00496B1A">
              <w:rPr>
                <w:rStyle w:val="Hyperlink"/>
                <w:noProof/>
              </w:rPr>
              <w:t>Risk oversight and management</w:t>
            </w:r>
            <w:r>
              <w:rPr>
                <w:noProof/>
                <w:webHidden/>
              </w:rPr>
              <w:tab/>
            </w:r>
            <w:r>
              <w:rPr>
                <w:noProof/>
                <w:webHidden/>
              </w:rPr>
              <w:fldChar w:fldCharType="begin"/>
            </w:r>
            <w:r>
              <w:rPr>
                <w:noProof/>
                <w:webHidden/>
              </w:rPr>
              <w:instrText xml:space="preserve"> PAGEREF _Toc456019990 \h </w:instrText>
            </w:r>
            <w:r>
              <w:rPr>
                <w:noProof/>
                <w:webHidden/>
              </w:rPr>
            </w:r>
            <w:r>
              <w:rPr>
                <w:noProof/>
                <w:webHidden/>
              </w:rPr>
              <w:fldChar w:fldCharType="separate"/>
            </w:r>
            <w:r>
              <w:rPr>
                <w:noProof/>
                <w:webHidden/>
              </w:rPr>
              <w:t>20</w:t>
            </w:r>
            <w:r>
              <w:rPr>
                <w:noProof/>
                <w:webHidden/>
              </w:rPr>
              <w:fldChar w:fldCharType="end"/>
            </w:r>
          </w:hyperlink>
        </w:p>
        <w:p w:rsidR="00D22F1A" w:rsidRDefault="00D22F1A">
          <w:pPr>
            <w:pStyle w:val="TOC2"/>
            <w:tabs>
              <w:tab w:val="right" w:leader="dot" w:pos="8296"/>
            </w:tabs>
            <w:rPr>
              <w:rFonts w:asciiTheme="minorHAnsi" w:eastAsiaTheme="minorEastAsia" w:hAnsiTheme="minorHAnsi" w:cstheme="minorBidi"/>
              <w:noProof/>
              <w:color w:val="auto"/>
              <w:szCs w:val="22"/>
              <w:lang w:eastAsia="en-AU"/>
            </w:rPr>
          </w:pPr>
          <w:hyperlink w:anchor="_Toc456019991" w:history="1">
            <w:r w:rsidRPr="00496B1A">
              <w:rPr>
                <w:rStyle w:val="Hyperlink"/>
                <w:noProof/>
              </w:rPr>
              <w:t>Risk oversight</w:t>
            </w:r>
            <w:r>
              <w:rPr>
                <w:noProof/>
                <w:webHidden/>
              </w:rPr>
              <w:tab/>
            </w:r>
            <w:r>
              <w:rPr>
                <w:noProof/>
                <w:webHidden/>
              </w:rPr>
              <w:fldChar w:fldCharType="begin"/>
            </w:r>
            <w:r>
              <w:rPr>
                <w:noProof/>
                <w:webHidden/>
              </w:rPr>
              <w:instrText xml:space="preserve"> PAGEREF _Toc456019991 \h </w:instrText>
            </w:r>
            <w:r>
              <w:rPr>
                <w:noProof/>
                <w:webHidden/>
              </w:rPr>
            </w:r>
            <w:r>
              <w:rPr>
                <w:noProof/>
                <w:webHidden/>
              </w:rPr>
              <w:fldChar w:fldCharType="separate"/>
            </w:r>
            <w:r>
              <w:rPr>
                <w:noProof/>
                <w:webHidden/>
              </w:rPr>
              <w:t>20</w:t>
            </w:r>
            <w:r>
              <w:rPr>
                <w:noProof/>
                <w:webHidden/>
              </w:rPr>
              <w:fldChar w:fldCharType="end"/>
            </w:r>
          </w:hyperlink>
        </w:p>
        <w:p w:rsidR="00D22F1A" w:rsidRDefault="00D22F1A">
          <w:pPr>
            <w:pStyle w:val="TOC2"/>
            <w:tabs>
              <w:tab w:val="right" w:leader="dot" w:pos="8296"/>
            </w:tabs>
            <w:rPr>
              <w:rFonts w:asciiTheme="minorHAnsi" w:eastAsiaTheme="minorEastAsia" w:hAnsiTheme="minorHAnsi" w:cstheme="minorBidi"/>
              <w:noProof/>
              <w:color w:val="auto"/>
              <w:szCs w:val="22"/>
              <w:lang w:eastAsia="en-AU"/>
            </w:rPr>
          </w:pPr>
          <w:hyperlink w:anchor="_Toc456019992" w:history="1">
            <w:r w:rsidRPr="00496B1A">
              <w:rPr>
                <w:rStyle w:val="Hyperlink"/>
                <w:noProof/>
              </w:rPr>
              <w:t>Risk management</w:t>
            </w:r>
            <w:r>
              <w:rPr>
                <w:noProof/>
                <w:webHidden/>
              </w:rPr>
              <w:tab/>
            </w:r>
            <w:r>
              <w:rPr>
                <w:noProof/>
                <w:webHidden/>
              </w:rPr>
              <w:fldChar w:fldCharType="begin"/>
            </w:r>
            <w:r>
              <w:rPr>
                <w:noProof/>
                <w:webHidden/>
              </w:rPr>
              <w:instrText xml:space="preserve"> PAGEREF _Toc456019992 \h </w:instrText>
            </w:r>
            <w:r>
              <w:rPr>
                <w:noProof/>
                <w:webHidden/>
              </w:rPr>
            </w:r>
            <w:r>
              <w:rPr>
                <w:noProof/>
                <w:webHidden/>
              </w:rPr>
              <w:fldChar w:fldCharType="separate"/>
            </w:r>
            <w:r>
              <w:rPr>
                <w:noProof/>
                <w:webHidden/>
              </w:rPr>
              <w:t>20</w:t>
            </w:r>
            <w:r>
              <w:rPr>
                <w:noProof/>
                <w:webHidden/>
              </w:rPr>
              <w:fldChar w:fldCharType="end"/>
            </w:r>
          </w:hyperlink>
        </w:p>
        <w:p w:rsidR="00D22F1A" w:rsidRDefault="00D22F1A">
          <w:pPr>
            <w:pStyle w:val="TOC2"/>
            <w:tabs>
              <w:tab w:val="right" w:leader="dot" w:pos="8296"/>
            </w:tabs>
            <w:rPr>
              <w:rFonts w:asciiTheme="minorHAnsi" w:eastAsiaTheme="minorEastAsia" w:hAnsiTheme="minorHAnsi" w:cstheme="minorBidi"/>
              <w:noProof/>
              <w:color w:val="auto"/>
              <w:szCs w:val="22"/>
              <w:lang w:eastAsia="en-AU"/>
            </w:rPr>
          </w:pPr>
          <w:hyperlink w:anchor="_Toc456019993" w:history="1">
            <w:r w:rsidRPr="00496B1A">
              <w:rPr>
                <w:rStyle w:val="Hyperlink"/>
                <w:noProof/>
              </w:rPr>
              <w:t>Compliance with legislation</w:t>
            </w:r>
            <w:r>
              <w:rPr>
                <w:noProof/>
                <w:webHidden/>
              </w:rPr>
              <w:tab/>
            </w:r>
            <w:r>
              <w:rPr>
                <w:noProof/>
                <w:webHidden/>
              </w:rPr>
              <w:fldChar w:fldCharType="begin"/>
            </w:r>
            <w:r>
              <w:rPr>
                <w:noProof/>
                <w:webHidden/>
              </w:rPr>
              <w:instrText xml:space="preserve"> PAGEREF _Toc456019993 \h </w:instrText>
            </w:r>
            <w:r>
              <w:rPr>
                <w:noProof/>
                <w:webHidden/>
              </w:rPr>
            </w:r>
            <w:r>
              <w:rPr>
                <w:noProof/>
                <w:webHidden/>
              </w:rPr>
              <w:fldChar w:fldCharType="separate"/>
            </w:r>
            <w:r>
              <w:rPr>
                <w:noProof/>
                <w:webHidden/>
              </w:rPr>
              <w:t>21</w:t>
            </w:r>
            <w:r>
              <w:rPr>
                <w:noProof/>
                <w:webHidden/>
              </w:rPr>
              <w:fldChar w:fldCharType="end"/>
            </w:r>
          </w:hyperlink>
        </w:p>
        <w:p w:rsidR="00BA16C7" w:rsidRDefault="00BA16C7" w:rsidP="00500B76">
          <w:r>
            <w:rPr>
              <w:b/>
              <w:bCs/>
              <w:noProof/>
            </w:rPr>
            <w:fldChar w:fldCharType="end"/>
          </w:r>
        </w:p>
      </w:sdtContent>
    </w:sdt>
    <w:p w:rsidR="00741698" w:rsidRDefault="00741698" w:rsidP="00500B76"/>
    <w:p w:rsidR="00741698" w:rsidRDefault="00741698" w:rsidP="00500B76">
      <w:pPr>
        <w:rPr>
          <w:rFonts w:cs="Arial"/>
          <w:kern w:val="28"/>
        </w:rPr>
      </w:pPr>
      <w:r>
        <w:br w:type="page"/>
      </w:r>
      <w:bookmarkStart w:id="0" w:name="_GoBack"/>
      <w:bookmarkEnd w:id="0"/>
    </w:p>
    <w:p w:rsidR="00160CA1" w:rsidRPr="00B26008" w:rsidRDefault="00160CA1" w:rsidP="00E04D12">
      <w:pPr>
        <w:pStyle w:val="Heading1"/>
        <w:spacing w:before="0" w:after="120"/>
      </w:pPr>
      <w:bookmarkStart w:id="1" w:name="_Toc456019965"/>
      <w:r w:rsidRPr="00B26008">
        <w:lastRenderedPageBreak/>
        <w:t>I</w:t>
      </w:r>
      <w:r w:rsidR="00BA16C7">
        <w:t>ntroduction</w:t>
      </w:r>
      <w:bookmarkEnd w:id="1"/>
    </w:p>
    <w:p w:rsidR="00EB4473" w:rsidRDefault="00EB4473" w:rsidP="00E04D12">
      <w:r>
        <w:rPr>
          <w:rStyle w:val="IntenseReference"/>
          <w:b w:val="0"/>
          <w:bCs w:val="0"/>
          <w:i w:val="0"/>
          <w:smallCaps w:val="0"/>
          <w:color w:val="auto"/>
          <w:spacing w:val="0"/>
        </w:rPr>
        <w:t xml:space="preserve">The Australian Commission on Safety and Quality in Health Care (the Commission) was established in 2006 to lead and coordinate safety and quality improvements </w:t>
      </w:r>
      <w:r w:rsidR="00131B8E">
        <w:rPr>
          <w:rStyle w:val="IntenseReference"/>
          <w:b w:val="0"/>
          <w:bCs w:val="0"/>
          <w:i w:val="0"/>
          <w:smallCaps w:val="0"/>
          <w:color w:val="auto"/>
          <w:spacing w:val="0"/>
        </w:rPr>
        <w:t xml:space="preserve">in health care </w:t>
      </w:r>
      <w:r>
        <w:rPr>
          <w:rStyle w:val="IntenseReference"/>
          <w:b w:val="0"/>
          <w:bCs w:val="0"/>
          <w:i w:val="0"/>
          <w:smallCaps w:val="0"/>
          <w:color w:val="auto"/>
          <w:spacing w:val="0"/>
        </w:rPr>
        <w:t xml:space="preserve">nationally. </w:t>
      </w:r>
      <w:r w:rsidR="00634CD4">
        <w:rPr>
          <w:rStyle w:val="IntenseReference"/>
          <w:b w:val="0"/>
          <w:bCs w:val="0"/>
          <w:i w:val="0"/>
          <w:smallCaps w:val="0"/>
          <w:color w:val="auto"/>
          <w:spacing w:val="0"/>
        </w:rPr>
        <w:t xml:space="preserve"> </w:t>
      </w:r>
      <w:r>
        <w:rPr>
          <w:rStyle w:val="IntenseReference"/>
          <w:b w:val="0"/>
          <w:bCs w:val="0"/>
          <w:i w:val="0"/>
          <w:smallCaps w:val="0"/>
          <w:color w:val="auto"/>
          <w:spacing w:val="0"/>
        </w:rPr>
        <w:t xml:space="preserve">The functions of the Commission are specified in the </w:t>
      </w:r>
      <w:r>
        <w:rPr>
          <w:rStyle w:val="IntenseReference"/>
          <w:b w:val="0"/>
          <w:bCs w:val="0"/>
          <w:smallCaps w:val="0"/>
          <w:color w:val="auto"/>
          <w:spacing w:val="0"/>
        </w:rPr>
        <w:t>National Health Reform Act 2011</w:t>
      </w:r>
      <w:r w:rsidR="00634CD4">
        <w:rPr>
          <w:rStyle w:val="IntenseReference"/>
          <w:b w:val="0"/>
          <w:bCs w:val="0"/>
          <w:smallCaps w:val="0"/>
          <w:color w:val="auto"/>
          <w:spacing w:val="0"/>
        </w:rPr>
        <w:t xml:space="preserve"> </w:t>
      </w:r>
      <w:r w:rsidR="00634CD4">
        <w:rPr>
          <w:rStyle w:val="IntenseReference"/>
          <w:b w:val="0"/>
          <w:bCs w:val="0"/>
          <w:i w:val="0"/>
          <w:smallCaps w:val="0"/>
          <w:color w:val="auto"/>
          <w:spacing w:val="0"/>
        </w:rPr>
        <w:t>(NHR Act)</w:t>
      </w:r>
      <w:r>
        <w:rPr>
          <w:rStyle w:val="IntenseReference"/>
          <w:b w:val="0"/>
          <w:bCs w:val="0"/>
          <w:i w:val="0"/>
          <w:smallCaps w:val="0"/>
          <w:color w:val="auto"/>
          <w:spacing w:val="0"/>
        </w:rPr>
        <w:t>.</w:t>
      </w:r>
      <w:r w:rsidRPr="00255614">
        <w:t xml:space="preserve"> </w:t>
      </w:r>
    </w:p>
    <w:p w:rsidR="00B15C4A" w:rsidRPr="00B15C4A" w:rsidRDefault="00634CD4" w:rsidP="00E04D12">
      <w:pPr>
        <w:pStyle w:val="Default"/>
        <w:spacing w:after="120" w:line="280" w:lineRule="atLeast"/>
        <w:rPr>
          <w:rFonts w:ascii="Arial" w:hAnsi="Arial" w:cs="Arial"/>
          <w:sz w:val="22"/>
          <w:szCs w:val="22"/>
        </w:rPr>
      </w:pPr>
      <w:r>
        <w:rPr>
          <w:rFonts w:ascii="Arial" w:hAnsi="Arial" w:cs="Arial"/>
          <w:sz w:val="22"/>
          <w:szCs w:val="22"/>
        </w:rPr>
        <w:t xml:space="preserve">The </w:t>
      </w:r>
      <w:r w:rsidR="00C43B7D" w:rsidRPr="00B15C4A">
        <w:rPr>
          <w:rFonts w:ascii="Arial" w:hAnsi="Arial" w:cs="Arial"/>
          <w:i/>
          <w:iCs/>
          <w:sz w:val="22"/>
          <w:szCs w:val="22"/>
        </w:rPr>
        <w:t xml:space="preserve">Public Governance, Performance and Accountability Act 2013 </w:t>
      </w:r>
      <w:r w:rsidR="00C43B7D" w:rsidRPr="00B15C4A">
        <w:rPr>
          <w:rFonts w:ascii="Arial" w:hAnsi="Arial" w:cs="Arial"/>
          <w:iCs/>
          <w:sz w:val="22"/>
          <w:szCs w:val="22"/>
        </w:rPr>
        <w:t>(PGPA Act)</w:t>
      </w:r>
      <w:r w:rsidR="00C43B7D" w:rsidRPr="00B15C4A">
        <w:rPr>
          <w:rFonts w:ascii="Arial" w:hAnsi="Arial" w:cs="Arial"/>
          <w:sz w:val="22"/>
          <w:szCs w:val="22"/>
        </w:rPr>
        <w:t xml:space="preserve"> </w:t>
      </w:r>
      <w:r>
        <w:rPr>
          <w:rFonts w:ascii="Arial" w:hAnsi="Arial" w:cs="Arial"/>
          <w:sz w:val="22"/>
          <w:szCs w:val="22"/>
        </w:rPr>
        <w:t xml:space="preserve">requires that </w:t>
      </w:r>
      <w:r w:rsidR="004E57BD">
        <w:rPr>
          <w:rFonts w:ascii="Arial" w:hAnsi="Arial" w:cs="Arial"/>
          <w:sz w:val="22"/>
          <w:szCs w:val="22"/>
        </w:rPr>
        <w:t xml:space="preserve">Australian Government </w:t>
      </w:r>
      <w:r>
        <w:rPr>
          <w:rFonts w:ascii="Arial" w:hAnsi="Arial" w:cs="Arial"/>
          <w:sz w:val="22"/>
          <w:szCs w:val="22"/>
        </w:rPr>
        <w:t xml:space="preserve">entities prepare and publish corporate plans. </w:t>
      </w:r>
      <w:r w:rsidR="00935C44">
        <w:rPr>
          <w:rFonts w:ascii="Arial" w:hAnsi="Arial" w:cs="Arial"/>
          <w:sz w:val="22"/>
          <w:szCs w:val="22"/>
          <w:lang w:val="en"/>
        </w:rPr>
        <w:t>Th</w:t>
      </w:r>
      <w:r w:rsidR="001C5BB6">
        <w:rPr>
          <w:rFonts w:ascii="Arial" w:hAnsi="Arial" w:cs="Arial"/>
          <w:sz w:val="22"/>
          <w:szCs w:val="22"/>
          <w:lang w:val="en"/>
        </w:rPr>
        <w:t>e Commission’s</w:t>
      </w:r>
      <w:r w:rsidR="00935C44" w:rsidRPr="00D83C43">
        <w:rPr>
          <w:rFonts w:ascii="Arial" w:hAnsi="Arial" w:cs="Arial"/>
          <w:sz w:val="22"/>
          <w:szCs w:val="22"/>
          <w:lang w:val="en"/>
        </w:rPr>
        <w:t xml:space="preserve"> </w:t>
      </w:r>
      <w:proofErr w:type="gramStart"/>
      <w:r w:rsidRPr="00DC5125">
        <w:rPr>
          <w:rFonts w:ascii="Arial" w:hAnsi="Arial" w:cs="Arial"/>
          <w:i/>
          <w:sz w:val="22"/>
          <w:szCs w:val="22"/>
          <w:lang w:val="en"/>
        </w:rPr>
        <w:t>Corporate</w:t>
      </w:r>
      <w:proofErr w:type="gramEnd"/>
      <w:r w:rsidRPr="00DC5125">
        <w:rPr>
          <w:rFonts w:ascii="Arial" w:hAnsi="Arial" w:cs="Arial"/>
          <w:i/>
          <w:sz w:val="22"/>
          <w:szCs w:val="22"/>
          <w:lang w:val="en"/>
        </w:rPr>
        <w:t xml:space="preserve"> </w:t>
      </w:r>
      <w:r w:rsidR="00E14033" w:rsidRPr="00DC5125">
        <w:rPr>
          <w:rFonts w:ascii="Arial" w:hAnsi="Arial" w:cs="Arial"/>
          <w:i/>
          <w:sz w:val="22"/>
          <w:szCs w:val="22"/>
          <w:lang w:val="en"/>
        </w:rPr>
        <w:t>p</w:t>
      </w:r>
      <w:r w:rsidRPr="00DC5125">
        <w:rPr>
          <w:rFonts w:ascii="Arial" w:hAnsi="Arial" w:cs="Arial"/>
          <w:i/>
          <w:sz w:val="22"/>
          <w:szCs w:val="22"/>
          <w:lang w:val="en"/>
        </w:rPr>
        <w:t>lan 201</w:t>
      </w:r>
      <w:r w:rsidR="00F41B53">
        <w:rPr>
          <w:rFonts w:ascii="Arial" w:hAnsi="Arial" w:cs="Arial"/>
          <w:i/>
          <w:sz w:val="22"/>
          <w:szCs w:val="22"/>
          <w:lang w:val="en"/>
        </w:rPr>
        <w:t>6</w:t>
      </w:r>
      <w:r w:rsidRPr="00DC5125">
        <w:rPr>
          <w:rFonts w:ascii="Arial" w:hAnsi="Arial" w:cs="Arial"/>
          <w:i/>
          <w:sz w:val="22"/>
          <w:szCs w:val="22"/>
          <w:lang w:val="en"/>
        </w:rPr>
        <w:t>–</w:t>
      </w:r>
      <w:r w:rsidR="001C5BB6">
        <w:rPr>
          <w:rFonts w:ascii="Arial" w:hAnsi="Arial" w:cs="Arial"/>
          <w:i/>
          <w:sz w:val="22"/>
          <w:szCs w:val="22"/>
          <w:lang w:val="en"/>
        </w:rPr>
        <w:t>17</w:t>
      </w:r>
      <w:r w:rsidRPr="00D83C43">
        <w:rPr>
          <w:rFonts w:ascii="Arial" w:hAnsi="Arial" w:cs="Arial"/>
          <w:sz w:val="22"/>
          <w:szCs w:val="22"/>
          <w:lang w:val="en"/>
        </w:rPr>
        <w:t xml:space="preserve"> identif</w:t>
      </w:r>
      <w:r w:rsidRPr="00B15C4A">
        <w:rPr>
          <w:rFonts w:ascii="Arial" w:hAnsi="Arial" w:cs="Arial"/>
          <w:sz w:val="22"/>
          <w:szCs w:val="22"/>
          <w:lang w:val="en"/>
        </w:rPr>
        <w:t xml:space="preserve">ies </w:t>
      </w:r>
      <w:r w:rsidRPr="00D83C43">
        <w:rPr>
          <w:rFonts w:ascii="Arial" w:hAnsi="Arial" w:cs="Arial"/>
          <w:sz w:val="22"/>
          <w:szCs w:val="22"/>
          <w:lang w:val="en"/>
        </w:rPr>
        <w:t xml:space="preserve">the strategic priorities that </w:t>
      </w:r>
      <w:r w:rsidR="001C5BB6">
        <w:rPr>
          <w:rFonts w:ascii="Arial" w:hAnsi="Arial" w:cs="Arial"/>
          <w:sz w:val="22"/>
          <w:szCs w:val="22"/>
          <w:lang w:val="en"/>
        </w:rPr>
        <w:t>drive</w:t>
      </w:r>
      <w:r w:rsidRPr="00D83C43">
        <w:rPr>
          <w:rFonts w:ascii="Arial" w:hAnsi="Arial" w:cs="Arial"/>
          <w:sz w:val="22"/>
          <w:szCs w:val="22"/>
          <w:lang w:val="en"/>
        </w:rPr>
        <w:t xml:space="preserve"> </w:t>
      </w:r>
      <w:r w:rsidR="00E14033">
        <w:rPr>
          <w:rFonts w:ascii="Arial" w:hAnsi="Arial" w:cs="Arial"/>
          <w:sz w:val="22"/>
          <w:szCs w:val="22"/>
          <w:lang w:val="en"/>
        </w:rPr>
        <w:t>the Commission’s</w:t>
      </w:r>
      <w:r w:rsidR="00E14033" w:rsidRPr="00D83C43">
        <w:rPr>
          <w:rFonts w:ascii="Arial" w:hAnsi="Arial" w:cs="Arial"/>
          <w:sz w:val="22"/>
          <w:szCs w:val="22"/>
          <w:lang w:val="en"/>
        </w:rPr>
        <w:t xml:space="preserve"> </w:t>
      </w:r>
      <w:r w:rsidRPr="00D83C43">
        <w:rPr>
          <w:rFonts w:ascii="Arial" w:hAnsi="Arial" w:cs="Arial"/>
          <w:sz w:val="22"/>
          <w:szCs w:val="22"/>
          <w:lang w:val="en"/>
        </w:rPr>
        <w:t>direction and work over the next four years</w:t>
      </w:r>
      <w:r>
        <w:rPr>
          <w:rFonts w:ascii="Arial" w:hAnsi="Arial" w:cs="Arial"/>
          <w:sz w:val="22"/>
          <w:szCs w:val="22"/>
          <w:lang w:val="en"/>
        </w:rPr>
        <w:t xml:space="preserve">. </w:t>
      </w:r>
      <w:r w:rsidR="00B15C4A" w:rsidRPr="00B15C4A">
        <w:rPr>
          <w:rFonts w:ascii="Arial" w:hAnsi="Arial" w:cs="Arial"/>
          <w:sz w:val="22"/>
          <w:szCs w:val="22"/>
        </w:rPr>
        <w:t>On a rolling basis, this plan will be updated annually as part of the strategic planning activities for the organisation</w:t>
      </w:r>
      <w:r w:rsidR="00C331B5">
        <w:rPr>
          <w:rFonts w:ascii="Arial" w:hAnsi="Arial" w:cs="Arial"/>
          <w:sz w:val="22"/>
          <w:szCs w:val="22"/>
        </w:rPr>
        <w:t xml:space="preserve"> and it</w:t>
      </w:r>
      <w:r w:rsidRPr="00B15C4A">
        <w:rPr>
          <w:rFonts w:ascii="Arial" w:hAnsi="Arial" w:cs="Arial"/>
          <w:sz w:val="22"/>
          <w:szCs w:val="22"/>
        </w:rPr>
        <w:t xml:space="preserve"> </w:t>
      </w:r>
      <w:r w:rsidR="00E14033">
        <w:rPr>
          <w:rFonts w:ascii="Arial" w:hAnsi="Arial" w:cs="Arial"/>
          <w:sz w:val="22"/>
          <w:szCs w:val="22"/>
        </w:rPr>
        <w:t xml:space="preserve">will be reported on </w:t>
      </w:r>
      <w:r w:rsidRPr="00B15C4A">
        <w:rPr>
          <w:rFonts w:ascii="Arial" w:hAnsi="Arial" w:cs="Arial"/>
          <w:sz w:val="22"/>
          <w:szCs w:val="22"/>
        </w:rPr>
        <w:t xml:space="preserve">in </w:t>
      </w:r>
      <w:r w:rsidR="00E14033">
        <w:rPr>
          <w:rFonts w:ascii="Arial" w:hAnsi="Arial" w:cs="Arial"/>
          <w:sz w:val="22"/>
          <w:szCs w:val="22"/>
        </w:rPr>
        <w:t>the Commission’s</w:t>
      </w:r>
      <w:r w:rsidRPr="00B15C4A">
        <w:rPr>
          <w:rFonts w:ascii="Arial" w:hAnsi="Arial" w:cs="Arial"/>
          <w:sz w:val="22"/>
          <w:szCs w:val="22"/>
        </w:rPr>
        <w:t xml:space="preserve"> annual report for 201</w:t>
      </w:r>
      <w:r w:rsidR="00F41B53">
        <w:rPr>
          <w:rFonts w:ascii="Arial" w:hAnsi="Arial" w:cs="Arial"/>
          <w:sz w:val="22"/>
          <w:szCs w:val="22"/>
        </w:rPr>
        <w:t>6</w:t>
      </w:r>
      <w:r w:rsidR="00C30136">
        <w:rPr>
          <w:rFonts w:ascii="Arial" w:hAnsi="Arial" w:cs="Arial"/>
          <w:sz w:val="22"/>
          <w:szCs w:val="22"/>
        </w:rPr>
        <w:t>-</w:t>
      </w:r>
      <w:r w:rsidRPr="00B15C4A">
        <w:rPr>
          <w:rFonts w:ascii="Arial" w:hAnsi="Arial" w:cs="Arial"/>
          <w:sz w:val="22"/>
          <w:szCs w:val="22"/>
        </w:rPr>
        <w:t>1</w:t>
      </w:r>
      <w:r w:rsidR="00F41B53">
        <w:rPr>
          <w:rFonts w:ascii="Arial" w:hAnsi="Arial" w:cs="Arial"/>
          <w:sz w:val="22"/>
          <w:szCs w:val="22"/>
        </w:rPr>
        <w:t>7</w:t>
      </w:r>
      <w:r w:rsidRPr="00B15C4A">
        <w:rPr>
          <w:rFonts w:ascii="Arial" w:hAnsi="Arial" w:cs="Arial"/>
          <w:sz w:val="22"/>
          <w:szCs w:val="22"/>
        </w:rPr>
        <w:t>.</w:t>
      </w:r>
    </w:p>
    <w:p w:rsidR="009804CD" w:rsidRDefault="00FB1A9E" w:rsidP="00E04D12">
      <w:r w:rsidRPr="00B15C4A">
        <w:rPr>
          <w:rStyle w:val="IntenseReference"/>
          <w:rFonts w:cs="Arial"/>
          <w:b w:val="0"/>
          <w:bCs w:val="0"/>
          <w:i w:val="0"/>
          <w:smallCaps w:val="0"/>
          <w:color w:val="auto"/>
          <w:spacing w:val="0"/>
          <w:szCs w:val="22"/>
        </w:rPr>
        <w:t>This document has been prepared</w:t>
      </w:r>
      <w:r w:rsidR="006E3201">
        <w:rPr>
          <w:rStyle w:val="IntenseReference"/>
          <w:rFonts w:cs="Arial"/>
          <w:b w:val="0"/>
          <w:bCs w:val="0"/>
          <w:i w:val="0"/>
          <w:smallCaps w:val="0"/>
          <w:color w:val="auto"/>
          <w:spacing w:val="0"/>
          <w:szCs w:val="22"/>
        </w:rPr>
        <w:t xml:space="preserve"> for the 201</w:t>
      </w:r>
      <w:r w:rsidR="00F41B53">
        <w:rPr>
          <w:rStyle w:val="IntenseReference"/>
          <w:rFonts w:cs="Arial"/>
          <w:b w:val="0"/>
          <w:bCs w:val="0"/>
          <w:i w:val="0"/>
          <w:smallCaps w:val="0"/>
          <w:color w:val="auto"/>
          <w:spacing w:val="0"/>
          <w:szCs w:val="22"/>
        </w:rPr>
        <w:t>6</w:t>
      </w:r>
      <w:r w:rsidR="00C30136">
        <w:rPr>
          <w:rStyle w:val="IntenseReference"/>
          <w:rFonts w:cs="Arial"/>
          <w:b w:val="0"/>
          <w:bCs w:val="0"/>
          <w:i w:val="0"/>
          <w:smallCaps w:val="0"/>
          <w:color w:val="auto"/>
          <w:spacing w:val="0"/>
          <w:szCs w:val="22"/>
        </w:rPr>
        <w:t>-</w:t>
      </w:r>
      <w:r w:rsidR="006E3201">
        <w:rPr>
          <w:rStyle w:val="IntenseReference"/>
          <w:rFonts w:cs="Arial"/>
          <w:b w:val="0"/>
          <w:bCs w:val="0"/>
          <w:i w:val="0"/>
          <w:smallCaps w:val="0"/>
          <w:color w:val="auto"/>
          <w:spacing w:val="0"/>
          <w:szCs w:val="22"/>
        </w:rPr>
        <w:t>1</w:t>
      </w:r>
      <w:r w:rsidR="00F41B53">
        <w:rPr>
          <w:rStyle w:val="IntenseReference"/>
          <w:rFonts w:cs="Arial"/>
          <w:b w:val="0"/>
          <w:bCs w:val="0"/>
          <w:i w:val="0"/>
          <w:smallCaps w:val="0"/>
          <w:color w:val="auto"/>
          <w:spacing w:val="0"/>
          <w:szCs w:val="22"/>
        </w:rPr>
        <w:t>7</w:t>
      </w:r>
      <w:r w:rsidR="006E3201">
        <w:rPr>
          <w:rStyle w:val="IntenseReference"/>
          <w:rFonts w:cs="Arial"/>
          <w:b w:val="0"/>
          <w:bCs w:val="0"/>
          <w:i w:val="0"/>
          <w:smallCaps w:val="0"/>
          <w:color w:val="auto"/>
          <w:spacing w:val="0"/>
          <w:szCs w:val="22"/>
        </w:rPr>
        <w:t xml:space="preserve"> period,</w:t>
      </w:r>
      <w:r w:rsidRPr="00B15C4A">
        <w:rPr>
          <w:rStyle w:val="IntenseReference"/>
          <w:rFonts w:cs="Arial"/>
          <w:b w:val="0"/>
          <w:bCs w:val="0"/>
          <w:i w:val="0"/>
          <w:smallCaps w:val="0"/>
          <w:color w:val="auto"/>
          <w:spacing w:val="0"/>
          <w:szCs w:val="22"/>
        </w:rPr>
        <w:t xml:space="preserve"> in accordance with paragraph 35(1</w:t>
      </w:r>
      <w:proofErr w:type="gramStart"/>
      <w:r w:rsidRPr="00B15C4A">
        <w:rPr>
          <w:rStyle w:val="IntenseReference"/>
          <w:rFonts w:cs="Arial"/>
          <w:b w:val="0"/>
          <w:bCs w:val="0"/>
          <w:i w:val="0"/>
          <w:smallCaps w:val="0"/>
          <w:color w:val="auto"/>
          <w:spacing w:val="0"/>
          <w:szCs w:val="22"/>
        </w:rPr>
        <w:t>)(</w:t>
      </w:r>
      <w:proofErr w:type="gramEnd"/>
      <w:r w:rsidRPr="00B15C4A">
        <w:rPr>
          <w:rStyle w:val="IntenseReference"/>
          <w:rFonts w:cs="Arial"/>
          <w:b w:val="0"/>
          <w:bCs w:val="0"/>
          <w:i w:val="0"/>
          <w:smallCaps w:val="0"/>
          <w:color w:val="auto"/>
          <w:spacing w:val="0"/>
          <w:szCs w:val="22"/>
        </w:rPr>
        <w:t xml:space="preserve">b) of the </w:t>
      </w:r>
      <w:r w:rsidRPr="00B15C4A">
        <w:rPr>
          <w:iCs/>
        </w:rPr>
        <w:t>PGPA Act</w:t>
      </w:r>
      <w:r w:rsidRPr="00B15C4A">
        <w:rPr>
          <w:rStyle w:val="IntenseReference"/>
          <w:rFonts w:cs="Arial"/>
          <w:b w:val="0"/>
          <w:bCs w:val="0"/>
          <w:i w:val="0"/>
          <w:smallCaps w:val="0"/>
          <w:color w:val="auto"/>
          <w:spacing w:val="0"/>
          <w:szCs w:val="22"/>
        </w:rPr>
        <w:t>.</w:t>
      </w:r>
    </w:p>
    <w:p w:rsidR="009804CD" w:rsidRDefault="009804CD" w:rsidP="00E04D12">
      <w:r>
        <w:br w:type="page"/>
      </w:r>
    </w:p>
    <w:p w:rsidR="00CE5E39" w:rsidRPr="00B26008" w:rsidRDefault="00CE5E39" w:rsidP="00E04D12">
      <w:pPr>
        <w:pStyle w:val="Heading1"/>
        <w:spacing w:before="0" w:after="120"/>
      </w:pPr>
      <w:bookmarkStart w:id="2" w:name="_Toc456019966"/>
      <w:r w:rsidRPr="00B26008">
        <w:lastRenderedPageBreak/>
        <w:t>Overview</w:t>
      </w:r>
      <w:bookmarkEnd w:id="2"/>
    </w:p>
    <w:p w:rsidR="00AF1BFD" w:rsidRDefault="00CE5E39" w:rsidP="00E04D12">
      <w:pPr>
        <w:rPr>
          <w:rStyle w:val="IntenseReference"/>
          <w:b w:val="0"/>
          <w:bCs w:val="0"/>
          <w:i w:val="0"/>
          <w:smallCaps w:val="0"/>
          <w:color w:val="auto"/>
          <w:spacing w:val="0"/>
        </w:rPr>
      </w:pPr>
      <w:r w:rsidRPr="00FC39C1">
        <w:rPr>
          <w:rStyle w:val="IntenseReference"/>
          <w:b w:val="0"/>
          <w:bCs w:val="0"/>
          <w:i w:val="0"/>
          <w:smallCaps w:val="0"/>
          <w:color w:val="auto"/>
          <w:spacing w:val="0"/>
        </w:rPr>
        <w:t xml:space="preserve">The overall vision of the Commission is that </w:t>
      </w:r>
      <w:r w:rsidR="004D2AC2" w:rsidRPr="00FC39C1">
        <w:rPr>
          <w:rStyle w:val="IntenseReference"/>
          <w:b w:val="0"/>
          <w:bCs w:val="0"/>
          <w:i w:val="0"/>
          <w:smallCaps w:val="0"/>
          <w:color w:val="auto"/>
          <w:spacing w:val="0"/>
        </w:rPr>
        <w:t>all patients, consumers and communities in</w:t>
      </w:r>
      <w:r w:rsidRPr="00FC39C1">
        <w:rPr>
          <w:rStyle w:val="IntenseReference"/>
          <w:b w:val="0"/>
          <w:bCs w:val="0"/>
          <w:i w:val="0"/>
          <w:smallCaps w:val="0"/>
          <w:color w:val="auto"/>
          <w:spacing w:val="0"/>
        </w:rPr>
        <w:t xml:space="preserve"> Australia have access to</w:t>
      </w:r>
      <w:r w:rsidR="003A2701" w:rsidRPr="00FC39C1">
        <w:rPr>
          <w:rStyle w:val="IntenseReference"/>
          <w:b w:val="0"/>
          <w:bCs w:val="0"/>
          <w:i w:val="0"/>
          <w:smallCaps w:val="0"/>
          <w:color w:val="auto"/>
          <w:spacing w:val="0"/>
        </w:rPr>
        <w:t>,</w:t>
      </w:r>
      <w:r w:rsidRPr="00FC39C1">
        <w:rPr>
          <w:rStyle w:val="IntenseReference"/>
          <w:b w:val="0"/>
          <w:bCs w:val="0"/>
          <w:i w:val="0"/>
          <w:smallCaps w:val="0"/>
          <w:color w:val="auto"/>
          <w:spacing w:val="0"/>
        </w:rPr>
        <w:t xml:space="preserve"> and receive</w:t>
      </w:r>
      <w:r w:rsidR="003A2701" w:rsidRPr="00FC39C1">
        <w:rPr>
          <w:rStyle w:val="IntenseReference"/>
          <w:b w:val="0"/>
          <w:bCs w:val="0"/>
          <w:i w:val="0"/>
          <w:smallCaps w:val="0"/>
          <w:color w:val="auto"/>
          <w:spacing w:val="0"/>
        </w:rPr>
        <w:t>,</w:t>
      </w:r>
      <w:r w:rsidR="001C5BB6">
        <w:rPr>
          <w:rStyle w:val="IntenseReference"/>
          <w:b w:val="0"/>
          <w:bCs w:val="0"/>
          <w:i w:val="0"/>
          <w:smallCaps w:val="0"/>
          <w:color w:val="auto"/>
          <w:spacing w:val="0"/>
        </w:rPr>
        <w:t xml:space="preserve"> safe and high </w:t>
      </w:r>
      <w:r w:rsidRPr="00FC39C1">
        <w:rPr>
          <w:rStyle w:val="IntenseReference"/>
          <w:b w:val="0"/>
          <w:bCs w:val="0"/>
          <w:i w:val="0"/>
          <w:smallCaps w:val="0"/>
          <w:color w:val="auto"/>
          <w:spacing w:val="0"/>
        </w:rPr>
        <w:t>quality</w:t>
      </w:r>
      <w:r w:rsidR="004D2AC2" w:rsidRPr="00FC39C1">
        <w:rPr>
          <w:rStyle w:val="IntenseReference"/>
          <w:b w:val="0"/>
          <w:bCs w:val="0"/>
          <w:i w:val="0"/>
          <w:smallCaps w:val="0"/>
          <w:color w:val="auto"/>
          <w:spacing w:val="0"/>
        </w:rPr>
        <w:t xml:space="preserve"> health</w:t>
      </w:r>
      <w:r w:rsidRPr="00FC39C1">
        <w:rPr>
          <w:rStyle w:val="IntenseReference"/>
          <w:b w:val="0"/>
          <w:bCs w:val="0"/>
          <w:i w:val="0"/>
          <w:smallCaps w:val="0"/>
          <w:color w:val="auto"/>
          <w:spacing w:val="0"/>
        </w:rPr>
        <w:t xml:space="preserve"> care. </w:t>
      </w:r>
      <w:r w:rsidR="004D2AC2" w:rsidRPr="00FC39C1">
        <w:rPr>
          <w:rStyle w:val="IntenseReference"/>
          <w:b w:val="0"/>
          <w:bCs w:val="0"/>
          <w:i w:val="0"/>
          <w:smallCaps w:val="0"/>
          <w:color w:val="auto"/>
          <w:spacing w:val="0"/>
        </w:rPr>
        <w:t>T</w:t>
      </w:r>
      <w:r w:rsidRPr="00FC39C1">
        <w:rPr>
          <w:rStyle w:val="IntenseReference"/>
          <w:b w:val="0"/>
          <w:bCs w:val="0"/>
          <w:i w:val="0"/>
          <w:smallCaps w:val="0"/>
          <w:color w:val="auto"/>
          <w:spacing w:val="0"/>
        </w:rPr>
        <w:t xml:space="preserve">he Commission leads and coordinates national improvements in </w:t>
      </w:r>
      <w:r w:rsidR="004D2AC2" w:rsidRPr="00FC39C1">
        <w:rPr>
          <w:rStyle w:val="IntenseReference"/>
          <w:b w:val="0"/>
          <w:bCs w:val="0"/>
          <w:i w:val="0"/>
          <w:smallCaps w:val="0"/>
          <w:color w:val="auto"/>
          <w:spacing w:val="0"/>
        </w:rPr>
        <w:t xml:space="preserve">the </w:t>
      </w:r>
      <w:r w:rsidRPr="00FC39C1">
        <w:rPr>
          <w:rStyle w:val="IntenseReference"/>
          <w:b w:val="0"/>
          <w:bCs w:val="0"/>
          <w:i w:val="0"/>
          <w:smallCaps w:val="0"/>
          <w:color w:val="auto"/>
          <w:spacing w:val="0"/>
        </w:rPr>
        <w:t xml:space="preserve">safety and quality </w:t>
      </w:r>
      <w:r w:rsidR="004D2AC2" w:rsidRPr="00FC39C1">
        <w:rPr>
          <w:rStyle w:val="IntenseReference"/>
          <w:b w:val="0"/>
          <w:bCs w:val="0"/>
          <w:i w:val="0"/>
          <w:smallCaps w:val="0"/>
          <w:color w:val="auto"/>
          <w:spacing w:val="0"/>
        </w:rPr>
        <w:t>of health care based on the best available evidence</w:t>
      </w:r>
      <w:r w:rsidRPr="00FC39C1">
        <w:rPr>
          <w:rStyle w:val="IntenseReference"/>
          <w:b w:val="0"/>
          <w:bCs w:val="0"/>
          <w:i w:val="0"/>
          <w:smallCaps w:val="0"/>
          <w:color w:val="auto"/>
          <w:spacing w:val="0"/>
        </w:rPr>
        <w:t>.</w:t>
      </w:r>
    </w:p>
    <w:p w:rsidR="00AF1BFD" w:rsidRDefault="00CE5E39" w:rsidP="00E04D12">
      <w:pPr>
        <w:rPr>
          <w:rStyle w:val="IntenseReference"/>
          <w:b w:val="0"/>
          <w:bCs w:val="0"/>
          <w:i w:val="0"/>
          <w:smallCaps w:val="0"/>
          <w:color w:val="auto"/>
          <w:spacing w:val="0"/>
        </w:rPr>
      </w:pPr>
      <w:r w:rsidRPr="00FC39C1">
        <w:rPr>
          <w:rStyle w:val="IntenseReference"/>
          <w:b w:val="0"/>
          <w:bCs w:val="0"/>
          <w:i w:val="0"/>
          <w:smallCaps w:val="0"/>
          <w:color w:val="auto"/>
          <w:spacing w:val="0"/>
        </w:rPr>
        <w:t xml:space="preserve">The Commission works </w:t>
      </w:r>
      <w:r w:rsidR="004D2AC2" w:rsidRPr="00FC39C1">
        <w:rPr>
          <w:rStyle w:val="IntenseReference"/>
          <w:b w:val="0"/>
          <w:bCs w:val="0"/>
          <w:i w:val="0"/>
          <w:smallCaps w:val="0"/>
          <w:color w:val="auto"/>
          <w:spacing w:val="0"/>
        </w:rPr>
        <w:t>in</w:t>
      </w:r>
      <w:r w:rsidRPr="00FC39C1">
        <w:rPr>
          <w:rStyle w:val="IntenseReference"/>
          <w:b w:val="0"/>
          <w:bCs w:val="0"/>
          <w:i w:val="0"/>
          <w:smallCaps w:val="0"/>
          <w:color w:val="auto"/>
          <w:spacing w:val="0"/>
        </w:rPr>
        <w:t xml:space="preserve"> partners</w:t>
      </w:r>
      <w:r w:rsidR="004D2AC2" w:rsidRPr="00FC39C1">
        <w:rPr>
          <w:rStyle w:val="IntenseReference"/>
          <w:b w:val="0"/>
          <w:bCs w:val="0"/>
          <w:i w:val="0"/>
          <w:smallCaps w:val="0"/>
          <w:color w:val="auto"/>
          <w:spacing w:val="0"/>
        </w:rPr>
        <w:t>hip with patients, consumers, clinicians, managers, policy makers and healthcare organisations to achieve a sustainable, safe and high-quality health system.</w:t>
      </w:r>
    </w:p>
    <w:p w:rsidR="003E7A26" w:rsidRDefault="00CE5E39" w:rsidP="00E04D12">
      <w:pPr>
        <w:rPr>
          <w:rStyle w:val="IntenseReference"/>
          <w:b w:val="0"/>
          <w:bCs w:val="0"/>
          <w:i w:val="0"/>
          <w:smallCaps w:val="0"/>
          <w:color w:val="auto"/>
          <w:spacing w:val="0"/>
        </w:rPr>
      </w:pPr>
      <w:r w:rsidRPr="00FC39C1">
        <w:rPr>
          <w:rStyle w:val="IntenseReference"/>
          <w:b w:val="0"/>
          <w:bCs w:val="0"/>
          <w:i w:val="0"/>
          <w:smallCaps w:val="0"/>
          <w:color w:val="auto"/>
          <w:spacing w:val="0"/>
        </w:rPr>
        <w:t xml:space="preserve">Over the </w:t>
      </w:r>
      <w:r w:rsidR="00131B8E">
        <w:rPr>
          <w:rStyle w:val="IntenseReference"/>
          <w:b w:val="0"/>
          <w:bCs w:val="0"/>
          <w:i w:val="0"/>
          <w:smallCaps w:val="0"/>
          <w:color w:val="auto"/>
          <w:spacing w:val="0"/>
        </w:rPr>
        <w:t xml:space="preserve">2016-20 </w:t>
      </w:r>
      <w:proofErr w:type="gramStart"/>
      <w:r w:rsidR="00131B8E">
        <w:rPr>
          <w:rStyle w:val="IntenseReference"/>
          <w:b w:val="0"/>
          <w:bCs w:val="0"/>
          <w:i w:val="0"/>
          <w:smallCaps w:val="0"/>
          <w:color w:val="auto"/>
          <w:spacing w:val="0"/>
        </w:rPr>
        <w:t>period</w:t>
      </w:r>
      <w:proofErr w:type="gramEnd"/>
      <w:r w:rsidRPr="00FC39C1">
        <w:rPr>
          <w:rStyle w:val="IntenseReference"/>
          <w:b w:val="0"/>
          <w:bCs w:val="0"/>
          <w:i w:val="0"/>
          <w:smallCaps w:val="0"/>
          <w:color w:val="auto"/>
          <w:spacing w:val="0"/>
        </w:rPr>
        <w:t xml:space="preserve"> the Commission</w:t>
      </w:r>
      <w:r w:rsidR="00A11277" w:rsidRPr="00FC39C1">
        <w:rPr>
          <w:rStyle w:val="IntenseReference"/>
          <w:b w:val="0"/>
          <w:bCs w:val="0"/>
          <w:i w:val="0"/>
          <w:smallCaps w:val="0"/>
          <w:color w:val="auto"/>
          <w:spacing w:val="0"/>
        </w:rPr>
        <w:t>’s strategic priorities are</w:t>
      </w:r>
      <w:r w:rsidRPr="00FC39C1">
        <w:rPr>
          <w:rStyle w:val="IntenseReference"/>
          <w:b w:val="0"/>
          <w:bCs w:val="0"/>
          <w:i w:val="0"/>
          <w:smallCaps w:val="0"/>
          <w:color w:val="auto"/>
          <w:spacing w:val="0"/>
        </w:rPr>
        <w:t xml:space="preserve"> </w:t>
      </w:r>
      <w:r w:rsidR="00A11277" w:rsidRPr="00FC39C1">
        <w:rPr>
          <w:rStyle w:val="IntenseReference"/>
          <w:b w:val="0"/>
          <w:bCs w:val="0"/>
          <w:i w:val="0"/>
          <w:smallCaps w:val="0"/>
          <w:color w:val="auto"/>
          <w:spacing w:val="0"/>
        </w:rPr>
        <w:t>i</w:t>
      </w:r>
      <w:r w:rsidRPr="00FC39C1">
        <w:rPr>
          <w:rStyle w:val="IntenseReference"/>
          <w:b w:val="0"/>
          <w:bCs w:val="0"/>
          <w:i w:val="0"/>
          <w:smallCaps w:val="0"/>
          <w:color w:val="auto"/>
          <w:spacing w:val="0"/>
        </w:rPr>
        <w:t>n the areas of</w:t>
      </w:r>
      <w:r w:rsidR="003E7A26">
        <w:rPr>
          <w:rStyle w:val="IntenseReference"/>
          <w:b w:val="0"/>
          <w:bCs w:val="0"/>
          <w:i w:val="0"/>
          <w:smallCaps w:val="0"/>
          <w:color w:val="auto"/>
          <w:spacing w:val="0"/>
        </w:rPr>
        <w:t>:</w:t>
      </w:r>
    </w:p>
    <w:p w:rsidR="003E7A26" w:rsidRDefault="00CE5E39" w:rsidP="00E04D12">
      <w:pPr>
        <w:pStyle w:val="ListParagraph"/>
        <w:numPr>
          <w:ilvl w:val="0"/>
          <w:numId w:val="7"/>
        </w:numPr>
        <w:contextualSpacing w:val="0"/>
        <w:rPr>
          <w:rStyle w:val="IntenseReference"/>
          <w:b w:val="0"/>
          <w:bCs w:val="0"/>
          <w:i w:val="0"/>
          <w:smallCaps w:val="0"/>
          <w:color w:val="auto"/>
          <w:spacing w:val="0"/>
        </w:rPr>
      </w:pPr>
      <w:r w:rsidRPr="00FC39C1">
        <w:rPr>
          <w:rStyle w:val="IntenseReference"/>
          <w:b w:val="0"/>
          <w:bCs w:val="0"/>
          <w:i w:val="0"/>
          <w:smallCaps w:val="0"/>
          <w:color w:val="auto"/>
          <w:spacing w:val="0"/>
        </w:rPr>
        <w:t>patient safety</w:t>
      </w:r>
    </w:p>
    <w:p w:rsidR="003E7A26" w:rsidRDefault="00CE5E39" w:rsidP="00E04D12">
      <w:pPr>
        <w:pStyle w:val="ListParagraph"/>
        <w:numPr>
          <w:ilvl w:val="0"/>
          <w:numId w:val="7"/>
        </w:numPr>
        <w:contextualSpacing w:val="0"/>
        <w:rPr>
          <w:rStyle w:val="IntenseReference"/>
          <w:b w:val="0"/>
          <w:bCs w:val="0"/>
          <w:i w:val="0"/>
          <w:smallCaps w:val="0"/>
          <w:color w:val="auto"/>
          <w:spacing w:val="0"/>
        </w:rPr>
      </w:pPr>
      <w:r w:rsidRPr="00FC39C1">
        <w:rPr>
          <w:rStyle w:val="IntenseReference"/>
          <w:b w:val="0"/>
          <w:bCs w:val="0"/>
          <w:i w:val="0"/>
          <w:smallCaps w:val="0"/>
          <w:color w:val="auto"/>
          <w:spacing w:val="0"/>
        </w:rPr>
        <w:t>partnering with patients, consumers and communities</w:t>
      </w:r>
    </w:p>
    <w:p w:rsidR="003E7A26" w:rsidRDefault="00CE5E39" w:rsidP="00E04D12">
      <w:pPr>
        <w:pStyle w:val="ListParagraph"/>
        <w:numPr>
          <w:ilvl w:val="0"/>
          <w:numId w:val="7"/>
        </w:numPr>
        <w:contextualSpacing w:val="0"/>
        <w:rPr>
          <w:rStyle w:val="IntenseReference"/>
          <w:b w:val="0"/>
          <w:bCs w:val="0"/>
          <w:i w:val="0"/>
          <w:smallCaps w:val="0"/>
          <w:color w:val="auto"/>
          <w:spacing w:val="0"/>
        </w:rPr>
      </w:pPr>
      <w:r w:rsidRPr="00FC39C1">
        <w:rPr>
          <w:rStyle w:val="IntenseReference"/>
          <w:b w:val="0"/>
          <w:bCs w:val="0"/>
          <w:i w:val="0"/>
          <w:smallCaps w:val="0"/>
          <w:color w:val="auto"/>
          <w:spacing w:val="0"/>
        </w:rPr>
        <w:t>quality</w:t>
      </w:r>
      <w:r w:rsidR="001C5BB6">
        <w:rPr>
          <w:rStyle w:val="IntenseReference"/>
          <w:b w:val="0"/>
          <w:bCs w:val="0"/>
          <w:i w:val="0"/>
          <w:smallCaps w:val="0"/>
          <w:color w:val="auto"/>
          <w:spacing w:val="0"/>
        </w:rPr>
        <w:t>,</w:t>
      </w:r>
      <w:r w:rsidRPr="00FC39C1">
        <w:rPr>
          <w:rStyle w:val="IntenseReference"/>
          <w:b w:val="0"/>
          <w:bCs w:val="0"/>
          <w:i w:val="0"/>
          <w:smallCaps w:val="0"/>
          <w:color w:val="auto"/>
          <w:spacing w:val="0"/>
        </w:rPr>
        <w:t xml:space="preserve"> cost and value</w:t>
      </w:r>
    </w:p>
    <w:p w:rsidR="00CE5E39" w:rsidRPr="00FC39C1" w:rsidRDefault="00203C94" w:rsidP="00E04D12">
      <w:pPr>
        <w:pStyle w:val="ListParagraph"/>
        <w:numPr>
          <w:ilvl w:val="0"/>
          <w:numId w:val="7"/>
        </w:numPr>
        <w:contextualSpacing w:val="0"/>
        <w:rPr>
          <w:rStyle w:val="IntenseReference"/>
          <w:b w:val="0"/>
          <w:bCs w:val="0"/>
          <w:i w:val="0"/>
          <w:smallCaps w:val="0"/>
          <w:color w:val="auto"/>
          <w:spacing w:val="0"/>
        </w:rPr>
      </w:pPr>
      <w:proofErr w:type="gramStart"/>
      <w:r w:rsidRPr="00FC39C1">
        <w:rPr>
          <w:rStyle w:val="IntenseReference"/>
          <w:b w:val="0"/>
          <w:bCs w:val="0"/>
          <w:i w:val="0"/>
          <w:smallCaps w:val="0"/>
          <w:color w:val="auto"/>
          <w:spacing w:val="0"/>
        </w:rPr>
        <w:t>supporting</w:t>
      </w:r>
      <w:proofErr w:type="gramEnd"/>
      <w:r w:rsidRPr="00FC39C1">
        <w:rPr>
          <w:rStyle w:val="IntenseReference"/>
          <w:b w:val="0"/>
          <w:bCs w:val="0"/>
          <w:i w:val="0"/>
          <w:smallCaps w:val="0"/>
          <w:color w:val="auto"/>
          <w:spacing w:val="0"/>
        </w:rPr>
        <w:t xml:space="preserve"> health professionals to provide safe and high-quality care</w:t>
      </w:r>
      <w:r w:rsidR="00CE5E39" w:rsidRPr="00FC39C1">
        <w:rPr>
          <w:rStyle w:val="IntenseReference"/>
          <w:b w:val="0"/>
          <w:bCs w:val="0"/>
          <w:i w:val="0"/>
          <w:smallCaps w:val="0"/>
          <w:color w:val="auto"/>
          <w:spacing w:val="0"/>
        </w:rPr>
        <w:t>.</w:t>
      </w:r>
      <w:r w:rsidR="004D2AC2" w:rsidRPr="00FC39C1">
        <w:rPr>
          <w:rStyle w:val="IntenseReference"/>
          <w:b w:val="0"/>
          <w:bCs w:val="0"/>
          <w:i w:val="0"/>
          <w:smallCaps w:val="0"/>
          <w:color w:val="auto"/>
          <w:spacing w:val="0"/>
        </w:rPr>
        <w:t xml:space="preserve"> </w:t>
      </w:r>
    </w:p>
    <w:p w:rsidR="004D2AC2" w:rsidRDefault="004D2AC2" w:rsidP="00E04D12"/>
    <w:p w:rsidR="00203C94" w:rsidRDefault="00203C94" w:rsidP="00E04D12">
      <w:r>
        <w:br w:type="page"/>
      </w:r>
    </w:p>
    <w:p w:rsidR="001519E0" w:rsidRDefault="001519E0" w:rsidP="00E04D12">
      <w:pPr>
        <w:pStyle w:val="Heading1"/>
        <w:spacing w:before="0" w:after="120"/>
      </w:pPr>
      <w:bookmarkStart w:id="3" w:name="_Toc456019967"/>
      <w:r>
        <w:lastRenderedPageBreak/>
        <w:t>Purpose</w:t>
      </w:r>
      <w:bookmarkEnd w:id="3"/>
    </w:p>
    <w:p w:rsidR="00A17EC3" w:rsidRPr="00431267" w:rsidRDefault="0020000F" w:rsidP="005233B1">
      <w:pPr>
        <w:pStyle w:val="Heading2"/>
        <w:spacing w:after="120"/>
      </w:pPr>
      <w:bookmarkStart w:id="4" w:name="_Toc456019968"/>
      <w:r>
        <w:t>R</w:t>
      </w:r>
      <w:r w:rsidR="00A17EC3" w:rsidRPr="00431267">
        <w:t>ole</w:t>
      </w:r>
      <w:bookmarkEnd w:id="4"/>
    </w:p>
    <w:p w:rsidR="003E7A26" w:rsidRDefault="009B5ACD" w:rsidP="00E04D12">
      <w:pPr>
        <w:rPr>
          <w:rStyle w:val="IntenseReference"/>
          <w:b w:val="0"/>
          <w:bCs w:val="0"/>
          <w:i w:val="0"/>
          <w:smallCaps w:val="0"/>
          <w:color w:val="auto"/>
          <w:spacing w:val="0"/>
        </w:rPr>
      </w:pPr>
      <w:r w:rsidRPr="00FC39C1">
        <w:rPr>
          <w:rStyle w:val="IntenseReference"/>
          <w:b w:val="0"/>
          <w:bCs w:val="0"/>
          <w:i w:val="0"/>
          <w:smallCaps w:val="0"/>
          <w:color w:val="auto"/>
          <w:spacing w:val="0"/>
        </w:rPr>
        <w:t>The Commission lead</w:t>
      </w:r>
      <w:r w:rsidR="00384382">
        <w:rPr>
          <w:rStyle w:val="IntenseReference"/>
          <w:b w:val="0"/>
          <w:bCs w:val="0"/>
          <w:i w:val="0"/>
          <w:smallCaps w:val="0"/>
          <w:color w:val="auto"/>
          <w:spacing w:val="0"/>
        </w:rPr>
        <w:t xml:space="preserve">s </w:t>
      </w:r>
      <w:r w:rsidRPr="00FC39C1">
        <w:rPr>
          <w:rStyle w:val="IntenseReference"/>
          <w:b w:val="0"/>
          <w:bCs w:val="0"/>
          <w:i w:val="0"/>
          <w:smallCaps w:val="0"/>
          <w:color w:val="auto"/>
          <w:spacing w:val="0"/>
        </w:rPr>
        <w:t>and coordinat</w:t>
      </w:r>
      <w:r w:rsidR="00384382">
        <w:rPr>
          <w:rStyle w:val="IntenseReference"/>
          <w:b w:val="0"/>
          <w:bCs w:val="0"/>
          <w:i w:val="0"/>
          <w:smallCaps w:val="0"/>
          <w:color w:val="auto"/>
          <w:spacing w:val="0"/>
        </w:rPr>
        <w:t xml:space="preserve">es </w:t>
      </w:r>
      <w:r w:rsidRPr="00FC39C1">
        <w:rPr>
          <w:rStyle w:val="IntenseReference"/>
          <w:b w:val="0"/>
          <w:bCs w:val="0"/>
          <w:i w:val="0"/>
          <w:smallCaps w:val="0"/>
          <w:color w:val="auto"/>
          <w:spacing w:val="0"/>
        </w:rPr>
        <w:t>national improvements in safety and quality in health care</w:t>
      </w:r>
      <w:r w:rsidR="00CC709D">
        <w:rPr>
          <w:rStyle w:val="IntenseReference"/>
          <w:b w:val="0"/>
          <w:bCs w:val="0"/>
          <w:i w:val="0"/>
          <w:smallCaps w:val="0"/>
          <w:color w:val="auto"/>
          <w:spacing w:val="0"/>
        </w:rPr>
        <w:t>. The Commission</w:t>
      </w:r>
      <w:r w:rsidR="00384382">
        <w:rPr>
          <w:rStyle w:val="IntenseReference"/>
          <w:b w:val="0"/>
          <w:bCs w:val="0"/>
          <w:i w:val="0"/>
          <w:smallCaps w:val="0"/>
          <w:color w:val="auto"/>
          <w:spacing w:val="0"/>
        </w:rPr>
        <w:t xml:space="preserve"> contribut</w:t>
      </w:r>
      <w:r w:rsidR="00CC709D">
        <w:rPr>
          <w:rStyle w:val="IntenseReference"/>
          <w:b w:val="0"/>
          <w:bCs w:val="0"/>
          <w:i w:val="0"/>
          <w:smallCaps w:val="0"/>
          <w:color w:val="auto"/>
          <w:spacing w:val="0"/>
        </w:rPr>
        <w:t xml:space="preserve">es </w:t>
      </w:r>
      <w:r w:rsidR="00384382" w:rsidRPr="00FC39C1">
        <w:rPr>
          <w:rStyle w:val="IntenseReference"/>
          <w:b w:val="0"/>
          <w:bCs w:val="0"/>
          <w:i w:val="0"/>
          <w:smallCaps w:val="0"/>
          <w:color w:val="auto"/>
          <w:spacing w:val="0"/>
        </w:rPr>
        <w:t xml:space="preserve">to better health outcomes and experiences for </w:t>
      </w:r>
      <w:r w:rsidR="00CC709D" w:rsidRPr="00FC39C1">
        <w:rPr>
          <w:rStyle w:val="IntenseReference"/>
          <w:b w:val="0"/>
          <w:bCs w:val="0"/>
          <w:i w:val="0"/>
          <w:smallCaps w:val="0"/>
          <w:color w:val="auto"/>
          <w:spacing w:val="0"/>
        </w:rPr>
        <w:t>patients, consumers and communities</w:t>
      </w:r>
      <w:r w:rsidR="00131B8E">
        <w:rPr>
          <w:rStyle w:val="IntenseReference"/>
          <w:b w:val="0"/>
          <w:bCs w:val="0"/>
          <w:i w:val="0"/>
          <w:smallCaps w:val="0"/>
          <w:color w:val="auto"/>
          <w:spacing w:val="0"/>
        </w:rPr>
        <w:t xml:space="preserve"> across Australia</w:t>
      </w:r>
      <w:r w:rsidR="00CC709D" w:rsidRPr="00FC39C1">
        <w:rPr>
          <w:rStyle w:val="IntenseReference"/>
          <w:b w:val="0"/>
          <w:bCs w:val="0"/>
          <w:i w:val="0"/>
          <w:smallCaps w:val="0"/>
          <w:color w:val="auto"/>
          <w:spacing w:val="0"/>
        </w:rPr>
        <w:t xml:space="preserve"> </w:t>
      </w:r>
      <w:r w:rsidR="00CC709D">
        <w:rPr>
          <w:rStyle w:val="IntenseReference"/>
          <w:b w:val="0"/>
          <w:bCs w:val="0"/>
          <w:i w:val="0"/>
          <w:smallCaps w:val="0"/>
          <w:color w:val="auto"/>
          <w:spacing w:val="0"/>
        </w:rPr>
        <w:t xml:space="preserve">through the development of standards, guidelines and indicators </w:t>
      </w:r>
      <w:r w:rsidR="001C5BB6">
        <w:rPr>
          <w:rStyle w:val="IntenseReference"/>
          <w:b w:val="0"/>
          <w:bCs w:val="0"/>
          <w:i w:val="0"/>
          <w:smallCaps w:val="0"/>
          <w:color w:val="auto"/>
          <w:spacing w:val="0"/>
        </w:rPr>
        <w:t xml:space="preserve">relating to health </w:t>
      </w:r>
      <w:r w:rsidR="00CC709D" w:rsidRPr="002C41D8">
        <w:rPr>
          <w:rStyle w:val="IntenseReference"/>
          <w:b w:val="0"/>
          <w:bCs w:val="0"/>
          <w:i w:val="0"/>
          <w:smallCaps w:val="0"/>
          <w:color w:val="auto"/>
          <w:spacing w:val="0"/>
        </w:rPr>
        <w:t>care safety and quality matters</w:t>
      </w:r>
      <w:r w:rsidR="00CC709D">
        <w:rPr>
          <w:rStyle w:val="IntenseReference"/>
          <w:b w:val="0"/>
          <w:bCs w:val="0"/>
          <w:i w:val="0"/>
          <w:smallCaps w:val="0"/>
          <w:color w:val="auto"/>
          <w:spacing w:val="0"/>
        </w:rPr>
        <w:t xml:space="preserve">. </w:t>
      </w:r>
      <w:r w:rsidRPr="00FC39C1">
        <w:rPr>
          <w:rStyle w:val="IntenseReference"/>
          <w:b w:val="0"/>
          <w:bCs w:val="0"/>
          <w:i w:val="0"/>
          <w:smallCaps w:val="0"/>
          <w:color w:val="auto"/>
          <w:spacing w:val="0"/>
        </w:rPr>
        <w:t xml:space="preserve"> </w:t>
      </w:r>
    </w:p>
    <w:p w:rsidR="00FA6F4B" w:rsidRDefault="00960C83" w:rsidP="00E04D12">
      <w:pPr>
        <w:rPr>
          <w:rStyle w:val="IntenseReference"/>
          <w:b w:val="0"/>
          <w:bCs w:val="0"/>
          <w:i w:val="0"/>
          <w:smallCaps w:val="0"/>
          <w:color w:val="auto"/>
          <w:spacing w:val="0"/>
        </w:rPr>
      </w:pPr>
      <w:r w:rsidRPr="00FC39C1">
        <w:rPr>
          <w:rStyle w:val="IntenseReference"/>
          <w:b w:val="0"/>
          <w:bCs w:val="0"/>
          <w:i w:val="0"/>
          <w:smallCaps w:val="0"/>
          <w:color w:val="auto"/>
          <w:spacing w:val="0"/>
        </w:rPr>
        <w:t xml:space="preserve">The Commission provides strategic advice to Health Ministers on best practices to improve safety and quality and makes recommendations about priority areas for action. </w:t>
      </w:r>
      <w:r w:rsidR="00C30136" w:rsidRPr="00244439">
        <w:rPr>
          <w:rStyle w:val="IntenseReference"/>
          <w:rFonts w:cs="Arial"/>
          <w:b w:val="0"/>
          <w:bCs w:val="0"/>
          <w:i w:val="0"/>
          <w:smallCaps w:val="0"/>
          <w:color w:val="auto"/>
          <w:spacing w:val="0"/>
          <w:szCs w:val="22"/>
        </w:rPr>
        <w:t xml:space="preserve">The Commission has legislative responsibility for the National Safety and Quality Health Service Standards, which are a major driver of safety and quality improvements within the </w:t>
      </w:r>
      <w:r w:rsidR="00131B8E">
        <w:rPr>
          <w:rStyle w:val="IntenseReference"/>
          <w:rFonts w:cs="Arial"/>
          <w:b w:val="0"/>
          <w:bCs w:val="0"/>
          <w:i w:val="0"/>
          <w:smallCaps w:val="0"/>
          <w:color w:val="auto"/>
          <w:spacing w:val="0"/>
          <w:szCs w:val="22"/>
        </w:rPr>
        <w:t xml:space="preserve">Australian </w:t>
      </w:r>
      <w:r w:rsidR="00C30136" w:rsidRPr="00244439">
        <w:rPr>
          <w:rStyle w:val="IntenseReference"/>
          <w:rFonts w:cs="Arial"/>
          <w:b w:val="0"/>
          <w:bCs w:val="0"/>
          <w:i w:val="0"/>
          <w:smallCaps w:val="0"/>
          <w:color w:val="auto"/>
          <w:spacing w:val="0"/>
          <w:szCs w:val="22"/>
        </w:rPr>
        <w:t>health system</w:t>
      </w:r>
      <w:r w:rsidR="00C30136">
        <w:rPr>
          <w:rStyle w:val="IntenseReference"/>
          <w:rFonts w:cs="Arial"/>
          <w:b w:val="0"/>
          <w:bCs w:val="0"/>
          <w:i w:val="0"/>
          <w:smallCaps w:val="0"/>
          <w:color w:val="auto"/>
          <w:spacing w:val="0"/>
          <w:szCs w:val="22"/>
        </w:rPr>
        <w:t xml:space="preserve">. </w:t>
      </w:r>
    </w:p>
    <w:p w:rsidR="00FA6F4B" w:rsidRPr="00CE5E39" w:rsidRDefault="0020000F" w:rsidP="005233B1">
      <w:pPr>
        <w:pStyle w:val="Heading2"/>
        <w:spacing w:after="120"/>
      </w:pPr>
      <w:bookmarkStart w:id="5" w:name="_Toc456019969"/>
      <w:r>
        <w:t>O</w:t>
      </w:r>
      <w:r w:rsidR="00FA6F4B" w:rsidRPr="00CE5E39">
        <w:t>bjectives</w:t>
      </w:r>
      <w:bookmarkEnd w:id="5"/>
      <w:r w:rsidR="00FA6F4B" w:rsidRPr="00CE5E39">
        <w:t xml:space="preserve"> </w:t>
      </w:r>
    </w:p>
    <w:p w:rsidR="00D818FB" w:rsidRDefault="00C30136" w:rsidP="00E04D12">
      <w:pPr>
        <w:rPr>
          <w:rFonts w:cs="Arial"/>
          <w:szCs w:val="22"/>
        </w:rPr>
      </w:pPr>
      <w:r w:rsidRPr="00DC2793">
        <w:rPr>
          <w:rFonts w:cs="Arial"/>
          <w:szCs w:val="22"/>
        </w:rPr>
        <w:t>The</w:t>
      </w:r>
      <w:r>
        <w:rPr>
          <w:rFonts w:cs="Arial"/>
          <w:szCs w:val="22"/>
        </w:rPr>
        <w:t xml:space="preserve"> Commission’s work plan </w:t>
      </w:r>
      <w:r w:rsidRPr="003D42B9">
        <w:rPr>
          <w:rFonts w:cs="Arial"/>
          <w:szCs w:val="22"/>
        </w:rPr>
        <w:t>priorities are developed in partnership with the Commonwealth and the states and territories. The Commission’s strategic approach and priorities for work are underpinned by the principle that the Commission does not duplicate existing work but focusses on areas that can best be improved through a national approach</w:t>
      </w:r>
      <w:r>
        <w:rPr>
          <w:rFonts w:cs="Arial"/>
          <w:szCs w:val="22"/>
        </w:rPr>
        <w:t xml:space="preserve">. </w:t>
      </w:r>
    </w:p>
    <w:p w:rsidR="00FA6F4B" w:rsidRPr="00FC39C1" w:rsidRDefault="00FA6F4B" w:rsidP="00E04D12">
      <w:pPr>
        <w:rPr>
          <w:rStyle w:val="IntenseReference"/>
          <w:b w:val="0"/>
          <w:bCs w:val="0"/>
          <w:i w:val="0"/>
          <w:smallCaps w:val="0"/>
          <w:color w:val="auto"/>
          <w:spacing w:val="0"/>
        </w:rPr>
      </w:pPr>
      <w:r w:rsidRPr="00FC39C1">
        <w:rPr>
          <w:rStyle w:val="IntenseReference"/>
          <w:b w:val="0"/>
          <w:bCs w:val="0"/>
          <w:i w:val="0"/>
          <w:smallCaps w:val="0"/>
          <w:color w:val="auto"/>
          <w:spacing w:val="0"/>
        </w:rPr>
        <w:t xml:space="preserve">The Commission </w:t>
      </w:r>
      <w:r w:rsidR="00B13ED1">
        <w:rPr>
          <w:rStyle w:val="IntenseReference"/>
          <w:b w:val="0"/>
          <w:bCs w:val="0"/>
          <w:i w:val="0"/>
          <w:smallCaps w:val="0"/>
          <w:color w:val="auto"/>
          <w:spacing w:val="0"/>
        </w:rPr>
        <w:t>works towards the achievement of</w:t>
      </w:r>
      <w:r w:rsidRPr="00FC39C1">
        <w:rPr>
          <w:rStyle w:val="IntenseReference"/>
          <w:b w:val="0"/>
          <w:bCs w:val="0"/>
          <w:i w:val="0"/>
          <w:smallCaps w:val="0"/>
          <w:color w:val="auto"/>
          <w:spacing w:val="0"/>
        </w:rPr>
        <w:t xml:space="preserve"> a</w:t>
      </w:r>
      <w:r w:rsidR="00131B8E">
        <w:rPr>
          <w:rStyle w:val="IntenseReference"/>
          <w:b w:val="0"/>
          <w:bCs w:val="0"/>
          <w:i w:val="0"/>
          <w:smallCaps w:val="0"/>
          <w:color w:val="auto"/>
          <w:spacing w:val="0"/>
        </w:rPr>
        <w:t>n Australian</w:t>
      </w:r>
      <w:r w:rsidRPr="00FC39C1">
        <w:rPr>
          <w:rStyle w:val="IntenseReference"/>
          <w:b w:val="0"/>
          <w:bCs w:val="0"/>
          <w:i w:val="0"/>
          <w:smallCaps w:val="0"/>
          <w:color w:val="auto"/>
          <w:spacing w:val="0"/>
        </w:rPr>
        <w:t xml:space="preserve"> health system that is </w:t>
      </w:r>
      <w:proofErr w:type="gramStart"/>
      <w:r w:rsidRPr="00FC39C1">
        <w:rPr>
          <w:rStyle w:val="IntenseReference"/>
          <w:b w:val="0"/>
          <w:bCs w:val="0"/>
          <w:i w:val="0"/>
          <w:smallCaps w:val="0"/>
          <w:color w:val="auto"/>
          <w:spacing w:val="0"/>
        </w:rPr>
        <w:t>informed,</w:t>
      </w:r>
      <w:proofErr w:type="gramEnd"/>
      <w:r w:rsidRPr="00FC39C1">
        <w:rPr>
          <w:rStyle w:val="IntenseReference"/>
          <w:b w:val="0"/>
          <w:bCs w:val="0"/>
          <w:i w:val="0"/>
          <w:smallCaps w:val="0"/>
          <w:color w:val="auto"/>
          <w:spacing w:val="0"/>
        </w:rPr>
        <w:t xml:space="preserve"> supported and organised to deliver safe and high-quality health care that contributes to</w:t>
      </w:r>
      <w:r w:rsidR="00547E16">
        <w:rPr>
          <w:rStyle w:val="IntenseReference"/>
          <w:b w:val="0"/>
          <w:bCs w:val="0"/>
          <w:i w:val="0"/>
          <w:smallCaps w:val="0"/>
          <w:color w:val="auto"/>
          <w:spacing w:val="0"/>
        </w:rPr>
        <w:t xml:space="preserve"> </w:t>
      </w:r>
      <w:r w:rsidRPr="00FC39C1">
        <w:rPr>
          <w:rStyle w:val="IntenseReference"/>
          <w:b w:val="0"/>
          <w:bCs w:val="0"/>
          <w:i w:val="0"/>
          <w:smallCaps w:val="0"/>
          <w:color w:val="auto"/>
          <w:spacing w:val="0"/>
        </w:rPr>
        <w:t>better experiences for patients and consumers</w:t>
      </w:r>
      <w:r w:rsidR="00547E16">
        <w:rPr>
          <w:rStyle w:val="IntenseReference"/>
          <w:b w:val="0"/>
          <w:bCs w:val="0"/>
          <w:i w:val="0"/>
          <w:smallCaps w:val="0"/>
          <w:color w:val="auto"/>
          <w:spacing w:val="0"/>
        </w:rPr>
        <w:t xml:space="preserve"> and </w:t>
      </w:r>
      <w:r w:rsidRPr="00FC39C1">
        <w:rPr>
          <w:rStyle w:val="IntenseReference"/>
          <w:b w:val="0"/>
          <w:bCs w:val="0"/>
          <w:i w:val="0"/>
          <w:smallCaps w:val="0"/>
          <w:color w:val="auto"/>
          <w:spacing w:val="0"/>
        </w:rPr>
        <w:t xml:space="preserve">better health outcomes for </w:t>
      </w:r>
      <w:r w:rsidR="00131B8E" w:rsidRPr="00FC39C1">
        <w:rPr>
          <w:rStyle w:val="IntenseReference"/>
          <w:b w:val="0"/>
          <w:bCs w:val="0"/>
          <w:i w:val="0"/>
          <w:smallCaps w:val="0"/>
          <w:color w:val="auto"/>
          <w:spacing w:val="0"/>
        </w:rPr>
        <w:t>patients, consumers and communities</w:t>
      </w:r>
      <w:r w:rsidR="00547E16">
        <w:rPr>
          <w:rStyle w:val="IntenseReference"/>
          <w:b w:val="0"/>
          <w:bCs w:val="0"/>
          <w:i w:val="0"/>
          <w:smallCaps w:val="0"/>
          <w:color w:val="auto"/>
          <w:spacing w:val="0"/>
        </w:rPr>
        <w:t xml:space="preserve">. </w:t>
      </w:r>
    </w:p>
    <w:p w:rsidR="00A17EC3" w:rsidRPr="00431267" w:rsidRDefault="0020000F" w:rsidP="005233B1">
      <w:pPr>
        <w:pStyle w:val="Heading2"/>
        <w:spacing w:after="120"/>
      </w:pPr>
      <w:bookmarkStart w:id="6" w:name="_Toc456019970"/>
      <w:r>
        <w:t>F</w:t>
      </w:r>
      <w:r w:rsidR="0027242E" w:rsidRPr="00431267">
        <w:t>unction</w:t>
      </w:r>
      <w:r w:rsidR="00CE5E39">
        <w:t>s</w:t>
      </w:r>
      <w:bookmarkEnd w:id="6"/>
    </w:p>
    <w:p w:rsidR="006F461F" w:rsidRPr="002C41D8" w:rsidRDefault="005C6FC6" w:rsidP="00E04D12">
      <w:pPr>
        <w:rPr>
          <w:rStyle w:val="IntenseReference"/>
          <w:b w:val="0"/>
          <w:bCs w:val="0"/>
          <w:i w:val="0"/>
          <w:smallCaps w:val="0"/>
          <w:color w:val="auto"/>
          <w:spacing w:val="0"/>
        </w:rPr>
      </w:pPr>
      <w:r>
        <w:rPr>
          <w:rStyle w:val="IntenseReference"/>
          <w:b w:val="0"/>
          <w:bCs w:val="0"/>
          <w:i w:val="0"/>
          <w:smallCaps w:val="0"/>
          <w:color w:val="auto"/>
          <w:spacing w:val="0"/>
        </w:rPr>
        <w:t xml:space="preserve">Under </w:t>
      </w:r>
      <w:r w:rsidR="00A17EC3" w:rsidRPr="00FC39C1">
        <w:rPr>
          <w:rStyle w:val="IntenseReference"/>
          <w:b w:val="0"/>
          <w:bCs w:val="0"/>
          <w:i w:val="0"/>
          <w:smallCaps w:val="0"/>
          <w:color w:val="auto"/>
          <w:spacing w:val="0"/>
        </w:rPr>
        <w:t xml:space="preserve">Section 9 of the </w:t>
      </w:r>
      <w:r w:rsidR="0027242E" w:rsidRPr="00FC39C1">
        <w:rPr>
          <w:rStyle w:val="IntenseReference"/>
          <w:b w:val="0"/>
          <w:bCs w:val="0"/>
          <w:i w:val="0"/>
          <w:smallCaps w:val="0"/>
          <w:color w:val="auto"/>
          <w:spacing w:val="0"/>
        </w:rPr>
        <w:t>NHR Act</w:t>
      </w:r>
      <w:r>
        <w:rPr>
          <w:rStyle w:val="IntenseReference"/>
          <w:b w:val="0"/>
          <w:bCs w:val="0"/>
          <w:i w:val="0"/>
          <w:smallCaps w:val="0"/>
          <w:color w:val="auto"/>
          <w:spacing w:val="0"/>
        </w:rPr>
        <w:t xml:space="preserve">, </w:t>
      </w:r>
      <w:r w:rsidR="00A17EC3" w:rsidRPr="00FC39C1">
        <w:rPr>
          <w:rStyle w:val="IntenseReference"/>
          <w:b w:val="0"/>
          <w:bCs w:val="0"/>
          <w:i w:val="0"/>
          <w:smallCaps w:val="0"/>
          <w:color w:val="auto"/>
          <w:spacing w:val="0"/>
        </w:rPr>
        <w:t xml:space="preserve">the </w:t>
      </w:r>
      <w:r w:rsidR="006F461F" w:rsidRPr="002C41D8">
        <w:rPr>
          <w:rStyle w:val="IntenseReference"/>
          <w:b w:val="0"/>
          <w:bCs w:val="0"/>
          <w:i w:val="0"/>
          <w:smallCaps w:val="0"/>
          <w:color w:val="auto"/>
          <w:spacing w:val="0"/>
        </w:rPr>
        <w:t>Commission</w:t>
      </w:r>
      <w:r w:rsidR="001C5BB6">
        <w:rPr>
          <w:rStyle w:val="IntenseReference"/>
          <w:b w:val="0"/>
          <w:bCs w:val="0"/>
          <w:i w:val="0"/>
          <w:smallCaps w:val="0"/>
          <w:color w:val="auto"/>
          <w:spacing w:val="0"/>
        </w:rPr>
        <w:t xml:space="preserve">’s </w:t>
      </w:r>
      <w:r w:rsidR="006F461F" w:rsidRPr="002C41D8">
        <w:rPr>
          <w:rStyle w:val="IntenseReference"/>
          <w:b w:val="0"/>
          <w:bCs w:val="0"/>
          <w:i w:val="0"/>
          <w:smallCaps w:val="0"/>
          <w:color w:val="auto"/>
          <w:spacing w:val="0"/>
        </w:rPr>
        <w:t>functions</w:t>
      </w:r>
      <w:r w:rsidR="001C5BB6">
        <w:rPr>
          <w:rStyle w:val="IntenseReference"/>
          <w:b w:val="0"/>
          <w:bCs w:val="0"/>
          <w:i w:val="0"/>
          <w:smallCaps w:val="0"/>
          <w:color w:val="auto"/>
          <w:spacing w:val="0"/>
        </w:rPr>
        <w:t xml:space="preserve"> are</w:t>
      </w:r>
      <w:r w:rsidR="00E575CD">
        <w:rPr>
          <w:rStyle w:val="IntenseReference"/>
          <w:b w:val="0"/>
          <w:bCs w:val="0"/>
          <w:i w:val="0"/>
          <w:smallCaps w:val="0"/>
          <w:color w:val="auto"/>
          <w:spacing w:val="0"/>
        </w:rPr>
        <w:t xml:space="preserve"> to</w:t>
      </w:r>
      <w:r w:rsidR="006F461F" w:rsidRPr="002C41D8">
        <w:rPr>
          <w:rStyle w:val="IntenseReference"/>
          <w:b w:val="0"/>
          <w:bCs w:val="0"/>
          <w:i w:val="0"/>
          <w:smallCaps w:val="0"/>
          <w:color w:val="auto"/>
          <w:spacing w:val="0"/>
        </w:rPr>
        <w:t>:</w:t>
      </w:r>
    </w:p>
    <w:p w:rsidR="00960C83" w:rsidRPr="002C41D8" w:rsidRDefault="00960C83" w:rsidP="00E04D12">
      <w:pPr>
        <w:pStyle w:val="ListParagraph"/>
        <w:numPr>
          <w:ilvl w:val="0"/>
          <w:numId w:val="7"/>
        </w:numPr>
        <w:contextualSpacing w:val="0"/>
        <w:rPr>
          <w:rStyle w:val="IntenseReference"/>
          <w:b w:val="0"/>
          <w:bCs w:val="0"/>
          <w:i w:val="0"/>
          <w:smallCaps w:val="0"/>
          <w:color w:val="auto"/>
          <w:spacing w:val="0"/>
        </w:rPr>
      </w:pPr>
      <w:r w:rsidRPr="002C41D8">
        <w:rPr>
          <w:rStyle w:val="IntenseReference"/>
          <w:b w:val="0"/>
          <w:bCs w:val="0"/>
          <w:i w:val="0"/>
          <w:smallCaps w:val="0"/>
          <w:color w:val="auto"/>
          <w:spacing w:val="0"/>
        </w:rPr>
        <w:t>promote, support and encourage the implementation of arrangements, programs and</w:t>
      </w:r>
      <w:r w:rsidR="001C5BB6">
        <w:rPr>
          <w:rStyle w:val="IntenseReference"/>
          <w:b w:val="0"/>
          <w:bCs w:val="0"/>
          <w:i w:val="0"/>
          <w:smallCaps w:val="0"/>
          <w:color w:val="auto"/>
          <w:spacing w:val="0"/>
        </w:rPr>
        <w:t xml:space="preserve"> initiatives relating to health</w:t>
      </w:r>
      <w:r w:rsidR="00131B8E">
        <w:rPr>
          <w:rStyle w:val="IntenseReference"/>
          <w:b w:val="0"/>
          <w:bCs w:val="0"/>
          <w:i w:val="0"/>
          <w:smallCaps w:val="0"/>
          <w:color w:val="auto"/>
          <w:spacing w:val="0"/>
        </w:rPr>
        <w:t xml:space="preserve"> </w:t>
      </w:r>
      <w:r w:rsidRPr="002C41D8">
        <w:rPr>
          <w:rStyle w:val="IntenseReference"/>
          <w:b w:val="0"/>
          <w:bCs w:val="0"/>
          <w:i w:val="0"/>
          <w:smallCaps w:val="0"/>
          <w:color w:val="auto"/>
          <w:spacing w:val="0"/>
        </w:rPr>
        <w:t>care safety and quality matters;</w:t>
      </w:r>
    </w:p>
    <w:p w:rsidR="00960C83" w:rsidRPr="002C41D8" w:rsidRDefault="00960C83" w:rsidP="00E04D12">
      <w:pPr>
        <w:pStyle w:val="ListParagraph"/>
        <w:numPr>
          <w:ilvl w:val="0"/>
          <w:numId w:val="7"/>
        </w:numPr>
        <w:contextualSpacing w:val="0"/>
        <w:rPr>
          <w:rStyle w:val="IntenseReference"/>
          <w:b w:val="0"/>
          <w:bCs w:val="0"/>
          <w:i w:val="0"/>
          <w:smallCaps w:val="0"/>
          <w:color w:val="auto"/>
          <w:spacing w:val="0"/>
        </w:rPr>
      </w:pPr>
      <w:r w:rsidRPr="002C41D8">
        <w:rPr>
          <w:rStyle w:val="IntenseReference"/>
          <w:b w:val="0"/>
          <w:bCs w:val="0"/>
          <w:i w:val="0"/>
          <w:smallCaps w:val="0"/>
          <w:color w:val="auto"/>
          <w:spacing w:val="0"/>
        </w:rPr>
        <w:t>collect, analyse, interpret and disseminate information relating to healthcare safety and quality matters;</w:t>
      </w:r>
    </w:p>
    <w:p w:rsidR="00960C83" w:rsidRPr="002C41D8" w:rsidRDefault="00960C83" w:rsidP="00E04D12">
      <w:pPr>
        <w:pStyle w:val="ListParagraph"/>
        <w:numPr>
          <w:ilvl w:val="0"/>
          <w:numId w:val="7"/>
        </w:numPr>
        <w:contextualSpacing w:val="0"/>
        <w:rPr>
          <w:rStyle w:val="IntenseReference"/>
          <w:b w:val="0"/>
          <w:bCs w:val="0"/>
          <w:i w:val="0"/>
          <w:smallCaps w:val="0"/>
          <w:color w:val="auto"/>
          <w:spacing w:val="0"/>
        </w:rPr>
      </w:pPr>
      <w:r w:rsidRPr="002C41D8">
        <w:rPr>
          <w:rStyle w:val="IntenseReference"/>
          <w:b w:val="0"/>
          <w:bCs w:val="0"/>
          <w:i w:val="0"/>
          <w:smallCaps w:val="0"/>
          <w:color w:val="auto"/>
          <w:spacing w:val="0"/>
        </w:rPr>
        <w:t>advise the Minister about health</w:t>
      </w:r>
      <w:r w:rsidR="00131B8E">
        <w:rPr>
          <w:rStyle w:val="IntenseReference"/>
          <w:b w:val="0"/>
          <w:bCs w:val="0"/>
          <w:i w:val="0"/>
          <w:smallCaps w:val="0"/>
          <w:color w:val="auto"/>
          <w:spacing w:val="0"/>
        </w:rPr>
        <w:t xml:space="preserve"> </w:t>
      </w:r>
      <w:r w:rsidRPr="002C41D8">
        <w:rPr>
          <w:rStyle w:val="IntenseReference"/>
          <w:b w:val="0"/>
          <w:bCs w:val="0"/>
          <w:i w:val="0"/>
          <w:smallCaps w:val="0"/>
          <w:color w:val="auto"/>
          <w:spacing w:val="0"/>
        </w:rPr>
        <w:t>care safety and quality matters;</w:t>
      </w:r>
    </w:p>
    <w:p w:rsidR="00960C83" w:rsidRPr="002C41D8" w:rsidRDefault="00960C83" w:rsidP="00E04D12">
      <w:pPr>
        <w:pStyle w:val="ListParagraph"/>
        <w:numPr>
          <w:ilvl w:val="0"/>
          <w:numId w:val="7"/>
        </w:numPr>
        <w:contextualSpacing w:val="0"/>
        <w:rPr>
          <w:rStyle w:val="IntenseReference"/>
          <w:b w:val="0"/>
          <w:bCs w:val="0"/>
          <w:i w:val="0"/>
          <w:smallCaps w:val="0"/>
          <w:color w:val="auto"/>
          <w:spacing w:val="0"/>
        </w:rPr>
      </w:pPr>
      <w:r w:rsidRPr="002C41D8">
        <w:rPr>
          <w:rStyle w:val="IntenseReference"/>
          <w:b w:val="0"/>
          <w:bCs w:val="0"/>
          <w:i w:val="0"/>
          <w:smallCaps w:val="0"/>
          <w:color w:val="auto"/>
          <w:spacing w:val="0"/>
        </w:rPr>
        <w:t>publish (whether on the internet or otherwise) reports and papers relating to health</w:t>
      </w:r>
      <w:r w:rsidR="00131B8E">
        <w:rPr>
          <w:rStyle w:val="IntenseReference"/>
          <w:b w:val="0"/>
          <w:bCs w:val="0"/>
          <w:i w:val="0"/>
          <w:smallCaps w:val="0"/>
          <w:color w:val="auto"/>
          <w:spacing w:val="0"/>
        </w:rPr>
        <w:t xml:space="preserve"> </w:t>
      </w:r>
      <w:r w:rsidRPr="002C41D8">
        <w:rPr>
          <w:rStyle w:val="IntenseReference"/>
          <w:b w:val="0"/>
          <w:bCs w:val="0"/>
          <w:i w:val="0"/>
          <w:smallCaps w:val="0"/>
          <w:color w:val="auto"/>
          <w:spacing w:val="0"/>
        </w:rPr>
        <w:t>care safety and quality matters;</w:t>
      </w:r>
    </w:p>
    <w:p w:rsidR="00960C83" w:rsidRPr="002C41D8" w:rsidRDefault="00960C83" w:rsidP="00E04D12">
      <w:pPr>
        <w:pStyle w:val="ListParagraph"/>
        <w:numPr>
          <w:ilvl w:val="0"/>
          <w:numId w:val="7"/>
        </w:numPr>
        <w:contextualSpacing w:val="0"/>
        <w:rPr>
          <w:rStyle w:val="IntenseReference"/>
          <w:b w:val="0"/>
          <w:bCs w:val="0"/>
          <w:i w:val="0"/>
          <w:smallCaps w:val="0"/>
          <w:color w:val="auto"/>
          <w:spacing w:val="0"/>
        </w:rPr>
      </w:pPr>
      <w:r w:rsidRPr="002C41D8">
        <w:rPr>
          <w:rStyle w:val="IntenseReference"/>
          <w:b w:val="0"/>
          <w:bCs w:val="0"/>
          <w:i w:val="0"/>
          <w:smallCaps w:val="0"/>
          <w:color w:val="auto"/>
          <w:spacing w:val="0"/>
        </w:rPr>
        <w:t>formulate, in writing, standards</w:t>
      </w:r>
      <w:r w:rsidR="00E575CD">
        <w:rPr>
          <w:rStyle w:val="IntenseReference"/>
          <w:b w:val="0"/>
          <w:bCs w:val="0"/>
          <w:i w:val="0"/>
          <w:smallCaps w:val="0"/>
          <w:color w:val="auto"/>
          <w:spacing w:val="0"/>
        </w:rPr>
        <w:t>,</w:t>
      </w:r>
      <w:r w:rsidRPr="002C41D8">
        <w:rPr>
          <w:rStyle w:val="IntenseReference"/>
          <w:b w:val="0"/>
          <w:bCs w:val="0"/>
          <w:i w:val="0"/>
          <w:smallCaps w:val="0"/>
          <w:color w:val="auto"/>
          <w:spacing w:val="0"/>
        </w:rPr>
        <w:t xml:space="preserve"> relating to health</w:t>
      </w:r>
      <w:r w:rsidR="00131B8E">
        <w:rPr>
          <w:rStyle w:val="IntenseReference"/>
          <w:b w:val="0"/>
          <w:bCs w:val="0"/>
          <w:i w:val="0"/>
          <w:smallCaps w:val="0"/>
          <w:color w:val="auto"/>
          <w:spacing w:val="0"/>
        </w:rPr>
        <w:t xml:space="preserve"> </w:t>
      </w:r>
      <w:r w:rsidRPr="002C41D8">
        <w:rPr>
          <w:rStyle w:val="IntenseReference"/>
          <w:b w:val="0"/>
          <w:bCs w:val="0"/>
          <w:i w:val="0"/>
          <w:smallCaps w:val="0"/>
          <w:color w:val="auto"/>
          <w:spacing w:val="0"/>
        </w:rPr>
        <w:t>care safety and quality matters;</w:t>
      </w:r>
    </w:p>
    <w:p w:rsidR="00960C83" w:rsidRPr="002C41D8" w:rsidRDefault="00960C83" w:rsidP="00E04D12">
      <w:pPr>
        <w:pStyle w:val="ListParagraph"/>
        <w:numPr>
          <w:ilvl w:val="0"/>
          <w:numId w:val="7"/>
        </w:numPr>
        <w:contextualSpacing w:val="0"/>
        <w:rPr>
          <w:rStyle w:val="IntenseReference"/>
          <w:b w:val="0"/>
          <w:bCs w:val="0"/>
          <w:i w:val="0"/>
          <w:smallCaps w:val="0"/>
          <w:color w:val="auto"/>
          <w:spacing w:val="0"/>
        </w:rPr>
      </w:pPr>
      <w:r w:rsidRPr="002C41D8">
        <w:rPr>
          <w:rStyle w:val="IntenseReference"/>
          <w:b w:val="0"/>
          <w:bCs w:val="0"/>
          <w:i w:val="0"/>
          <w:smallCaps w:val="0"/>
          <w:color w:val="auto"/>
          <w:spacing w:val="0"/>
        </w:rPr>
        <w:t>formulate, in writing, guidelines relating to health care safety and quality matters;</w:t>
      </w:r>
    </w:p>
    <w:p w:rsidR="00960C83" w:rsidRPr="002C41D8" w:rsidRDefault="002C41D8" w:rsidP="00E04D12">
      <w:pPr>
        <w:pStyle w:val="ListParagraph"/>
        <w:numPr>
          <w:ilvl w:val="0"/>
          <w:numId w:val="7"/>
        </w:numPr>
        <w:contextualSpacing w:val="0"/>
        <w:rPr>
          <w:rStyle w:val="IntenseReference"/>
          <w:b w:val="0"/>
          <w:bCs w:val="0"/>
          <w:i w:val="0"/>
          <w:smallCaps w:val="0"/>
          <w:color w:val="auto"/>
          <w:spacing w:val="0"/>
        </w:rPr>
      </w:pPr>
      <w:r>
        <w:rPr>
          <w:rStyle w:val="IntenseReference"/>
          <w:b w:val="0"/>
          <w:bCs w:val="0"/>
          <w:i w:val="0"/>
          <w:smallCaps w:val="0"/>
          <w:color w:val="auto"/>
          <w:spacing w:val="0"/>
        </w:rPr>
        <w:t>f</w:t>
      </w:r>
      <w:r w:rsidR="00960C83" w:rsidRPr="002C41D8">
        <w:rPr>
          <w:rStyle w:val="IntenseReference"/>
          <w:b w:val="0"/>
          <w:bCs w:val="0"/>
          <w:i w:val="0"/>
          <w:smallCaps w:val="0"/>
          <w:color w:val="auto"/>
          <w:spacing w:val="0"/>
        </w:rPr>
        <w:t>ormulate, in writing, indicators relating to health care safety and quality matters;</w:t>
      </w:r>
    </w:p>
    <w:p w:rsidR="00960C83" w:rsidRPr="002C41D8" w:rsidRDefault="00960C83" w:rsidP="00E04D12">
      <w:pPr>
        <w:pStyle w:val="ListParagraph"/>
        <w:numPr>
          <w:ilvl w:val="0"/>
          <w:numId w:val="7"/>
        </w:numPr>
        <w:contextualSpacing w:val="0"/>
        <w:rPr>
          <w:rStyle w:val="IntenseReference"/>
          <w:b w:val="0"/>
          <w:bCs w:val="0"/>
          <w:i w:val="0"/>
          <w:smallCaps w:val="0"/>
          <w:color w:val="auto"/>
          <w:spacing w:val="0"/>
        </w:rPr>
      </w:pPr>
      <w:r w:rsidRPr="002C41D8">
        <w:rPr>
          <w:rStyle w:val="IntenseReference"/>
          <w:b w:val="0"/>
          <w:bCs w:val="0"/>
          <w:i w:val="0"/>
          <w:smallCaps w:val="0"/>
          <w:color w:val="auto"/>
          <w:spacing w:val="0"/>
        </w:rPr>
        <w:t>promote, support and encourage the implementation of</w:t>
      </w:r>
      <w:r w:rsidR="002C41D8">
        <w:rPr>
          <w:rStyle w:val="IntenseReference"/>
          <w:b w:val="0"/>
          <w:bCs w:val="0"/>
          <w:i w:val="0"/>
          <w:smallCaps w:val="0"/>
          <w:color w:val="auto"/>
          <w:spacing w:val="0"/>
        </w:rPr>
        <w:t xml:space="preserve"> standards and guidelines;</w:t>
      </w:r>
    </w:p>
    <w:p w:rsidR="00960C83" w:rsidRPr="002C41D8" w:rsidRDefault="00960C83" w:rsidP="00E04D12">
      <w:pPr>
        <w:pStyle w:val="ListParagraph"/>
        <w:numPr>
          <w:ilvl w:val="0"/>
          <w:numId w:val="7"/>
        </w:numPr>
        <w:contextualSpacing w:val="0"/>
        <w:rPr>
          <w:rStyle w:val="IntenseReference"/>
          <w:b w:val="0"/>
          <w:bCs w:val="0"/>
          <w:i w:val="0"/>
          <w:smallCaps w:val="0"/>
          <w:color w:val="auto"/>
          <w:spacing w:val="0"/>
        </w:rPr>
      </w:pPr>
      <w:r w:rsidRPr="002C41D8">
        <w:rPr>
          <w:rStyle w:val="IntenseReference"/>
          <w:b w:val="0"/>
          <w:bCs w:val="0"/>
          <w:i w:val="0"/>
          <w:smallCaps w:val="0"/>
          <w:color w:val="auto"/>
          <w:spacing w:val="0"/>
        </w:rPr>
        <w:lastRenderedPageBreak/>
        <w:t>promote, support and encourage the use of indicators monitor the implementation and impact of</w:t>
      </w:r>
      <w:r w:rsidR="002C41D8">
        <w:rPr>
          <w:rStyle w:val="IntenseReference"/>
          <w:b w:val="0"/>
          <w:bCs w:val="0"/>
          <w:i w:val="0"/>
          <w:smallCaps w:val="0"/>
          <w:color w:val="auto"/>
          <w:spacing w:val="0"/>
        </w:rPr>
        <w:t xml:space="preserve"> standards and guidelines;</w:t>
      </w:r>
    </w:p>
    <w:p w:rsidR="00960C83" w:rsidRPr="002C41D8" w:rsidRDefault="00960C83" w:rsidP="00E04D12">
      <w:pPr>
        <w:pStyle w:val="ListParagraph"/>
        <w:numPr>
          <w:ilvl w:val="0"/>
          <w:numId w:val="7"/>
        </w:numPr>
        <w:contextualSpacing w:val="0"/>
        <w:rPr>
          <w:rStyle w:val="IntenseReference"/>
          <w:b w:val="0"/>
          <w:bCs w:val="0"/>
          <w:i w:val="0"/>
          <w:smallCaps w:val="0"/>
          <w:color w:val="auto"/>
          <w:spacing w:val="0"/>
        </w:rPr>
      </w:pPr>
      <w:r w:rsidRPr="002C41D8">
        <w:rPr>
          <w:rStyle w:val="IntenseReference"/>
          <w:b w:val="0"/>
          <w:bCs w:val="0"/>
          <w:i w:val="0"/>
          <w:smallCaps w:val="0"/>
          <w:color w:val="auto"/>
          <w:spacing w:val="0"/>
        </w:rPr>
        <w:t>advise</w:t>
      </w:r>
      <w:r w:rsidR="00E575CD" w:rsidRPr="00E575CD">
        <w:rPr>
          <w:rStyle w:val="IntenseReference"/>
          <w:b w:val="0"/>
          <w:bCs w:val="0"/>
          <w:i w:val="0"/>
          <w:smallCaps w:val="0"/>
          <w:color w:val="auto"/>
          <w:spacing w:val="0"/>
        </w:rPr>
        <w:t xml:space="preserve"> </w:t>
      </w:r>
      <w:r w:rsidR="002C41D8">
        <w:rPr>
          <w:rStyle w:val="IntenseReference"/>
          <w:b w:val="0"/>
          <w:bCs w:val="0"/>
          <w:i w:val="0"/>
          <w:smallCaps w:val="0"/>
          <w:color w:val="auto"/>
          <w:spacing w:val="0"/>
        </w:rPr>
        <w:t xml:space="preserve">the Minister and </w:t>
      </w:r>
      <w:r w:rsidRPr="002C41D8">
        <w:rPr>
          <w:rStyle w:val="IntenseReference"/>
          <w:b w:val="0"/>
          <w:bCs w:val="0"/>
          <w:i w:val="0"/>
          <w:smallCaps w:val="0"/>
          <w:color w:val="auto"/>
          <w:spacing w:val="0"/>
        </w:rPr>
        <w:t xml:space="preserve">each participating </w:t>
      </w:r>
      <w:r w:rsidR="00E575CD">
        <w:rPr>
          <w:rStyle w:val="IntenseReference"/>
          <w:b w:val="0"/>
          <w:bCs w:val="0"/>
          <w:i w:val="0"/>
          <w:smallCaps w:val="0"/>
          <w:color w:val="auto"/>
          <w:spacing w:val="0"/>
        </w:rPr>
        <w:t>s</w:t>
      </w:r>
      <w:r w:rsidRPr="002C41D8">
        <w:rPr>
          <w:rStyle w:val="IntenseReference"/>
          <w:b w:val="0"/>
          <w:bCs w:val="0"/>
          <w:i w:val="0"/>
          <w:smallCaps w:val="0"/>
          <w:color w:val="auto"/>
          <w:spacing w:val="0"/>
        </w:rPr>
        <w:t>tate</w:t>
      </w:r>
      <w:r w:rsidR="00E575CD">
        <w:rPr>
          <w:rStyle w:val="IntenseReference"/>
          <w:b w:val="0"/>
          <w:bCs w:val="0"/>
          <w:i w:val="0"/>
          <w:smallCaps w:val="0"/>
          <w:color w:val="auto"/>
          <w:spacing w:val="0"/>
        </w:rPr>
        <w:t xml:space="preserve"> and t</w:t>
      </w:r>
      <w:r w:rsidRPr="002C41D8">
        <w:rPr>
          <w:rStyle w:val="IntenseReference"/>
          <w:b w:val="0"/>
          <w:bCs w:val="0"/>
          <w:i w:val="0"/>
          <w:smallCaps w:val="0"/>
          <w:color w:val="auto"/>
          <w:spacing w:val="0"/>
        </w:rPr>
        <w:t>erritory Health Minister</w:t>
      </w:r>
      <w:r w:rsidR="00A17648" w:rsidRPr="002C41D8">
        <w:rPr>
          <w:rStyle w:val="IntenseReference"/>
          <w:b w:val="0"/>
          <w:bCs w:val="0"/>
          <w:i w:val="0"/>
          <w:smallCaps w:val="0"/>
          <w:color w:val="auto"/>
          <w:spacing w:val="0"/>
        </w:rPr>
        <w:t xml:space="preserve"> </w:t>
      </w:r>
      <w:r w:rsidRPr="002C41D8">
        <w:rPr>
          <w:rStyle w:val="IntenseReference"/>
          <w:b w:val="0"/>
          <w:bCs w:val="0"/>
          <w:i w:val="0"/>
          <w:smallCaps w:val="0"/>
          <w:color w:val="auto"/>
          <w:spacing w:val="0"/>
        </w:rPr>
        <w:t>about which standards are suitable for implementation as national clinical standards</w:t>
      </w:r>
      <w:r w:rsidR="002C41D8">
        <w:rPr>
          <w:rStyle w:val="IntenseReference"/>
          <w:b w:val="0"/>
          <w:bCs w:val="0"/>
          <w:i w:val="0"/>
          <w:smallCaps w:val="0"/>
          <w:color w:val="auto"/>
          <w:spacing w:val="0"/>
        </w:rPr>
        <w:t>;</w:t>
      </w:r>
    </w:p>
    <w:p w:rsidR="00960C83" w:rsidRPr="002C41D8" w:rsidRDefault="002C41D8" w:rsidP="00E04D12">
      <w:pPr>
        <w:pStyle w:val="ListParagraph"/>
        <w:numPr>
          <w:ilvl w:val="0"/>
          <w:numId w:val="7"/>
        </w:numPr>
        <w:contextualSpacing w:val="0"/>
        <w:rPr>
          <w:rStyle w:val="IntenseReference"/>
          <w:b w:val="0"/>
          <w:bCs w:val="0"/>
          <w:i w:val="0"/>
          <w:smallCaps w:val="0"/>
          <w:color w:val="auto"/>
          <w:spacing w:val="0"/>
        </w:rPr>
      </w:pPr>
      <w:r w:rsidRPr="002C41D8">
        <w:rPr>
          <w:rStyle w:val="IntenseReference"/>
          <w:b w:val="0"/>
          <w:bCs w:val="0"/>
          <w:i w:val="0"/>
          <w:smallCaps w:val="0"/>
          <w:color w:val="auto"/>
          <w:spacing w:val="0"/>
        </w:rPr>
        <w:t xml:space="preserve">formulate </w:t>
      </w:r>
      <w:r w:rsidR="00960C83" w:rsidRPr="002C41D8">
        <w:rPr>
          <w:rStyle w:val="IntenseReference"/>
          <w:b w:val="0"/>
          <w:bCs w:val="0"/>
          <w:i w:val="0"/>
          <w:smallCaps w:val="0"/>
          <w:color w:val="auto"/>
          <w:spacing w:val="0"/>
        </w:rPr>
        <w:t>model national schemes that</w:t>
      </w:r>
      <w:r w:rsidRPr="002C41D8">
        <w:rPr>
          <w:rStyle w:val="IntenseReference"/>
          <w:b w:val="0"/>
          <w:bCs w:val="0"/>
          <w:i w:val="0"/>
          <w:smallCaps w:val="0"/>
          <w:color w:val="auto"/>
          <w:spacing w:val="0"/>
        </w:rPr>
        <w:t xml:space="preserve"> </w:t>
      </w:r>
      <w:r w:rsidR="00960C83" w:rsidRPr="002C41D8">
        <w:rPr>
          <w:rStyle w:val="IntenseReference"/>
          <w:b w:val="0"/>
          <w:bCs w:val="0"/>
          <w:i w:val="0"/>
          <w:smallCaps w:val="0"/>
          <w:color w:val="auto"/>
          <w:spacing w:val="0"/>
        </w:rPr>
        <w:t>provide for the accreditation of organisations that provide healthcare services and</w:t>
      </w:r>
      <w:r w:rsidRPr="002C41D8">
        <w:rPr>
          <w:rStyle w:val="IntenseReference"/>
          <w:b w:val="0"/>
          <w:bCs w:val="0"/>
          <w:i w:val="0"/>
          <w:smallCaps w:val="0"/>
          <w:color w:val="auto"/>
          <w:spacing w:val="0"/>
        </w:rPr>
        <w:t xml:space="preserve"> </w:t>
      </w:r>
      <w:r>
        <w:rPr>
          <w:rStyle w:val="IntenseReference"/>
          <w:b w:val="0"/>
          <w:bCs w:val="0"/>
          <w:i w:val="0"/>
          <w:smallCaps w:val="0"/>
          <w:color w:val="auto"/>
          <w:spacing w:val="0"/>
        </w:rPr>
        <w:t>r</w:t>
      </w:r>
      <w:r w:rsidR="00960C83" w:rsidRPr="002C41D8">
        <w:rPr>
          <w:rStyle w:val="IntenseReference"/>
          <w:b w:val="0"/>
          <w:bCs w:val="0"/>
          <w:i w:val="0"/>
          <w:smallCaps w:val="0"/>
          <w:color w:val="auto"/>
          <w:spacing w:val="0"/>
        </w:rPr>
        <w:t>elate to health care safety and quality matters;</w:t>
      </w:r>
    </w:p>
    <w:p w:rsidR="00960C83" w:rsidRPr="002C41D8" w:rsidRDefault="00960C83" w:rsidP="00E04D12">
      <w:pPr>
        <w:pStyle w:val="ListParagraph"/>
        <w:numPr>
          <w:ilvl w:val="0"/>
          <w:numId w:val="7"/>
        </w:numPr>
        <w:contextualSpacing w:val="0"/>
        <w:rPr>
          <w:rStyle w:val="IntenseReference"/>
          <w:b w:val="0"/>
          <w:bCs w:val="0"/>
          <w:i w:val="0"/>
          <w:smallCaps w:val="0"/>
          <w:color w:val="auto"/>
          <w:spacing w:val="0"/>
        </w:rPr>
      </w:pPr>
      <w:r w:rsidRPr="002C41D8">
        <w:rPr>
          <w:rStyle w:val="IntenseReference"/>
          <w:b w:val="0"/>
          <w:bCs w:val="0"/>
          <w:i w:val="0"/>
          <w:smallCaps w:val="0"/>
          <w:color w:val="auto"/>
          <w:spacing w:val="0"/>
        </w:rPr>
        <w:t>consult and cooperate with other persons, organisations and governments on healthcare safety and quality matters;</w:t>
      </w:r>
    </w:p>
    <w:p w:rsidR="00960C83" w:rsidRPr="002C41D8" w:rsidRDefault="00960C83" w:rsidP="00E04D12">
      <w:pPr>
        <w:pStyle w:val="ListParagraph"/>
        <w:numPr>
          <w:ilvl w:val="0"/>
          <w:numId w:val="7"/>
        </w:numPr>
        <w:contextualSpacing w:val="0"/>
        <w:rPr>
          <w:rStyle w:val="IntenseReference"/>
          <w:b w:val="0"/>
          <w:bCs w:val="0"/>
          <w:i w:val="0"/>
          <w:smallCaps w:val="0"/>
          <w:color w:val="auto"/>
          <w:spacing w:val="0"/>
        </w:rPr>
      </w:pPr>
      <w:r w:rsidRPr="002C41D8">
        <w:rPr>
          <w:rStyle w:val="IntenseReference"/>
          <w:b w:val="0"/>
          <w:bCs w:val="0"/>
          <w:i w:val="0"/>
          <w:smallCaps w:val="0"/>
          <w:color w:val="auto"/>
          <w:spacing w:val="0"/>
        </w:rPr>
        <w:t>promote, support, encourage, conduct and evaluate training programs for purposes in connection with the performance of any of the Commission’s functions</w:t>
      </w:r>
      <w:r w:rsidR="00DD784A">
        <w:rPr>
          <w:rStyle w:val="IntenseReference"/>
          <w:b w:val="0"/>
          <w:bCs w:val="0"/>
          <w:i w:val="0"/>
          <w:smallCaps w:val="0"/>
          <w:color w:val="auto"/>
          <w:spacing w:val="0"/>
        </w:rPr>
        <w:t>;</w:t>
      </w:r>
    </w:p>
    <w:p w:rsidR="00960C83" w:rsidRPr="002C41D8" w:rsidRDefault="00960C83" w:rsidP="00E04D12">
      <w:pPr>
        <w:pStyle w:val="ListParagraph"/>
        <w:numPr>
          <w:ilvl w:val="0"/>
          <w:numId w:val="7"/>
        </w:numPr>
        <w:contextualSpacing w:val="0"/>
        <w:rPr>
          <w:rStyle w:val="IntenseReference"/>
          <w:b w:val="0"/>
          <w:bCs w:val="0"/>
          <w:i w:val="0"/>
          <w:smallCaps w:val="0"/>
          <w:color w:val="auto"/>
          <w:spacing w:val="0"/>
        </w:rPr>
      </w:pPr>
      <w:r w:rsidRPr="002C41D8">
        <w:rPr>
          <w:rStyle w:val="IntenseReference"/>
          <w:b w:val="0"/>
          <w:bCs w:val="0"/>
          <w:i w:val="0"/>
          <w:smallCaps w:val="0"/>
          <w:color w:val="auto"/>
          <w:spacing w:val="0"/>
        </w:rPr>
        <w:t>promote, support, encourage, conduct and evaluate research for purposes in connection with the performance of any of the Commission’s functions</w:t>
      </w:r>
      <w:r w:rsidR="00DD784A">
        <w:rPr>
          <w:rStyle w:val="IntenseReference"/>
          <w:b w:val="0"/>
          <w:bCs w:val="0"/>
          <w:i w:val="0"/>
          <w:smallCaps w:val="0"/>
          <w:color w:val="auto"/>
          <w:spacing w:val="0"/>
        </w:rPr>
        <w:t>; and</w:t>
      </w:r>
    </w:p>
    <w:p w:rsidR="00960C83" w:rsidRPr="002C41D8" w:rsidRDefault="00960C83" w:rsidP="00E04D12">
      <w:pPr>
        <w:pStyle w:val="ListParagraph"/>
        <w:numPr>
          <w:ilvl w:val="0"/>
          <w:numId w:val="7"/>
        </w:numPr>
        <w:contextualSpacing w:val="0"/>
        <w:rPr>
          <w:rStyle w:val="IntenseReference"/>
          <w:b w:val="0"/>
          <w:bCs w:val="0"/>
          <w:i w:val="0"/>
          <w:smallCaps w:val="0"/>
          <w:color w:val="auto"/>
          <w:spacing w:val="0"/>
        </w:rPr>
      </w:pPr>
      <w:proofErr w:type="gramStart"/>
      <w:r w:rsidRPr="002C41D8">
        <w:rPr>
          <w:rStyle w:val="IntenseReference"/>
          <w:b w:val="0"/>
          <w:bCs w:val="0"/>
          <w:i w:val="0"/>
          <w:smallCaps w:val="0"/>
          <w:color w:val="auto"/>
          <w:spacing w:val="0"/>
        </w:rPr>
        <w:t>do</w:t>
      </w:r>
      <w:proofErr w:type="gramEnd"/>
      <w:r w:rsidRPr="002C41D8">
        <w:rPr>
          <w:rStyle w:val="IntenseReference"/>
          <w:b w:val="0"/>
          <w:bCs w:val="0"/>
          <w:i w:val="0"/>
          <w:smallCaps w:val="0"/>
          <w:color w:val="auto"/>
          <w:spacing w:val="0"/>
        </w:rPr>
        <w:t xml:space="preserve"> anything incidental to or conducive to the performance of any of the above functions.</w:t>
      </w:r>
    </w:p>
    <w:p w:rsidR="00F84A04" w:rsidRDefault="00431267" w:rsidP="00E04D12">
      <w:pPr>
        <w:rPr>
          <w:rStyle w:val="IntenseReference"/>
          <w:b w:val="0"/>
          <w:bCs w:val="0"/>
          <w:i w:val="0"/>
          <w:smallCaps w:val="0"/>
          <w:color w:val="auto"/>
          <w:spacing w:val="0"/>
        </w:rPr>
      </w:pPr>
      <w:r w:rsidRPr="00FC39C1">
        <w:rPr>
          <w:rStyle w:val="IntenseReference"/>
          <w:b w:val="0"/>
          <w:bCs w:val="0"/>
          <w:i w:val="0"/>
          <w:smallCaps w:val="0"/>
          <w:color w:val="auto"/>
          <w:spacing w:val="0"/>
        </w:rPr>
        <w:t xml:space="preserve">These functions </w:t>
      </w:r>
      <w:r w:rsidR="000F2256" w:rsidRPr="00FC39C1">
        <w:rPr>
          <w:rStyle w:val="IntenseReference"/>
          <w:b w:val="0"/>
          <w:bCs w:val="0"/>
          <w:i w:val="0"/>
          <w:smallCaps w:val="0"/>
          <w:color w:val="auto"/>
          <w:spacing w:val="0"/>
        </w:rPr>
        <w:t xml:space="preserve">guide </w:t>
      </w:r>
      <w:r w:rsidRPr="00FC39C1">
        <w:rPr>
          <w:rStyle w:val="IntenseReference"/>
          <w:b w:val="0"/>
          <w:bCs w:val="0"/>
          <w:i w:val="0"/>
          <w:smallCaps w:val="0"/>
          <w:color w:val="auto"/>
          <w:spacing w:val="0"/>
        </w:rPr>
        <w:t xml:space="preserve">the Commission </w:t>
      </w:r>
      <w:r w:rsidR="000F2256" w:rsidRPr="00FC39C1">
        <w:rPr>
          <w:rStyle w:val="IntenseReference"/>
          <w:b w:val="0"/>
          <w:bCs w:val="0"/>
          <w:i w:val="0"/>
          <w:smallCaps w:val="0"/>
          <w:color w:val="auto"/>
          <w:spacing w:val="0"/>
        </w:rPr>
        <w:t>in</w:t>
      </w:r>
      <w:r w:rsidRPr="00FC39C1">
        <w:rPr>
          <w:rStyle w:val="IntenseReference"/>
          <w:b w:val="0"/>
          <w:bCs w:val="0"/>
          <w:i w:val="0"/>
          <w:smallCaps w:val="0"/>
          <w:color w:val="auto"/>
          <w:spacing w:val="0"/>
        </w:rPr>
        <w:t xml:space="preserve"> undertak</w:t>
      </w:r>
      <w:r w:rsidR="000F2256" w:rsidRPr="00FC39C1">
        <w:rPr>
          <w:rStyle w:val="IntenseReference"/>
          <w:b w:val="0"/>
          <w:bCs w:val="0"/>
          <w:i w:val="0"/>
          <w:smallCaps w:val="0"/>
          <w:color w:val="auto"/>
          <w:spacing w:val="0"/>
        </w:rPr>
        <w:t>ing</w:t>
      </w:r>
      <w:r w:rsidRPr="00FC39C1">
        <w:rPr>
          <w:rStyle w:val="IntenseReference"/>
          <w:b w:val="0"/>
          <w:bCs w:val="0"/>
          <w:i w:val="0"/>
          <w:smallCaps w:val="0"/>
          <w:color w:val="auto"/>
          <w:spacing w:val="0"/>
        </w:rPr>
        <w:t xml:space="preserve"> its work</w:t>
      </w:r>
      <w:r w:rsidR="00E575CD">
        <w:rPr>
          <w:rStyle w:val="IntenseReference"/>
          <w:b w:val="0"/>
          <w:bCs w:val="0"/>
          <w:i w:val="0"/>
          <w:smallCaps w:val="0"/>
          <w:color w:val="auto"/>
          <w:spacing w:val="0"/>
        </w:rPr>
        <w:t>,</w:t>
      </w:r>
      <w:r w:rsidRPr="00FC39C1">
        <w:rPr>
          <w:rStyle w:val="IntenseReference"/>
          <w:b w:val="0"/>
          <w:bCs w:val="0"/>
          <w:i w:val="0"/>
          <w:smallCaps w:val="0"/>
          <w:color w:val="auto"/>
          <w:spacing w:val="0"/>
        </w:rPr>
        <w:t xml:space="preserve"> </w:t>
      </w:r>
      <w:r w:rsidR="00E575CD">
        <w:rPr>
          <w:rStyle w:val="IntenseReference"/>
          <w:b w:val="0"/>
          <w:bCs w:val="0"/>
          <w:i w:val="0"/>
          <w:smallCaps w:val="0"/>
          <w:color w:val="auto"/>
          <w:spacing w:val="0"/>
        </w:rPr>
        <w:t>and are expressed in</w:t>
      </w:r>
      <w:r w:rsidR="00FA6F4B" w:rsidRPr="00FC39C1">
        <w:rPr>
          <w:rStyle w:val="IntenseReference"/>
          <w:b w:val="0"/>
          <w:bCs w:val="0"/>
          <w:i w:val="0"/>
          <w:smallCaps w:val="0"/>
          <w:color w:val="auto"/>
          <w:spacing w:val="0"/>
        </w:rPr>
        <w:t xml:space="preserve"> the f</w:t>
      </w:r>
      <w:r w:rsidRPr="00FC39C1">
        <w:rPr>
          <w:rStyle w:val="IntenseReference"/>
          <w:b w:val="0"/>
          <w:bCs w:val="0"/>
          <w:i w:val="0"/>
          <w:smallCaps w:val="0"/>
          <w:color w:val="auto"/>
          <w:spacing w:val="0"/>
        </w:rPr>
        <w:t xml:space="preserve">our </w:t>
      </w:r>
      <w:r w:rsidR="00FA6F4B" w:rsidRPr="00FC39C1">
        <w:rPr>
          <w:rStyle w:val="IntenseReference"/>
          <w:b w:val="0"/>
          <w:bCs w:val="0"/>
          <w:i w:val="0"/>
          <w:smallCaps w:val="0"/>
          <w:color w:val="auto"/>
          <w:spacing w:val="0"/>
        </w:rPr>
        <w:t>strategic priorities that</w:t>
      </w:r>
      <w:r w:rsidRPr="00FC39C1">
        <w:rPr>
          <w:rStyle w:val="IntenseReference"/>
          <w:b w:val="0"/>
          <w:bCs w:val="0"/>
          <w:i w:val="0"/>
          <w:smallCaps w:val="0"/>
          <w:color w:val="auto"/>
          <w:spacing w:val="0"/>
        </w:rPr>
        <w:t xml:space="preserve"> aim </w:t>
      </w:r>
      <w:r w:rsidR="00FA6F4B" w:rsidRPr="00FC39C1">
        <w:rPr>
          <w:rStyle w:val="IntenseReference"/>
          <w:b w:val="0"/>
          <w:bCs w:val="0"/>
          <w:i w:val="0"/>
          <w:smallCaps w:val="0"/>
          <w:color w:val="auto"/>
          <w:spacing w:val="0"/>
        </w:rPr>
        <w:t>to</w:t>
      </w:r>
      <w:r w:rsidRPr="00FC39C1">
        <w:rPr>
          <w:rStyle w:val="IntenseReference"/>
          <w:b w:val="0"/>
          <w:bCs w:val="0"/>
          <w:i w:val="0"/>
          <w:smallCaps w:val="0"/>
          <w:color w:val="auto"/>
          <w:spacing w:val="0"/>
        </w:rPr>
        <w:t xml:space="preserve"> ensur</w:t>
      </w:r>
      <w:r w:rsidR="00FA6F4B" w:rsidRPr="00FC39C1">
        <w:rPr>
          <w:rStyle w:val="IntenseReference"/>
          <w:b w:val="0"/>
          <w:bCs w:val="0"/>
          <w:i w:val="0"/>
          <w:smallCaps w:val="0"/>
          <w:color w:val="auto"/>
          <w:spacing w:val="0"/>
        </w:rPr>
        <w:t>e</w:t>
      </w:r>
      <w:r w:rsidRPr="00FC39C1">
        <w:rPr>
          <w:rStyle w:val="IntenseReference"/>
          <w:b w:val="0"/>
          <w:bCs w:val="0"/>
          <w:i w:val="0"/>
          <w:smallCaps w:val="0"/>
          <w:color w:val="auto"/>
          <w:spacing w:val="0"/>
        </w:rPr>
        <w:t xml:space="preserve"> </w:t>
      </w:r>
      <w:proofErr w:type="gramStart"/>
      <w:r w:rsidRPr="00FC39C1">
        <w:rPr>
          <w:rStyle w:val="IntenseReference"/>
          <w:b w:val="0"/>
          <w:bCs w:val="0"/>
          <w:i w:val="0"/>
          <w:smallCaps w:val="0"/>
          <w:color w:val="auto"/>
          <w:spacing w:val="0"/>
        </w:rPr>
        <w:t>patients,</w:t>
      </w:r>
      <w:proofErr w:type="gramEnd"/>
      <w:r w:rsidRPr="00FC39C1">
        <w:rPr>
          <w:rStyle w:val="IntenseReference"/>
          <w:b w:val="0"/>
          <w:bCs w:val="0"/>
          <w:i w:val="0"/>
          <w:smallCaps w:val="0"/>
          <w:color w:val="auto"/>
          <w:spacing w:val="0"/>
        </w:rPr>
        <w:t xml:space="preserve"> consumers and communities have access to and receive safe and high-quality health care</w:t>
      </w:r>
      <w:r w:rsidR="00F84A04">
        <w:rPr>
          <w:rStyle w:val="IntenseReference"/>
          <w:b w:val="0"/>
          <w:bCs w:val="0"/>
          <w:i w:val="0"/>
          <w:smallCaps w:val="0"/>
          <w:color w:val="auto"/>
          <w:spacing w:val="0"/>
        </w:rPr>
        <w:t>:</w:t>
      </w:r>
    </w:p>
    <w:p w:rsidR="00F84A04" w:rsidRDefault="00F84A04" w:rsidP="00E04D12">
      <w:pPr>
        <w:pStyle w:val="ListParagraph"/>
        <w:numPr>
          <w:ilvl w:val="0"/>
          <w:numId w:val="7"/>
        </w:numPr>
        <w:contextualSpacing w:val="0"/>
        <w:rPr>
          <w:rStyle w:val="IntenseReference"/>
          <w:b w:val="0"/>
          <w:bCs w:val="0"/>
          <w:i w:val="0"/>
          <w:smallCaps w:val="0"/>
          <w:color w:val="auto"/>
          <w:spacing w:val="0"/>
        </w:rPr>
      </w:pPr>
      <w:r w:rsidRPr="00FC39C1">
        <w:rPr>
          <w:rStyle w:val="IntenseReference"/>
          <w:b w:val="0"/>
          <w:bCs w:val="0"/>
          <w:i w:val="0"/>
          <w:smallCaps w:val="0"/>
          <w:color w:val="auto"/>
          <w:spacing w:val="0"/>
        </w:rPr>
        <w:t>patient safety</w:t>
      </w:r>
    </w:p>
    <w:p w:rsidR="00F84A04" w:rsidRDefault="00F84A04" w:rsidP="00E04D12">
      <w:pPr>
        <w:pStyle w:val="ListParagraph"/>
        <w:numPr>
          <w:ilvl w:val="0"/>
          <w:numId w:val="7"/>
        </w:numPr>
        <w:contextualSpacing w:val="0"/>
        <w:rPr>
          <w:rStyle w:val="IntenseReference"/>
          <w:b w:val="0"/>
          <w:bCs w:val="0"/>
          <w:i w:val="0"/>
          <w:smallCaps w:val="0"/>
          <w:color w:val="auto"/>
          <w:spacing w:val="0"/>
        </w:rPr>
      </w:pPr>
      <w:r w:rsidRPr="00FC39C1">
        <w:rPr>
          <w:rStyle w:val="IntenseReference"/>
          <w:b w:val="0"/>
          <w:bCs w:val="0"/>
          <w:i w:val="0"/>
          <w:smallCaps w:val="0"/>
          <w:color w:val="auto"/>
          <w:spacing w:val="0"/>
        </w:rPr>
        <w:t>partnering with patients, consumers and communities</w:t>
      </w:r>
    </w:p>
    <w:p w:rsidR="00F84A04" w:rsidRDefault="00F84A04" w:rsidP="00E04D12">
      <w:pPr>
        <w:pStyle w:val="ListParagraph"/>
        <w:numPr>
          <w:ilvl w:val="0"/>
          <w:numId w:val="7"/>
        </w:numPr>
        <w:contextualSpacing w:val="0"/>
        <w:rPr>
          <w:rStyle w:val="IntenseReference"/>
          <w:b w:val="0"/>
          <w:bCs w:val="0"/>
          <w:i w:val="0"/>
          <w:smallCaps w:val="0"/>
          <w:color w:val="auto"/>
          <w:spacing w:val="0"/>
        </w:rPr>
      </w:pPr>
      <w:r w:rsidRPr="00FC39C1">
        <w:rPr>
          <w:rStyle w:val="IntenseReference"/>
          <w:b w:val="0"/>
          <w:bCs w:val="0"/>
          <w:i w:val="0"/>
          <w:smallCaps w:val="0"/>
          <w:color w:val="auto"/>
          <w:spacing w:val="0"/>
        </w:rPr>
        <w:t>quality cost and value</w:t>
      </w:r>
    </w:p>
    <w:p w:rsidR="000F2256" w:rsidRPr="00F84A04" w:rsidRDefault="00F84A04" w:rsidP="00E04D12">
      <w:pPr>
        <w:pStyle w:val="ListParagraph"/>
        <w:numPr>
          <w:ilvl w:val="0"/>
          <w:numId w:val="7"/>
        </w:numPr>
        <w:contextualSpacing w:val="0"/>
        <w:rPr>
          <w:rStyle w:val="IntenseReference"/>
          <w:b w:val="0"/>
          <w:bCs w:val="0"/>
          <w:i w:val="0"/>
          <w:smallCaps w:val="0"/>
          <w:color w:val="auto"/>
          <w:spacing w:val="0"/>
        </w:rPr>
      </w:pPr>
      <w:proofErr w:type="gramStart"/>
      <w:r w:rsidRPr="00F84A04">
        <w:rPr>
          <w:rStyle w:val="IntenseReference"/>
          <w:b w:val="0"/>
          <w:bCs w:val="0"/>
          <w:i w:val="0"/>
          <w:smallCaps w:val="0"/>
          <w:color w:val="auto"/>
          <w:spacing w:val="0"/>
        </w:rPr>
        <w:t>supporting</w:t>
      </w:r>
      <w:proofErr w:type="gramEnd"/>
      <w:r w:rsidRPr="00F84A04">
        <w:rPr>
          <w:rStyle w:val="IntenseReference"/>
          <w:b w:val="0"/>
          <w:bCs w:val="0"/>
          <w:i w:val="0"/>
          <w:smallCaps w:val="0"/>
          <w:color w:val="auto"/>
          <w:spacing w:val="0"/>
        </w:rPr>
        <w:t xml:space="preserve"> health professionals to provide safe and high-quality care</w:t>
      </w:r>
      <w:r w:rsidR="00431267" w:rsidRPr="00F84A04">
        <w:rPr>
          <w:rStyle w:val="IntenseReference"/>
          <w:b w:val="0"/>
          <w:bCs w:val="0"/>
          <w:i w:val="0"/>
          <w:smallCaps w:val="0"/>
          <w:color w:val="auto"/>
          <w:spacing w:val="0"/>
        </w:rPr>
        <w:t>.</w:t>
      </w:r>
    </w:p>
    <w:p w:rsidR="000F2256" w:rsidRPr="00D16B0D" w:rsidRDefault="000F2256" w:rsidP="005233B1">
      <w:pPr>
        <w:pStyle w:val="Heading2"/>
        <w:spacing w:after="120"/>
      </w:pPr>
      <w:bookmarkStart w:id="7" w:name="_Toc456019971"/>
      <w:r w:rsidRPr="00D16B0D">
        <w:t>Align</w:t>
      </w:r>
      <w:r w:rsidR="0020000F">
        <w:t>ment</w:t>
      </w:r>
      <w:r w:rsidRPr="00D16B0D">
        <w:t xml:space="preserve"> with Australian Government priorities</w:t>
      </w:r>
      <w:bookmarkEnd w:id="7"/>
    </w:p>
    <w:p w:rsidR="002B2448" w:rsidRDefault="002B2448" w:rsidP="00E04D12">
      <w:r>
        <w:t xml:space="preserve">The Australian Government aims to improve the long-term capacity and the quality and safety of Australia’s healthcare system. This will be achieved in part through the work of the Commission. </w:t>
      </w:r>
    </w:p>
    <w:p w:rsidR="000F2256" w:rsidRDefault="000F2256" w:rsidP="00E04D12">
      <w:r>
        <w:t xml:space="preserve">The Commission is structured to meet </w:t>
      </w:r>
      <w:r w:rsidR="00B2652C">
        <w:t>the Australian Government</w:t>
      </w:r>
      <w:r>
        <w:t xml:space="preserve"> outcome:</w:t>
      </w:r>
    </w:p>
    <w:p w:rsidR="000F2256" w:rsidRPr="00134243" w:rsidRDefault="001C5BB6" w:rsidP="00E04D12">
      <w:pPr>
        <w:ind w:left="567" w:right="651"/>
      </w:pPr>
      <w:r>
        <w:rPr>
          <w:i/>
        </w:rPr>
        <w:t>I</w:t>
      </w:r>
      <w:r w:rsidR="000F2256" w:rsidRPr="001C5BB6">
        <w:rPr>
          <w:i/>
        </w:rPr>
        <w:t>mprove</w:t>
      </w:r>
      <w:r>
        <w:rPr>
          <w:i/>
        </w:rPr>
        <w:t>d</w:t>
      </w:r>
      <w:r w:rsidR="000F2256" w:rsidRPr="001C5BB6">
        <w:rPr>
          <w:i/>
        </w:rPr>
        <w:t xml:space="preserve"> safety and quality in health</w:t>
      </w:r>
      <w:r w:rsidR="003E7A26" w:rsidRPr="001C5BB6">
        <w:rPr>
          <w:i/>
        </w:rPr>
        <w:t xml:space="preserve"> </w:t>
      </w:r>
      <w:r w:rsidR="000F2256" w:rsidRPr="001C5BB6">
        <w:rPr>
          <w:i/>
        </w:rPr>
        <w:t>care across the health system, including through the development, support for implementation, and monitoring of national clinical safety and quality guidelines and standards</w:t>
      </w:r>
      <w:r w:rsidR="000F2256" w:rsidRPr="00134243">
        <w:t xml:space="preserve"> </w:t>
      </w:r>
      <w:r w:rsidR="003311A4">
        <w:t>(</w:t>
      </w:r>
      <w:r w:rsidR="003311A4" w:rsidRPr="001C5BB6">
        <w:t>Portfolio Budget Statement</w:t>
      </w:r>
      <w:r w:rsidR="00325BC3" w:rsidRPr="001C5BB6">
        <w:t>s</w:t>
      </w:r>
      <w:r w:rsidR="007E05D9">
        <w:t xml:space="preserve"> 2016-17</w:t>
      </w:r>
      <w:r w:rsidR="00701393">
        <w:t>, Health Portfolio</w:t>
      </w:r>
      <w:r w:rsidR="003311A4">
        <w:t>)</w:t>
      </w:r>
      <w:r w:rsidR="003E23F8">
        <w:t xml:space="preserve">. </w:t>
      </w:r>
    </w:p>
    <w:p w:rsidR="00FF1DB8" w:rsidRDefault="00FF1DB8" w:rsidP="00E04D12">
      <w:pPr>
        <w:rPr>
          <w:rFonts w:cs="Arial"/>
          <w:kern w:val="28"/>
          <w:sz w:val="28"/>
          <w:szCs w:val="32"/>
        </w:rPr>
      </w:pPr>
      <w:r>
        <w:br w:type="page"/>
      </w:r>
    </w:p>
    <w:p w:rsidR="0044148C" w:rsidRDefault="0044148C" w:rsidP="00E04D12">
      <w:pPr>
        <w:pStyle w:val="Heading1"/>
        <w:spacing w:before="0" w:after="120"/>
      </w:pPr>
      <w:bookmarkStart w:id="8" w:name="_Toc456019972"/>
      <w:r>
        <w:lastRenderedPageBreak/>
        <w:t>Environment</w:t>
      </w:r>
      <w:bookmarkEnd w:id="8"/>
    </w:p>
    <w:p w:rsidR="00D31085" w:rsidRPr="00A11277" w:rsidRDefault="00A11277" w:rsidP="005233B1">
      <w:pPr>
        <w:pStyle w:val="Heading2"/>
        <w:spacing w:after="120"/>
      </w:pPr>
      <w:bookmarkStart w:id="9" w:name="_Toc456019973"/>
      <w:r w:rsidRPr="00A11277">
        <w:t>Background</w:t>
      </w:r>
      <w:bookmarkEnd w:id="9"/>
      <w:r w:rsidRPr="00A11277">
        <w:t xml:space="preserve"> </w:t>
      </w:r>
    </w:p>
    <w:p w:rsidR="00A11277" w:rsidRDefault="00A11277" w:rsidP="00E04D12">
      <w:r>
        <w:t xml:space="preserve">The Commission is a not-for-profit, Australian Government controlled entity. Initially established in 2006 by the Australian, state and territory governments to lead and coordinate national improvements in safety and quality, the Commission’s permanent status was confirmed with the assent of the NHR Act. The Commission commenced as an independent </w:t>
      </w:r>
      <w:r w:rsidR="00547E16">
        <w:t>corporate Commonwealth entity</w:t>
      </w:r>
      <w:r>
        <w:t xml:space="preserve"> on 1 July 2011, funded jointly by the</w:t>
      </w:r>
      <w:r w:rsidR="00134243">
        <w:t xml:space="preserve"> Australian</w:t>
      </w:r>
      <w:r>
        <w:t>, state and territory governments.</w:t>
      </w:r>
    </w:p>
    <w:p w:rsidR="00031603" w:rsidRPr="00514AC5" w:rsidRDefault="00031603" w:rsidP="005233B1">
      <w:pPr>
        <w:pStyle w:val="Heading2"/>
        <w:spacing w:after="120"/>
      </w:pPr>
      <w:bookmarkStart w:id="10" w:name="_Toc456019974"/>
      <w:r w:rsidRPr="00514AC5">
        <w:t>Governance</w:t>
      </w:r>
      <w:bookmarkEnd w:id="10"/>
    </w:p>
    <w:p w:rsidR="00276D10" w:rsidRDefault="00FF26A9" w:rsidP="00E04D12">
      <w:r>
        <w:t xml:space="preserve">The Commission Board, appointed by the Minister for Health, </w:t>
      </w:r>
      <w:r w:rsidR="00547E16" w:rsidRPr="006C1777">
        <w:t>is responsible for ensuring the proper and efficient performance of the Commission’s functions</w:t>
      </w:r>
      <w:r>
        <w:t xml:space="preserve">. </w:t>
      </w:r>
    </w:p>
    <w:p w:rsidR="00325BC3" w:rsidRPr="00325BC3" w:rsidRDefault="00031603" w:rsidP="00E04D12">
      <w:r w:rsidRPr="00325BC3">
        <w:t>In developing its work the Commission is supported by the Inter-Jurisdictional Committee</w:t>
      </w:r>
      <w:r w:rsidR="00C524E7" w:rsidRPr="00325BC3">
        <w:t xml:space="preserve"> (IJC)</w:t>
      </w:r>
      <w:r w:rsidR="00FF26A9" w:rsidRPr="00325BC3">
        <w:t>,</w:t>
      </w:r>
      <w:r w:rsidRPr="00325BC3">
        <w:t xml:space="preserve"> which is made up of </w:t>
      </w:r>
      <w:r w:rsidR="00E04D12">
        <w:t xml:space="preserve">senior </w:t>
      </w:r>
      <w:r w:rsidR="00547E16" w:rsidRPr="00325BC3">
        <w:t>representatives</w:t>
      </w:r>
      <w:r w:rsidRPr="00325BC3">
        <w:t xml:space="preserve"> from the </w:t>
      </w:r>
      <w:r w:rsidR="003F7CEF" w:rsidRPr="00325BC3">
        <w:t>Australian Government</w:t>
      </w:r>
      <w:r w:rsidRPr="00325BC3">
        <w:t xml:space="preserve"> Department of Health,</w:t>
      </w:r>
      <w:r w:rsidR="003F7CEF" w:rsidRPr="00325BC3">
        <w:t xml:space="preserve"> and the</w:t>
      </w:r>
      <w:r w:rsidRPr="00325BC3">
        <w:t xml:space="preserve"> Department of Health</w:t>
      </w:r>
      <w:r w:rsidR="003F7CEF" w:rsidRPr="00325BC3">
        <w:t xml:space="preserve"> from each state and territory</w:t>
      </w:r>
      <w:r w:rsidR="00FF26A9" w:rsidRPr="00325BC3">
        <w:t xml:space="preserve">. In addition, the Board has established sub-committees in the form of the Private Hospital Sector Committee and </w:t>
      </w:r>
      <w:r w:rsidR="00547E16" w:rsidRPr="00325BC3">
        <w:t xml:space="preserve">the </w:t>
      </w:r>
      <w:r w:rsidR="00FF26A9" w:rsidRPr="00325BC3">
        <w:t>Primary Care Committee</w:t>
      </w:r>
      <w:r w:rsidR="00AE6BD9" w:rsidRPr="00325BC3">
        <w:t xml:space="preserve"> that</w:t>
      </w:r>
      <w:r w:rsidR="00FF26A9" w:rsidRPr="00325BC3">
        <w:t xml:space="preserve"> provide</w:t>
      </w:r>
      <w:r w:rsidR="00C524E7" w:rsidRPr="00325BC3">
        <w:t xml:space="preserve"> a</w:t>
      </w:r>
      <w:r w:rsidR="00FF26A9" w:rsidRPr="00325BC3">
        <w:t xml:space="preserve"> valuable</w:t>
      </w:r>
      <w:r w:rsidR="00C524E7" w:rsidRPr="00325BC3">
        <w:t xml:space="preserve"> connection with representatives from the private and public</w:t>
      </w:r>
      <w:r w:rsidR="00AC0E83">
        <w:t xml:space="preserve"> health</w:t>
      </w:r>
      <w:r w:rsidR="00C524E7" w:rsidRPr="00325BC3">
        <w:t xml:space="preserve"> sectors</w:t>
      </w:r>
      <w:r w:rsidR="00E04D12">
        <w:t>, and the Au</w:t>
      </w:r>
      <w:r w:rsidR="00325BC3" w:rsidRPr="00325BC3">
        <w:t xml:space="preserve">dit and Risk Committee </w:t>
      </w:r>
      <w:r w:rsidR="00E04D12">
        <w:t>which</w:t>
      </w:r>
      <w:r w:rsidR="00325BC3" w:rsidRPr="00325BC3">
        <w:t xml:space="preserve"> provide</w:t>
      </w:r>
      <w:r w:rsidR="00E04D12">
        <w:t>s</w:t>
      </w:r>
      <w:r w:rsidR="00325BC3" w:rsidRPr="00325BC3">
        <w:t xml:space="preserve"> independent assurance and advice to the Board on the </w:t>
      </w:r>
      <w:r w:rsidR="00E04D12">
        <w:t>Commission’s</w:t>
      </w:r>
      <w:r w:rsidR="00325BC3" w:rsidRPr="00325BC3">
        <w:t xml:space="preserve"> risk, control and compliance framework</w:t>
      </w:r>
      <w:r w:rsidR="00E04D12">
        <w:t xml:space="preserve"> and</w:t>
      </w:r>
      <w:r w:rsidR="00325BC3" w:rsidRPr="00325BC3">
        <w:t xml:space="preserve"> its financial management responsibilities.</w:t>
      </w:r>
    </w:p>
    <w:p w:rsidR="00031603" w:rsidRDefault="00031603" w:rsidP="00E04D12">
      <w:r w:rsidRPr="00031603">
        <w:t>Program initiatives are informed by external advisory committees, working groups, public consultation and workshops.  Proposals are then referred to</w:t>
      </w:r>
      <w:r w:rsidR="00C524E7">
        <w:t xml:space="preserve"> the IJC and</w:t>
      </w:r>
      <w:r w:rsidR="00FF26A9">
        <w:t xml:space="preserve"> Board sub-committees</w:t>
      </w:r>
      <w:r w:rsidRPr="00031603">
        <w:t xml:space="preserve"> for review and input </w:t>
      </w:r>
      <w:r w:rsidR="00AE6BD9">
        <w:t>before</w:t>
      </w:r>
      <w:r w:rsidRPr="00031603">
        <w:t xml:space="preserve"> consideration by the Commission</w:t>
      </w:r>
      <w:r w:rsidR="00FF26A9">
        <w:t xml:space="preserve"> Board</w:t>
      </w:r>
      <w:r w:rsidRPr="00031603">
        <w:t xml:space="preserve">.  Major Commission proposals are forwarded to </w:t>
      </w:r>
      <w:r w:rsidR="00FF26A9">
        <w:t xml:space="preserve">the </w:t>
      </w:r>
      <w:r w:rsidRPr="00031603">
        <w:t>A</w:t>
      </w:r>
      <w:r w:rsidR="00FF26A9">
        <w:t xml:space="preserve">ustralian </w:t>
      </w:r>
      <w:r w:rsidRPr="00031603">
        <w:t>H</w:t>
      </w:r>
      <w:r w:rsidR="00FF26A9">
        <w:t xml:space="preserve">ealth </w:t>
      </w:r>
      <w:r w:rsidRPr="00031603">
        <w:t>M</w:t>
      </w:r>
      <w:r w:rsidR="00FF26A9">
        <w:t xml:space="preserve">inisters </w:t>
      </w:r>
      <w:r w:rsidRPr="00031603">
        <w:t>A</w:t>
      </w:r>
      <w:r w:rsidR="00FF26A9">
        <w:t xml:space="preserve">dvisory </w:t>
      </w:r>
      <w:r w:rsidRPr="00031603">
        <w:t>C</w:t>
      </w:r>
      <w:r w:rsidR="00FF26A9">
        <w:t>ouncil</w:t>
      </w:r>
      <w:r w:rsidRPr="00031603">
        <w:t xml:space="preserve"> and</w:t>
      </w:r>
      <w:r w:rsidR="00FF26A9">
        <w:t xml:space="preserve"> the Coun</w:t>
      </w:r>
      <w:r w:rsidR="00AC0E83">
        <w:t>cil of Australian Governments</w:t>
      </w:r>
      <w:r w:rsidR="00FF26A9">
        <w:t xml:space="preserve"> Health Council</w:t>
      </w:r>
      <w:r w:rsidRPr="00031603">
        <w:t>.</w:t>
      </w:r>
    </w:p>
    <w:p w:rsidR="003E23F8" w:rsidRPr="00A11277" w:rsidRDefault="00C97168" w:rsidP="005233B1">
      <w:pPr>
        <w:pStyle w:val="Heading2"/>
        <w:spacing w:after="120"/>
      </w:pPr>
      <w:bookmarkStart w:id="11" w:name="_Toc456019975"/>
      <w:r>
        <w:t>Relationships</w:t>
      </w:r>
      <w:bookmarkEnd w:id="11"/>
    </w:p>
    <w:p w:rsidR="00C97168" w:rsidRDefault="00C97168" w:rsidP="00E04D12">
      <w:r w:rsidRPr="004B09CF">
        <w:rPr>
          <w:rFonts w:cs="Arial"/>
          <w:szCs w:val="22"/>
        </w:rPr>
        <w:t>The</w:t>
      </w:r>
      <w:r w:rsidR="008B2B67">
        <w:rPr>
          <w:rFonts w:cs="Arial"/>
          <w:szCs w:val="22"/>
        </w:rPr>
        <w:t xml:space="preserve"> NHR Act</w:t>
      </w:r>
      <w:r w:rsidRPr="00B54ACD">
        <w:rPr>
          <w:rFonts w:cs="Arial"/>
          <w:szCs w:val="22"/>
        </w:rPr>
        <w:t xml:space="preserve"> </w:t>
      </w:r>
      <w:r w:rsidRPr="004B09CF">
        <w:rPr>
          <w:rFonts w:cs="Arial"/>
          <w:szCs w:val="22"/>
        </w:rPr>
        <w:t xml:space="preserve">requires that </w:t>
      </w:r>
      <w:r w:rsidR="008B2B67">
        <w:rPr>
          <w:rFonts w:cs="Arial"/>
          <w:szCs w:val="22"/>
        </w:rPr>
        <w:t xml:space="preserve">the Commission develop </w:t>
      </w:r>
      <w:r w:rsidR="00186AEE">
        <w:rPr>
          <w:rFonts w:cs="Arial"/>
          <w:szCs w:val="22"/>
        </w:rPr>
        <w:t>a three</w:t>
      </w:r>
      <w:r w:rsidRPr="004B09CF">
        <w:rPr>
          <w:rFonts w:cs="Arial"/>
          <w:szCs w:val="22"/>
        </w:rPr>
        <w:t xml:space="preserve"> year rolling work plan</w:t>
      </w:r>
      <w:r w:rsidR="008B2B67">
        <w:rPr>
          <w:rFonts w:cs="Arial"/>
          <w:szCs w:val="22"/>
        </w:rPr>
        <w:t>, and that it be</w:t>
      </w:r>
      <w:r w:rsidRPr="004B09CF">
        <w:rPr>
          <w:rFonts w:cs="Arial"/>
          <w:szCs w:val="22"/>
        </w:rPr>
        <w:t xml:space="preserve"> </w:t>
      </w:r>
      <w:r w:rsidR="008B2B67">
        <w:rPr>
          <w:rFonts w:cs="Arial"/>
          <w:szCs w:val="22"/>
        </w:rPr>
        <w:t xml:space="preserve">provided </w:t>
      </w:r>
      <w:r w:rsidRPr="004B09CF">
        <w:rPr>
          <w:rFonts w:cs="Arial"/>
          <w:szCs w:val="22"/>
        </w:rPr>
        <w:t xml:space="preserve">to the </w:t>
      </w:r>
      <w:r w:rsidR="008B2B67">
        <w:rPr>
          <w:rFonts w:cs="Arial"/>
          <w:szCs w:val="22"/>
        </w:rPr>
        <w:t xml:space="preserve">Australian </w:t>
      </w:r>
      <w:r w:rsidR="00547E16">
        <w:rPr>
          <w:rFonts w:cs="Arial"/>
          <w:szCs w:val="22"/>
        </w:rPr>
        <w:t>G</w:t>
      </w:r>
      <w:r w:rsidR="008B2B67">
        <w:rPr>
          <w:rFonts w:cs="Arial"/>
          <w:szCs w:val="22"/>
        </w:rPr>
        <w:t>overnment</w:t>
      </w:r>
      <w:r w:rsidRPr="004B09CF">
        <w:rPr>
          <w:rFonts w:cs="Arial"/>
          <w:szCs w:val="22"/>
        </w:rPr>
        <w:t xml:space="preserve"> Minister for Health for consultation with </w:t>
      </w:r>
      <w:r w:rsidR="008B2B67">
        <w:rPr>
          <w:rFonts w:cs="Arial"/>
          <w:szCs w:val="22"/>
        </w:rPr>
        <w:t>s</w:t>
      </w:r>
      <w:r w:rsidRPr="004B09CF">
        <w:rPr>
          <w:rFonts w:cs="Arial"/>
          <w:szCs w:val="22"/>
        </w:rPr>
        <w:t xml:space="preserve">tate and </w:t>
      </w:r>
      <w:r w:rsidR="008B2B67">
        <w:rPr>
          <w:rFonts w:cs="Arial"/>
          <w:szCs w:val="22"/>
        </w:rPr>
        <w:t>t</w:t>
      </w:r>
      <w:r w:rsidRPr="004B09CF">
        <w:rPr>
          <w:rFonts w:cs="Arial"/>
          <w:szCs w:val="22"/>
        </w:rPr>
        <w:t>erritory Health Min</w:t>
      </w:r>
      <w:r w:rsidR="001D68BA">
        <w:rPr>
          <w:rFonts w:cs="Arial"/>
          <w:szCs w:val="22"/>
        </w:rPr>
        <w:t>i</w:t>
      </w:r>
      <w:r w:rsidRPr="004B09CF">
        <w:rPr>
          <w:rFonts w:cs="Arial"/>
          <w:szCs w:val="22"/>
        </w:rPr>
        <w:t xml:space="preserve">sters </w:t>
      </w:r>
      <w:r>
        <w:rPr>
          <w:rFonts w:cs="Arial"/>
          <w:szCs w:val="22"/>
        </w:rPr>
        <w:t xml:space="preserve">by 31 October each year. </w:t>
      </w:r>
      <w:r w:rsidR="00DA143B">
        <w:rPr>
          <w:rFonts w:cs="Arial"/>
          <w:szCs w:val="22"/>
        </w:rPr>
        <w:t>Th</w:t>
      </w:r>
      <w:r w:rsidR="00404972">
        <w:rPr>
          <w:rFonts w:cs="Arial"/>
          <w:szCs w:val="22"/>
        </w:rPr>
        <w:t xml:space="preserve">is </w:t>
      </w:r>
      <w:r w:rsidR="00186AEE">
        <w:rPr>
          <w:rFonts w:cs="Arial"/>
          <w:szCs w:val="22"/>
        </w:rPr>
        <w:t xml:space="preserve">annual </w:t>
      </w:r>
      <w:r w:rsidR="008B2B67">
        <w:rPr>
          <w:rFonts w:cs="Arial"/>
          <w:szCs w:val="22"/>
        </w:rPr>
        <w:t>consultation process</w:t>
      </w:r>
      <w:r w:rsidR="00186AEE">
        <w:rPr>
          <w:rFonts w:cs="Arial"/>
          <w:szCs w:val="22"/>
        </w:rPr>
        <w:t xml:space="preserve"> </w:t>
      </w:r>
      <w:r w:rsidR="00404972">
        <w:rPr>
          <w:rFonts w:cs="Arial"/>
          <w:szCs w:val="22"/>
        </w:rPr>
        <w:t>e</w:t>
      </w:r>
      <w:r w:rsidR="008B2B67">
        <w:rPr>
          <w:rFonts w:cs="Arial"/>
          <w:szCs w:val="22"/>
        </w:rPr>
        <w:t>nsures agreement among all Australian health ministers and health departments</w:t>
      </w:r>
      <w:r w:rsidR="00DA143B">
        <w:rPr>
          <w:rFonts w:cs="Arial"/>
          <w:szCs w:val="22"/>
        </w:rPr>
        <w:t xml:space="preserve"> on the goals and objectives of the Commission’s work</w:t>
      </w:r>
      <w:r w:rsidR="008B2B67">
        <w:rPr>
          <w:rFonts w:cs="Arial"/>
          <w:szCs w:val="22"/>
        </w:rPr>
        <w:t xml:space="preserve">, and a coordinated approach to safety and quality in health care across the country.  </w:t>
      </w:r>
    </w:p>
    <w:p w:rsidR="00C97168" w:rsidRPr="00C97168" w:rsidRDefault="00C97168" w:rsidP="00E04D12">
      <w:r w:rsidRPr="00C97168">
        <w:t xml:space="preserve">The </w:t>
      </w:r>
      <w:r w:rsidR="008B2B67">
        <w:t>Commission works</w:t>
      </w:r>
      <w:r w:rsidR="00344439">
        <w:t xml:space="preserve"> in</w:t>
      </w:r>
      <w:r w:rsidR="008B2B67">
        <w:t xml:space="preserve"> </w:t>
      </w:r>
      <w:r w:rsidRPr="00C97168">
        <w:t>collaborati</w:t>
      </w:r>
      <w:r w:rsidR="00547E16">
        <w:t xml:space="preserve">on </w:t>
      </w:r>
      <w:r w:rsidRPr="00C97168">
        <w:t>and consultati</w:t>
      </w:r>
      <w:r w:rsidR="00547E16">
        <w:t xml:space="preserve">on </w:t>
      </w:r>
      <w:r w:rsidRPr="00C97168">
        <w:t xml:space="preserve">with </w:t>
      </w:r>
      <w:r w:rsidR="008B2B67">
        <w:t>other</w:t>
      </w:r>
      <w:r w:rsidRPr="00C97168">
        <w:t xml:space="preserve"> </w:t>
      </w:r>
      <w:r w:rsidR="008B2B67">
        <w:t>Commonwealth entities,</w:t>
      </w:r>
      <w:r w:rsidRPr="00C97168">
        <w:t xml:space="preserve"> such as </w:t>
      </w:r>
      <w:r w:rsidR="008B2B67">
        <w:t xml:space="preserve">the Independent Hospital Pricing Authority, the </w:t>
      </w:r>
      <w:r w:rsidRPr="00C97168">
        <w:t>N</w:t>
      </w:r>
      <w:r w:rsidR="008B2B67">
        <w:t xml:space="preserve">ational </w:t>
      </w:r>
      <w:r w:rsidRPr="00C97168">
        <w:t>H</w:t>
      </w:r>
      <w:r w:rsidR="008B2B67">
        <w:t xml:space="preserve">ealth and </w:t>
      </w:r>
      <w:r w:rsidRPr="00C97168">
        <w:t>M</w:t>
      </w:r>
      <w:r w:rsidR="008B2B67">
        <w:t xml:space="preserve">edical </w:t>
      </w:r>
      <w:r w:rsidRPr="00C97168">
        <w:t>R</w:t>
      </w:r>
      <w:r w:rsidR="008B2B67">
        <w:t xml:space="preserve">esearch </w:t>
      </w:r>
      <w:r w:rsidRPr="00C97168">
        <w:t>C</w:t>
      </w:r>
      <w:r w:rsidR="008B2B67">
        <w:t>ouncil</w:t>
      </w:r>
      <w:r w:rsidRPr="00C97168">
        <w:t>,</w:t>
      </w:r>
      <w:r w:rsidR="008B2B67">
        <w:t xml:space="preserve"> the </w:t>
      </w:r>
      <w:r w:rsidRPr="00C97168">
        <w:t>A</w:t>
      </w:r>
      <w:r w:rsidR="008B2B67">
        <w:t xml:space="preserve">ustralian </w:t>
      </w:r>
      <w:r w:rsidRPr="00C97168">
        <w:t>I</w:t>
      </w:r>
      <w:r w:rsidR="008B2B67">
        <w:t xml:space="preserve">nstitute of </w:t>
      </w:r>
      <w:r w:rsidRPr="00C97168">
        <w:t>H</w:t>
      </w:r>
      <w:r w:rsidR="008B2B67">
        <w:t xml:space="preserve">ealth and </w:t>
      </w:r>
      <w:r w:rsidRPr="00C97168">
        <w:t>W</w:t>
      </w:r>
      <w:r w:rsidR="008B2B67">
        <w:t>elfare</w:t>
      </w:r>
      <w:r w:rsidRPr="00C97168">
        <w:t xml:space="preserve">, </w:t>
      </w:r>
      <w:r w:rsidR="00344439">
        <w:t xml:space="preserve">the </w:t>
      </w:r>
      <w:r w:rsidR="00384382">
        <w:t>Australian Digital Health Agency</w:t>
      </w:r>
      <w:r w:rsidRPr="00C97168">
        <w:t xml:space="preserve">, and </w:t>
      </w:r>
      <w:r w:rsidR="00344439">
        <w:t>the Australian Health Practitioner Regulation Agency</w:t>
      </w:r>
      <w:r w:rsidRPr="00C97168">
        <w:t xml:space="preserve">. </w:t>
      </w:r>
      <w:r w:rsidR="00344439">
        <w:t xml:space="preserve">In addition, the Commission works closely with </w:t>
      </w:r>
      <w:r w:rsidRPr="00C97168">
        <w:t xml:space="preserve">universities and other academic bodies, </w:t>
      </w:r>
      <w:r w:rsidR="00344439">
        <w:t xml:space="preserve">clinical colleges and </w:t>
      </w:r>
      <w:r w:rsidRPr="00C97168">
        <w:t>other professional clinical organisations</w:t>
      </w:r>
      <w:r w:rsidR="00344439">
        <w:t xml:space="preserve">, and consumer representative and consumer groups. The Commission values the input and expertise provided by these individuals and organisations, in shaping </w:t>
      </w:r>
      <w:r w:rsidR="00186AEE">
        <w:t>it</w:t>
      </w:r>
      <w:r w:rsidR="00344439">
        <w:t xml:space="preserve">s work and providing support to the Commission’s initiatives.  </w:t>
      </w:r>
    </w:p>
    <w:p w:rsidR="00A11277" w:rsidRPr="00A11277" w:rsidRDefault="003F7CEF" w:rsidP="005233B1">
      <w:pPr>
        <w:pStyle w:val="Heading2"/>
        <w:spacing w:after="120"/>
      </w:pPr>
      <w:bookmarkStart w:id="12" w:name="_Toc456019976"/>
      <w:r>
        <w:lastRenderedPageBreak/>
        <w:t>Safety and q</w:t>
      </w:r>
      <w:r w:rsidR="00A11277" w:rsidRPr="00A11277">
        <w:t>uality</w:t>
      </w:r>
      <w:bookmarkEnd w:id="12"/>
    </w:p>
    <w:p w:rsidR="0070766C" w:rsidRDefault="00080CB5" w:rsidP="00E04D12">
      <w:r w:rsidRPr="00080CB5">
        <w:t xml:space="preserve">Safety and quality </w:t>
      </w:r>
      <w:r w:rsidR="00C661BE">
        <w:t>are</w:t>
      </w:r>
      <w:r w:rsidRPr="00080CB5">
        <w:t xml:space="preserve"> complex field</w:t>
      </w:r>
      <w:r w:rsidR="00C661BE">
        <w:t>s</w:t>
      </w:r>
      <w:r w:rsidRPr="00080CB5">
        <w:t xml:space="preserve"> that </w:t>
      </w:r>
      <w:r w:rsidR="00C661BE">
        <w:t>are</w:t>
      </w:r>
      <w:r w:rsidRPr="00080CB5">
        <w:t xml:space="preserve"> integrated i</w:t>
      </w:r>
      <w:r w:rsidR="0070766C">
        <w:t>nto all aspects of health care</w:t>
      </w:r>
      <w:r w:rsidR="00EB3B52">
        <w:t xml:space="preserve">. </w:t>
      </w:r>
    </w:p>
    <w:p w:rsidR="00EB3B52" w:rsidRPr="00500B76" w:rsidRDefault="00EB3B52" w:rsidP="00E04D12">
      <w:r w:rsidRPr="00500B76">
        <w:t>Most people who receive health care in Australia receive care that is safe, and of high</w:t>
      </w:r>
      <w:r w:rsidR="003D23D3" w:rsidRPr="00500B76">
        <w:t xml:space="preserve"> </w:t>
      </w:r>
      <w:r w:rsidRPr="00500B76">
        <w:t>quality.</w:t>
      </w:r>
      <w:r w:rsidR="00E14AB8">
        <w:t xml:space="preserve"> U</w:t>
      </w:r>
      <w:r w:rsidR="00FF1DB8" w:rsidRPr="00500B76">
        <w:t>nfortunately</w:t>
      </w:r>
      <w:r w:rsidR="00E14AB8">
        <w:t>,</w:t>
      </w:r>
      <w:r w:rsidRPr="00500B76">
        <w:t xml:space="preserve"> some people are harmed as a result of the care they receive. An important way to minimise harm occurring is to ensure good processes are in place. Health services should have systems in place to ensure </w:t>
      </w:r>
      <w:r w:rsidR="00FF1DB8" w:rsidRPr="00500B76">
        <w:t xml:space="preserve">patient </w:t>
      </w:r>
      <w:r w:rsidRPr="00500B76">
        <w:t xml:space="preserve">safety, and to make sure people working in health services are appropriately skilled, </w:t>
      </w:r>
      <w:r w:rsidR="00AE6BD9" w:rsidRPr="00500B76">
        <w:t xml:space="preserve">and </w:t>
      </w:r>
      <w:r w:rsidRPr="00500B76">
        <w:t xml:space="preserve">are aware of those systems and use them properly. One of the most important roles of the Commission is ensuring that good </w:t>
      </w:r>
      <w:r w:rsidR="00384382">
        <w:t xml:space="preserve">safety and quality </w:t>
      </w:r>
      <w:r w:rsidRPr="00500B76">
        <w:t>systems are in place</w:t>
      </w:r>
      <w:r w:rsidR="00AC0E83">
        <w:t xml:space="preserve"> across Australia</w:t>
      </w:r>
      <w:r w:rsidRPr="00500B76">
        <w:t xml:space="preserve">. </w:t>
      </w:r>
    </w:p>
    <w:p w:rsidR="00EB3B52" w:rsidRDefault="003F7CEF" w:rsidP="005233B1">
      <w:pPr>
        <w:pStyle w:val="Heading2"/>
        <w:spacing w:after="120"/>
      </w:pPr>
      <w:bookmarkStart w:id="13" w:name="_Toc456019977"/>
      <w:r w:rsidRPr="00EB3B52">
        <w:t xml:space="preserve">National Safety and Quality </w:t>
      </w:r>
      <w:r>
        <w:t xml:space="preserve">Health Service </w:t>
      </w:r>
      <w:r w:rsidR="00EB3B52" w:rsidRPr="00EB3B52">
        <w:t>Standards</w:t>
      </w:r>
      <w:bookmarkEnd w:id="13"/>
      <w:r w:rsidR="00EB3B52" w:rsidRPr="00EB3B52">
        <w:t xml:space="preserve"> </w:t>
      </w:r>
    </w:p>
    <w:p w:rsidR="0045292A" w:rsidRPr="0045292A" w:rsidRDefault="0045292A" w:rsidP="00E04D12">
      <w:pPr>
        <w:shd w:val="clear" w:color="auto" w:fill="FFFFFF"/>
        <w:rPr>
          <w:rFonts w:cs="Arial"/>
          <w:szCs w:val="22"/>
        </w:rPr>
      </w:pPr>
      <w:r w:rsidRPr="0045292A">
        <w:rPr>
          <w:rFonts w:cs="Arial"/>
          <w:szCs w:val="22"/>
        </w:rPr>
        <w:t>The National Safety and Quality Health Service (NSQHS) Standards were developed by the Commission to drive the implementation of safety and quality systems and improve the quality of health care in Australia. The 10 NSQHS Standards provide a nationally consistent statement about the level of care consumers can expect from health service organisations.</w:t>
      </w:r>
    </w:p>
    <w:p w:rsidR="00AE6BD9" w:rsidRDefault="0045292A" w:rsidP="00E04D12">
      <w:pPr>
        <w:shd w:val="clear" w:color="auto" w:fill="FFFFFF"/>
      </w:pPr>
      <w:r w:rsidRPr="0045292A">
        <w:rPr>
          <w:rFonts w:cs="Arial"/>
          <w:szCs w:val="22"/>
        </w:rPr>
        <w:t>Health Ministers</w:t>
      </w:r>
      <w:r w:rsidR="00547E16">
        <w:rPr>
          <w:rFonts w:cs="Arial"/>
          <w:szCs w:val="22"/>
        </w:rPr>
        <w:t xml:space="preserve"> have</w:t>
      </w:r>
      <w:r w:rsidRPr="0045292A">
        <w:rPr>
          <w:rFonts w:cs="Arial"/>
          <w:szCs w:val="22"/>
        </w:rPr>
        <w:t xml:space="preserve"> endorsed the NSQHS Standards and a national accreditation scheme. This has created a national safety and quality accreditation scheme for health service organisations.</w:t>
      </w:r>
      <w:r>
        <w:rPr>
          <w:rFonts w:cs="Arial"/>
          <w:szCs w:val="22"/>
        </w:rPr>
        <w:t xml:space="preserve"> </w:t>
      </w:r>
      <w:r w:rsidRPr="007461DE">
        <w:rPr>
          <w:rFonts w:cs="Arial"/>
          <w:szCs w:val="22"/>
        </w:rPr>
        <w:t>By 30 June 2016</w:t>
      </w:r>
      <w:r w:rsidR="00547E16">
        <w:rPr>
          <w:rFonts w:cs="Arial"/>
          <w:szCs w:val="22"/>
        </w:rPr>
        <w:t xml:space="preserve"> </w:t>
      </w:r>
      <w:r>
        <w:rPr>
          <w:rFonts w:cs="Arial"/>
          <w:szCs w:val="22"/>
        </w:rPr>
        <w:t>all health service organisations</w:t>
      </w:r>
      <w:r w:rsidR="00547E16">
        <w:rPr>
          <w:rFonts w:cs="Arial"/>
          <w:szCs w:val="22"/>
        </w:rPr>
        <w:t xml:space="preserve"> in Australia have been</w:t>
      </w:r>
      <w:r>
        <w:rPr>
          <w:rFonts w:cs="Arial"/>
          <w:szCs w:val="22"/>
        </w:rPr>
        <w:t xml:space="preserve"> assessed to the NSQHS Standards.</w:t>
      </w:r>
    </w:p>
    <w:p w:rsidR="00D60C4F" w:rsidRPr="00EB3B52" w:rsidRDefault="00B13ED1" w:rsidP="00E04D12">
      <w:r>
        <w:t xml:space="preserve">The purpose of the NSQHS Standards is to protect the public from harm and improve the quality of care for patients and consumers. </w:t>
      </w:r>
      <w:r w:rsidR="00EB3B52" w:rsidRPr="00EB3B52">
        <w:t xml:space="preserve">The NSQHS Standards cover areas where patients experience higher levels of harm, and where there is good evidence of how safe and better care could be provided. </w:t>
      </w:r>
    </w:p>
    <w:p w:rsidR="00EB3B52" w:rsidRPr="00EB3B52" w:rsidRDefault="00EB3B52" w:rsidP="00E04D12">
      <w:r w:rsidRPr="00EB3B52">
        <w:t>The NSQHS Standards are:</w:t>
      </w:r>
    </w:p>
    <w:p w:rsidR="00EB3B52" w:rsidRPr="00EB3B52" w:rsidRDefault="005639A6" w:rsidP="00E04D12">
      <w:pPr>
        <w:pStyle w:val="ListParagraph"/>
        <w:numPr>
          <w:ilvl w:val="0"/>
          <w:numId w:val="19"/>
        </w:numPr>
        <w:contextualSpacing w:val="0"/>
      </w:pPr>
      <w:r w:rsidRPr="005639A6">
        <w:t xml:space="preserve">NSQHS Standard </w:t>
      </w:r>
      <w:r w:rsidR="0020000F">
        <w:t xml:space="preserve">1: </w:t>
      </w:r>
      <w:r w:rsidR="00EB3B52" w:rsidRPr="00EB3B52">
        <w:t xml:space="preserve">Governance for Safety and Quality </w:t>
      </w:r>
      <w:r w:rsidRPr="005A57CF">
        <w:rPr>
          <w:rStyle w:val="IntenseReference"/>
          <w:b w:val="0"/>
          <w:bCs w:val="0"/>
          <w:i w:val="0"/>
          <w:smallCaps w:val="0"/>
          <w:color w:val="auto"/>
          <w:spacing w:val="0"/>
        </w:rPr>
        <w:t xml:space="preserve">in Health Service </w:t>
      </w:r>
      <w:r w:rsidR="00EB3B52" w:rsidRPr="00EB3B52">
        <w:t>Organisations</w:t>
      </w:r>
    </w:p>
    <w:p w:rsidR="00EB3B52" w:rsidRPr="00EB3B52" w:rsidRDefault="005639A6" w:rsidP="00E04D12">
      <w:pPr>
        <w:pStyle w:val="ListParagraph"/>
        <w:numPr>
          <w:ilvl w:val="0"/>
          <w:numId w:val="19"/>
        </w:numPr>
        <w:contextualSpacing w:val="0"/>
      </w:pPr>
      <w:r w:rsidRPr="005639A6">
        <w:t xml:space="preserve">NSQHS Standard </w:t>
      </w:r>
      <w:r>
        <w:t xml:space="preserve">2: </w:t>
      </w:r>
      <w:r w:rsidR="00EB3B52" w:rsidRPr="00EB3B52">
        <w:t>Partnering with Consumers</w:t>
      </w:r>
    </w:p>
    <w:p w:rsidR="00EB3B52" w:rsidRPr="00EB3B52" w:rsidRDefault="005639A6" w:rsidP="00E04D12">
      <w:pPr>
        <w:pStyle w:val="ListParagraph"/>
        <w:numPr>
          <w:ilvl w:val="0"/>
          <w:numId w:val="19"/>
        </w:numPr>
        <w:contextualSpacing w:val="0"/>
      </w:pPr>
      <w:r w:rsidRPr="005639A6">
        <w:t xml:space="preserve">NSQHS Standard </w:t>
      </w:r>
      <w:r>
        <w:t xml:space="preserve">3: </w:t>
      </w:r>
      <w:r w:rsidR="00EB3B52" w:rsidRPr="00EB3B52">
        <w:t>Preventing and Controlling Healthcare Associated Infections</w:t>
      </w:r>
    </w:p>
    <w:p w:rsidR="00EB3B52" w:rsidRPr="00EB3B52" w:rsidRDefault="005639A6" w:rsidP="00E04D12">
      <w:pPr>
        <w:pStyle w:val="ListParagraph"/>
        <w:numPr>
          <w:ilvl w:val="0"/>
          <w:numId w:val="19"/>
        </w:numPr>
        <w:contextualSpacing w:val="0"/>
      </w:pPr>
      <w:r w:rsidRPr="005639A6">
        <w:t xml:space="preserve">NSQHS Standard </w:t>
      </w:r>
      <w:r>
        <w:t xml:space="preserve">4: </w:t>
      </w:r>
      <w:r w:rsidR="00EB3B52" w:rsidRPr="00EB3B52">
        <w:t>Medication Safety</w:t>
      </w:r>
    </w:p>
    <w:p w:rsidR="00EB3B52" w:rsidRPr="00EB3B52" w:rsidRDefault="005639A6" w:rsidP="00E04D12">
      <w:pPr>
        <w:pStyle w:val="ListParagraph"/>
        <w:numPr>
          <w:ilvl w:val="0"/>
          <w:numId w:val="19"/>
        </w:numPr>
        <w:contextualSpacing w:val="0"/>
      </w:pPr>
      <w:r w:rsidRPr="005639A6">
        <w:t xml:space="preserve">NSQHS Standard </w:t>
      </w:r>
      <w:r>
        <w:t xml:space="preserve">5: </w:t>
      </w:r>
      <w:r w:rsidR="00EB3B52" w:rsidRPr="00EB3B52">
        <w:t>Patient Identification and Procedure Matching</w:t>
      </w:r>
    </w:p>
    <w:p w:rsidR="00EB3B52" w:rsidRPr="00EB3B52" w:rsidRDefault="005639A6" w:rsidP="00E04D12">
      <w:pPr>
        <w:pStyle w:val="ListParagraph"/>
        <w:numPr>
          <w:ilvl w:val="0"/>
          <w:numId w:val="19"/>
        </w:numPr>
        <w:contextualSpacing w:val="0"/>
      </w:pPr>
      <w:r w:rsidRPr="005639A6">
        <w:t xml:space="preserve">NSQHS Standard </w:t>
      </w:r>
      <w:r>
        <w:t xml:space="preserve">6: </w:t>
      </w:r>
      <w:r w:rsidR="00EB3B52" w:rsidRPr="00EB3B52">
        <w:t>Clinical Handover</w:t>
      </w:r>
    </w:p>
    <w:p w:rsidR="00EB3B52" w:rsidRPr="00EB3B52" w:rsidRDefault="005639A6" w:rsidP="00E04D12">
      <w:pPr>
        <w:pStyle w:val="ListParagraph"/>
        <w:numPr>
          <w:ilvl w:val="0"/>
          <w:numId w:val="19"/>
        </w:numPr>
        <w:contextualSpacing w:val="0"/>
      </w:pPr>
      <w:r w:rsidRPr="005639A6">
        <w:t xml:space="preserve">NSQHS Standard </w:t>
      </w:r>
      <w:r>
        <w:t xml:space="preserve">7: </w:t>
      </w:r>
      <w:r w:rsidR="00EB3B52" w:rsidRPr="00EB3B52">
        <w:t>Blood and Blood Products</w:t>
      </w:r>
    </w:p>
    <w:p w:rsidR="00EB3B52" w:rsidRPr="00EB3B52" w:rsidRDefault="005639A6" w:rsidP="00E04D12">
      <w:pPr>
        <w:pStyle w:val="ListParagraph"/>
        <w:numPr>
          <w:ilvl w:val="0"/>
          <w:numId w:val="19"/>
        </w:numPr>
        <w:contextualSpacing w:val="0"/>
      </w:pPr>
      <w:r w:rsidRPr="005639A6">
        <w:t xml:space="preserve">NSQHS Standard </w:t>
      </w:r>
      <w:r>
        <w:t xml:space="preserve">8: </w:t>
      </w:r>
      <w:r w:rsidR="00EB3B52" w:rsidRPr="00EB3B52">
        <w:t>Preventing and Managing Pressure Injuries</w:t>
      </w:r>
    </w:p>
    <w:p w:rsidR="00EB3B52" w:rsidRPr="00EB3B52" w:rsidRDefault="005639A6" w:rsidP="00E04D12">
      <w:pPr>
        <w:pStyle w:val="ListParagraph"/>
        <w:numPr>
          <w:ilvl w:val="0"/>
          <w:numId w:val="19"/>
        </w:numPr>
        <w:contextualSpacing w:val="0"/>
      </w:pPr>
      <w:r w:rsidRPr="005639A6">
        <w:t xml:space="preserve">NSQHS Standard </w:t>
      </w:r>
      <w:r>
        <w:t xml:space="preserve">9: </w:t>
      </w:r>
      <w:r w:rsidR="00EB3B52" w:rsidRPr="00EB3B52">
        <w:t>Recognising and Responding to Clinical Deterioration in Acute Health Care</w:t>
      </w:r>
    </w:p>
    <w:p w:rsidR="00EB3B52" w:rsidRPr="001C297D" w:rsidRDefault="005639A6" w:rsidP="00E04D12">
      <w:pPr>
        <w:pStyle w:val="ListParagraph"/>
        <w:numPr>
          <w:ilvl w:val="0"/>
          <w:numId w:val="19"/>
        </w:numPr>
        <w:contextualSpacing w:val="0"/>
        <w:rPr>
          <w:rStyle w:val="IntenseReference"/>
          <w:rFonts w:cs="Arial"/>
          <w:bCs w:val="0"/>
          <w:smallCaps w:val="0"/>
        </w:rPr>
      </w:pPr>
      <w:r w:rsidRPr="005639A6">
        <w:t xml:space="preserve">NSQHS Standard </w:t>
      </w:r>
      <w:r>
        <w:t xml:space="preserve">10: </w:t>
      </w:r>
      <w:r w:rsidR="00EB3B52" w:rsidRPr="00EB3B52">
        <w:t xml:space="preserve">Preventing Falls and Harm from </w:t>
      </w:r>
      <w:proofErr w:type="gramStart"/>
      <w:r w:rsidR="00EB3B52" w:rsidRPr="00EB3B52">
        <w:t>Falls</w:t>
      </w:r>
      <w:proofErr w:type="gramEnd"/>
      <w:r w:rsidR="00EB3B52" w:rsidRPr="00EB3B52">
        <w:t>.</w:t>
      </w:r>
    </w:p>
    <w:p w:rsidR="00942E55" w:rsidRDefault="00942E55" w:rsidP="00E04D12">
      <w:pPr>
        <w:widowControl w:val="0"/>
      </w:pPr>
    </w:p>
    <w:p w:rsidR="00C03944" w:rsidRPr="00F4072F" w:rsidRDefault="00C03944" w:rsidP="00E04D12">
      <w:pPr>
        <w:pStyle w:val="Heading2"/>
        <w:spacing w:before="0" w:after="120"/>
        <w:rPr>
          <w:b w:val="0"/>
        </w:rPr>
      </w:pPr>
      <w:bookmarkStart w:id="14" w:name="_Toc456019978"/>
      <w:r w:rsidRPr="00F4072F">
        <w:rPr>
          <w:b w:val="0"/>
        </w:rPr>
        <w:lastRenderedPageBreak/>
        <w:t>Version 2 of the NSQHS Standards</w:t>
      </w:r>
      <w:bookmarkEnd w:id="14"/>
    </w:p>
    <w:p w:rsidR="00C03944" w:rsidRPr="00B9282C" w:rsidRDefault="00AC0E83" w:rsidP="00E04D12">
      <w:pPr>
        <w:rPr>
          <w:rFonts w:cs="Arial"/>
        </w:rPr>
      </w:pPr>
      <w:r>
        <w:t>In 2015 t</w:t>
      </w:r>
      <w:r w:rsidR="0045292A" w:rsidRPr="0045292A">
        <w:t>he Commission commenced a review</w:t>
      </w:r>
      <w:r w:rsidR="00942E55">
        <w:t xml:space="preserve"> of the NSQHS Standards to identify any areas of duplication or s</w:t>
      </w:r>
      <w:r w:rsidR="00942E55" w:rsidRPr="00FC6E4C">
        <w:rPr>
          <w:rFonts w:cs="Arial"/>
        </w:rPr>
        <w:t>afety and quality gaps</w:t>
      </w:r>
      <w:r w:rsidR="00942E55">
        <w:rPr>
          <w:rFonts w:cs="Arial"/>
        </w:rPr>
        <w:t xml:space="preserve"> and</w:t>
      </w:r>
      <w:r w:rsidR="00C03944">
        <w:rPr>
          <w:rFonts w:cs="Arial"/>
        </w:rPr>
        <w:t xml:space="preserve"> to</w:t>
      </w:r>
      <w:r w:rsidR="00942E55">
        <w:rPr>
          <w:rFonts w:cs="Arial"/>
        </w:rPr>
        <w:t xml:space="preserve"> align the NSQHS Standards with current evidence and best practice. </w:t>
      </w:r>
      <w:r w:rsidR="00C03944">
        <w:rPr>
          <w:rFonts w:cs="Arial"/>
        </w:rPr>
        <w:t xml:space="preserve">Additionally, version 2 of the NSQHS Standards will </w:t>
      </w:r>
      <w:r w:rsidR="00C03944">
        <w:t>incorporate t</w:t>
      </w:r>
      <w:r w:rsidR="00C03944" w:rsidRPr="003D072B">
        <w:t xml:space="preserve">he Commission’s recent work on </w:t>
      </w:r>
      <w:r w:rsidR="00C03944" w:rsidRPr="00B47342">
        <w:rPr>
          <w:rFonts w:cs="Arial"/>
        </w:rPr>
        <w:t>mental health</w:t>
      </w:r>
      <w:r w:rsidR="00C03944">
        <w:rPr>
          <w:rFonts w:cs="Arial"/>
        </w:rPr>
        <w:t xml:space="preserve">, </w:t>
      </w:r>
      <w:r w:rsidR="00C03944" w:rsidRPr="00FC6E4C">
        <w:rPr>
          <w:rFonts w:cs="Arial"/>
        </w:rPr>
        <w:t>cognitive impairment</w:t>
      </w:r>
      <w:r w:rsidR="00C03944">
        <w:rPr>
          <w:rFonts w:cs="Arial"/>
        </w:rPr>
        <w:t xml:space="preserve">, </w:t>
      </w:r>
      <w:r w:rsidR="00C03944" w:rsidRPr="00FC6E4C">
        <w:rPr>
          <w:rFonts w:cs="Arial"/>
        </w:rPr>
        <w:t>end</w:t>
      </w:r>
      <w:r w:rsidR="00C03944">
        <w:rPr>
          <w:rFonts w:cs="Arial"/>
        </w:rPr>
        <w:t>-</w:t>
      </w:r>
      <w:r w:rsidR="00C03944" w:rsidRPr="00FC6E4C">
        <w:rPr>
          <w:rFonts w:cs="Arial"/>
        </w:rPr>
        <w:t>of</w:t>
      </w:r>
      <w:r w:rsidR="00C03944">
        <w:rPr>
          <w:rFonts w:cs="Arial"/>
        </w:rPr>
        <w:t>-</w:t>
      </w:r>
      <w:r w:rsidR="00C03944" w:rsidRPr="00FC6E4C">
        <w:rPr>
          <w:rFonts w:cs="Arial"/>
        </w:rPr>
        <w:t>life</w:t>
      </w:r>
      <w:r w:rsidR="00C03944">
        <w:rPr>
          <w:rFonts w:cs="Arial"/>
        </w:rPr>
        <w:t xml:space="preserve"> care, </w:t>
      </w:r>
      <w:r w:rsidR="00C03944" w:rsidRPr="00FC6E4C">
        <w:rPr>
          <w:rFonts w:cs="Arial"/>
        </w:rPr>
        <w:t>health literacy</w:t>
      </w:r>
      <w:r w:rsidR="00C03944">
        <w:rPr>
          <w:rFonts w:cs="Arial"/>
        </w:rPr>
        <w:t xml:space="preserve"> and </w:t>
      </w:r>
      <w:r w:rsidR="00C03944" w:rsidRPr="00FC6E4C">
        <w:rPr>
          <w:rFonts w:cs="Arial"/>
        </w:rPr>
        <w:t>Aboriginal health</w:t>
      </w:r>
      <w:r w:rsidR="00C03944">
        <w:rPr>
          <w:rFonts w:cs="Arial"/>
          <w:lang w:val="en-US"/>
        </w:rPr>
        <w:t>.</w:t>
      </w:r>
      <w:r w:rsidR="00C03944" w:rsidRPr="00FC6E4C">
        <w:rPr>
          <w:rFonts w:cs="Arial"/>
        </w:rPr>
        <w:t xml:space="preserve"> </w:t>
      </w:r>
    </w:p>
    <w:p w:rsidR="00942E55" w:rsidRPr="00942E55" w:rsidRDefault="00C03944" w:rsidP="00E04D12">
      <w:r>
        <w:rPr>
          <w:rFonts w:cs="Arial"/>
        </w:rPr>
        <w:t>Public consultations sough</w:t>
      </w:r>
      <w:r w:rsidR="00AC0E83">
        <w:rPr>
          <w:rFonts w:cs="Arial"/>
        </w:rPr>
        <w:t>t</w:t>
      </w:r>
      <w:r>
        <w:rPr>
          <w:rFonts w:cs="Arial"/>
        </w:rPr>
        <w:t xml:space="preserve"> feedback on both the current version of the NSQHS Standards and the draft version 2 of the NSQHS Standards. </w:t>
      </w:r>
      <w:r w:rsidR="00942E55" w:rsidRPr="00942E55">
        <w:t xml:space="preserve">Over 1400 health services, consumers and other stakeholders provided comment by survey, written submissions and focus groups. An additional 135 health service organisations piloted the draft version 2 of the NSQHS Standards. </w:t>
      </w:r>
    </w:p>
    <w:p w:rsidR="00384382" w:rsidRDefault="00942E55" w:rsidP="00E04D12">
      <w:pPr>
        <w:widowControl w:val="0"/>
      </w:pPr>
      <w:r w:rsidRPr="00942E55">
        <w:t>Feedback from these processes has been positive and is being used to inform version 2 of the NSQHS Standards</w:t>
      </w:r>
      <w:r w:rsidR="00186AEE">
        <w:t>.</w:t>
      </w:r>
      <w:r w:rsidR="0045292A" w:rsidRPr="0045292A">
        <w:t xml:space="preserve"> Version 2 of the NSQHS Standards is expected to be released in mid-2017 and implemented in 2018</w:t>
      </w:r>
      <w:r w:rsidR="00D818FB">
        <w:t>-</w:t>
      </w:r>
      <w:r w:rsidR="0045292A" w:rsidRPr="0045292A">
        <w:t xml:space="preserve">19. </w:t>
      </w:r>
    </w:p>
    <w:p w:rsidR="00384382" w:rsidRDefault="00384382" w:rsidP="00E04D12">
      <w:pPr>
        <w:widowControl w:val="0"/>
      </w:pPr>
    </w:p>
    <w:p w:rsidR="00A17648" w:rsidRDefault="00A17648" w:rsidP="00E04D12">
      <w:pPr>
        <w:widowControl w:val="0"/>
        <w:rPr>
          <w:rFonts w:cs="Arial"/>
          <w:kern w:val="28"/>
          <w:sz w:val="28"/>
          <w:szCs w:val="32"/>
        </w:rPr>
      </w:pPr>
      <w:r>
        <w:br w:type="page"/>
      </w:r>
    </w:p>
    <w:p w:rsidR="0044148C" w:rsidRDefault="0044148C" w:rsidP="00E04D12">
      <w:pPr>
        <w:pStyle w:val="Heading1"/>
        <w:spacing w:before="0" w:after="120"/>
      </w:pPr>
      <w:bookmarkStart w:id="15" w:name="_Toc456019979"/>
      <w:r>
        <w:lastRenderedPageBreak/>
        <w:t>Performance</w:t>
      </w:r>
      <w:bookmarkEnd w:id="15"/>
      <w:r>
        <w:t xml:space="preserve"> </w:t>
      </w:r>
    </w:p>
    <w:p w:rsidR="00384382" w:rsidRDefault="00384382" w:rsidP="000C5C4B">
      <w:pPr>
        <w:spacing w:after="240"/>
      </w:pPr>
      <w:bookmarkStart w:id="16" w:name="_Toc455410130"/>
      <w:r w:rsidRPr="00384382">
        <w:t>The Commission focuses its work on areas that can best be improved through national action. Improvements to healthcare safety and quality are best achieved through national partnerships that are supported by local activities and implementation. The Commission achieves</w:t>
      </w:r>
      <w:r>
        <w:t xml:space="preserve"> its objectives </w:t>
      </w:r>
      <w:r w:rsidRPr="00384382">
        <w:t>through the maintenance of strong, positive relationships with its partners, including patients and consumers, consumer groups, healthcare providers, public and private healthcare organisations, governments and other healthcare organisations and agencies. The Commission works in partnership with its stakeholders to support the implementation of safety and quality initiatives through the development of guidance, resources, tools and educational material.</w:t>
      </w:r>
      <w:bookmarkEnd w:id="16"/>
      <w:r w:rsidRPr="00384382">
        <w:t xml:space="preserve"> </w:t>
      </w:r>
    </w:p>
    <w:p w:rsidR="005233B1" w:rsidRPr="005233B1" w:rsidRDefault="00722436" w:rsidP="005233B1">
      <w:pPr>
        <w:pBdr>
          <w:top w:val="single" w:sz="12" w:space="1" w:color="auto"/>
          <w:left w:val="single" w:sz="12" w:space="4" w:color="auto"/>
          <w:bottom w:val="single" w:sz="12" w:space="1" w:color="auto"/>
          <w:right w:val="single" w:sz="12" w:space="4" w:color="auto"/>
        </w:pBdr>
        <w:spacing w:after="40" w:line="140" w:lineRule="atLeast"/>
        <w:rPr>
          <w:rFonts w:eastAsia="MS Mincho"/>
          <w:b/>
          <w:szCs w:val="22"/>
        </w:rPr>
      </w:pPr>
      <w:r>
        <w:rPr>
          <w:rFonts w:eastAsia="MS Mincho"/>
          <w:b/>
          <w:szCs w:val="22"/>
        </w:rPr>
        <w:t>Addressing</w:t>
      </w:r>
      <w:r w:rsidR="005233B1" w:rsidRPr="005233B1">
        <w:rPr>
          <w:rFonts w:eastAsia="MS Mincho"/>
          <w:b/>
          <w:szCs w:val="22"/>
        </w:rPr>
        <w:t xml:space="preserve"> risk </w:t>
      </w:r>
    </w:p>
    <w:p w:rsidR="007B2DB2" w:rsidRPr="007B2DB2" w:rsidRDefault="00722436" w:rsidP="007B2DB2">
      <w:pPr>
        <w:pStyle w:val="ListParagraph"/>
        <w:numPr>
          <w:ilvl w:val="0"/>
          <w:numId w:val="40"/>
        </w:numPr>
        <w:pBdr>
          <w:top w:val="single" w:sz="12" w:space="1" w:color="auto"/>
          <w:left w:val="single" w:sz="12" w:space="4" w:color="auto"/>
          <w:bottom w:val="single" w:sz="12" w:space="1" w:color="auto"/>
          <w:right w:val="single" w:sz="12" w:space="4" w:color="auto"/>
        </w:pBdr>
        <w:spacing w:after="40" w:line="140" w:lineRule="atLeast"/>
        <w:ind w:left="851" w:hanging="851"/>
        <w:contextualSpacing w:val="0"/>
        <w:rPr>
          <w:rFonts w:eastAsia="MS Mincho"/>
          <w:b/>
          <w:i/>
          <w:szCs w:val="22"/>
        </w:rPr>
      </w:pPr>
      <w:r>
        <w:rPr>
          <w:rFonts w:eastAsia="MS Mincho"/>
          <w:b/>
          <w:i/>
          <w:szCs w:val="22"/>
        </w:rPr>
        <w:t>The Commission works to ensure that the r</w:t>
      </w:r>
      <w:r w:rsidR="007B2DB2" w:rsidRPr="007B2DB2">
        <w:rPr>
          <w:rFonts w:eastAsia="MS Mincho"/>
          <w:b/>
          <w:i/>
          <w:szCs w:val="22"/>
        </w:rPr>
        <w:t xml:space="preserve">esources, guidance and educational materials </w:t>
      </w:r>
      <w:r>
        <w:rPr>
          <w:rFonts w:eastAsia="MS Mincho"/>
          <w:b/>
          <w:i/>
          <w:szCs w:val="22"/>
        </w:rPr>
        <w:t xml:space="preserve">it </w:t>
      </w:r>
      <w:r w:rsidR="007B2DB2" w:rsidRPr="007B2DB2">
        <w:rPr>
          <w:rFonts w:eastAsia="MS Mincho"/>
          <w:b/>
          <w:i/>
          <w:szCs w:val="22"/>
        </w:rPr>
        <w:t>produce</w:t>
      </w:r>
      <w:r>
        <w:rPr>
          <w:rFonts w:eastAsia="MS Mincho"/>
          <w:b/>
          <w:i/>
          <w:szCs w:val="22"/>
        </w:rPr>
        <w:t>s</w:t>
      </w:r>
      <w:r w:rsidR="007B2DB2" w:rsidRPr="007B2DB2">
        <w:rPr>
          <w:rFonts w:eastAsia="MS Mincho"/>
          <w:b/>
          <w:i/>
          <w:szCs w:val="22"/>
        </w:rPr>
        <w:t xml:space="preserve"> are suitable for the intended audience</w:t>
      </w:r>
    </w:p>
    <w:p w:rsidR="005233B1" w:rsidRPr="005233B1" w:rsidRDefault="00722436" w:rsidP="005233B1">
      <w:pPr>
        <w:pBdr>
          <w:top w:val="single" w:sz="12" w:space="1" w:color="auto"/>
          <w:left w:val="single" w:sz="12" w:space="4" w:color="auto"/>
          <w:bottom w:val="single" w:sz="12" w:space="1" w:color="auto"/>
          <w:right w:val="single" w:sz="12" w:space="4" w:color="auto"/>
        </w:pBdr>
        <w:spacing w:after="40" w:line="140" w:lineRule="atLeast"/>
        <w:rPr>
          <w:rFonts w:eastAsia="MS Mincho"/>
          <w:szCs w:val="22"/>
        </w:rPr>
      </w:pPr>
      <w:r>
        <w:rPr>
          <w:rFonts w:eastAsia="MS Mincho"/>
          <w:szCs w:val="22"/>
        </w:rPr>
        <w:t>To mitigate the</w:t>
      </w:r>
      <w:r w:rsidR="005233B1" w:rsidRPr="005233B1">
        <w:rPr>
          <w:rFonts w:eastAsia="MS Mincho"/>
          <w:szCs w:val="22"/>
        </w:rPr>
        <w:t xml:space="preserve"> risk</w:t>
      </w:r>
      <w:r>
        <w:rPr>
          <w:rFonts w:eastAsia="MS Mincho"/>
          <w:szCs w:val="22"/>
        </w:rPr>
        <w:t xml:space="preserve"> of not achieving this objective,</w:t>
      </w:r>
      <w:r w:rsidR="005233B1" w:rsidRPr="005233B1">
        <w:rPr>
          <w:rFonts w:eastAsia="MS Mincho"/>
          <w:szCs w:val="22"/>
        </w:rPr>
        <w:t xml:space="preserve"> the Commission: </w:t>
      </w:r>
    </w:p>
    <w:p w:rsidR="005233B1" w:rsidRPr="005233B1" w:rsidRDefault="005233B1" w:rsidP="005233B1">
      <w:pPr>
        <w:pStyle w:val="ListParagraph"/>
        <w:numPr>
          <w:ilvl w:val="0"/>
          <w:numId w:val="13"/>
        </w:numPr>
        <w:pBdr>
          <w:top w:val="single" w:sz="12" w:space="1" w:color="auto"/>
          <w:left w:val="single" w:sz="12" w:space="4" w:color="auto"/>
          <w:bottom w:val="single" w:sz="12" w:space="1" w:color="auto"/>
          <w:right w:val="single" w:sz="12" w:space="4" w:color="auto"/>
        </w:pBdr>
        <w:spacing w:after="40" w:line="140" w:lineRule="atLeast"/>
        <w:contextualSpacing w:val="0"/>
        <w:rPr>
          <w:rFonts w:eastAsia="MS Mincho"/>
          <w:szCs w:val="22"/>
        </w:rPr>
      </w:pPr>
      <w:r w:rsidRPr="005233B1">
        <w:rPr>
          <w:rFonts w:eastAsia="MS Mincho"/>
          <w:szCs w:val="22"/>
        </w:rPr>
        <w:t>seeks involvement of and contributions from key stakeholder groups and topic area experts during all stages of the development of guidance, resources and educational material</w:t>
      </w:r>
    </w:p>
    <w:p w:rsidR="005233B1" w:rsidRPr="005233B1" w:rsidRDefault="005233B1" w:rsidP="005233B1">
      <w:pPr>
        <w:pStyle w:val="ListParagraph"/>
        <w:numPr>
          <w:ilvl w:val="0"/>
          <w:numId w:val="13"/>
        </w:numPr>
        <w:pBdr>
          <w:top w:val="single" w:sz="12" w:space="1" w:color="auto"/>
          <w:left w:val="single" w:sz="12" w:space="4" w:color="auto"/>
          <w:bottom w:val="single" w:sz="12" w:space="1" w:color="auto"/>
          <w:right w:val="single" w:sz="12" w:space="4" w:color="auto"/>
        </w:pBdr>
        <w:spacing w:after="40" w:line="140" w:lineRule="atLeast"/>
        <w:contextualSpacing w:val="0"/>
        <w:rPr>
          <w:rFonts w:eastAsia="MS Mincho"/>
          <w:szCs w:val="22"/>
        </w:rPr>
      </w:pPr>
      <w:r w:rsidRPr="005233B1">
        <w:rPr>
          <w:rFonts w:eastAsia="MS Mincho"/>
          <w:szCs w:val="22"/>
        </w:rPr>
        <w:t>conducts public consultations, pilot studies, and/or proof of concept studies prior to recommending implementation of practices</w:t>
      </w:r>
    </w:p>
    <w:p w:rsidR="005233B1" w:rsidRPr="005233B1" w:rsidRDefault="005233B1" w:rsidP="005233B1">
      <w:pPr>
        <w:pStyle w:val="ListParagraph"/>
        <w:numPr>
          <w:ilvl w:val="0"/>
          <w:numId w:val="13"/>
        </w:numPr>
        <w:pBdr>
          <w:top w:val="single" w:sz="12" w:space="1" w:color="auto"/>
          <w:left w:val="single" w:sz="12" w:space="4" w:color="auto"/>
          <w:bottom w:val="single" w:sz="12" w:space="1" w:color="auto"/>
          <w:right w:val="single" w:sz="12" w:space="4" w:color="auto"/>
        </w:pBdr>
        <w:spacing w:after="40" w:line="140" w:lineRule="atLeast"/>
        <w:contextualSpacing w:val="0"/>
        <w:rPr>
          <w:rFonts w:eastAsia="MS Mincho"/>
          <w:szCs w:val="22"/>
        </w:rPr>
      </w:pPr>
      <w:proofErr w:type="gramStart"/>
      <w:r w:rsidRPr="005233B1">
        <w:rPr>
          <w:rFonts w:eastAsia="MS Mincho"/>
          <w:szCs w:val="22"/>
        </w:rPr>
        <w:t>seeks</w:t>
      </w:r>
      <w:proofErr w:type="gramEnd"/>
      <w:r w:rsidRPr="005233B1">
        <w:rPr>
          <w:rFonts w:eastAsia="MS Mincho"/>
          <w:szCs w:val="22"/>
        </w:rPr>
        <w:t xml:space="preserve"> endorsement of national recommendations from representatives of the Australian Government and state and territory governments, as well as the support of the private and primary health sectors.        </w:t>
      </w:r>
    </w:p>
    <w:p w:rsidR="00D31085" w:rsidRPr="0041724F" w:rsidRDefault="006662EB" w:rsidP="005233B1">
      <w:pPr>
        <w:pStyle w:val="Heading2"/>
        <w:spacing w:after="120"/>
      </w:pPr>
      <w:bookmarkStart w:id="17" w:name="_Toc456019980"/>
      <w:r>
        <w:t xml:space="preserve">Strategic </w:t>
      </w:r>
      <w:r w:rsidR="00AE6BD9">
        <w:t>p</w:t>
      </w:r>
      <w:r>
        <w:t>riorities</w:t>
      </w:r>
      <w:bookmarkEnd w:id="17"/>
      <w:r>
        <w:t xml:space="preserve"> </w:t>
      </w:r>
    </w:p>
    <w:p w:rsidR="00203C94" w:rsidRDefault="00203C94" w:rsidP="00E04D12">
      <w:pPr>
        <w:rPr>
          <w:rStyle w:val="IntenseReference"/>
          <w:b w:val="0"/>
          <w:bCs w:val="0"/>
          <w:i w:val="0"/>
          <w:smallCaps w:val="0"/>
          <w:color w:val="auto"/>
          <w:spacing w:val="0"/>
        </w:rPr>
      </w:pPr>
      <w:r>
        <w:rPr>
          <w:rStyle w:val="IntenseReference"/>
          <w:b w:val="0"/>
          <w:bCs w:val="0"/>
          <w:i w:val="0"/>
          <w:smallCaps w:val="0"/>
          <w:color w:val="auto"/>
          <w:spacing w:val="0"/>
        </w:rPr>
        <w:t>The four strategic priorities for the Commission</w:t>
      </w:r>
      <w:r w:rsidR="00522F83">
        <w:rPr>
          <w:rStyle w:val="IntenseReference"/>
          <w:b w:val="0"/>
          <w:bCs w:val="0"/>
          <w:i w:val="0"/>
          <w:smallCaps w:val="0"/>
          <w:color w:val="auto"/>
          <w:spacing w:val="0"/>
        </w:rPr>
        <w:t xml:space="preserve"> over the 2016-20 </w:t>
      </w:r>
      <w:proofErr w:type="gramStart"/>
      <w:r w:rsidR="00522F83">
        <w:rPr>
          <w:rStyle w:val="IntenseReference"/>
          <w:b w:val="0"/>
          <w:bCs w:val="0"/>
          <w:i w:val="0"/>
          <w:smallCaps w:val="0"/>
          <w:color w:val="auto"/>
          <w:spacing w:val="0"/>
        </w:rPr>
        <w:t>period</w:t>
      </w:r>
      <w:proofErr w:type="gramEnd"/>
      <w:r>
        <w:rPr>
          <w:rStyle w:val="IntenseReference"/>
          <w:b w:val="0"/>
          <w:bCs w:val="0"/>
          <w:i w:val="0"/>
          <w:smallCaps w:val="0"/>
          <w:color w:val="auto"/>
          <w:spacing w:val="0"/>
        </w:rPr>
        <w:t xml:space="preserve"> are:</w:t>
      </w:r>
    </w:p>
    <w:p w:rsidR="00203C94" w:rsidRDefault="00203C94" w:rsidP="00E04D12">
      <w:pPr>
        <w:pStyle w:val="ListParagraph"/>
        <w:numPr>
          <w:ilvl w:val="0"/>
          <w:numId w:val="29"/>
        </w:numPr>
        <w:contextualSpacing w:val="0"/>
      </w:pPr>
      <w:r w:rsidRPr="00500B76">
        <w:rPr>
          <w:b/>
        </w:rPr>
        <w:t>Patient safety</w:t>
      </w:r>
      <w:r w:rsidR="00AE6BD9" w:rsidRPr="00134243">
        <w:t xml:space="preserve"> –</w:t>
      </w:r>
      <w:r w:rsidR="00D60C4F">
        <w:t xml:space="preserve"> </w:t>
      </w:r>
      <w:r w:rsidRPr="00255614">
        <w:t>hav</w:t>
      </w:r>
      <w:r w:rsidR="00AE6BD9">
        <w:t>ing</w:t>
      </w:r>
      <w:r w:rsidRPr="00255614">
        <w:t xml:space="preserve"> a health system that</w:t>
      </w:r>
      <w:r w:rsidR="00FF6A30">
        <w:t xml:space="preserve"> is designed to ensure patients and consumers are kept safe from preventable harm</w:t>
      </w:r>
      <w:r w:rsidRPr="00255614">
        <w:t xml:space="preserve"> </w:t>
      </w:r>
    </w:p>
    <w:p w:rsidR="00203C94" w:rsidRPr="00255614" w:rsidRDefault="00203C94" w:rsidP="00E04D12">
      <w:pPr>
        <w:pStyle w:val="ListParagraph"/>
        <w:numPr>
          <w:ilvl w:val="0"/>
          <w:numId w:val="29"/>
        </w:numPr>
        <w:contextualSpacing w:val="0"/>
      </w:pPr>
      <w:r w:rsidRPr="00500B76">
        <w:rPr>
          <w:b/>
        </w:rPr>
        <w:t>Partnering with patients, consumers and communities</w:t>
      </w:r>
      <w:r w:rsidR="00AE6BD9" w:rsidRPr="00134243">
        <w:t xml:space="preserve"> –</w:t>
      </w:r>
      <w:r w:rsidR="00D60C4F">
        <w:t xml:space="preserve"> </w:t>
      </w:r>
      <w:r w:rsidRPr="00255614">
        <w:t>hav</w:t>
      </w:r>
      <w:r w:rsidR="00AE6BD9">
        <w:t>ing</w:t>
      </w:r>
      <w:r w:rsidRPr="00255614">
        <w:t xml:space="preserve"> a health system</w:t>
      </w:r>
      <w:r w:rsidR="00FF6A30">
        <w:t xml:space="preserve"> where patients, consumers and members of the community all participate with health professionals as partners in all aspects of health care</w:t>
      </w:r>
      <w:r w:rsidRPr="00255614">
        <w:t xml:space="preserve"> </w:t>
      </w:r>
    </w:p>
    <w:p w:rsidR="00203C94" w:rsidRPr="00255614" w:rsidRDefault="00203C94" w:rsidP="00E04D12">
      <w:pPr>
        <w:pStyle w:val="ListParagraph"/>
        <w:numPr>
          <w:ilvl w:val="0"/>
          <w:numId w:val="29"/>
        </w:numPr>
        <w:contextualSpacing w:val="0"/>
      </w:pPr>
      <w:r w:rsidRPr="00500B76">
        <w:rPr>
          <w:b/>
        </w:rPr>
        <w:t>Quality, value and cost</w:t>
      </w:r>
      <w:r w:rsidR="00AE6BD9" w:rsidRPr="00134243">
        <w:t xml:space="preserve"> –</w:t>
      </w:r>
      <w:r w:rsidRPr="00255614">
        <w:t xml:space="preserve"> hav</w:t>
      </w:r>
      <w:r w:rsidR="00AE6BD9">
        <w:t>ing</w:t>
      </w:r>
      <w:r w:rsidRPr="00255614">
        <w:t xml:space="preserve"> a health system that provides the right care</w:t>
      </w:r>
      <w:r w:rsidR="00433FE1">
        <w:t>, minimises waste, and optimises value and productivity</w:t>
      </w:r>
      <w:r>
        <w:t xml:space="preserve"> </w:t>
      </w:r>
    </w:p>
    <w:p w:rsidR="00203C94" w:rsidRPr="00255614" w:rsidRDefault="00203C94" w:rsidP="00E04D12">
      <w:pPr>
        <w:pStyle w:val="ListParagraph"/>
        <w:numPr>
          <w:ilvl w:val="0"/>
          <w:numId w:val="29"/>
        </w:numPr>
        <w:contextualSpacing w:val="0"/>
      </w:pPr>
      <w:r w:rsidRPr="00500B76">
        <w:rPr>
          <w:b/>
        </w:rPr>
        <w:t>Supporting health profess</w:t>
      </w:r>
      <w:r w:rsidR="00186AEE">
        <w:rPr>
          <w:b/>
        </w:rPr>
        <w:t xml:space="preserve">ionals to provide safe and high </w:t>
      </w:r>
      <w:r w:rsidRPr="00500B76">
        <w:rPr>
          <w:b/>
        </w:rPr>
        <w:t>quality care</w:t>
      </w:r>
      <w:r w:rsidR="00AE6BD9" w:rsidRPr="00134243">
        <w:t xml:space="preserve"> – </w:t>
      </w:r>
      <w:r w:rsidRPr="00255614">
        <w:t>hav</w:t>
      </w:r>
      <w:r w:rsidR="00AE6BD9">
        <w:t>ing</w:t>
      </w:r>
      <w:r w:rsidRPr="00255614">
        <w:t xml:space="preserve"> a health system that </w:t>
      </w:r>
      <w:r>
        <w:t>supports safe clinical practice by having robust and sustainable improvement systems.</w:t>
      </w:r>
      <w:r w:rsidRPr="00255614">
        <w:t xml:space="preserve"> </w:t>
      </w:r>
    </w:p>
    <w:p w:rsidR="006662EB" w:rsidRPr="006662EB" w:rsidRDefault="006662EB" w:rsidP="005233B1">
      <w:pPr>
        <w:pStyle w:val="Heading2"/>
        <w:spacing w:after="120"/>
      </w:pPr>
      <w:bookmarkStart w:id="18" w:name="_Toc456019981"/>
      <w:r>
        <w:t xml:space="preserve">Work </w:t>
      </w:r>
      <w:r w:rsidR="00AE6BD9">
        <w:t>p</w:t>
      </w:r>
      <w:r>
        <w:t>lan 201</w:t>
      </w:r>
      <w:r w:rsidR="00F41B53">
        <w:t>6</w:t>
      </w:r>
      <w:r w:rsidR="00AE6BD9">
        <w:t>–</w:t>
      </w:r>
      <w:r w:rsidR="00F41B53">
        <w:t>20</w:t>
      </w:r>
      <w:bookmarkEnd w:id="18"/>
    </w:p>
    <w:p w:rsidR="00320BAE" w:rsidRDefault="00320BAE" w:rsidP="00E04D12">
      <w:r>
        <w:t xml:space="preserve">The Commission’s work plan is developed in conjunction with the Board and in consultation </w:t>
      </w:r>
      <w:r w:rsidR="006662EB">
        <w:t xml:space="preserve">with the </w:t>
      </w:r>
      <w:r w:rsidR="00433FE1">
        <w:t>Australian</w:t>
      </w:r>
      <w:r w:rsidR="006662EB">
        <w:t>, state</w:t>
      </w:r>
      <w:r>
        <w:t xml:space="preserve"> and territory governments. The Commission’s planned activities over the following four year period </w:t>
      </w:r>
      <w:r w:rsidR="006662EB">
        <w:t>are</w:t>
      </w:r>
      <w:r w:rsidR="00547E16">
        <w:t xml:space="preserve"> directed by emerging health issues and current evidence </w:t>
      </w:r>
      <w:r w:rsidR="006662EB">
        <w:t xml:space="preserve">and </w:t>
      </w:r>
      <w:r>
        <w:t>align with the functions of t</w:t>
      </w:r>
      <w:r w:rsidR="00433FE1">
        <w:t>he Commission set out in the NHR</w:t>
      </w:r>
      <w:r>
        <w:t xml:space="preserve"> Act</w:t>
      </w:r>
      <w:r w:rsidR="006662EB">
        <w:t xml:space="preserve">. </w:t>
      </w:r>
    </w:p>
    <w:p w:rsidR="00D367A9" w:rsidRPr="00F4072F" w:rsidRDefault="00780578" w:rsidP="005233B1">
      <w:pPr>
        <w:pStyle w:val="Heading4"/>
        <w:keepNext/>
        <w:numPr>
          <w:ilvl w:val="0"/>
          <w:numId w:val="37"/>
        </w:numPr>
        <w:spacing w:before="240"/>
        <w:ind w:left="284" w:hanging="284"/>
        <w:rPr>
          <w:b w:val="0"/>
          <w:i/>
        </w:rPr>
      </w:pPr>
      <w:r w:rsidRPr="00F4072F">
        <w:rPr>
          <w:b w:val="0"/>
          <w:i/>
        </w:rPr>
        <w:lastRenderedPageBreak/>
        <w:t xml:space="preserve">Patient </w:t>
      </w:r>
      <w:r w:rsidR="003F7CEF" w:rsidRPr="00F4072F">
        <w:rPr>
          <w:b w:val="0"/>
          <w:i/>
        </w:rPr>
        <w:t>s</w:t>
      </w:r>
      <w:r w:rsidRPr="00F4072F">
        <w:rPr>
          <w:b w:val="0"/>
          <w:i/>
        </w:rPr>
        <w:t>afety</w:t>
      </w:r>
    </w:p>
    <w:p w:rsidR="006662EB" w:rsidRDefault="00B0194E" w:rsidP="00E04D12">
      <w:r>
        <w:t>The aim of the first</w:t>
      </w:r>
      <w:r w:rsidR="00F33C78">
        <w:t xml:space="preserve"> priority area is to have a health system that is designed to ensure that patients and consumers are kept safe from preventable harm. There are five main program areas within this </w:t>
      </w:r>
      <w:r w:rsidR="00D818FB">
        <w:t>priority</w:t>
      </w:r>
      <w:r w:rsidR="00780578">
        <w:t xml:space="preserve">: </w:t>
      </w:r>
    </w:p>
    <w:p w:rsidR="00780578" w:rsidRDefault="00433FE1" w:rsidP="00E04D12">
      <w:pPr>
        <w:pStyle w:val="ListParagraph"/>
        <w:numPr>
          <w:ilvl w:val="0"/>
          <w:numId w:val="27"/>
        </w:numPr>
        <w:contextualSpacing w:val="0"/>
      </w:pPr>
      <w:r>
        <w:t>NSQHS</w:t>
      </w:r>
      <w:r w:rsidR="00780578">
        <w:t xml:space="preserve"> Standards</w:t>
      </w:r>
    </w:p>
    <w:p w:rsidR="00780578" w:rsidRDefault="00F33C78" w:rsidP="00E04D12">
      <w:pPr>
        <w:pStyle w:val="ListParagraph"/>
        <w:numPr>
          <w:ilvl w:val="0"/>
          <w:numId w:val="27"/>
        </w:numPr>
        <w:contextualSpacing w:val="0"/>
      </w:pPr>
      <w:r>
        <w:t>national coordination of health services assessment to the NSQHS Standards</w:t>
      </w:r>
    </w:p>
    <w:p w:rsidR="00780578" w:rsidRDefault="00C661BE" w:rsidP="00E04D12">
      <w:pPr>
        <w:pStyle w:val="ListParagraph"/>
        <w:numPr>
          <w:ilvl w:val="0"/>
          <w:numId w:val="27"/>
        </w:numPr>
        <w:contextualSpacing w:val="0"/>
      </w:pPr>
      <w:r>
        <w:t>n</w:t>
      </w:r>
      <w:r w:rsidR="00780578">
        <w:t xml:space="preserve">ational coordinated action to </w:t>
      </w:r>
      <w:r w:rsidR="00FF0811">
        <w:t>prevent and control</w:t>
      </w:r>
      <w:r w:rsidR="00780578">
        <w:t xml:space="preserve"> healthcare associated infections</w:t>
      </w:r>
      <w:r w:rsidR="003D23D3">
        <w:t xml:space="preserve"> (HAI) </w:t>
      </w:r>
      <w:r w:rsidR="00780578">
        <w:t>and antimicrobial resistance</w:t>
      </w:r>
      <w:r w:rsidR="003D23D3">
        <w:t xml:space="preserve"> (AMR)</w:t>
      </w:r>
    </w:p>
    <w:p w:rsidR="002B0201" w:rsidRDefault="00C661BE" w:rsidP="00E04D12">
      <w:pPr>
        <w:pStyle w:val="ListParagraph"/>
        <w:numPr>
          <w:ilvl w:val="0"/>
          <w:numId w:val="27"/>
        </w:numPr>
        <w:contextualSpacing w:val="0"/>
      </w:pPr>
      <w:r>
        <w:t>s</w:t>
      </w:r>
      <w:r w:rsidR="002B0201">
        <w:t xml:space="preserve">afety in </w:t>
      </w:r>
      <w:r w:rsidR="00F33C78">
        <w:t xml:space="preserve">digital </w:t>
      </w:r>
      <w:r w:rsidR="00935C44">
        <w:t>h</w:t>
      </w:r>
      <w:r w:rsidR="002B0201">
        <w:t>ealth</w:t>
      </w:r>
    </w:p>
    <w:p w:rsidR="00A21F97" w:rsidRDefault="00C661BE" w:rsidP="00E04D12">
      <w:pPr>
        <w:pStyle w:val="ListParagraph"/>
        <w:numPr>
          <w:ilvl w:val="0"/>
          <w:numId w:val="27"/>
        </w:numPr>
        <w:contextualSpacing w:val="0"/>
      </w:pPr>
      <w:proofErr w:type="gramStart"/>
      <w:r>
        <w:t>p</w:t>
      </w:r>
      <w:r w:rsidR="007E1B00">
        <w:t>atient</w:t>
      </w:r>
      <w:proofErr w:type="gramEnd"/>
      <w:r w:rsidR="007E1B00">
        <w:t xml:space="preserve"> safety in primary care</w:t>
      </w:r>
      <w:r w:rsidR="00D60C4F">
        <w:t>.</w:t>
      </w:r>
    </w:p>
    <w:p w:rsidR="00B406BA" w:rsidRDefault="007E1B00" w:rsidP="00E04D12">
      <w:r>
        <w:t>The Commission continues to monitor the effectiveness o</w:t>
      </w:r>
      <w:r w:rsidR="003F7CEF">
        <w:t>f the NSQHS Standards with the s</w:t>
      </w:r>
      <w:r>
        <w:t xml:space="preserve">tates, </w:t>
      </w:r>
      <w:r w:rsidR="003F7CEF">
        <w:t>t</w:t>
      </w:r>
      <w:r>
        <w:t>erritories and private hospital sector and support</w:t>
      </w:r>
      <w:r w:rsidR="001D68BA">
        <w:t>s</w:t>
      </w:r>
      <w:r>
        <w:t xml:space="preserve"> health services to </w:t>
      </w:r>
      <w:r w:rsidR="00F33C78">
        <w:t>embed</w:t>
      </w:r>
      <w:r>
        <w:t xml:space="preserve"> the NSQHS Standards</w:t>
      </w:r>
      <w:r w:rsidR="00F33C78">
        <w:t xml:space="preserve"> within their organisations</w:t>
      </w:r>
      <w:r>
        <w:t xml:space="preserve">. </w:t>
      </w:r>
      <w:r w:rsidR="00FF0811">
        <w:t>During</w:t>
      </w:r>
      <w:r w:rsidR="00F33C78" w:rsidRPr="002638B2">
        <w:t xml:space="preserve"> 2016</w:t>
      </w:r>
      <w:r w:rsidR="00D818FB">
        <w:t>-</w:t>
      </w:r>
      <w:r w:rsidR="00F33C78" w:rsidRPr="002638B2">
        <w:t xml:space="preserve">17 the development of version 2 of the NSQHS Standards will continue. </w:t>
      </w:r>
      <w:r w:rsidR="001D68BA">
        <w:t>During this period</w:t>
      </w:r>
      <w:r w:rsidR="00F33C78" w:rsidRPr="002638B2">
        <w:t xml:space="preserve"> work </w:t>
      </w:r>
      <w:r w:rsidR="00D818FB">
        <w:t>is planned</w:t>
      </w:r>
      <w:r w:rsidR="00F33C78" w:rsidRPr="002638B2">
        <w:t xml:space="preserve"> to develop materials to support implementation of version 2 of the NSQHS Standards in the health system, including information for consumers, health service organisations and accrediting agencies</w:t>
      </w:r>
      <w:r w:rsidR="00B406BA">
        <w:t xml:space="preserve">.  </w:t>
      </w:r>
    </w:p>
    <w:p w:rsidR="00A3731E" w:rsidRDefault="00F33C78" w:rsidP="00E04D12">
      <w:r w:rsidRPr="00C411D2">
        <w:t xml:space="preserve">The Commission will continue to provide national coordination and reforms of assessment processes with health system regulators, accrediting agencies and health services and amending the </w:t>
      </w:r>
      <w:r w:rsidR="00B0194E" w:rsidRPr="00635321">
        <w:t>Australian Health Service Safety and Quality Accreditation</w:t>
      </w:r>
      <w:r w:rsidR="00B0194E" w:rsidRPr="00C411D2">
        <w:t xml:space="preserve"> </w:t>
      </w:r>
      <w:r w:rsidR="00B0194E">
        <w:t>(</w:t>
      </w:r>
      <w:r w:rsidRPr="00C411D2">
        <w:t>AHSSQA</w:t>
      </w:r>
      <w:r w:rsidR="00B0194E">
        <w:t>)</w:t>
      </w:r>
      <w:r w:rsidRPr="00C411D2">
        <w:t xml:space="preserve"> Scheme. In 2016</w:t>
      </w:r>
      <w:r w:rsidR="00D818FB">
        <w:t>-</w:t>
      </w:r>
      <w:r w:rsidRPr="00C411D2">
        <w:t xml:space="preserve">17 the AHSSQA Scheme will be reviewed and reformed to </w:t>
      </w:r>
      <w:r w:rsidR="00B0194E">
        <w:t xml:space="preserve">improve the performance of accrediting agencies and to </w:t>
      </w:r>
      <w:r w:rsidR="003B3961">
        <w:t xml:space="preserve">address the performance issues identified by the health service organisations. </w:t>
      </w:r>
      <w:r w:rsidR="00A3731E">
        <w:rPr>
          <w:bCs/>
        </w:rPr>
        <w:t xml:space="preserve"> </w:t>
      </w:r>
    </w:p>
    <w:p w:rsidR="007E1B00" w:rsidRDefault="007E1B00" w:rsidP="00E04D12">
      <w:r>
        <w:t>The Commission will</w:t>
      </w:r>
      <w:r w:rsidR="00377901">
        <w:t xml:space="preserve"> continue to</w:t>
      </w:r>
      <w:r>
        <w:t xml:space="preserve"> work with the</w:t>
      </w:r>
      <w:r w:rsidR="003F7CEF">
        <w:t xml:space="preserve"> Australian Government</w:t>
      </w:r>
      <w:r>
        <w:t xml:space="preserve"> Department of Health and </w:t>
      </w:r>
      <w:r w:rsidR="003F7CEF">
        <w:t>s</w:t>
      </w:r>
      <w:r>
        <w:t xml:space="preserve">tates and </w:t>
      </w:r>
      <w:r w:rsidR="003F7CEF">
        <w:t>t</w:t>
      </w:r>
      <w:r>
        <w:t>erritories to</w:t>
      </w:r>
      <w:r w:rsidR="006C472F">
        <w:t xml:space="preserve"> advance</w:t>
      </w:r>
      <w:r w:rsidR="00F33C78">
        <w:t xml:space="preserve"> national</w:t>
      </w:r>
      <w:r w:rsidR="006C472F">
        <w:t xml:space="preserve"> initiatives to address </w:t>
      </w:r>
      <w:r w:rsidR="00377901">
        <w:t>AMR</w:t>
      </w:r>
      <w:r w:rsidR="006C472F">
        <w:t xml:space="preserve">, </w:t>
      </w:r>
      <w:r w:rsidR="003D23D3">
        <w:t>HAI</w:t>
      </w:r>
      <w:r w:rsidR="00433FE1" w:rsidRPr="00370F02">
        <w:t xml:space="preserve"> </w:t>
      </w:r>
      <w:r w:rsidR="006C472F">
        <w:t xml:space="preserve">and antimicrobial </w:t>
      </w:r>
      <w:r w:rsidR="00935C44">
        <w:t>usage</w:t>
      </w:r>
      <w:r w:rsidR="006C472F">
        <w:t xml:space="preserve">. </w:t>
      </w:r>
      <w:r w:rsidR="00F33C78">
        <w:t xml:space="preserve">The Commission will </w:t>
      </w:r>
      <w:r w:rsidR="00F33C78" w:rsidRPr="0029169A">
        <w:rPr>
          <w:rFonts w:cs="Arial"/>
        </w:rPr>
        <w:t>support</w:t>
      </w:r>
      <w:r w:rsidR="00F33C78">
        <w:rPr>
          <w:rFonts w:cs="Arial"/>
        </w:rPr>
        <w:t xml:space="preserve"> the</w:t>
      </w:r>
      <w:r w:rsidR="00F33C78" w:rsidRPr="0029169A">
        <w:rPr>
          <w:rFonts w:cs="Arial"/>
        </w:rPr>
        <w:t xml:space="preserve"> states and territories, at all levels, to achieve an effective response to AMR through the information gained from</w:t>
      </w:r>
      <w:r w:rsidR="00F33C78">
        <w:rPr>
          <w:rFonts w:cs="Arial"/>
        </w:rPr>
        <w:t xml:space="preserve"> the</w:t>
      </w:r>
      <w:r w:rsidR="00F33C78" w:rsidRPr="0029169A">
        <w:rPr>
          <w:rFonts w:cs="Arial"/>
        </w:rPr>
        <w:t xml:space="preserve"> </w:t>
      </w:r>
      <w:r w:rsidR="00F33C78" w:rsidRPr="00F33C78">
        <w:rPr>
          <w:rFonts w:cs="Arial"/>
        </w:rPr>
        <w:t>Antimicrobial Use and Resistance in Australia (AURA)</w:t>
      </w:r>
      <w:r w:rsidR="00F33C78">
        <w:rPr>
          <w:rFonts w:cs="Arial"/>
        </w:rPr>
        <w:t xml:space="preserve"> system, which was launched by the Commission in June 2016. </w:t>
      </w:r>
      <w:r w:rsidR="00F33C78" w:rsidRPr="00F33C78">
        <w:rPr>
          <w:rFonts w:cs="Arial"/>
        </w:rPr>
        <w:t xml:space="preserve"> </w:t>
      </w:r>
    </w:p>
    <w:p w:rsidR="00731F0B" w:rsidRDefault="00F33C78" w:rsidP="00E04D12">
      <w:r>
        <w:t xml:space="preserve">Building on national, state and territory and private sector investment in </w:t>
      </w:r>
      <w:r w:rsidR="00384382">
        <w:t>digital</w:t>
      </w:r>
      <w:r>
        <w:t xml:space="preserve"> health systems, the Commission will continue to </w:t>
      </w:r>
      <w:r w:rsidR="00B0194E">
        <w:t>assess</w:t>
      </w:r>
      <w:r>
        <w:t xml:space="preserve"> patient safety in the My Health Record, and leverage digital health investments to optimise guideline- and standard-based patient care. </w:t>
      </w:r>
      <w:r w:rsidR="00AE2370">
        <w:t xml:space="preserve">Clinical information systems in the acute and primary care sector, including electronic medication management systems, offer significant benefits in the provision of safe, high-quality patient-centred care. </w:t>
      </w:r>
    </w:p>
    <w:p w:rsidR="00A3731E" w:rsidRPr="00E030BE" w:rsidRDefault="00F33C78" w:rsidP="00E04D12">
      <w:pPr>
        <w:rPr>
          <w:i/>
        </w:rPr>
      </w:pPr>
      <w:r>
        <w:t>From</w:t>
      </w:r>
      <w:r w:rsidRPr="003D01D4">
        <w:t xml:space="preserve"> 2016</w:t>
      </w:r>
      <w:r>
        <w:t xml:space="preserve"> to 20</w:t>
      </w:r>
      <w:r w:rsidRPr="003D01D4">
        <w:t>1</w:t>
      </w:r>
      <w:r>
        <w:t xml:space="preserve">9, </w:t>
      </w:r>
      <w:r w:rsidRPr="003D01D4">
        <w:t xml:space="preserve">the Commission will examine how the NSQHS Standards could be used as a framework for patient safety improvement in primary care settings. </w:t>
      </w:r>
      <w:r w:rsidR="00296ED1" w:rsidRPr="003F1634">
        <w:rPr>
          <w:rFonts w:cs="Arial"/>
          <w:szCs w:val="22"/>
        </w:rPr>
        <w:t>Consult</w:t>
      </w:r>
      <w:r w:rsidR="00296ED1">
        <w:rPr>
          <w:rFonts w:cs="Arial"/>
          <w:szCs w:val="22"/>
        </w:rPr>
        <w:t xml:space="preserve">ation will be undertaken with </w:t>
      </w:r>
      <w:r w:rsidR="00296ED1" w:rsidRPr="003F1634">
        <w:rPr>
          <w:rFonts w:cs="Arial"/>
          <w:szCs w:val="22"/>
        </w:rPr>
        <w:t>primary care stakeholders</w:t>
      </w:r>
      <w:r w:rsidR="00186AEE">
        <w:rPr>
          <w:rFonts w:cs="Arial"/>
          <w:szCs w:val="22"/>
        </w:rPr>
        <w:t xml:space="preserve"> on</w:t>
      </w:r>
      <w:r w:rsidR="00296ED1" w:rsidRPr="003F1634">
        <w:rPr>
          <w:rFonts w:cs="Arial"/>
          <w:szCs w:val="22"/>
        </w:rPr>
        <w:t xml:space="preserve"> </w:t>
      </w:r>
      <w:r w:rsidR="00296ED1">
        <w:rPr>
          <w:rFonts w:cs="Arial"/>
          <w:szCs w:val="22"/>
        </w:rPr>
        <w:t>a</w:t>
      </w:r>
      <w:r w:rsidR="00296ED1" w:rsidRPr="003F1634">
        <w:rPr>
          <w:rFonts w:cs="Arial"/>
          <w:szCs w:val="22"/>
        </w:rPr>
        <w:t xml:space="preserve"> range of options for the development of a patient safety and quality improvement framework, including considering changes to version 2 of the NSQHS Standards to better suit the primary care and office-based care settings</w:t>
      </w:r>
      <w:r w:rsidRPr="003D01D4">
        <w:t>. The Commission will also continue to explore opportunities to improve patient safety in primary care through its existing work programs</w:t>
      </w:r>
      <w:r w:rsidR="00433FE1">
        <w:t xml:space="preserve">. </w:t>
      </w:r>
    </w:p>
    <w:p w:rsidR="009E1887" w:rsidRPr="00F4072F" w:rsidRDefault="009E1887" w:rsidP="005233B1">
      <w:pPr>
        <w:pStyle w:val="Heading4"/>
        <w:keepNext/>
        <w:numPr>
          <w:ilvl w:val="0"/>
          <w:numId w:val="37"/>
        </w:numPr>
        <w:spacing w:before="240"/>
        <w:ind w:left="284" w:hanging="284"/>
        <w:rPr>
          <w:b w:val="0"/>
          <w:i/>
        </w:rPr>
      </w:pPr>
      <w:r w:rsidRPr="00F4072F">
        <w:rPr>
          <w:b w:val="0"/>
          <w:i/>
        </w:rPr>
        <w:lastRenderedPageBreak/>
        <w:t>Partnering with patients, consumers and communities</w:t>
      </w:r>
    </w:p>
    <w:p w:rsidR="001655C0" w:rsidRDefault="00657A12" w:rsidP="00E04D12">
      <w:r>
        <w:t>Work under this priority are</w:t>
      </w:r>
      <w:r w:rsidR="00D367A9">
        <w:t>a</w:t>
      </w:r>
      <w:r>
        <w:t xml:space="preserve"> is focused on </w:t>
      </w:r>
      <w:r w:rsidR="00A02F6C">
        <w:t>moving towards a health system where</w:t>
      </w:r>
      <w:r>
        <w:t xml:space="preserve"> </w:t>
      </w:r>
      <w:r w:rsidR="009E1887">
        <w:t xml:space="preserve">patients, consumers and </w:t>
      </w:r>
      <w:r w:rsidR="00A1194C">
        <w:t>members of the community participate as</w:t>
      </w:r>
      <w:r>
        <w:t xml:space="preserve"> equal</w:t>
      </w:r>
      <w:r w:rsidR="00A1194C">
        <w:t xml:space="preserve"> partners in all aspects of health care. </w:t>
      </w:r>
      <w:r w:rsidR="00910098">
        <w:t xml:space="preserve">The Commission will work to ensure that </w:t>
      </w:r>
      <w:r w:rsidR="00D818FB">
        <w:t>v</w:t>
      </w:r>
      <w:r w:rsidR="00910098">
        <w:t>ersion 2 of the NSQHS Standards</w:t>
      </w:r>
      <w:r>
        <w:t xml:space="preserve"> </w:t>
      </w:r>
      <w:r w:rsidR="00910098">
        <w:t xml:space="preserve">reflects the </w:t>
      </w:r>
      <w:r w:rsidR="00E83D79">
        <w:t>importan</w:t>
      </w:r>
      <w:r w:rsidR="00910098">
        <w:t>ce of</w:t>
      </w:r>
      <w:r w:rsidR="00E83D79">
        <w:t xml:space="preserve"> </w:t>
      </w:r>
      <w:r w:rsidR="00910098">
        <w:t>partnerships for providing safe, high</w:t>
      </w:r>
      <w:r w:rsidR="00186AEE">
        <w:t xml:space="preserve"> </w:t>
      </w:r>
      <w:r w:rsidR="00910098">
        <w:t>quality</w:t>
      </w:r>
      <w:r w:rsidR="00E83D79">
        <w:t xml:space="preserve"> </w:t>
      </w:r>
      <w:r w:rsidR="00910098">
        <w:t xml:space="preserve">health care, for example, through </w:t>
      </w:r>
      <w:r w:rsidR="00E83D79">
        <w:t xml:space="preserve">partnering with patients in their own care, </w:t>
      </w:r>
      <w:r w:rsidR="00910098">
        <w:t xml:space="preserve">increasing </w:t>
      </w:r>
      <w:r w:rsidR="00E83D79">
        <w:t xml:space="preserve">health literacy and </w:t>
      </w:r>
      <w:r w:rsidR="00910098">
        <w:t xml:space="preserve">fostering </w:t>
      </w:r>
      <w:r w:rsidR="00E83D79">
        <w:t>shared decision</w:t>
      </w:r>
      <w:r w:rsidR="005639A6">
        <w:t xml:space="preserve"> </w:t>
      </w:r>
      <w:r w:rsidR="00E83D79">
        <w:t xml:space="preserve">making. </w:t>
      </w:r>
    </w:p>
    <w:p w:rsidR="00FF448C" w:rsidRDefault="00680317" w:rsidP="00E04D12">
      <w:r>
        <w:t>T</w:t>
      </w:r>
      <w:r w:rsidR="00FF448C" w:rsidRPr="00754536">
        <w:t xml:space="preserve">he Commission </w:t>
      </w:r>
      <w:r>
        <w:t>is</w:t>
      </w:r>
      <w:r w:rsidR="00FF448C" w:rsidRPr="00754536">
        <w:t xml:space="preserve"> building on existing work in areas such as patient-centred care and health literacy to facilitate national agreement about the essential elements for a person-centred health system. This will include the development of a draft </w:t>
      </w:r>
      <w:r w:rsidR="00FF448C">
        <w:t>national</w:t>
      </w:r>
      <w:r w:rsidR="00FF448C" w:rsidRPr="00754536">
        <w:t xml:space="preserve"> statement, an extensive consultation process, linkages with the NSQHS Standards, and the development of tools to support a person-centred healthcare system in future years</w:t>
      </w:r>
      <w:r w:rsidR="00186AEE">
        <w:t xml:space="preserve">. </w:t>
      </w:r>
    </w:p>
    <w:p w:rsidR="00130787" w:rsidRDefault="00130787" w:rsidP="00E04D12">
      <w:r w:rsidRPr="007C6CEF">
        <w:rPr>
          <w:lang w:val="en"/>
        </w:rPr>
        <w:t>Shared decision</w:t>
      </w:r>
      <w:r w:rsidR="00935C44">
        <w:rPr>
          <w:lang w:val="en"/>
        </w:rPr>
        <w:t xml:space="preserve"> </w:t>
      </w:r>
      <w:r w:rsidRPr="007C6CEF">
        <w:rPr>
          <w:lang w:val="en"/>
        </w:rPr>
        <w:t>making involves the integration of a patient’s values, goals and concerns with the best available evidence about treatment risks, benefits and uncertainties to achieve appropriate healthcare decisions.</w:t>
      </w:r>
      <w:r w:rsidR="007C6CEF">
        <w:rPr>
          <w:lang w:val="en"/>
        </w:rPr>
        <w:t xml:space="preserve"> In</w:t>
      </w:r>
      <w:r>
        <w:rPr>
          <w:lang w:val="en"/>
        </w:rPr>
        <w:t xml:space="preserve"> 201</w:t>
      </w:r>
      <w:r w:rsidR="00FF448C">
        <w:rPr>
          <w:lang w:val="en"/>
        </w:rPr>
        <w:t>6-17</w:t>
      </w:r>
      <w:r>
        <w:rPr>
          <w:lang w:val="en"/>
        </w:rPr>
        <w:t>, the Commission</w:t>
      </w:r>
      <w:r w:rsidR="00FF448C">
        <w:rPr>
          <w:lang w:val="en"/>
        </w:rPr>
        <w:t xml:space="preserve"> will </w:t>
      </w:r>
      <w:r w:rsidRPr="00DF755C">
        <w:t>develop</w:t>
      </w:r>
      <w:r w:rsidR="00FF448C">
        <w:t xml:space="preserve"> and release </w:t>
      </w:r>
      <w:r w:rsidRPr="00DF755C">
        <w:t>patient decis</w:t>
      </w:r>
      <w:r>
        <w:t>ion aids for</w:t>
      </w:r>
      <w:r w:rsidRPr="00DF755C">
        <w:t xml:space="preserve"> </w:t>
      </w:r>
      <w:r w:rsidR="00FF448C">
        <w:t>knee pain</w:t>
      </w:r>
      <w:r w:rsidRPr="00DF755C">
        <w:t>.</w:t>
      </w:r>
      <w:r>
        <w:t xml:space="preserve"> The decision aids will</w:t>
      </w:r>
      <w:r w:rsidRPr="00DF755C">
        <w:t xml:space="preserve"> provide patients with evi</w:t>
      </w:r>
      <w:r>
        <w:t>dence to inform their healthcare</w:t>
      </w:r>
      <w:r w:rsidRPr="00DF755C">
        <w:t xml:space="preserve"> choice</w:t>
      </w:r>
      <w:r>
        <w:t xml:space="preserve">s. </w:t>
      </w:r>
    </w:p>
    <w:p w:rsidR="001655C0" w:rsidRPr="00E83D79" w:rsidRDefault="001655C0" w:rsidP="00E04D12">
      <w:r>
        <w:t xml:space="preserve">In May 2015, the Commission launched the </w:t>
      </w:r>
      <w:r w:rsidRPr="00E83D79">
        <w:rPr>
          <w:iCs/>
        </w:rPr>
        <w:t>National Consensus Statement</w:t>
      </w:r>
      <w:r>
        <w:rPr>
          <w:i/>
          <w:iCs/>
        </w:rPr>
        <w:t xml:space="preserve">: Essential </w:t>
      </w:r>
      <w:r w:rsidR="003D23D3">
        <w:rPr>
          <w:i/>
          <w:iCs/>
        </w:rPr>
        <w:t>e</w:t>
      </w:r>
      <w:r>
        <w:rPr>
          <w:i/>
          <w:iCs/>
        </w:rPr>
        <w:t xml:space="preserve">lements for </w:t>
      </w:r>
      <w:r w:rsidR="003D23D3">
        <w:rPr>
          <w:i/>
          <w:iCs/>
        </w:rPr>
        <w:t>s</w:t>
      </w:r>
      <w:r>
        <w:rPr>
          <w:i/>
          <w:iCs/>
        </w:rPr>
        <w:t xml:space="preserve">afe and </w:t>
      </w:r>
      <w:r w:rsidR="003D23D3">
        <w:rPr>
          <w:i/>
          <w:iCs/>
        </w:rPr>
        <w:t>h</w:t>
      </w:r>
      <w:r>
        <w:rPr>
          <w:i/>
          <w:iCs/>
        </w:rPr>
        <w:t>igh-</w:t>
      </w:r>
      <w:r w:rsidR="00935C44">
        <w:rPr>
          <w:i/>
          <w:iCs/>
        </w:rPr>
        <w:t>q</w:t>
      </w:r>
      <w:r>
        <w:rPr>
          <w:i/>
          <w:iCs/>
        </w:rPr>
        <w:t xml:space="preserve">uality </w:t>
      </w:r>
      <w:r w:rsidR="003D23D3">
        <w:rPr>
          <w:i/>
          <w:iCs/>
        </w:rPr>
        <w:t>e</w:t>
      </w:r>
      <w:r>
        <w:rPr>
          <w:i/>
          <w:iCs/>
        </w:rPr>
        <w:t>nd-of-</w:t>
      </w:r>
      <w:r w:rsidR="003D23D3">
        <w:rPr>
          <w:i/>
          <w:iCs/>
        </w:rPr>
        <w:t>l</w:t>
      </w:r>
      <w:r>
        <w:rPr>
          <w:i/>
          <w:iCs/>
        </w:rPr>
        <w:t xml:space="preserve">ife </w:t>
      </w:r>
      <w:r w:rsidR="003D23D3">
        <w:rPr>
          <w:i/>
          <w:iCs/>
        </w:rPr>
        <w:t>c</w:t>
      </w:r>
      <w:r>
        <w:rPr>
          <w:i/>
          <w:iCs/>
        </w:rPr>
        <w:t>are.</w:t>
      </w:r>
      <w:r w:rsidR="002147C2" w:rsidRPr="002147C2">
        <w:rPr>
          <w:rFonts w:cs="Arial"/>
          <w:color w:val="494949"/>
          <w:sz w:val="20"/>
          <w:szCs w:val="20"/>
          <w:shd w:val="clear" w:color="auto" w:fill="FFFFFF"/>
        </w:rPr>
        <w:t xml:space="preserve"> </w:t>
      </w:r>
      <w:r w:rsidR="002147C2" w:rsidRPr="002147C2">
        <w:t xml:space="preserve">It provides guidance for </w:t>
      </w:r>
      <w:r w:rsidR="00045C03">
        <w:t xml:space="preserve">Australian </w:t>
      </w:r>
      <w:r w:rsidR="002147C2" w:rsidRPr="002147C2">
        <w:t>health services to develop their own systems for delivering safe, timely and high</w:t>
      </w:r>
      <w:r w:rsidR="00186AEE">
        <w:t xml:space="preserve"> </w:t>
      </w:r>
      <w:r w:rsidR="002147C2" w:rsidRPr="002147C2">
        <w:t>quality end-of-life care in a way that is tailored to their population, resources and available personnel, whilst being in</w:t>
      </w:r>
      <w:r w:rsidR="00226D52">
        <w:t xml:space="preserve"> </w:t>
      </w:r>
      <w:r w:rsidR="002147C2" w:rsidRPr="002147C2">
        <w:t xml:space="preserve">line with relevant jurisdictional </w:t>
      </w:r>
      <w:r w:rsidR="00226D52">
        <w:t>and</w:t>
      </w:r>
      <w:r w:rsidR="002147C2" w:rsidRPr="002147C2">
        <w:t xml:space="preserve"> other programs</w:t>
      </w:r>
      <w:r w:rsidR="002147C2">
        <w:t xml:space="preserve">. </w:t>
      </w:r>
      <w:r w:rsidR="00FF448C">
        <w:t>The Commission is developing a consensus statement for end-of-life care for paediatric patients, with a public consultation process being undertaken in 2016</w:t>
      </w:r>
      <w:r w:rsidR="00045C03">
        <w:noBreakHyphen/>
      </w:r>
      <w:r w:rsidR="00FF448C">
        <w:t xml:space="preserve">17 and release scheduled for 2017-18.  </w:t>
      </w:r>
    </w:p>
    <w:p w:rsidR="001655C0" w:rsidRPr="00F4072F" w:rsidRDefault="001655C0" w:rsidP="005233B1">
      <w:pPr>
        <w:pStyle w:val="Heading4"/>
        <w:keepNext/>
        <w:numPr>
          <w:ilvl w:val="0"/>
          <w:numId w:val="37"/>
        </w:numPr>
        <w:spacing w:before="240"/>
        <w:ind w:left="284" w:hanging="284"/>
        <w:rPr>
          <w:b w:val="0"/>
          <w:i/>
        </w:rPr>
      </w:pPr>
      <w:r w:rsidRPr="00F4072F">
        <w:rPr>
          <w:b w:val="0"/>
          <w:i/>
        </w:rPr>
        <w:t>Quality</w:t>
      </w:r>
      <w:r w:rsidR="003F7CEF" w:rsidRPr="00F4072F">
        <w:rPr>
          <w:b w:val="0"/>
          <w:i/>
        </w:rPr>
        <w:t>,</w:t>
      </w:r>
      <w:r w:rsidRPr="00F4072F">
        <w:rPr>
          <w:b w:val="0"/>
          <w:i/>
        </w:rPr>
        <w:t xml:space="preserve"> </w:t>
      </w:r>
      <w:r w:rsidR="003F7CEF" w:rsidRPr="00F4072F">
        <w:rPr>
          <w:b w:val="0"/>
          <w:i/>
        </w:rPr>
        <w:t>c</w:t>
      </w:r>
      <w:r w:rsidRPr="00F4072F">
        <w:rPr>
          <w:b w:val="0"/>
          <w:i/>
        </w:rPr>
        <w:t xml:space="preserve">ost and </w:t>
      </w:r>
      <w:r w:rsidR="003F7CEF" w:rsidRPr="00F4072F">
        <w:rPr>
          <w:b w:val="0"/>
          <w:i/>
        </w:rPr>
        <w:t>v</w:t>
      </w:r>
      <w:r w:rsidRPr="00F4072F">
        <w:rPr>
          <w:b w:val="0"/>
          <w:i/>
        </w:rPr>
        <w:t>alue</w:t>
      </w:r>
    </w:p>
    <w:p w:rsidR="005017FE" w:rsidRDefault="005017FE" w:rsidP="00E04D12">
      <w:r>
        <w:t xml:space="preserve">The aim of </w:t>
      </w:r>
      <w:r w:rsidR="00E81933">
        <w:t>the third</w:t>
      </w:r>
      <w:r>
        <w:t xml:space="preserve"> priority area is to improve </w:t>
      </w:r>
      <w:r w:rsidR="009776EA">
        <w:t xml:space="preserve">the </w:t>
      </w:r>
      <w:r>
        <w:t xml:space="preserve">quality of care while minimising wastage and optimising productivity and sustainability </w:t>
      </w:r>
      <w:r w:rsidR="009776EA">
        <w:t>within</w:t>
      </w:r>
      <w:r>
        <w:t xml:space="preserve"> the</w:t>
      </w:r>
      <w:r w:rsidR="00045C03">
        <w:t xml:space="preserve"> Australian</w:t>
      </w:r>
      <w:r>
        <w:t xml:space="preserve"> healthcare system. The Commission’s program of work to improve quality, cost and value </w:t>
      </w:r>
      <w:r w:rsidR="009776EA">
        <w:t>involves</w:t>
      </w:r>
      <w:r>
        <w:t xml:space="preserve"> </w:t>
      </w:r>
      <w:r w:rsidR="00F02D1B">
        <w:t xml:space="preserve">the </w:t>
      </w:r>
      <w:r>
        <w:t>mapping</w:t>
      </w:r>
      <w:r w:rsidR="00F02D1B">
        <w:t xml:space="preserve"> of</w:t>
      </w:r>
      <w:r>
        <w:t xml:space="preserve"> healthcare variation</w:t>
      </w:r>
      <w:r w:rsidR="00A02F6C">
        <w:t xml:space="preserve"> and action to reduce unwarranted variation through initiatives such as the </w:t>
      </w:r>
      <w:r w:rsidR="00045C03">
        <w:t>c</w:t>
      </w:r>
      <w:r w:rsidR="00A02F6C">
        <w:t xml:space="preserve">linical </w:t>
      </w:r>
      <w:r w:rsidR="00045C03">
        <w:t>c</w:t>
      </w:r>
      <w:r w:rsidR="00A02F6C">
        <w:t xml:space="preserve">are </w:t>
      </w:r>
      <w:r w:rsidR="00045C03">
        <w:t>s</w:t>
      </w:r>
      <w:r w:rsidR="00A02F6C">
        <w:t xml:space="preserve">tandards. </w:t>
      </w:r>
      <w:r w:rsidR="00F02D1B">
        <w:t xml:space="preserve"> </w:t>
      </w:r>
    </w:p>
    <w:p w:rsidR="00742A3C" w:rsidRDefault="00742A3C" w:rsidP="00E04D12">
      <w:r>
        <w:t>From</w:t>
      </w:r>
      <w:r w:rsidRPr="006B41D6">
        <w:t xml:space="preserve"> 2016</w:t>
      </w:r>
      <w:r w:rsidR="00680317">
        <w:t>-</w:t>
      </w:r>
      <w:r w:rsidR="00D818FB">
        <w:t>1</w:t>
      </w:r>
      <w:r w:rsidRPr="006B41D6">
        <w:t>7</w:t>
      </w:r>
      <w:r w:rsidRPr="00742A3C">
        <w:t xml:space="preserve"> the Commission will continue its </w:t>
      </w:r>
      <w:r w:rsidRPr="00D91C06">
        <w:t>annual rolling program to publish an</w:t>
      </w:r>
      <w:r w:rsidR="00992AED">
        <w:t xml:space="preserve"> Australian A</w:t>
      </w:r>
      <w:r w:rsidRPr="00D91C06">
        <w:t>tlas of</w:t>
      </w:r>
      <w:r w:rsidR="00992AED">
        <w:t xml:space="preserve"> Healthcare</w:t>
      </w:r>
      <w:r w:rsidRPr="00D91C06">
        <w:t xml:space="preserve"> </w:t>
      </w:r>
      <w:r w:rsidR="00992AED">
        <w:t>V</w:t>
      </w:r>
      <w:r w:rsidRPr="00D91C06">
        <w:t>ariation.</w:t>
      </w:r>
      <w:r>
        <w:t xml:space="preserve"> </w:t>
      </w:r>
      <w:r w:rsidR="00992AED">
        <w:t>The a</w:t>
      </w:r>
      <w:r w:rsidRPr="00731445">
        <w:t>tlas</w:t>
      </w:r>
      <w:r>
        <w:t xml:space="preserve">es </w:t>
      </w:r>
      <w:r w:rsidRPr="00731445">
        <w:t>highlight how patient need in geographic areas match the distribution and use of resources in those areas</w:t>
      </w:r>
      <w:r>
        <w:t>,</w:t>
      </w:r>
      <w:r w:rsidRPr="00731445">
        <w:t xml:space="preserve"> and identify tangible opportunities for improvement in healthcare quality and cost</w:t>
      </w:r>
      <w:r>
        <w:t>. The second</w:t>
      </w:r>
      <w:r w:rsidR="00992AED">
        <w:t xml:space="preserve"> national</w:t>
      </w:r>
      <w:r>
        <w:t xml:space="preserve"> atlas is scheduled to be published in print form and launch</w:t>
      </w:r>
      <w:r w:rsidR="00992AED">
        <w:t>ed</w:t>
      </w:r>
      <w:r w:rsidRPr="00742A3C">
        <w:t xml:space="preserve"> </w:t>
      </w:r>
      <w:r w:rsidR="00992AED">
        <w:t>as</w:t>
      </w:r>
      <w:r w:rsidRPr="00742A3C">
        <w:t xml:space="preserve"> an interactive web-based atlas </w:t>
      </w:r>
      <w:r w:rsidR="00992AED">
        <w:t>during</w:t>
      </w:r>
      <w:r w:rsidRPr="00742A3C">
        <w:t xml:space="preserve"> 2016-17</w:t>
      </w:r>
      <w:r>
        <w:t xml:space="preserve">.  </w:t>
      </w:r>
    </w:p>
    <w:p w:rsidR="004C583C" w:rsidRDefault="00742A3C" w:rsidP="00E04D12">
      <w:r w:rsidRPr="00742A3C">
        <w:t>B</w:t>
      </w:r>
      <w:r w:rsidR="00992AED">
        <w:t>ased on recommendations from Atlas 1.0 and Atlas 2.0</w:t>
      </w:r>
      <w:r w:rsidRPr="00742A3C">
        <w:t xml:space="preserve"> the Commission will develop implementation strategies and work with consumer and clinical groups, jurisdictions and other healthcare organisations to promote resources and approaches to reducing unwarranted variation. </w:t>
      </w:r>
    </w:p>
    <w:p w:rsidR="000F5A4B" w:rsidRDefault="007A6833" w:rsidP="00E04D12">
      <w:r>
        <w:t>Standards for c</w:t>
      </w:r>
      <w:r w:rsidR="00F02D1B" w:rsidRPr="00F02D1B">
        <w:t xml:space="preserve">linical </w:t>
      </w:r>
      <w:r w:rsidR="00D737F2">
        <w:t>care</w:t>
      </w:r>
      <w:r w:rsidR="00F02D1B" w:rsidRPr="00F02D1B">
        <w:t xml:space="preserve"> can play an important role in delivering appropriate care and reducing unwarranted variation</w:t>
      </w:r>
      <w:r w:rsidR="00992AED">
        <w:t>. T</w:t>
      </w:r>
      <w:r w:rsidR="00F02D1B" w:rsidRPr="00F02D1B">
        <w:t xml:space="preserve">hey identify and define the care people should expect to be offered or receive, regardless of where they are treated in Australia. </w:t>
      </w:r>
      <w:r w:rsidR="00680317" w:rsidRPr="005E5D38">
        <w:t xml:space="preserve">The </w:t>
      </w:r>
      <w:r w:rsidR="00680317" w:rsidRPr="005E5D38">
        <w:lastRenderedPageBreak/>
        <w:t>Commission’s rolling program to develop clinical care standards will continue in 201</w:t>
      </w:r>
      <w:r w:rsidR="00680317">
        <w:t>6-20</w:t>
      </w:r>
      <w:r w:rsidR="00680317" w:rsidRPr="005E5D38">
        <w:t>. In this period the Commission will also commence a process to review the clinical care standards</w:t>
      </w:r>
      <w:r w:rsidR="00992AED">
        <w:t xml:space="preserve"> previously developed</w:t>
      </w:r>
      <w:r w:rsidR="00336927">
        <w:t xml:space="preserve">. </w:t>
      </w:r>
      <w:r>
        <w:t>C</w:t>
      </w:r>
      <w:r w:rsidR="004E4BE2">
        <w:t xml:space="preserve">linical </w:t>
      </w:r>
      <w:r>
        <w:t>C</w:t>
      </w:r>
      <w:r w:rsidR="004E4BE2">
        <w:t xml:space="preserve">are </w:t>
      </w:r>
      <w:r>
        <w:t>S</w:t>
      </w:r>
      <w:r w:rsidR="004E4BE2">
        <w:t>tandards</w:t>
      </w:r>
      <w:r w:rsidR="003F7CEF">
        <w:t xml:space="preserve"> on delirium and hip fracture care</w:t>
      </w:r>
      <w:r w:rsidR="00336927">
        <w:t xml:space="preserve"> </w:t>
      </w:r>
      <w:r w:rsidR="00680317">
        <w:t xml:space="preserve">have </w:t>
      </w:r>
      <w:r>
        <w:t>be</w:t>
      </w:r>
      <w:r w:rsidR="00680317">
        <w:t xml:space="preserve">en </w:t>
      </w:r>
      <w:r w:rsidR="00F64771">
        <w:t>finalised</w:t>
      </w:r>
      <w:r w:rsidR="00680317">
        <w:t xml:space="preserve"> and will be launched in </w:t>
      </w:r>
      <w:r w:rsidR="00F64771">
        <w:t xml:space="preserve">July and </w:t>
      </w:r>
      <w:r w:rsidR="00186AEE">
        <w:t>September</w:t>
      </w:r>
      <w:r w:rsidR="00F64771">
        <w:t xml:space="preserve"> </w:t>
      </w:r>
      <w:r w:rsidR="00680317">
        <w:t>2016</w:t>
      </w:r>
      <w:r w:rsidR="00F64771">
        <w:t xml:space="preserve"> respectively</w:t>
      </w:r>
      <w:r w:rsidR="00680317">
        <w:t xml:space="preserve">. A Clinical Care Standard on </w:t>
      </w:r>
      <w:r w:rsidR="00680317" w:rsidRPr="00680317">
        <w:t>Osteoarthritis of the Knee</w:t>
      </w:r>
      <w:r w:rsidR="00680317">
        <w:t xml:space="preserve"> is under development and is scheduled to be released in </w:t>
      </w:r>
      <w:r w:rsidR="00992AED">
        <w:t>2016-17</w:t>
      </w:r>
      <w:r w:rsidR="00680317">
        <w:t xml:space="preserve">. </w:t>
      </w:r>
    </w:p>
    <w:p w:rsidR="00D367A9" w:rsidRPr="00F4072F" w:rsidRDefault="00D367A9" w:rsidP="005233B1">
      <w:pPr>
        <w:pStyle w:val="Heading4"/>
        <w:keepNext/>
        <w:numPr>
          <w:ilvl w:val="0"/>
          <w:numId w:val="37"/>
        </w:numPr>
        <w:spacing w:before="240"/>
        <w:ind w:left="284" w:hanging="284"/>
        <w:rPr>
          <w:b w:val="0"/>
          <w:i/>
        </w:rPr>
      </w:pPr>
      <w:r w:rsidRPr="00F4072F">
        <w:rPr>
          <w:b w:val="0"/>
          <w:i/>
        </w:rPr>
        <w:t>Supporting health professionals to provide safe and high-quality care</w:t>
      </w:r>
    </w:p>
    <w:p w:rsidR="00F64771" w:rsidRPr="00D91C06" w:rsidRDefault="00F64771" w:rsidP="00E04D12">
      <w:r w:rsidRPr="00D91C06">
        <w:t xml:space="preserve">The aim of </w:t>
      </w:r>
      <w:r w:rsidR="00992AED">
        <w:t>the fourth</w:t>
      </w:r>
      <w:r w:rsidRPr="00D91C06">
        <w:t xml:space="preserve"> priority is to have a health system that supports safe clinical practice by having robust and sustainable improvement systems. The key areas of work for the Commission in this priority are:</w:t>
      </w:r>
    </w:p>
    <w:p w:rsidR="00F64771" w:rsidRPr="00D91C06" w:rsidRDefault="00F64771" w:rsidP="00E04D12">
      <w:pPr>
        <w:pStyle w:val="ListParagraph"/>
        <w:numPr>
          <w:ilvl w:val="0"/>
          <w:numId w:val="13"/>
        </w:numPr>
        <w:contextualSpacing w:val="0"/>
      </w:pPr>
      <w:r w:rsidRPr="00D91C06">
        <w:t>the development and maintenance of clinical measures to support safety and quality improvement</w:t>
      </w:r>
    </w:p>
    <w:p w:rsidR="00F64771" w:rsidRPr="00D91C06" w:rsidRDefault="00F64771" w:rsidP="00E04D12">
      <w:pPr>
        <w:pStyle w:val="ListParagraph"/>
        <w:numPr>
          <w:ilvl w:val="0"/>
          <w:numId w:val="13"/>
        </w:numPr>
        <w:contextualSpacing w:val="0"/>
      </w:pPr>
      <w:r>
        <w:t xml:space="preserve">the </w:t>
      </w:r>
      <w:r w:rsidRPr="00D91C06">
        <w:t>development and support of a model for local monitoring of patient safety</w:t>
      </w:r>
    </w:p>
    <w:p w:rsidR="00D367A9" w:rsidRDefault="00F64771" w:rsidP="00E04D12">
      <w:pPr>
        <w:pStyle w:val="ListParagraph"/>
        <w:numPr>
          <w:ilvl w:val="0"/>
          <w:numId w:val="13"/>
        </w:numPr>
        <w:contextualSpacing w:val="0"/>
      </w:pPr>
      <w:proofErr w:type="gramStart"/>
      <w:r w:rsidRPr="00D91C06">
        <w:t>working</w:t>
      </w:r>
      <w:proofErr w:type="gramEnd"/>
      <w:r w:rsidRPr="00D91C06">
        <w:t xml:space="preserve"> with partners on national clinical quality registries</w:t>
      </w:r>
      <w:r w:rsidR="007A6833">
        <w:t>.</w:t>
      </w:r>
    </w:p>
    <w:p w:rsidR="00884F70" w:rsidRPr="00AB3C55" w:rsidRDefault="0040599A" w:rsidP="00E04D12">
      <w:pPr>
        <w:rPr>
          <w:b/>
        </w:rPr>
      </w:pPr>
      <w:r w:rsidRPr="00635321">
        <w:t>In 2016</w:t>
      </w:r>
      <w:r>
        <w:t>-20</w:t>
      </w:r>
      <w:r w:rsidRPr="00635321">
        <w:t xml:space="preserve"> the Commission will continue the specification, review and maintenance of health information standards and indicators that underpin the effective introduction of the Performance and Accountability Framework, the National Health Performance Framework, the Report on Government Services, </w:t>
      </w:r>
      <w:r w:rsidR="00B0194E">
        <w:t>AHSSQA</w:t>
      </w:r>
      <w:r w:rsidRPr="00635321">
        <w:t xml:space="preserve"> Scheme and the clinical care standards</w:t>
      </w:r>
      <w:r w:rsidR="00884F70" w:rsidRPr="00AB3C55">
        <w:rPr>
          <w:lang w:val="en-US"/>
        </w:rPr>
        <w:t>.</w:t>
      </w:r>
      <w:r w:rsidR="00884F70">
        <w:rPr>
          <w:lang w:val="en-US"/>
        </w:rPr>
        <w:t xml:space="preserve"> </w:t>
      </w:r>
    </w:p>
    <w:p w:rsidR="006E20DF" w:rsidRPr="00312206" w:rsidRDefault="006E20DF" w:rsidP="00E04D12">
      <w:pPr>
        <w:rPr>
          <w:rFonts w:cs="Arial"/>
        </w:rPr>
      </w:pPr>
      <w:r w:rsidRPr="00371838">
        <w:t xml:space="preserve">The Commission </w:t>
      </w:r>
      <w:r>
        <w:t xml:space="preserve">is </w:t>
      </w:r>
      <w:r w:rsidRPr="00371838">
        <w:t>develop</w:t>
      </w:r>
      <w:r>
        <w:t>ing</w:t>
      </w:r>
      <w:r w:rsidRPr="00371838">
        <w:t xml:space="preserve"> a </w:t>
      </w:r>
      <w:r>
        <w:rPr>
          <w:rFonts w:cs="Arial"/>
          <w:lang w:eastAsia="en-AU"/>
        </w:rPr>
        <w:t>national h</w:t>
      </w:r>
      <w:r w:rsidRPr="003C1115">
        <w:rPr>
          <w:rFonts w:cs="Arial"/>
          <w:lang w:eastAsia="en-AU"/>
        </w:rPr>
        <w:t xml:space="preserve">ospital </w:t>
      </w:r>
      <w:r>
        <w:rPr>
          <w:rFonts w:cs="Arial"/>
          <w:lang w:eastAsia="en-AU"/>
        </w:rPr>
        <w:t>p</w:t>
      </w:r>
      <w:r w:rsidRPr="003C1115">
        <w:rPr>
          <w:rFonts w:cs="Arial"/>
          <w:lang w:eastAsia="en-AU"/>
        </w:rPr>
        <w:t>a</w:t>
      </w:r>
      <w:r>
        <w:rPr>
          <w:rFonts w:cs="Arial"/>
          <w:lang w:eastAsia="en-AU"/>
        </w:rPr>
        <w:t>tient safety measurement model</w:t>
      </w:r>
      <w:r w:rsidRPr="00371838">
        <w:t xml:space="preserve"> to support local monitoring of hospital patient safety.</w:t>
      </w:r>
      <w:r>
        <w:t xml:space="preserve"> </w:t>
      </w:r>
      <w:r w:rsidR="0040599A" w:rsidRPr="00574F50">
        <w:t xml:space="preserve">In future years, this model will be piloted, reviewed and evaluated. The Commission will build on </w:t>
      </w:r>
      <w:r w:rsidR="00992AED">
        <w:t>its</w:t>
      </w:r>
      <w:r w:rsidR="0040599A" w:rsidRPr="00574F50">
        <w:t xml:space="preserve"> work</w:t>
      </w:r>
      <w:r w:rsidR="00992AED">
        <w:t xml:space="preserve"> focussing on</w:t>
      </w:r>
      <w:r w:rsidR="0040599A" w:rsidRPr="00574F50">
        <w:t xml:space="preserve"> patient safety in primary care to examine how a patient safety and learning model could be developed for primary care.</w:t>
      </w:r>
      <w:r>
        <w:rPr>
          <w:rFonts w:cs="Arial"/>
        </w:rPr>
        <w:t xml:space="preserve"> </w:t>
      </w:r>
    </w:p>
    <w:p w:rsidR="006E20DF" w:rsidRDefault="007A6833" w:rsidP="00E04D12">
      <w:pPr>
        <w:rPr>
          <w:rFonts w:cs="Arial"/>
          <w:color w:val="494949"/>
          <w:sz w:val="20"/>
          <w:szCs w:val="20"/>
          <w:shd w:val="clear" w:color="auto" w:fill="FFFFFF"/>
        </w:rPr>
      </w:pPr>
      <w:r>
        <w:t xml:space="preserve">The Commission </w:t>
      </w:r>
      <w:r w:rsidR="0040599A">
        <w:t>will continue existing work on national clinical quality registries to support their use through the facilitation of prioritisation, governance and indicator development. The Commission will also encourage the development and use of clinical quality registries when clinical guidelines are developed</w:t>
      </w:r>
      <w:r w:rsidR="00397DF8" w:rsidRPr="00397DF8">
        <w:t>.</w:t>
      </w:r>
      <w:r w:rsidR="00397DF8">
        <w:rPr>
          <w:rFonts w:cs="Arial"/>
          <w:color w:val="494949"/>
          <w:sz w:val="20"/>
          <w:szCs w:val="20"/>
          <w:shd w:val="clear" w:color="auto" w:fill="FFFFFF"/>
        </w:rPr>
        <w:t xml:space="preserve"> </w:t>
      </w:r>
    </w:p>
    <w:p w:rsidR="0018515C" w:rsidRPr="00B84DE0" w:rsidRDefault="0018515C" w:rsidP="005233B1">
      <w:pPr>
        <w:pStyle w:val="Heading2"/>
        <w:spacing w:after="120"/>
        <w:rPr>
          <w:rFonts w:eastAsia="MS Mincho"/>
        </w:rPr>
      </w:pPr>
      <w:bookmarkStart w:id="19" w:name="_Toc456019982"/>
      <w:r w:rsidRPr="00B84DE0">
        <w:rPr>
          <w:rFonts w:eastAsia="MS Mincho"/>
        </w:rPr>
        <w:t xml:space="preserve">Measuring and </w:t>
      </w:r>
      <w:r w:rsidR="00500B76">
        <w:rPr>
          <w:rFonts w:eastAsia="MS Mincho"/>
        </w:rPr>
        <w:t>r</w:t>
      </w:r>
      <w:r w:rsidRPr="00B84DE0">
        <w:rPr>
          <w:rFonts w:eastAsia="MS Mincho"/>
        </w:rPr>
        <w:t xml:space="preserve">eporting on </w:t>
      </w:r>
      <w:r w:rsidR="00500B76">
        <w:rPr>
          <w:rFonts w:eastAsia="MS Mincho"/>
        </w:rPr>
        <w:t>p</w:t>
      </w:r>
      <w:r w:rsidRPr="00B84DE0">
        <w:rPr>
          <w:rFonts w:eastAsia="MS Mincho"/>
        </w:rPr>
        <w:t>erformance</w:t>
      </w:r>
      <w:bookmarkEnd w:id="19"/>
    </w:p>
    <w:p w:rsidR="0018515C" w:rsidRPr="00F4072F" w:rsidRDefault="0018515C" w:rsidP="005233B1">
      <w:pPr>
        <w:pStyle w:val="Heading4"/>
        <w:keepNext/>
        <w:spacing w:before="240"/>
        <w:rPr>
          <w:rFonts w:eastAsia="MS Mincho"/>
          <w:b w:val="0"/>
          <w:i/>
        </w:rPr>
      </w:pPr>
      <w:r w:rsidRPr="00F4072F">
        <w:rPr>
          <w:rFonts w:eastAsia="MS Mincho"/>
          <w:b w:val="0"/>
          <w:i/>
        </w:rPr>
        <w:t>Work plan performance</w:t>
      </w:r>
    </w:p>
    <w:p w:rsidR="00522F83" w:rsidRDefault="0018515C" w:rsidP="00E04D12">
      <w:pPr>
        <w:rPr>
          <w:rFonts w:eastAsia="MS Mincho"/>
        </w:rPr>
      </w:pPr>
      <w:r>
        <w:rPr>
          <w:rFonts w:eastAsia="MS Mincho"/>
        </w:rPr>
        <w:t xml:space="preserve">The Commission measures its work plan performance at the project level within its comprehensive project management system, which monitors budgets, timeframes, deliverables and risks for each project. Project reports are actively managed by the Commission’s executive staff and regularly provided to the Audit and Risk Committee, </w:t>
      </w:r>
      <w:r w:rsidR="001111AE">
        <w:rPr>
          <w:rFonts w:eastAsia="MS Mincho"/>
        </w:rPr>
        <w:t>and the Commission’s</w:t>
      </w:r>
      <w:r>
        <w:rPr>
          <w:rFonts w:eastAsia="MS Mincho"/>
        </w:rPr>
        <w:t xml:space="preserve"> Board. Progress and performance are monitored and measured against the work plan and budget, which is agreed at the jurisdictional level. The key goal for the Commission is to achieve all planned deliverables on time and within budget.  </w:t>
      </w:r>
    </w:p>
    <w:p w:rsidR="005233B1" w:rsidRDefault="005233B1" w:rsidP="00E04D12">
      <w:pPr>
        <w:rPr>
          <w:rFonts w:eastAsia="MS Mincho"/>
        </w:rPr>
      </w:pPr>
    </w:p>
    <w:p w:rsidR="005233B1" w:rsidRDefault="005233B1" w:rsidP="00E04D12">
      <w:pPr>
        <w:rPr>
          <w:rFonts w:eastAsia="MS Mincho"/>
        </w:rPr>
      </w:pPr>
    </w:p>
    <w:p w:rsidR="005233B1" w:rsidRDefault="005233B1" w:rsidP="00E04D12">
      <w:pPr>
        <w:rPr>
          <w:rFonts w:eastAsia="MS Mincho"/>
        </w:rPr>
      </w:pPr>
    </w:p>
    <w:p w:rsidR="007B2DB2" w:rsidRPr="005233B1" w:rsidRDefault="00722436" w:rsidP="007B2DB2">
      <w:pPr>
        <w:pBdr>
          <w:top w:val="single" w:sz="12" w:space="1" w:color="auto"/>
          <w:left w:val="single" w:sz="12" w:space="4" w:color="auto"/>
          <w:bottom w:val="single" w:sz="12" w:space="1" w:color="auto"/>
          <w:right w:val="single" w:sz="12" w:space="4" w:color="auto"/>
        </w:pBdr>
        <w:spacing w:after="40" w:line="140" w:lineRule="atLeast"/>
        <w:rPr>
          <w:rFonts w:eastAsia="MS Mincho"/>
          <w:b/>
          <w:szCs w:val="22"/>
        </w:rPr>
      </w:pPr>
      <w:r>
        <w:rPr>
          <w:rFonts w:eastAsia="MS Mincho"/>
          <w:b/>
          <w:szCs w:val="22"/>
        </w:rPr>
        <w:lastRenderedPageBreak/>
        <w:t>Addressing</w:t>
      </w:r>
      <w:r w:rsidR="007B2DB2" w:rsidRPr="005233B1">
        <w:rPr>
          <w:rFonts w:eastAsia="MS Mincho"/>
          <w:b/>
          <w:szCs w:val="22"/>
        </w:rPr>
        <w:t xml:space="preserve"> risk </w:t>
      </w:r>
    </w:p>
    <w:p w:rsidR="007B2DB2" w:rsidRPr="007B2DB2" w:rsidRDefault="0018054B" w:rsidP="007B2DB2">
      <w:pPr>
        <w:pStyle w:val="ListParagraph"/>
        <w:numPr>
          <w:ilvl w:val="0"/>
          <w:numId w:val="40"/>
        </w:numPr>
        <w:pBdr>
          <w:top w:val="single" w:sz="12" w:space="1" w:color="auto"/>
          <w:left w:val="single" w:sz="12" w:space="4" w:color="auto"/>
          <w:bottom w:val="single" w:sz="12" w:space="1" w:color="auto"/>
          <w:right w:val="single" w:sz="12" w:space="4" w:color="auto"/>
        </w:pBdr>
        <w:spacing w:after="40" w:line="140" w:lineRule="atLeast"/>
        <w:ind w:left="851" w:hanging="851"/>
        <w:contextualSpacing w:val="0"/>
        <w:rPr>
          <w:rFonts w:eastAsia="MS Mincho"/>
          <w:b/>
          <w:i/>
          <w:szCs w:val="22"/>
        </w:rPr>
      </w:pPr>
      <w:r>
        <w:rPr>
          <w:rFonts w:eastAsia="MS Mincho"/>
          <w:b/>
          <w:i/>
          <w:szCs w:val="22"/>
        </w:rPr>
        <w:t>The Commission</w:t>
      </w:r>
      <w:r w:rsidR="00722436">
        <w:rPr>
          <w:rFonts w:eastAsia="MS Mincho"/>
          <w:b/>
          <w:i/>
          <w:szCs w:val="22"/>
        </w:rPr>
        <w:t xml:space="preserve"> puts in place effective </w:t>
      </w:r>
      <w:r>
        <w:rPr>
          <w:rFonts w:eastAsia="MS Mincho"/>
          <w:b/>
          <w:i/>
          <w:szCs w:val="22"/>
        </w:rPr>
        <w:t xml:space="preserve">processes to </w:t>
      </w:r>
      <w:r w:rsidR="00BC68F0">
        <w:rPr>
          <w:rFonts w:eastAsia="MS Mincho"/>
          <w:b/>
          <w:i/>
          <w:szCs w:val="22"/>
        </w:rPr>
        <w:t xml:space="preserve">appropriately </w:t>
      </w:r>
      <w:r>
        <w:rPr>
          <w:rFonts w:eastAsia="MS Mincho"/>
          <w:b/>
          <w:i/>
          <w:szCs w:val="22"/>
        </w:rPr>
        <w:t xml:space="preserve">plan, monitor and manage performance against the work plan and budget.  </w:t>
      </w:r>
    </w:p>
    <w:p w:rsidR="00F73F56" w:rsidRPr="005233B1" w:rsidRDefault="00F73F56" w:rsidP="00A32610">
      <w:pPr>
        <w:pBdr>
          <w:top w:val="single" w:sz="12" w:space="1" w:color="auto"/>
          <w:left w:val="single" w:sz="12" w:space="4" w:color="auto"/>
          <w:bottom w:val="single" w:sz="12" w:space="1" w:color="auto"/>
          <w:right w:val="single" w:sz="12" w:space="4" w:color="auto"/>
        </w:pBdr>
        <w:spacing w:after="40" w:line="140" w:lineRule="atLeast"/>
        <w:rPr>
          <w:rFonts w:eastAsia="MS Mincho"/>
          <w:szCs w:val="22"/>
        </w:rPr>
      </w:pPr>
      <w:r w:rsidRPr="005233B1">
        <w:rPr>
          <w:rFonts w:eastAsia="MS Mincho"/>
          <w:szCs w:val="22"/>
        </w:rPr>
        <w:t>The Commission has</w:t>
      </w:r>
      <w:r w:rsidR="00F4072F" w:rsidRPr="005233B1">
        <w:rPr>
          <w:rFonts w:eastAsia="MS Mincho"/>
          <w:szCs w:val="22"/>
        </w:rPr>
        <w:t xml:space="preserve"> the following</w:t>
      </w:r>
      <w:r w:rsidRPr="005233B1">
        <w:rPr>
          <w:rFonts w:eastAsia="MS Mincho"/>
          <w:szCs w:val="22"/>
        </w:rPr>
        <w:t xml:space="preserve"> effective controls in place to mitigate</w:t>
      </w:r>
      <w:r w:rsidR="0018054B">
        <w:rPr>
          <w:rFonts w:eastAsia="MS Mincho"/>
          <w:szCs w:val="22"/>
        </w:rPr>
        <w:t xml:space="preserve"> </w:t>
      </w:r>
      <w:r w:rsidR="00045C03">
        <w:rPr>
          <w:rFonts w:eastAsia="MS Mincho"/>
          <w:szCs w:val="22"/>
        </w:rPr>
        <w:t>the</w:t>
      </w:r>
      <w:r w:rsidRPr="005233B1">
        <w:rPr>
          <w:rFonts w:eastAsia="MS Mincho"/>
          <w:szCs w:val="22"/>
        </w:rPr>
        <w:t xml:space="preserve"> risk</w:t>
      </w:r>
      <w:r w:rsidR="00722436">
        <w:rPr>
          <w:rFonts w:eastAsia="MS Mincho"/>
          <w:szCs w:val="22"/>
        </w:rPr>
        <w:t xml:space="preserve"> of not achieving this objective</w:t>
      </w:r>
      <w:r w:rsidRPr="005233B1">
        <w:rPr>
          <w:rFonts w:eastAsia="MS Mincho"/>
          <w:szCs w:val="22"/>
        </w:rPr>
        <w:t xml:space="preserve">: </w:t>
      </w:r>
    </w:p>
    <w:p w:rsidR="00F73F56" w:rsidRPr="005233B1" w:rsidRDefault="00F73F56" w:rsidP="00A32610">
      <w:pPr>
        <w:pStyle w:val="ListParagraph"/>
        <w:numPr>
          <w:ilvl w:val="0"/>
          <w:numId w:val="13"/>
        </w:numPr>
        <w:pBdr>
          <w:top w:val="single" w:sz="12" w:space="1" w:color="auto"/>
          <w:left w:val="single" w:sz="12" w:space="4" w:color="auto"/>
          <w:bottom w:val="single" w:sz="12" w:space="1" w:color="auto"/>
          <w:right w:val="single" w:sz="12" w:space="4" w:color="auto"/>
        </w:pBdr>
        <w:spacing w:after="40" w:line="140" w:lineRule="atLeast"/>
        <w:contextualSpacing w:val="0"/>
        <w:rPr>
          <w:rFonts w:eastAsia="MS Mincho"/>
          <w:szCs w:val="22"/>
        </w:rPr>
      </w:pPr>
      <w:r w:rsidRPr="005233B1">
        <w:rPr>
          <w:rFonts w:eastAsia="MS Mincho"/>
          <w:szCs w:val="22"/>
        </w:rPr>
        <w:t>the establishment of</w:t>
      </w:r>
      <w:r w:rsidR="00C44DCC" w:rsidRPr="005233B1">
        <w:rPr>
          <w:rFonts w:eastAsia="MS Mincho"/>
          <w:szCs w:val="22"/>
        </w:rPr>
        <w:t xml:space="preserve"> the Commission’s</w:t>
      </w:r>
      <w:r w:rsidRPr="005233B1">
        <w:rPr>
          <w:rFonts w:eastAsia="MS Mincho"/>
          <w:szCs w:val="22"/>
        </w:rPr>
        <w:t xml:space="preserve"> work plan follows a specific process to ensure that intended outcomes are aligned with funding requirements </w:t>
      </w:r>
    </w:p>
    <w:p w:rsidR="00C44DCC" w:rsidRPr="005233B1" w:rsidRDefault="00C44DCC" w:rsidP="00A32610">
      <w:pPr>
        <w:pStyle w:val="ListParagraph"/>
        <w:numPr>
          <w:ilvl w:val="0"/>
          <w:numId w:val="13"/>
        </w:numPr>
        <w:pBdr>
          <w:top w:val="single" w:sz="12" w:space="1" w:color="auto"/>
          <w:left w:val="single" w:sz="12" w:space="4" w:color="auto"/>
          <w:bottom w:val="single" w:sz="12" w:space="1" w:color="auto"/>
          <w:right w:val="single" w:sz="12" w:space="4" w:color="auto"/>
        </w:pBdr>
        <w:spacing w:after="40" w:line="140" w:lineRule="atLeast"/>
        <w:contextualSpacing w:val="0"/>
        <w:rPr>
          <w:rFonts w:eastAsia="MS Mincho"/>
          <w:szCs w:val="22"/>
        </w:rPr>
      </w:pPr>
      <w:r w:rsidRPr="005233B1">
        <w:rPr>
          <w:rFonts w:eastAsia="MS Mincho"/>
          <w:szCs w:val="22"/>
        </w:rPr>
        <w:t xml:space="preserve">consistent monitoring of progress against the work plan by executive staff, Audit and Risk Committee and the Commission’s Board, and </w:t>
      </w:r>
    </w:p>
    <w:p w:rsidR="00F73F56" w:rsidRPr="005233B1" w:rsidRDefault="00C44DCC" w:rsidP="00A32610">
      <w:pPr>
        <w:pStyle w:val="ListParagraph"/>
        <w:numPr>
          <w:ilvl w:val="0"/>
          <w:numId w:val="13"/>
        </w:numPr>
        <w:pBdr>
          <w:top w:val="single" w:sz="12" w:space="1" w:color="auto"/>
          <w:left w:val="single" w:sz="12" w:space="4" w:color="auto"/>
          <w:bottom w:val="single" w:sz="12" w:space="1" w:color="auto"/>
          <w:right w:val="single" w:sz="12" w:space="4" w:color="auto"/>
        </w:pBdr>
        <w:spacing w:after="40" w:line="140" w:lineRule="atLeast"/>
        <w:contextualSpacing w:val="0"/>
        <w:rPr>
          <w:rFonts w:eastAsia="MS Mincho"/>
          <w:szCs w:val="22"/>
        </w:rPr>
      </w:pPr>
      <w:proofErr w:type="gramStart"/>
      <w:r w:rsidRPr="005233B1">
        <w:rPr>
          <w:rFonts w:eastAsia="MS Mincho"/>
          <w:szCs w:val="22"/>
        </w:rPr>
        <w:t>the</w:t>
      </w:r>
      <w:proofErr w:type="gramEnd"/>
      <w:r w:rsidRPr="005233B1">
        <w:rPr>
          <w:rFonts w:eastAsia="MS Mincho"/>
          <w:szCs w:val="22"/>
        </w:rPr>
        <w:t xml:space="preserve"> use of a project management tool which highlight</w:t>
      </w:r>
      <w:r w:rsidR="003E4F55">
        <w:rPr>
          <w:rFonts w:eastAsia="MS Mincho"/>
          <w:szCs w:val="22"/>
        </w:rPr>
        <w:t>s</w:t>
      </w:r>
      <w:r w:rsidRPr="005233B1">
        <w:rPr>
          <w:rFonts w:eastAsia="MS Mincho"/>
          <w:szCs w:val="22"/>
        </w:rPr>
        <w:t xml:space="preserve"> </w:t>
      </w:r>
      <w:r w:rsidR="003E4F55">
        <w:rPr>
          <w:rFonts w:eastAsia="MS Mincho"/>
          <w:szCs w:val="22"/>
        </w:rPr>
        <w:t>all</w:t>
      </w:r>
      <w:r w:rsidRPr="005233B1">
        <w:rPr>
          <w:rFonts w:eastAsia="MS Mincho"/>
          <w:szCs w:val="22"/>
        </w:rPr>
        <w:t xml:space="preserve"> areas of risk to project timeframes. </w:t>
      </w:r>
      <w:r w:rsidR="00F73F56" w:rsidRPr="005233B1">
        <w:rPr>
          <w:rFonts w:eastAsia="MS Mincho"/>
          <w:szCs w:val="22"/>
        </w:rPr>
        <w:t xml:space="preserve"> </w:t>
      </w:r>
    </w:p>
    <w:p w:rsidR="00522F83" w:rsidRPr="00F4072F" w:rsidRDefault="00522F83" w:rsidP="005233B1">
      <w:pPr>
        <w:keepNext/>
        <w:spacing w:before="240"/>
        <w:rPr>
          <w:rFonts w:eastAsia="MS Mincho"/>
          <w:i/>
        </w:rPr>
      </w:pPr>
      <w:r w:rsidRPr="00F4072F">
        <w:rPr>
          <w:rFonts w:eastAsia="MS Mincho"/>
          <w:i/>
        </w:rPr>
        <w:t>Implementation of Commission initiatives</w:t>
      </w:r>
    </w:p>
    <w:p w:rsidR="0018515C" w:rsidRPr="00522F83" w:rsidRDefault="000E1ADE" w:rsidP="00E04D12">
      <w:pPr>
        <w:rPr>
          <w:rFonts w:eastAsia="MS Mincho"/>
        </w:rPr>
      </w:pPr>
      <w:r>
        <w:t>The Commission provides a national approach to the improvement of safety and quality within the</w:t>
      </w:r>
      <w:r w:rsidR="00045C03">
        <w:t xml:space="preserve">n Australian </w:t>
      </w:r>
      <w:r>
        <w:t xml:space="preserve">healthcare sector. </w:t>
      </w:r>
      <w:r w:rsidR="0018515C">
        <w:t xml:space="preserve">The Commission </w:t>
      </w:r>
      <w:r w:rsidR="00312212">
        <w:t>works closely with its</w:t>
      </w:r>
      <w:r w:rsidR="0018515C">
        <w:t xml:space="preserve"> partners </w:t>
      </w:r>
      <w:r w:rsidR="00312212">
        <w:t>and</w:t>
      </w:r>
      <w:r w:rsidR="0018515C">
        <w:t xml:space="preserve"> stakeholders </w:t>
      </w:r>
      <w:r w:rsidR="00312212" w:rsidRPr="00537913">
        <w:rPr>
          <w:rFonts w:cs="Arial"/>
          <w:szCs w:val="22"/>
        </w:rPr>
        <w:t>to support the implementation of safety and quality initiatives through the development of guidance, resources, tools and educational material</w:t>
      </w:r>
      <w:r w:rsidR="00312212">
        <w:rPr>
          <w:rFonts w:cs="Arial"/>
          <w:szCs w:val="22"/>
        </w:rPr>
        <w:t>s</w:t>
      </w:r>
      <w:r w:rsidR="0018515C">
        <w:t xml:space="preserve">. </w:t>
      </w:r>
      <w:r w:rsidR="00312212">
        <w:t>Additionally, t</w:t>
      </w:r>
      <w:r w:rsidR="00312212" w:rsidRPr="00537913">
        <w:rPr>
          <w:rFonts w:cs="Arial"/>
          <w:szCs w:val="22"/>
        </w:rPr>
        <w:t xml:space="preserve">he </w:t>
      </w:r>
      <w:proofErr w:type="gramStart"/>
      <w:r w:rsidR="00312212" w:rsidRPr="00537913">
        <w:rPr>
          <w:rFonts w:cs="Arial"/>
          <w:szCs w:val="22"/>
        </w:rPr>
        <w:t xml:space="preserve">Commission </w:t>
      </w:r>
      <w:r w:rsidR="00045C03">
        <w:rPr>
          <w:rFonts w:cs="Arial"/>
          <w:szCs w:val="22"/>
        </w:rPr>
        <w:t>undertaken</w:t>
      </w:r>
      <w:proofErr w:type="gramEnd"/>
      <w:r w:rsidR="00045C03">
        <w:rPr>
          <w:rFonts w:cs="Arial"/>
          <w:szCs w:val="22"/>
        </w:rPr>
        <w:t xml:space="preserve"> both internal and external </w:t>
      </w:r>
      <w:r w:rsidR="00312212" w:rsidRPr="00537913">
        <w:rPr>
          <w:rFonts w:cs="Arial"/>
          <w:szCs w:val="22"/>
        </w:rPr>
        <w:t xml:space="preserve">evaluation of its activities and </w:t>
      </w:r>
      <w:r w:rsidR="00045C03">
        <w:rPr>
          <w:rFonts w:cs="Arial"/>
          <w:szCs w:val="22"/>
        </w:rPr>
        <w:t xml:space="preserve">supports health services in </w:t>
      </w:r>
      <w:r w:rsidR="00312212" w:rsidRPr="00537913">
        <w:rPr>
          <w:rFonts w:cs="Arial"/>
          <w:szCs w:val="22"/>
        </w:rPr>
        <w:t>measur</w:t>
      </w:r>
      <w:r w:rsidR="00045C03">
        <w:rPr>
          <w:rFonts w:cs="Arial"/>
          <w:szCs w:val="22"/>
        </w:rPr>
        <w:t xml:space="preserve">ing </w:t>
      </w:r>
      <w:r w:rsidR="00312212" w:rsidRPr="00537913">
        <w:rPr>
          <w:rFonts w:cs="Arial"/>
          <w:szCs w:val="22"/>
        </w:rPr>
        <w:t>the impact of safety and quality improvement</w:t>
      </w:r>
      <w:r w:rsidR="00045C03">
        <w:rPr>
          <w:rFonts w:cs="Arial"/>
          <w:szCs w:val="22"/>
        </w:rPr>
        <w:t>s</w:t>
      </w:r>
      <w:r w:rsidR="00312212" w:rsidRPr="00537913">
        <w:rPr>
          <w:rFonts w:cs="Arial"/>
          <w:szCs w:val="22"/>
        </w:rPr>
        <w:t xml:space="preserve"> </w:t>
      </w:r>
      <w:r w:rsidR="00045C03">
        <w:rPr>
          <w:rFonts w:cs="Arial"/>
          <w:szCs w:val="22"/>
        </w:rPr>
        <w:t xml:space="preserve">to </w:t>
      </w:r>
      <w:r w:rsidR="00312212" w:rsidRPr="00537913">
        <w:rPr>
          <w:rFonts w:cs="Arial"/>
          <w:szCs w:val="22"/>
        </w:rPr>
        <w:t>the health system.</w:t>
      </w:r>
    </w:p>
    <w:p w:rsidR="0018515C" w:rsidRPr="003D23F4" w:rsidRDefault="0018515C" w:rsidP="005233B1">
      <w:pPr>
        <w:pStyle w:val="Heading2"/>
        <w:spacing w:after="120"/>
      </w:pPr>
      <w:bookmarkStart w:id="20" w:name="_Toc456019983"/>
      <w:r w:rsidRPr="003D23F4">
        <w:t>Key performance indicators</w:t>
      </w:r>
      <w:bookmarkEnd w:id="20"/>
    </w:p>
    <w:p w:rsidR="0018515C" w:rsidRDefault="00A92D15" w:rsidP="00E04D12">
      <w:r>
        <w:t>The Commission has developed key performance indicators for the period 2016-17 which relate to the strategic priorities for the organisation’s upcoming program of work.</w:t>
      </w:r>
      <w:r w:rsidR="0018515C">
        <w:t xml:space="preserve"> These </w:t>
      </w:r>
      <w:r w:rsidR="006448F4">
        <w:t>k</w:t>
      </w:r>
      <w:r w:rsidR="006448F4" w:rsidRPr="006448F4">
        <w:t>ey performance indicators</w:t>
      </w:r>
      <w:r w:rsidR="0018515C">
        <w:t xml:space="preserve"> were published in the </w:t>
      </w:r>
      <w:r w:rsidR="0018515C" w:rsidRPr="006F1491">
        <w:rPr>
          <w:i/>
        </w:rPr>
        <w:t>201</w:t>
      </w:r>
      <w:r>
        <w:rPr>
          <w:i/>
        </w:rPr>
        <w:t>6</w:t>
      </w:r>
      <w:r w:rsidR="00D60C4F" w:rsidRPr="006F1491">
        <w:rPr>
          <w:i/>
        </w:rPr>
        <w:t>–</w:t>
      </w:r>
      <w:r w:rsidR="0018515C" w:rsidRPr="006F1491">
        <w:rPr>
          <w:i/>
        </w:rPr>
        <w:t>1</w:t>
      </w:r>
      <w:r>
        <w:rPr>
          <w:i/>
        </w:rPr>
        <w:t>7</w:t>
      </w:r>
      <w:r w:rsidR="0018515C" w:rsidRPr="006F1491">
        <w:rPr>
          <w:i/>
        </w:rPr>
        <w:t xml:space="preserve"> Portfolio Budget Statements</w:t>
      </w:r>
      <w:r w:rsidR="0018515C">
        <w:t xml:space="preserve">. </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098"/>
        <w:gridCol w:w="1095"/>
        <w:gridCol w:w="1092"/>
        <w:gridCol w:w="1088"/>
        <w:gridCol w:w="21"/>
      </w:tblGrid>
      <w:tr w:rsidR="00A92D15" w:rsidRPr="00A779F7" w:rsidTr="00A92D15">
        <w:tc>
          <w:tcPr>
            <w:tcW w:w="8330" w:type="dxa"/>
            <w:gridSpan w:val="6"/>
            <w:shd w:val="clear" w:color="auto" w:fill="D9D9D9"/>
          </w:tcPr>
          <w:p w:rsidR="00A92D15" w:rsidRPr="00A779F7" w:rsidRDefault="00A92D15" w:rsidP="00F41B53">
            <w:r>
              <w:rPr>
                <w:b/>
              </w:rPr>
              <w:t xml:space="preserve">Strategic Priority 1: </w:t>
            </w:r>
            <w:r w:rsidRPr="00500B76">
              <w:rPr>
                <w:b/>
              </w:rPr>
              <w:t>Patient safety</w:t>
            </w:r>
          </w:p>
        </w:tc>
      </w:tr>
      <w:tr w:rsidR="0018515C" w:rsidRPr="00A779F7" w:rsidTr="00A92D15">
        <w:tc>
          <w:tcPr>
            <w:tcW w:w="3936" w:type="dxa"/>
            <w:shd w:val="clear" w:color="auto" w:fill="D9D9D9"/>
          </w:tcPr>
          <w:p w:rsidR="0018515C" w:rsidRPr="00A779F7" w:rsidRDefault="0018515C" w:rsidP="006F1491">
            <w:r>
              <w:t xml:space="preserve">Qualitative </w:t>
            </w:r>
            <w:r w:rsidR="00D75A35">
              <w:t>i</w:t>
            </w:r>
            <w:r>
              <w:t>ndicator</w:t>
            </w:r>
          </w:p>
        </w:tc>
        <w:tc>
          <w:tcPr>
            <w:tcW w:w="4394" w:type="dxa"/>
            <w:gridSpan w:val="5"/>
            <w:shd w:val="clear" w:color="auto" w:fill="D9D9D9"/>
          </w:tcPr>
          <w:p w:rsidR="0018515C" w:rsidRPr="00A779F7" w:rsidRDefault="0018515C" w:rsidP="00F41B53">
            <w:r w:rsidRPr="00A779F7">
              <w:t>201</w:t>
            </w:r>
            <w:r w:rsidR="00F41B53">
              <w:t>6-20</w:t>
            </w:r>
            <w:r>
              <w:t xml:space="preserve"> </w:t>
            </w:r>
            <w:r w:rsidR="00D75A35">
              <w:t>t</w:t>
            </w:r>
            <w:r>
              <w:t>arget</w:t>
            </w:r>
          </w:p>
        </w:tc>
      </w:tr>
      <w:tr w:rsidR="0018515C" w:rsidRPr="00EB5F83" w:rsidTr="00A92D15">
        <w:tc>
          <w:tcPr>
            <w:tcW w:w="3936" w:type="dxa"/>
            <w:shd w:val="clear" w:color="auto" w:fill="auto"/>
          </w:tcPr>
          <w:p w:rsidR="0018515C" w:rsidRPr="00EB5F83" w:rsidRDefault="0018515C" w:rsidP="006F1491">
            <w:r>
              <w:t>Successful implementation of the NSQHS Standards</w:t>
            </w:r>
            <w:r w:rsidR="00A92D15">
              <w:t xml:space="preserve"> and ongoing monitoring of safety and quality performance of hospitals and day procedure services. </w:t>
            </w:r>
          </w:p>
        </w:tc>
        <w:tc>
          <w:tcPr>
            <w:tcW w:w="4394" w:type="dxa"/>
            <w:gridSpan w:val="5"/>
            <w:shd w:val="clear" w:color="auto" w:fill="auto"/>
          </w:tcPr>
          <w:p w:rsidR="0018515C" w:rsidRPr="00EB5F83" w:rsidRDefault="00A92D15" w:rsidP="006F1491">
            <w:r>
              <w:t xml:space="preserve">Use of performance data to identify safety and quality lapses by health services and negotiations with states and territories to implement remedial actions. </w:t>
            </w:r>
          </w:p>
        </w:tc>
      </w:tr>
      <w:tr w:rsidR="0018515C" w:rsidTr="00A92D15">
        <w:trPr>
          <w:gridAfter w:val="1"/>
          <w:wAfter w:w="21" w:type="dxa"/>
        </w:trPr>
        <w:tc>
          <w:tcPr>
            <w:tcW w:w="3936" w:type="dxa"/>
            <w:shd w:val="clear" w:color="auto" w:fill="D9D9D9"/>
          </w:tcPr>
          <w:p w:rsidR="0018515C" w:rsidRPr="00A779F7" w:rsidRDefault="0018515C" w:rsidP="006F1491">
            <w:r w:rsidRPr="00A779F7">
              <w:t xml:space="preserve">Quantitative </w:t>
            </w:r>
            <w:r w:rsidR="002F3735">
              <w:t>i</w:t>
            </w:r>
            <w:r w:rsidRPr="00A779F7">
              <w:t>ndicators</w:t>
            </w:r>
          </w:p>
        </w:tc>
        <w:tc>
          <w:tcPr>
            <w:tcW w:w="1098" w:type="dxa"/>
            <w:shd w:val="clear" w:color="auto" w:fill="D9D9D9"/>
          </w:tcPr>
          <w:p w:rsidR="0018515C" w:rsidRPr="00A779F7" w:rsidRDefault="00F41B53" w:rsidP="00F41B53">
            <w:r w:rsidRPr="00A779F7">
              <w:t>201</w:t>
            </w:r>
            <w:r>
              <w:t>6-17</w:t>
            </w:r>
          </w:p>
        </w:tc>
        <w:tc>
          <w:tcPr>
            <w:tcW w:w="1095" w:type="dxa"/>
            <w:shd w:val="clear" w:color="auto" w:fill="D9D9D9"/>
          </w:tcPr>
          <w:p w:rsidR="0018515C" w:rsidRPr="00A779F7" w:rsidRDefault="00F41B53" w:rsidP="00F41B53">
            <w:r w:rsidRPr="00A779F7">
              <w:t>201</w:t>
            </w:r>
            <w:r>
              <w:t>7-18</w:t>
            </w:r>
          </w:p>
        </w:tc>
        <w:tc>
          <w:tcPr>
            <w:tcW w:w="1092" w:type="dxa"/>
            <w:shd w:val="clear" w:color="auto" w:fill="D9D9D9"/>
          </w:tcPr>
          <w:p w:rsidR="0018515C" w:rsidRPr="00A779F7" w:rsidRDefault="00F41B53" w:rsidP="00F41B53">
            <w:r w:rsidRPr="00A779F7">
              <w:t>201</w:t>
            </w:r>
            <w:r>
              <w:t>8-19</w:t>
            </w:r>
          </w:p>
        </w:tc>
        <w:tc>
          <w:tcPr>
            <w:tcW w:w="1088" w:type="dxa"/>
            <w:shd w:val="clear" w:color="auto" w:fill="D9D9D9"/>
          </w:tcPr>
          <w:p w:rsidR="0018515C" w:rsidRPr="00A779F7" w:rsidRDefault="00F41B53" w:rsidP="00F41B53">
            <w:r w:rsidRPr="00A779F7">
              <w:t>201</w:t>
            </w:r>
            <w:r>
              <w:t>9-20</w:t>
            </w:r>
          </w:p>
        </w:tc>
      </w:tr>
      <w:tr w:rsidR="0018515C" w:rsidTr="00A92D15">
        <w:trPr>
          <w:gridAfter w:val="1"/>
          <w:wAfter w:w="21" w:type="dxa"/>
        </w:trPr>
        <w:tc>
          <w:tcPr>
            <w:tcW w:w="3936" w:type="dxa"/>
            <w:shd w:val="clear" w:color="auto" w:fill="auto"/>
          </w:tcPr>
          <w:p w:rsidR="0018515C" w:rsidRPr="00EB5F83" w:rsidRDefault="00A92D15" w:rsidP="00A92D15">
            <w:r>
              <w:t>Percentage of h</w:t>
            </w:r>
            <w:r w:rsidR="0018515C" w:rsidRPr="00EB5F83">
              <w:t>ospitals and day procedure services assessed to the NSQHS Standards</w:t>
            </w:r>
            <w:r>
              <w:t>.</w:t>
            </w:r>
          </w:p>
        </w:tc>
        <w:tc>
          <w:tcPr>
            <w:tcW w:w="1098" w:type="dxa"/>
            <w:shd w:val="clear" w:color="auto" w:fill="auto"/>
          </w:tcPr>
          <w:p w:rsidR="0018515C" w:rsidRPr="00EB5F83" w:rsidRDefault="0018515C" w:rsidP="006F1491">
            <w:r w:rsidRPr="00EB5F83">
              <w:t>100%</w:t>
            </w:r>
          </w:p>
        </w:tc>
        <w:tc>
          <w:tcPr>
            <w:tcW w:w="1095" w:type="dxa"/>
            <w:shd w:val="clear" w:color="auto" w:fill="auto"/>
          </w:tcPr>
          <w:p w:rsidR="0018515C" w:rsidRPr="00EB5F83" w:rsidRDefault="0018515C" w:rsidP="006F1491">
            <w:r w:rsidRPr="00EB5F83">
              <w:t>100%</w:t>
            </w:r>
          </w:p>
        </w:tc>
        <w:tc>
          <w:tcPr>
            <w:tcW w:w="1092" w:type="dxa"/>
            <w:shd w:val="clear" w:color="auto" w:fill="auto"/>
          </w:tcPr>
          <w:p w:rsidR="0018515C" w:rsidRPr="00EB5F83" w:rsidRDefault="0018515C" w:rsidP="006F1491">
            <w:r w:rsidRPr="00EB5F83">
              <w:t>100%</w:t>
            </w:r>
          </w:p>
        </w:tc>
        <w:tc>
          <w:tcPr>
            <w:tcW w:w="1088" w:type="dxa"/>
            <w:shd w:val="clear" w:color="auto" w:fill="auto"/>
          </w:tcPr>
          <w:p w:rsidR="0018515C" w:rsidRPr="00EB5F83" w:rsidRDefault="0018515C" w:rsidP="006F1491">
            <w:r w:rsidRPr="00EB5F83">
              <w:t>100%</w:t>
            </w:r>
          </w:p>
        </w:tc>
      </w:tr>
      <w:tr w:rsidR="0018515C" w:rsidTr="00A92D15">
        <w:trPr>
          <w:gridAfter w:val="1"/>
          <w:wAfter w:w="21" w:type="dxa"/>
        </w:trPr>
        <w:tc>
          <w:tcPr>
            <w:tcW w:w="3936" w:type="dxa"/>
            <w:shd w:val="clear" w:color="auto" w:fill="auto"/>
          </w:tcPr>
          <w:p w:rsidR="0018515C" w:rsidRPr="00EB5F83" w:rsidRDefault="0018515C" w:rsidP="006F1491">
            <w:r w:rsidRPr="00EB5F83">
              <w:t>P</w:t>
            </w:r>
            <w:r w:rsidR="00A92D15">
              <w:t>ercentage of p</w:t>
            </w:r>
            <w:r w:rsidRPr="00EB5F83">
              <w:t>ublic hospitals meeting the benchmark for hand hygiene compliance</w:t>
            </w:r>
            <w:r w:rsidR="00A92D15">
              <w:t>.</w:t>
            </w:r>
          </w:p>
        </w:tc>
        <w:tc>
          <w:tcPr>
            <w:tcW w:w="1098" w:type="dxa"/>
            <w:shd w:val="clear" w:color="auto" w:fill="auto"/>
          </w:tcPr>
          <w:p w:rsidR="0018515C" w:rsidRPr="00EB5F83" w:rsidRDefault="0018515C" w:rsidP="006F1491">
            <w:r w:rsidRPr="00EB5F83">
              <w:rPr>
                <w:rFonts w:cs="Arial"/>
              </w:rPr>
              <w:t>≥</w:t>
            </w:r>
            <w:r w:rsidR="00A92D15">
              <w:t>75</w:t>
            </w:r>
            <w:r w:rsidRPr="00EB5F83">
              <w:t>%</w:t>
            </w:r>
          </w:p>
        </w:tc>
        <w:tc>
          <w:tcPr>
            <w:tcW w:w="1095" w:type="dxa"/>
            <w:shd w:val="clear" w:color="auto" w:fill="auto"/>
          </w:tcPr>
          <w:p w:rsidR="0018515C" w:rsidRPr="00EB5F83" w:rsidRDefault="0018515C" w:rsidP="006F1491">
            <w:r w:rsidRPr="00EB5F83">
              <w:rPr>
                <w:rFonts w:cs="Arial"/>
              </w:rPr>
              <w:t>≥</w:t>
            </w:r>
            <w:r w:rsidR="00A92D15">
              <w:t>8</w:t>
            </w:r>
            <w:r w:rsidRPr="00EB5F83">
              <w:t>0%</w:t>
            </w:r>
          </w:p>
        </w:tc>
        <w:tc>
          <w:tcPr>
            <w:tcW w:w="1092" w:type="dxa"/>
            <w:shd w:val="clear" w:color="auto" w:fill="auto"/>
          </w:tcPr>
          <w:p w:rsidR="0018515C" w:rsidRPr="00EB5F83" w:rsidRDefault="0018515C" w:rsidP="006F1491">
            <w:r w:rsidRPr="00EB5F83">
              <w:rPr>
                <w:rFonts w:cs="Arial"/>
              </w:rPr>
              <w:t>≥</w:t>
            </w:r>
            <w:r w:rsidR="00A92D15">
              <w:t>8</w:t>
            </w:r>
            <w:r w:rsidRPr="00EB5F83">
              <w:t>0%</w:t>
            </w:r>
          </w:p>
        </w:tc>
        <w:tc>
          <w:tcPr>
            <w:tcW w:w="1088" w:type="dxa"/>
            <w:shd w:val="clear" w:color="auto" w:fill="auto"/>
          </w:tcPr>
          <w:p w:rsidR="0018515C" w:rsidRPr="00EB5F83" w:rsidRDefault="0018515C" w:rsidP="006F1491">
            <w:r w:rsidRPr="00EB5F83">
              <w:rPr>
                <w:rFonts w:cs="Arial"/>
              </w:rPr>
              <w:t>≥</w:t>
            </w:r>
            <w:r w:rsidR="00A92D15">
              <w:t>8</w:t>
            </w:r>
            <w:r w:rsidRPr="00EB5F83">
              <w:t>0%</w:t>
            </w:r>
          </w:p>
        </w:tc>
      </w:tr>
      <w:tr w:rsidR="0018515C" w:rsidTr="00A92D15">
        <w:trPr>
          <w:gridAfter w:val="1"/>
          <w:wAfter w:w="21" w:type="dxa"/>
        </w:trPr>
        <w:tc>
          <w:tcPr>
            <w:tcW w:w="3936" w:type="dxa"/>
            <w:shd w:val="clear" w:color="auto" w:fill="auto"/>
          </w:tcPr>
          <w:p w:rsidR="0018515C" w:rsidRPr="00EB5F83" w:rsidRDefault="00A92D15" w:rsidP="006448F4">
            <w:pPr>
              <w:spacing w:before="120"/>
            </w:pPr>
            <w:r>
              <w:t>Number of c</w:t>
            </w:r>
            <w:r w:rsidR="0018515C" w:rsidRPr="00EB5F83">
              <w:t>linicians completing the healthcare associated infection online education modules</w:t>
            </w:r>
            <w:r>
              <w:t>.</w:t>
            </w:r>
          </w:p>
        </w:tc>
        <w:tc>
          <w:tcPr>
            <w:tcW w:w="1098" w:type="dxa"/>
            <w:shd w:val="clear" w:color="auto" w:fill="auto"/>
          </w:tcPr>
          <w:p w:rsidR="0018515C" w:rsidRPr="00EB5F83" w:rsidRDefault="0018515C" w:rsidP="006F1491">
            <w:r w:rsidRPr="00EB5F83">
              <w:rPr>
                <w:rFonts w:cs="Arial"/>
              </w:rPr>
              <w:t>≥</w:t>
            </w:r>
            <w:r w:rsidR="00A92D15">
              <w:t>13</w:t>
            </w:r>
            <w:r w:rsidR="00D75A35">
              <w:t> </w:t>
            </w:r>
            <w:r w:rsidRPr="00EB5F83">
              <w:t>000</w:t>
            </w:r>
          </w:p>
        </w:tc>
        <w:tc>
          <w:tcPr>
            <w:tcW w:w="1095" w:type="dxa"/>
            <w:shd w:val="clear" w:color="auto" w:fill="auto"/>
          </w:tcPr>
          <w:p w:rsidR="0018515C" w:rsidRPr="00EB5F83" w:rsidRDefault="0018515C" w:rsidP="00A92D15">
            <w:r w:rsidRPr="00EB5F83">
              <w:rPr>
                <w:rFonts w:cs="Arial"/>
              </w:rPr>
              <w:t>≥</w:t>
            </w:r>
            <w:r w:rsidRPr="00EB5F83">
              <w:t>1</w:t>
            </w:r>
            <w:r w:rsidR="00A92D15">
              <w:t>4</w:t>
            </w:r>
            <w:r w:rsidR="00D75A35">
              <w:t> </w:t>
            </w:r>
            <w:r w:rsidRPr="00EB5F83">
              <w:t>000</w:t>
            </w:r>
          </w:p>
        </w:tc>
        <w:tc>
          <w:tcPr>
            <w:tcW w:w="1092" w:type="dxa"/>
            <w:shd w:val="clear" w:color="auto" w:fill="auto"/>
          </w:tcPr>
          <w:p w:rsidR="0018515C" w:rsidRPr="00EB5F83" w:rsidRDefault="0018515C" w:rsidP="00A92D15">
            <w:r w:rsidRPr="00EB5F83">
              <w:rPr>
                <w:rFonts w:cs="Arial"/>
              </w:rPr>
              <w:t>≥</w:t>
            </w:r>
            <w:r w:rsidRPr="00EB5F83">
              <w:t>1</w:t>
            </w:r>
            <w:r w:rsidR="00A92D15">
              <w:t>5</w:t>
            </w:r>
            <w:r w:rsidR="00D75A35">
              <w:t> </w:t>
            </w:r>
            <w:r w:rsidRPr="00EB5F83">
              <w:t>000</w:t>
            </w:r>
          </w:p>
        </w:tc>
        <w:tc>
          <w:tcPr>
            <w:tcW w:w="1088" w:type="dxa"/>
            <w:shd w:val="clear" w:color="auto" w:fill="auto"/>
          </w:tcPr>
          <w:p w:rsidR="0018515C" w:rsidRPr="00EB5F83" w:rsidRDefault="0018515C" w:rsidP="00A92D15">
            <w:r w:rsidRPr="00EB5F83">
              <w:rPr>
                <w:rFonts w:cs="Arial"/>
              </w:rPr>
              <w:t>≥</w:t>
            </w:r>
            <w:r w:rsidRPr="00EB5F83">
              <w:t>1</w:t>
            </w:r>
            <w:r w:rsidR="00A92D15">
              <w:t>6</w:t>
            </w:r>
            <w:r w:rsidR="00D75A35">
              <w:t> </w:t>
            </w:r>
            <w:r w:rsidRPr="00EB5F83">
              <w:t>000</w:t>
            </w:r>
          </w:p>
        </w:tc>
      </w:tr>
    </w:tbl>
    <w:p w:rsidR="0018515C" w:rsidRDefault="0018515C" w:rsidP="00500B76"/>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394"/>
      </w:tblGrid>
      <w:tr w:rsidR="001111AE" w:rsidRPr="00A92D15" w:rsidTr="001111AE">
        <w:tc>
          <w:tcPr>
            <w:tcW w:w="8330" w:type="dxa"/>
            <w:gridSpan w:val="2"/>
            <w:shd w:val="clear" w:color="auto" w:fill="D9D9D9" w:themeFill="background1" w:themeFillShade="D9"/>
          </w:tcPr>
          <w:p w:rsidR="001111AE" w:rsidRDefault="001111AE" w:rsidP="00232B92">
            <w:r>
              <w:rPr>
                <w:b/>
              </w:rPr>
              <w:t xml:space="preserve">Strategic Priority 2: </w:t>
            </w:r>
            <w:r w:rsidRPr="00500B76">
              <w:rPr>
                <w:b/>
              </w:rPr>
              <w:t>Partnering with patients, consumers and communities</w:t>
            </w:r>
          </w:p>
        </w:tc>
      </w:tr>
      <w:tr w:rsidR="001111AE" w:rsidRPr="00A92D15" w:rsidTr="001111AE">
        <w:tc>
          <w:tcPr>
            <w:tcW w:w="3936" w:type="dxa"/>
            <w:shd w:val="clear" w:color="auto" w:fill="D9D9D9" w:themeFill="background1" w:themeFillShade="D9"/>
          </w:tcPr>
          <w:p w:rsidR="001111AE" w:rsidRPr="00A779F7" w:rsidRDefault="001111AE" w:rsidP="00232B92">
            <w:r>
              <w:t>Qualitative indicator</w:t>
            </w:r>
          </w:p>
        </w:tc>
        <w:tc>
          <w:tcPr>
            <w:tcW w:w="4394" w:type="dxa"/>
            <w:shd w:val="clear" w:color="auto" w:fill="D9D9D9" w:themeFill="background1" w:themeFillShade="D9"/>
          </w:tcPr>
          <w:p w:rsidR="001111AE" w:rsidRPr="00A779F7" w:rsidRDefault="001111AE" w:rsidP="00232B92">
            <w:r w:rsidRPr="00A779F7">
              <w:t>201</w:t>
            </w:r>
            <w:r>
              <w:t>6-20 target</w:t>
            </w:r>
          </w:p>
        </w:tc>
      </w:tr>
      <w:tr w:rsidR="00A92D15" w:rsidRPr="00A92D15" w:rsidTr="00232B92">
        <w:tc>
          <w:tcPr>
            <w:tcW w:w="3936" w:type="dxa"/>
            <w:shd w:val="clear" w:color="auto" w:fill="auto"/>
          </w:tcPr>
          <w:p w:rsidR="00A92D15" w:rsidRDefault="00A92D15" w:rsidP="00232B92">
            <w:r>
              <w:t>Provide safety and quality information to the general public</w:t>
            </w:r>
            <w:r w:rsidR="00DF1EC3">
              <w:t xml:space="preserve">. </w:t>
            </w:r>
          </w:p>
        </w:tc>
        <w:tc>
          <w:tcPr>
            <w:tcW w:w="4394" w:type="dxa"/>
            <w:shd w:val="clear" w:color="auto" w:fill="auto"/>
          </w:tcPr>
          <w:p w:rsidR="00A92D15" w:rsidRDefault="00A92D15" w:rsidP="00232B92">
            <w:pPr>
              <w:rPr>
                <w:i/>
              </w:rPr>
            </w:pPr>
            <w:r>
              <w:t xml:space="preserve">Reporting in the </w:t>
            </w:r>
            <w:r w:rsidR="001A0EE2">
              <w:t>a</w:t>
            </w:r>
            <w:r>
              <w:t xml:space="preserve">nnual </w:t>
            </w:r>
            <w:r w:rsidR="001A0EE2">
              <w:t>r</w:t>
            </w:r>
            <w:r>
              <w:t xml:space="preserve">eport on the state of safety and quality in health care, and in the report for the general public, </w:t>
            </w:r>
            <w:r>
              <w:rPr>
                <w:i/>
              </w:rPr>
              <w:t xml:space="preserve">Vital Signs 2016. </w:t>
            </w:r>
          </w:p>
          <w:p w:rsidR="00A92D15" w:rsidRPr="00A92D15" w:rsidRDefault="00A92D15" w:rsidP="00232B92">
            <w:r>
              <w:t xml:space="preserve">Reporting to the general public through regular Commission newsletters and website publications. </w:t>
            </w:r>
          </w:p>
        </w:tc>
      </w:tr>
    </w:tbl>
    <w:p w:rsidR="00A92D15" w:rsidRDefault="00A92D15" w:rsidP="00500B76"/>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394"/>
      </w:tblGrid>
      <w:tr w:rsidR="001111AE" w:rsidTr="00232B92">
        <w:tc>
          <w:tcPr>
            <w:tcW w:w="8330" w:type="dxa"/>
            <w:gridSpan w:val="2"/>
            <w:shd w:val="clear" w:color="auto" w:fill="D9D9D9" w:themeFill="background1" w:themeFillShade="D9"/>
          </w:tcPr>
          <w:p w:rsidR="001111AE" w:rsidRDefault="001111AE" w:rsidP="001111AE">
            <w:r>
              <w:rPr>
                <w:b/>
              </w:rPr>
              <w:t xml:space="preserve">Strategic Priority 3: </w:t>
            </w:r>
            <w:r w:rsidRPr="00500B76">
              <w:rPr>
                <w:b/>
              </w:rPr>
              <w:t>Quality, value and cost</w:t>
            </w:r>
          </w:p>
        </w:tc>
      </w:tr>
      <w:tr w:rsidR="001111AE" w:rsidRPr="00A779F7" w:rsidTr="00232B92">
        <w:tc>
          <w:tcPr>
            <w:tcW w:w="3936" w:type="dxa"/>
            <w:shd w:val="clear" w:color="auto" w:fill="D9D9D9" w:themeFill="background1" w:themeFillShade="D9"/>
          </w:tcPr>
          <w:p w:rsidR="001111AE" w:rsidRPr="00A779F7" w:rsidRDefault="001111AE" w:rsidP="00232B92">
            <w:r>
              <w:t>Qualitative indicator</w:t>
            </w:r>
          </w:p>
        </w:tc>
        <w:tc>
          <w:tcPr>
            <w:tcW w:w="4394" w:type="dxa"/>
            <w:shd w:val="clear" w:color="auto" w:fill="D9D9D9" w:themeFill="background1" w:themeFillShade="D9"/>
          </w:tcPr>
          <w:p w:rsidR="001111AE" w:rsidRPr="00A779F7" w:rsidRDefault="001111AE" w:rsidP="00232B92">
            <w:r w:rsidRPr="00A779F7">
              <w:t>201</w:t>
            </w:r>
            <w:r>
              <w:t>6-20 target</w:t>
            </w:r>
          </w:p>
        </w:tc>
      </w:tr>
      <w:tr w:rsidR="001111AE" w:rsidRPr="00A92D15" w:rsidTr="00232B92">
        <w:tc>
          <w:tcPr>
            <w:tcW w:w="3936" w:type="dxa"/>
            <w:shd w:val="clear" w:color="auto" w:fill="auto"/>
          </w:tcPr>
          <w:p w:rsidR="001111AE" w:rsidRPr="001111AE" w:rsidRDefault="001111AE" w:rsidP="00232B92">
            <w:r>
              <w:t xml:space="preserve">Production of a second </w:t>
            </w:r>
            <w:r>
              <w:rPr>
                <w:i/>
              </w:rPr>
              <w:t xml:space="preserve">Australian Atlas of Healthcare Variation </w:t>
            </w:r>
            <w:r>
              <w:t xml:space="preserve">covering clinical topic areas agreed by Commonwealth, states and territories. </w:t>
            </w:r>
          </w:p>
        </w:tc>
        <w:tc>
          <w:tcPr>
            <w:tcW w:w="4394" w:type="dxa"/>
            <w:shd w:val="clear" w:color="auto" w:fill="auto"/>
          </w:tcPr>
          <w:p w:rsidR="001111AE" w:rsidRPr="00A92D15" w:rsidRDefault="001111AE" w:rsidP="00DF1EC3">
            <w:r>
              <w:t xml:space="preserve">Produce and disseminate new and updated maps of health care variations in Australia for a set of topic areas agreed by the Commonwealth, states and territories, by 30 June 2017.   </w:t>
            </w:r>
          </w:p>
        </w:tc>
      </w:tr>
      <w:tr w:rsidR="001111AE" w:rsidRPr="00A92D15" w:rsidTr="00232B92">
        <w:tc>
          <w:tcPr>
            <w:tcW w:w="3936" w:type="dxa"/>
            <w:shd w:val="clear" w:color="auto" w:fill="auto"/>
          </w:tcPr>
          <w:p w:rsidR="001111AE" w:rsidRDefault="001111AE" w:rsidP="001A0EE2">
            <w:r>
              <w:t xml:space="preserve">Develop </w:t>
            </w:r>
            <w:r w:rsidR="001A0EE2">
              <w:t>c</w:t>
            </w:r>
            <w:r>
              <w:t xml:space="preserve">linical </w:t>
            </w:r>
            <w:r w:rsidR="001A0EE2">
              <w:t>c</w:t>
            </w:r>
            <w:r>
              <w:t xml:space="preserve">are </w:t>
            </w:r>
            <w:r w:rsidR="001A0EE2">
              <w:t>s</w:t>
            </w:r>
            <w:r>
              <w:t>tandards for consultation, informed by outcomes from the work on health care variation.</w:t>
            </w:r>
          </w:p>
        </w:tc>
        <w:tc>
          <w:tcPr>
            <w:tcW w:w="4394" w:type="dxa"/>
            <w:shd w:val="clear" w:color="auto" w:fill="auto"/>
          </w:tcPr>
          <w:p w:rsidR="001111AE" w:rsidRDefault="001111AE" w:rsidP="00232B92">
            <w:r>
              <w:t xml:space="preserve">Clinical standards focusing on high impact, high burden and high variation areas of clinical care are developed by 30 June 2017.  </w:t>
            </w:r>
          </w:p>
        </w:tc>
      </w:tr>
    </w:tbl>
    <w:p w:rsidR="001111AE" w:rsidRDefault="001111AE" w:rsidP="00500B76"/>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098"/>
        <w:gridCol w:w="1095"/>
        <w:gridCol w:w="1092"/>
        <w:gridCol w:w="1088"/>
        <w:gridCol w:w="21"/>
      </w:tblGrid>
      <w:tr w:rsidR="001111AE" w:rsidRPr="00A779F7" w:rsidTr="00232B92">
        <w:tc>
          <w:tcPr>
            <w:tcW w:w="8330" w:type="dxa"/>
            <w:gridSpan w:val="6"/>
            <w:shd w:val="clear" w:color="auto" w:fill="D9D9D9"/>
          </w:tcPr>
          <w:p w:rsidR="001111AE" w:rsidRPr="00A779F7" w:rsidRDefault="001111AE" w:rsidP="00DF1EC3">
            <w:r>
              <w:rPr>
                <w:b/>
              </w:rPr>
              <w:t xml:space="preserve">Strategic Priority 4: </w:t>
            </w:r>
            <w:r w:rsidRPr="00500B76">
              <w:rPr>
                <w:b/>
              </w:rPr>
              <w:t>Supporting health professionals to provide safe and high</w:t>
            </w:r>
            <w:r w:rsidR="00DF1EC3">
              <w:rPr>
                <w:b/>
              </w:rPr>
              <w:t xml:space="preserve"> </w:t>
            </w:r>
            <w:r w:rsidRPr="00500B76">
              <w:rPr>
                <w:b/>
              </w:rPr>
              <w:t>quality care</w:t>
            </w:r>
          </w:p>
        </w:tc>
      </w:tr>
      <w:tr w:rsidR="001111AE" w:rsidRPr="00A779F7" w:rsidTr="00232B92">
        <w:tc>
          <w:tcPr>
            <w:tcW w:w="3936" w:type="dxa"/>
            <w:shd w:val="clear" w:color="auto" w:fill="D9D9D9"/>
          </w:tcPr>
          <w:p w:rsidR="001111AE" w:rsidRPr="00A779F7" w:rsidRDefault="001111AE" w:rsidP="00232B92">
            <w:r>
              <w:t>Qualitative indicator</w:t>
            </w:r>
          </w:p>
        </w:tc>
        <w:tc>
          <w:tcPr>
            <w:tcW w:w="4394" w:type="dxa"/>
            <w:gridSpan w:val="5"/>
            <w:shd w:val="clear" w:color="auto" w:fill="D9D9D9"/>
          </w:tcPr>
          <w:p w:rsidR="001111AE" w:rsidRPr="00A779F7" w:rsidRDefault="001111AE" w:rsidP="00232B92">
            <w:r w:rsidRPr="00A779F7">
              <w:t>201</w:t>
            </w:r>
            <w:r>
              <w:t>6-20 target</w:t>
            </w:r>
          </w:p>
        </w:tc>
      </w:tr>
      <w:tr w:rsidR="001111AE" w:rsidRPr="00EB5F83" w:rsidTr="00232B92">
        <w:tc>
          <w:tcPr>
            <w:tcW w:w="3936" w:type="dxa"/>
            <w:shd w:val="clear" w:color="auto" w:fill="auto"/>
          </w:tcPr>
          <w:p w:rsidR="001111AE" w:rsidRPr="00EB5F83" w:rsidRDefault="001111AE" w:rsidP="00232B92">
            <w:r>
              <w:t>Provide safety and quality information and resources to health professionals</w:t>
            </w:r>
            <w:r w:rsidR="00DF1EC3">
              <w:t xml:space="preserve">. </w:t>
            </w:r>
            <w:r>
              <w:t xml:space="preserve"> </w:t>
            </w:r>
          </w:p>
        </w:tc>
        <w:tc>
          <w:tcPr>
            <w:tcW w:w="4394" w:type="dxa"/>
            <w:gridSpan w:val="5"/>
            <w:shd w:val="clear" w:color="auto" w:fill="auto"/>
          </w:tcPr>
          <w:p w:rsidR="001111AE" w:rsidRPr="00EB5F83" w:rsidRDefault="001111AE" w:rsidP="005B58F8">
            <w:r>
              <w:t xml:space="preserve">Development and distribution of new/updated sector-specific implementation tools and resources for the public and private acute sector and primary care. </w:t>
            </w:r>
          </w:p>
        </w:tc>
      </w:tr>
      <w:tr w:rsidR="00506F17" w:rsidRPr="00A779F7" w:rsidTr="00547E16">
        <w:trPr>
          <w:gridAfter w:val="1"/>
          <w:wAfter w:w="21" w:type="dxa"/>
        </w:trPr>
        <w:tc>
          <w:tcPr>
            <w:tcW w:w="3936" w:type="dxa"/>
            <w:shd w:val="clear" w:color="auto" w:fill="D9D9D9"/>
          </w:tcPr>
          <w:p w:rsidR="00506F17" w:rsidRPr="00A779F7" w:rsidRDefault="00506F17" w:rsidP="00547E16">
            <w:r w:rsidRPr="00A779F7">
              <w:t xml:space="preserve">Quantitative </w:t>
            </w:r>
            <w:r>
              <w:t>i</w:t>
            </w:r>
            <w:r w:rsidRPr="00A779F7">
              <w:t>ndicators</w:t>
            </w:r>
          </w:p>
        </w:tc>
        <w:tc>
          <w:tcPr>
            <w:tcW w:w="1098" w:type="dxa"/>
            <w:shd w:val="clear" w:color="auto" w:fill="D9D9D9"/>
          </w:tcPr>
          <w:p w:rsidR="00506F17" w:rsidRPr="00A779F7" w:rsidRDefault="00506F17" w:rsidP="00547E16">
            <w:r w:rsidRPr="00A779F7">
              <w:t>201</w:t>
            </w:r>
            <w:r>
              <w:t>6-17</w:t>
            </w:r>
          </w:p>
        </w:tc>
        <w:tc>
          <w:tcPr>
            <w:tcW w:w="1095" w:type="dxa"/>
            <w:shd w:val="clear" w:color="auto" w:fill="D9D9D9"/>
          </w:tcPr>
          <w:p w:rsidR="00506F17" w:rsidRPr="00A779F7" w:rsidRDefault="00506F17" w:rsidP="00547E16">
            <w:r w:rsidRPr="00A779F7">
              <w:t>201</w:t>
            </w:r>
            <w:r>
              <w:t>7-18</w:t>
            </w:r>
          </w:p>
        </w:tc>
        <w:tc>
          <w:tcPr>
            <w:tcW w:w="1092" w:type="dxa"/>
            <w:shd w:val="clear" w:color="auto" w:fill="D9D9D9"/>
          </w:tcPr>
          <w:p w:rsidR="00506F17" w:rsidRPr="00A779F7" w:rsidRDefault="00506F17" w:rsidP="00547E16">
            <w:r w:rsidRPr="00A779F7">
              <w:t>201</w:t>
            </w:r>
            <w:r>
              <w:t>8-19</w:t>
            </w:r>
          </w:p>
        </w:tc>
        <w:tc>
          <w:tcPr>
            <w:tcW w:w="1088" w:type="dxa"/>
            <w:shd w:val="clear" w:color="auto" w:fill="D9D9D9"/>
          </w:tcPr>
          <w:p w:rsidR="00506F17" w:rsidRPr="00A779F7" w:rsidRDefault="00506F17" w:rsidP="00547E16">
            <w:r w:rsidRPr="00A779F7">
              <w:t>201</w:t>
            </w:r>
            <w:r>
              <w:t>9-20</w:t>
            </w:r>
          </w:p>
        </w:tc>
      </w:tr>
      <w:tr w:rsidR="00506F17" w:rsidRPr="00EB5F83" w:rsidTr="00547E16">
        <w:trPr>
          <w:gridAfter w:val="1"/>
          <w:wAfter w:w="21" w:type="dxa"/>
        </w:trPr>
        <w:tc>
          <w:tcPr>
            <w:tcW w:w="3936" w:type="dxa"/>
            <w:shd w:val="clear" w:color="auto" w:fill="auto"/>
          </w:tcPr>
          <w:p w:rsidR="00506F17" w:rsidRPr="00EB5F83" w:rsidRDefault="00506F17" w:rsidP="00547E16">
            <w:r>
              <w:t>Condition specific clinical indicator sets developed</w:t>
            </w:r>
          </w:p>
        </w:tc>
        <w:tc>
          <w:tcPr>
            <w:tcW w:w="1098" w:type="dxa"/>
            <w:shd w:val="clear" w:color="auto" w:fill="auto"/>
          </w:tcPr>
          <w:p w:rsidR="00506F17" w:rsidRPr="00EB5F83" w:rsidRDefault="00506F17" w:rsidP="00547E16">
            <w:r>
              <w:t>2</w:t>
            </w:r>
          </w:p>
        </w:tc>
        <w:tc>
          <w:tcPr>
            <w:tcW w:w="1095" w:type="dxa"/>
            <w:shd w:val="clear" w:color="auto" w:fill="auto"/>
          </w:tcPr>
          <w:p w:rsidR="00506F17" w:rsidRPr="00EB5F83" w:rsidRDefault="00506F17" w:rsidP="00547E16">
            <w:r>
              <w:t>2</w:t>
            </w:r>
          </w:p>
        </w:tc>
        <w:tc>
          <w:tcPr>
            <w:tcW w:w="1092" w:type="dxa"/>
            <w:shd w:val="clear" w:color="auto" w:fill="auto"/>
          </w:tcPr>
          <w:p w:rsidR="00506F17" w:rsidRPr="00EB5F83" w:rsidRDefault="00506F17" w:rsidP="00547E16">
            <w:r>
              <w:t>3</w:t>
            </w:r>
          </w:p>
        </w:tc>
        <w:tc>
          <w:tcPr>
            <w:tcW w:w="1088" w:type="dxa"/>
            <w:shd w:val="clear" w:color="auto" w:fill="auto"/>
          </w:tcPr>
          <w:p w:rsidR="00506F17" w:rsidRPr="00EB5F83" w:rsidRDefault="00506F17" w:rsidP="00547E16">
            <w:r>
              <w:t>3</w:t>
            </w:r>
          </w:p>
        </w:tc>
      </w:tr>
    </w:tbl>
    <w:p w:rsidR="001111AE" w:rsidRDefault="001111AE" w:rsidP="00500B76"/>
    <w:p w:rsidR="0018515C" w:rsidRPr="003D23F4" w:rsidRDefault="0018515C" w:rsidP="005233B1">
      <w:pPr>
        <w:pStyle w:val="Heading4"/>
        <w:keepNext/>
        <w:spacing w:before="240"/>
      </w:pPr>
      <w:r>
        <w:t>NSQHS Standards</w:t>
      </w:r>
    </w:p>
    <w:p w:rsidR="0018515C" w:rsidRPr="00290A13" w:rsidRDefault="0018515C" w:rsidP="00E04D12">
      <w:pPr>
        <w:rPr>
          <w:rFonts w:eastAsia="MS Mincho"/>
        </w:rPr>
      </w:pPr>
      <w:r w:rsidRPr="00290A13">
        <w:rPr>
          <w:rFonts w:eastAsia="MS Mincho"/>
        </w:rPr>
        <w:t>There are</w:t>
      </w:r>
      <w:r w:rsidR="00DF1EC3">
        <w:rPr>
          <w:rFonts w:eastAsia="MS Mincho"/>
        </w:rPr>
        <w:t xml:space="preserve"> currently nine</w:t>
      </w:r>
      <w:r w:rsidRPr="00290A13">
        <w:rPr>
          <w:rFonts w:eastAsia="MS Mincho"/>
        </w:rPr>
        <w:t xml:space="preserve"> approved accrediting agencies within Australia </w:t>
      </w:r>
      <w:r w:rsidR="00D75A35">
        <w:rPr>
          <w:rFonts w:eastAsia="MS Mincho"/>
        </w:rPr>
        <w:t>that</w:t>
      </w:r>
      <w:r w:rsidR="00D75A35" w:rsidRPr="00290A13">
        <w:rPr>
          <w:rFonts w:eastAsia="MS Mincho"/>
        </w:rPr>
        <w:t xml:space="preserve"> </w:t>
      </w:r>
      <w:r w:rsidRPr="00290A13">
        <w:rPr>
          <w:rFonts w:eastAsia="MS Mincho"/>
        </w:rPr>
        <w:t>report monthly to the Commission on accreditation results against the NSQHS Standards. The Commission uses the data to track and monitor the percentage of required hospitals and day procedure</w:t>
      </w:r>
      <w:r w:rsidR="00DF1EC3">
        <w:rPr>
          <w:rFonts w:eastAsia="MS Mincho"/>
        </w:rPr>
        <w:t xml:space="preserve"> services</w:t>
      </w:r>
      <w:r w:rsidRPr="00290A13">
        <w:rPr>
          <w:rFonts w:eastAsia="MS Mincho"/>
        </w:rPr>
        <w:t xml:space="preserve"> that have been assessed against the NSQHS </w:t>
      </w:r>
      <w:r w:rsidRPr="00290A13">
        <w:rPr>
          <w:rFonts w:eastAsia="MS Mincho"/>
        </w:rPr>
        <w:lastRenderedPageBreak/>
        <w:t xml:space="preserve">Standards. </w:t>
      </w:r>
      <w:r w:rsidR="00D75A35">
        <w:rPr>
          <w:rFonts w:eastAsia="MS Mincho"/>
        </w:rPr>
        <w:t>A</w:t>
      </w:r>
      <w:r w:rsidR="00D75A35" w:rsidRPr="00290A13">
        <w:rPr>
          <w:rFonts w:eastAsia="MS Mincho"/>
        </w:rPr>
        <w:t>t each Board meeting</w:t>
      </w:r>
      <w:r w:rsidR="00D75A35">
        <w:rPr>
          <w:rFonts w:eastAsia="MS Mincho"/>
        </w:rPr>
        <w:t>, t</w:t>
      </w:r>
      <w:r w:rsidRPr="00290A13">
        <w:rPr>
          <w:rFonts w:eastAsia="MS Mincho"/>
        </w:rPr>
        <w:t xml:space="preserve">he Board is provided with a report </w:t>
      </w:r>
      <w:r w:rsidR="00D75A35">
        <w:rPr>
          <w:rFonts w:eastAsia="MS Mincho"/>
        </w:rPr>
        <w:t>that</w:t>
      </w:r>
      <w:r w:rsidRPr="00290A13">
        <w:rPr>
          <w:rFonts w:eastAsia="MS Mincho"/>
        </w:rPr>
        <w:t xml:space="preserve"> details the percentage of health services that have been accredited.</w:t>
      </w:r>
    </w:p>
    <w:p w:rsidR="0018515C" w:rsidRPr="003D23F4" w:rsidRDefault="0018515C" w:rsidP="005233B1">
      <w:pPr>
        <w:pStyle w:val="Heading4"/>
        <w:keepNext/>
        <w:spacing w:before="240"/>
      </w:pPr>
      <w:r>
        <w:t>H</w:t>
      </w:r>
      <w:r w:rsidRPr="003D23F4">
        <w:t>and hygiene compliance</w:t>
      </w:r>
    </w:p>
    <w:p w:rsidR="0018515C" w:rsidRDefault="0018515C" w:rsidP="00E04D12">
      <w:pPr>
        <w:rPr>
          <w:rFonts w:eastAsia="MS Mincho"/>
        </w:rPr>
      </w:pPr>
      <w:r w:rsidRPr="00290A13">
        <w:rPr>
          <w:rFonts w:eastAsia="MS Mincho"/>
        </w:rPr>
        <w:t xml:space="preserve">The Commission </w:t>
      </w:r>
      <w:r>
        <w:rPr>
          <w:rFonts w:eastAsia="MS Mincho"/>
        </w:rPr>
        <w:t xml:space="preserve">has </w:t>
      </w:r>
      <w:r w:rsidRPr="00290A13">
        <w:rPr>
          <w:rFonts w:eastAsia="MS Mincho"/>
        </w:rPr>
        <w:t>engaged Hand Hygiene Australia to implement the National Hand Hygiene Initiative. Hand Hygiene Australia report</w:t>
      </w:r>
      <w:r w:rsidR="00D75A35">
        <w:rPr>
          <w:rFonts w:eastAsia="MS Mincho"/>
        </w:rPr>
        <w:t>s</w:t>
      </w:r>
      <w:r w:rsidRPr="00290A13">
        <w:rPr>
          <w:rFonts w:eastAsia="MS Mincho"/>
        </w:rPr>
        <w:t xml:space="preserve"> data quarterly to the Commission on hand hygiene compliance rates, including the percentage of public hospitals meeting the benchmark. </w:t>
      </w:r>
    </w:p>
    <w:p w:rsidR="0018515C" w:rsidRPr="003D23F4" w:rsidRDefault="0018515C" w:rsidP="005233B1">
      <w:pPr>
        <w:pStyle w:val="Heading4"/>
        <w:keepNext/>
        <w:spacing w:before="240"/>
      </w:pPr>
      <w:r>
        <w:t xml:space="preserve">Online education </w:t>
      </w:r>
      <w:r w:rsidRPr="003D23F4">
        <w:t>modules</w:t>
      </w:r>
    </w:p>
    <w:p w:rsidR="0018515C" w:rsidRPr="00290A13" w:rsidRDefault="0018515C" w:rsidP="00E04D12">
      <w:pPr>
        <w:rPr>
          <w:rFonts w:eastAsia="MS Mincho"/>
        </w:rPr>
      </w:pPr>
      <w:r w:rsidRPr="00290A13">
        <w:rPr>
          <w:rFonts w:eastAsia="MS Mincho"/>
        </w:rPr>
        <w:t xml:space="preserve">The Commission’s healthcare associated infection online education modules are hosted by E3learning. Clinicians register for the online modules using an email address </w:t>
      </w:r>
      <w:r w:rsidR="001A0EE2">
        <w:rPr>
          <w:rFonts w:eastAsia="MS Mincho"/>
        </w:rPr>
        <w:t>that</w:t>
      </w:r>
      <w:r w:rsidRPr="00290A13">
        <w:rPr>
          <w:rFonts w:eastAsia="MS Mincho"/>
        </w:rPr>
        <w:t xml:space="preserve"> identifies them within the system. Commission </w:t>
      </w:r>
      <w:proofErr w:type="gramStart"/>
      <w:r w:rsidRPr="00290A13">
        <w:rPr>
          <w:rFonts w:eastAsia="MS Mincho"/>
        </w:rPr>
        <w:t>staff have</w:t>
      </w:r>
      <w:proofErr w:type="gramEnd"/>
      <w:r w:rsidRPr="00290A13">
        <w:rPr>
          <w:rFonts w:eastAsia="MS Mincho"/>
        </w:rPr>
        <w:t xml:space="preserve"> access to the E3learning portal and generate comprehensive reports on the number o</w:t>
      </w:r>
      <w:r w:rsidR="002F3735">
        <w:rPr>
          <w:rFonts w:eastAsia="MS Mincho"/>
        </w:rPr>
        <w:t>f</w:t>
      </w:r>
      <w:r w:rsidRPr="00290A13">
        <w:rPr>
          <w:rFonts w:eastAsia="MS Mincho"/>
        </w:rPr>
        <w:t xml:space="preserve"> clinicians </w:t>
      </w:r>
      <w:r w:rsidR="002F3735">
        <w:rPr>
          <w:rFonts w:eastAsia="MS Mincho"/>
        </w:rPr>
        <w:t>who</w:t>
      </w:r>
      <w:r w:rsidR="002F3735" w:rsidRPr="00290A13">
        <w:rPr>
          <w:rFonts w:eastAsia="MS Mincho"/>
        </w:rPr>
        <w:t xml:space="preserve"> </w:t>
      </w:r>
      <w:r w:rsidRPr="00290A13">
        <w:rPr>
          <w:rFonts w:eastAsia="MS Mincho"/>
        </w:rPr>
        <w:t xml:space="preserve">have registered for the online modules within a specified timeframe. </w:t>
      </w:r>
    </w:p>
    <w:p w:rsidR="0067426A" w:rsidRDefault="00433FE1" w:rsidP="005233B1">
      <w:pPr>
        <w:pStyle w:val="Heading2"/>
        <w:spacing w:after="120"/>
      </w:pPr>
      <w:bookmarkStart w:id="21" w:name="_Toc456019984"/>
      <w:r>
        <w:t>Key deliverables</w:t>
      </w:r>
      <w:bookmarkEnd w:id="21"/>
    </w:p>
    <w:p w:rsidR="0018515C" w:rsidRDefault="0018515C" w:rsidP="00E04D12">
      <w:r>
        <w:t xml:space="preserve">In addition to its </w:t>
      </w:r>
      <w:r w:rsidR="002F3735">
        <w:t>key performance indicator</w:t>
      </w:r>
      <w:r>
        <w:t xml:space="preserve">s, the Commission has some key deliverables over the </w:t>
      </w:r>
      <w:r w:rsidR="002F3735">
        <w:t xml:space="preserve">coming </w:t>
      </w:r>
      <w:r>
        <w:t xml:space="preserve">four year period. </w:t>
      </w:r>
      <w:r w:rsidR="007936B1">
        <w:t xml:space="preserve">Progress and performance against these </w:t>
      </w:r>
      <w:r w:rsidR="00CD7EDE">
        <w:t>deliverables</w:t>
      </w:r>
      <w:r w:rsidR="007936B1">
        <w:t xml:space="preserve"> will be reported in the Commission’s </w:t>
      </w:r>
      <w:r w:rsidR="004557B4">
        <w:t xml:space="preserve">annual performance </w:t>
      </w:r>
      <w:r w:rsidR="007936B1">
        <w:t xml:space="preserve">statements in the </w:t>
      </w:r>
      <w:r w:rsidR="007936B1" w:rsidRPr="006F1491">
        <w:rPr>
          <w:i/>
        </w:rPr>
        <w:t xml:space="preserve">Annual </w:t>
      </w:r>
      <w:r w:rsidR="004557B4">
        <w:rPr>
          <w:i/>
        </w:rPr>
        <w:t>R</w:t>
      </w:r>
      <w:r w:rsidR="007936B1" w:rsidRPr="006F1491">
        <w:rPr>
          <w:i/>
        </w:rPr>
        <w:t>eport</w:t>
      </w:r>
      <w:r w:rsidR="004557B4">
        <w:rPr>
          <w:i/>
        </w:rPr>
        <w:t xml:space="preserve"> 2016-17</w:t>
      </w:r>
      <w:r w:rsidR="007936B1">
        <w:t xml:space="preserve">. </w:t>
      </w:r>
    </w:p>
    <w:tbl>
      <w:tblPr>
        <w:tblStyle w:val="TableGrid"/>
        <w:tblW w:w="0" w:type="auto"/>
        <w:tblInd w:w="108" w:type="dxa"/>
        <w:tblLook w:val="04A0" w:firstRow="1" w:lastRow="0" w:firstColumn="1" w:lastColumn="0" w:noHBand="0" w:noVBand="1"/>
      </w:tblPr>
      <w:tblGrid>
        <w:gridCol w:w="622"/>
        <w:gridCol w:w="1773"/>
        <w:gridCol w:w="1880"/>
        <w:gridCol w:w="2275"/>
        <w:gridCol w:w="1864"/>
      </w:tblGrid>
      <w:tr w:rsidR="00F41B53" w:rsidTr="00C44DCC">
        <w:tc>
          <w:tcPr>
            <w:tcW w:w="622" w:type="dxa"/>
            <w:shd w:val="clear" w:color="auto" w:fill="A6A6A6" w:themeFill="background1" w:themeFillShade="A6"/>
          </w:tcPr>
          <w:p w:rsidR="00F41B53" w:rsidRPr="00E01829" w:rsidRDefault="00F41B53" w:rsidP="00500B76">
            <w:pPr>
              <w:rPr>
                <w:rFonts w:cs="Arial"/>
                <w:szCs w:val="22"/>
              </w:rPr>
            </w:pPr>
          </w:p>
        </w:tc>
        <w:tc>
          <w:tcPr>
            <w:tcW w:w="1773" w:type="dxa"/>
            <w:shd w:val="clear" w:color="auto" w:fill="D9D9D9" w:themeFill="background1" w:themeFillShade="D9"/>
          </w:tcPr>
          <w:p w:rsidR="00F41B53" w:rsidRPr="00E01829" w:rsidRDefault="00F41B53" w:rsidP="00232B92">
            <w:pPr>
              <w:rPr>
                <w:rFonts w:cs="Arial"/>
                <w:szCs w:val="22"/>
              </w:rPr>
            </w:pPr>
            <w:r w:rsidRPr="00E01829">
              <w:rPr>
                <w:rFonts w:cs="Arial"/>
                <w:szCs w:val="22"/>
              </w:rPr>
              <w:t>2016-17</w:t>
            </w:r>
          </w:p>
        </w:tc>
        <w:tc>
          <w:tcPr>
            <w:tcW w:w="1880" w:type="dxa"/>
            <w:shd w:val="clear" w:color="auto" w:fill="D9D9D9" w:themeFill="background1" w:themeFillShade="D9"/>
          </w:tcPr>
          <w:p w:rsidR="00F41B53" w:rsidRPr="00E01829" w:rsidRDefault="00F41B53" w:rsidP="00232B92">
            <w:pPr>
              <w:rPr>
                <w:rFonts w:cs="Arial"/>
                <w:szCs w:val="22"/>
              </w:rPr>
            </w:pPr>
            <w:r w:rsidRPr="00E01829">
              <w:rPr>
                <w:rFonts w:cs="Arial"/>
                <w:szCs w:val="22"/>
              </w:rPr>
              <w:t>2017-18</w:t>
            </w:r>
          </w:p>
        </w:tc>
        <w:tc>
          <w:tcPr>
            <w:tcW w:w="2275" w:type="dxa"/>
            <w:shd w:val="clear" w:color="auto" w:fill="D9D9D9" w:themeFill="background1" w:themeFillShade="D9"/>
          </w:tcPr>
          <w:p w:rsidR="00F41B53" w:rsidRPr="00E01829" w:rsidRDefault="00F41B53" w:rsidP="00232B92">
            <w:pPr>
              <w:rPr>
                <w:rFonts w:cs="Arial"/>
                <w:szCs w:val="22"/>
              </w:rPr>
            </w:pPr>
            <w:r w:rsidRPr="00E01829">
              <w:rPr>
                <w:rFonts w:cs="Arial"/>
                <w:szCs w:val="22"/>
              </w:rPr>
              <w:t>2018-19</w:t>
            </w:r>
          </w:p>
        </w:tc>
        <w:tc>
          <w:tcPr>
            <w:tcW w:w="1864" w:type="dxa"/>
            <w:shd w:val="clear" w:color="auto" w:fill="D9D9D9" w:themeFill="background1" w:themeFillShade="D9"/>
          </w:tcPr>
          <w:p w:rsidR="00F41B53" w:rsidRPr="00E01829" w:rsidRDefault="00F41B53" w:rsidP="00232B92">
            <w:pPr>
              <w:rPr>
                <w:rFonts w:cs="Arial"/>
                <w:szCs w:val="22"/>
              </w:rPr>
            </w:pPr>
            <w:r w:rsidRPr="00E01829">
              <w:rPr>
                <w:rFonts w:cs="Arial"/>
                <w:szCs w:val="22"/>
              </w:rPr>
              <w:t>2019-20</w:t>
            </w:r>
          </w:p>
        </w:tc>
      </w:tr>
      <w:tr w:rsidR="00902EC3" w:rsidTr="00C44DCC">
        <w:trPr>
          <w:cantSplit/>
          <w:trHeight w:val="1134"/>
        </w:trPr>
        <w:tc>
          <w:tcPr>
            <w:tcW w:w="622" w:type="dxa"/>
            <w:shd w:val="clear" w:color="auto" w:fill="DBE5F1" w:themeFill="accent1" w:themeFillTint="33"/>
            <w:textDirection w:val="btLr"/>
          </w:tcPr>
          <w:p w:rsidR="00902EC3" w:rsidRPr="00E01829" w:rsidRDefault="00902EC3" w:rsidP="00666D48">
            <w:pPr>
              <w:jc w:val="center"/>
              <w:rPr>
                <w:rFonts w:cs="Arial"/>
                <w:szCs w:val="22"/>
              </w:rPr>
            </w:pPr>
            <w:r w:rsidRPr="00E01829">
              <w:rPr>
                <w:rFonts w:cs="Arial"/>
                <w:szCs w:val="22"/>
              </w:rPr>
              <w:t>Priority 1</w:t>
            </w:r>
          </w:p>
        </w:tc>
        <w:tc>
          <w:tcPr>
            <w:tcW w:w="1773" w:type="dxa"/>
          </w:tcPr>
          <w:p w:rsidR="0040599A" w:rsidRPr="00E01829" w:rsidRDefault="0040599A" w:rsidP="0040599A">
            <w:pPr>
              <w:rPr>
                <w:rFonts w:cs="Arial"/>
                <w:szCs w:val="22"/>
              </w:rPr>
            </w:pPr>
            <w:r w:rsidRPr="00E01829">
              <w:rPr>
                <w:rFonts w:cs="Arial"/>
                <w:szCs w:val="22"/>
              </w:rPr>
              <w:t xml:space="preserve">Final draft version 2 of the NSQHS Standards </w:t>
            </w:r>
          </w:p>
          <w:p w:rsidR="00902EC3" w:rsidRPr="00E01829" w:rsidRDefault="00902EC3" w:rsidP="00547E16">
            <w:pPr>
              <w:rPr>
                <w:rFonts w:cs="Arial"/>
                <w:szCs w:val="22"/>
              </w:rPr>
            </w:pPr>
          </w:p>
        </w:tc>
        <w:tc>
          <w:tcPr>
            <w:tcW w:w="1880" w:type="dxa"/>
          </w:tcPr>
          <w:p w:rsidR="00902EC3" w:rsidRPr="00E01829" w:rsidRDefault="0040599A" w:rsidP="00547E16">
            <w:pPr>
              <w:rPr>
                <w:rFonts w:cs="Arial"/>
                <w:szCs w:val="22"/>
              </w:rPr>
            </w:pPr>
            <w:r w:rsidRPr="00E01829">
              <w:rPr>
                <w:rFonts w:cs="Arial"/>
                <w:szCs w:val="22"/>
              </w:rPr>
              <w:t>Support to implement version 2 of the NSQHS Standards, with information sessions for health service organisations, training for accrediting agencies and assessors</w:t>
            </w:r>
          </w:p>
        </w:tc>
        <w:tc>
          <w:tcPr>
            <w:tcW w:w="2275" w:type="dxa"/>
          </w:tcPr>
          <w:p w:rsidR="0040599A" w:rsidRPr="00E01829" w:rsidRDefault="0040599A" w:rsidP="0040599A">
            <w:pPr>
              <w:rPr>
                <w:rFonts w:cs="Arial"/>
                <w:szCs w:val="22"/>
              </w:rPr>
            </w:pPr>
            <w:r w:rsidRPr="00E01829">
              <w:rPr>
                <w:rFonts w:cs="Arial"/>
                <w:szCs w:val="22"/>
              </w:rPr>
              <w:t>Develop specialist resources for implementation of the NSQHS Standards including:</w:t>
            </w:r>
          </w:p>
          <w:p w:rsidR="0040599A" w:rsidRPr="00E01829" w:rsidRDefault="0040599A" w:rsidP="0040599A">
            <w:pPr>
              <w:numPr>
                <w:ilvl w:val="0"/>
                <w:numId w:val="35"/>
              </w:numPr>
              <w:rPr>
                <w:rFonts w:cs="Arial"/>
                <w:szCs w:val="22"/>
              </w:rPr>
            </w:pPr>
            <w:r w:rsidRPr="00E01829">
              <w:rPr>
                <w:rFonts w:cs="Arial"/>
                <w:szCs w:val="22"/>
              </w:rPr>
              <w:t>LGBTQI</w:t>
            </w:r>
          </w:p>
          <w:p w:rsidR="0040599A" w:rsidRPr="00E01829" w:rsidRDefault="0040599A" w:rsidP="0040599A">
            <w:pPr>
              <w:numPr>
                <w:ilvl w:val="0"/>
                <w:numId w:val="35"/>
              </w:numPr>
              <w:rPr>
                <w:rFonts w:cs="Arial"/>
                <w:szCs w:val="22"/>
              </w:rPr>
            </w:pPr>
            <w:r w:rsidRPr="00E01829">
              <w:rPr>
                <w:rFonts w:cs="Arial"/>
                <w:szCs w:val="22"/>
              </w:rPr>
              <w:t>CALD</w:t>
            </w:r>
          </w:p>
          <w:p w:rsidR="0040599A" w:rsidRPr="00E01829" w:rsidRDefault="0040599A" w:rsidP="0040599A">
            <w:pPr>
              <w:numPr>
                <w:ilvl w:val="0"/>
                <w:numId w:val="35"/>
              </w:numPr>
              <w:rPr>
                <w:rFonts w:cs="Arial"/>
                <w:szCs w:val="22"/>
              </w:rPr>
            </w:pPr>
            <w:r w:rsidRPr="00E01829">
              <w:rPr>
                <w:rFonts w:cs="Arial"/>
                <w:szCs w:val="22"/>
              </w:rPr>
              <w:t>Paediatric</w:t>
            </w:r>
          </w:p>
          <w:p w:rsidR="00902EC3" w:rsidRPr="00E01829" w:rsidRDefault="00902EC3" w:rsidP="00547E16">
            <w:pPr>
              <w:rPr>
                <w:rFonts w:cs="Arial"/>
                <w:szCs w:val="22"/>
              </w:rPr>
            </w:pPr>
          </w:p>
        </w:tc>
        <w:tc>
          <w:tcPr>
            <w:tcW w:w="1864" w:type="dxa"/>
          </w:tcPr>
          <w:p w:rsidR="00902EC3" w:rsidRPr="00E01829" w:rsidRDefault="0040599A" w:rsidP="00D75A35">
            <w:pPr>
              <w:rPr>
                <w:rFonts w:cs="Arial"/>
                <w:szCs w:val="22"/>
              </w:rPr>
            </w:pPr>
            <w:r w:rsidRPr="00E01829">
              <w:rPr>
                <w:rFonts w:cs="Arial"/>
                <w:szCs w:val="22"/>
              </w:rPr>
              <w:t>Report on application of version 2 of the NSQHS Standards in new settings, such as practice-based care</w:t>
            </w:r>
          </w:p>
        </w:tc>
      </w:tr>
      <w:tr w:rsidR="00902EC3" w:rsidTr="00C44DCC">
        <w:trPr>
          <w:cantSplit/>
          <w:trHeight w:val="1134"/>
        </w:trPr>
        <w:tc>
          <w:tcPr>
            <w:tcW w:w="622" w:type="dxa"/>
            <w:shd w:val="clear" w:color="auto" w:fill="DBE5F1" w:themeFill="accent1" w:themeFillTint="33"/>
            <w:textDirection w:val="btLr"/>
          </w:tcPr>
          <w:p w:rsidR="00902EC3" w:rsidRPr="00E01829" w:rsidRDefault="00902EC3" w:rsidP="00666D48">
            <w:pPr>
              <w:jc w:val="center"/>
              <w:rPr>
                <w:rFonts w:cs="Arial"/>
                <w:szCs w:val="22"/>
              </w:rPr>
            </w:pPr>
            <w:r w:rsidRPr="00E01829">
              <w:rPr>
                <w:rFonts w:cs="Arial"/>
                <w:szCs w:val="22"/>
              </w:rPr>
              <w:lastRenderedPageBreak/>
              <w:t>Priority 1</w:t>
            </w:r>
          </w:p>
        </w:tc>
        <w:tc>
          <w:tcPr>
            <w:tcW w:w="1773" w:type="dxa"/>
          </w:tcPr>
          <w:p w:rsidR="00902EC3" w:rsidRPr="00E01829" w:rsidRDefault="00C57B72" w:rsidP="00547E16">
            <w:pPr>
              <w:rPr>
                <w:rFonts w:cs="Arial"/>
                <w:szCs w:val="22"/>
              </w:rPr>
            </w:pPr>
            <w:r w:rsidRPr="00E01829">
              <w:rPr>
                <w:rFonts w:cs="Arial"/>
                <w:szCs w:val="22"/>
              </w:rPr>
              <w:t>Develop and consult on a national model clinical governance framework</w:t>
            </w:r>
          </w:p>
        </w:tc>
        <w:tc>
          <w:tcPr>
            <w:tcW w:w="1880" w:type="dxa"/>
          </w:tcPr>
          <w:p w:rsidR="00902EC3" w:rsidRPr="00E01829" w:rsidRDefault="00C57B72" w:rsidP="00547E16">
            <w:pPr>
              <w:rPr>
                <w:rFonts w:cs="Arial"/>
                <w:szCs w:val="22"/>
              </w:rPr>
            </w:pPr>
            <w:r w:rsidRPr="00E01829">
              <w:rPr>
                <w:rFonts w:cs="Arial"/>
                <w:szCs w:val="22"/>
              </w:rPr>
              <w:t>Finalise the national model clinical governance framework</w:t>
            </w:r>
          </w:p>
        </w:tc>
        <w:tc>
          <w:tcPr>
            <w:tcW w:w="2275" w:type="dxa"/>
          </w:tcPr>
          <w:p w:rsidR="00902EC3" w:rsidRPr="00E01829" w:rsidRDefault="00C57B72" w:rsidP="00547E16">
            <w:pPr>
              <w:rPr>
                <w:rFonts w:cs="Arial"/>
                <w:szCs w:val="22"/>
              </w:rPr>
            </w:pPr>
            <w:r w:rsidRPr="00E01829">
              <w:rPr>
                <w:rFonts w:cs="Arial"/>
                <w:szCs w:val="22"/>
              </w:rPr>
              <w:t>Develop resources for the implementation of national model clinical governance framework and plan the education and information program for the national model clinical governance framework</w:t>
            </w:r>
          </w:p>
        </w:tc>
        <w:tc>
          <w:tcPr>
            <w:tcW w:w="1864" w:type="dxa"/>
          </w:tcPr>
          <w:p w:rsidR="00902EC3" w:rsidRPr="00E01829" w:rsidRDefault="00C57B72" w:rsidP="00D75A35">
            <w:pPr>
              <w:rPr>
                <w:rFonts w:cs="Arial"/>
                <w:szCs w:val="22"/>
              </w:rPr>
            </w:pPr>
            <w:r w:rsidRPr="00E01829">
              <w:rPr>
                <w:rFonts w:cs="Arial"/>
                <w:szCs w:val="22"/>
              </w:rPr>
              <w:t>Conduct the education and information program for the national model clinical governance framework</w:t>
            </w:r>
          </w:p>
        </w:tc>
      </w:tr>
      <w:tr w:rsidR="00902EC3" w:rsidTr="00C44DCC">
        <w:trPr>
          <w:cantSplit/>
          <w:trHeight w:val="1134"/>
        </w:trPr>
        <w:tc>
          <w:tcPr>
            <w:tcW w:w="622" w:type="dxa"/>
            <w:shd w:val="clear" w:color="auto" w:fill="DBE5F1" w:themeFill="accent1" w:themeFillTint="33"/>
            <w:textDirection w:val="btLr"/>
          </w:tcPr>
          <w:p w:rsidR="00902EC3" w:rsidRPr="00E01829" w:rsidRDefault="00902EC3" w:rsidP="00666D48">
            <w:pPr>
              <w:jc w:val="center"/>
              <w:rPr>
                <w:rFonts w:cs="Arial"/>
                <w:szCs w:val="22"/>
              </w:rPr>
            </w:pPr>
            <w:r w:rsidRPr="00E01829">
              <w:rPr>
                <w:rFonts w:cs="Arial"/>
                <w:szCs w:val="22"/>
              </w:rPr>
              <w:t>Priority 1</w:t>
            </w:r>
          </w:p>
        </w:tc>
        <w:tc>
          <w:tcPr>
            <w:tcW w:w="1773" w:type="dxa"/>
          </w:tcPr>
          <w:p w:rsidR="00C57B72" w:rsidRPr="00E01829" w:rsidRDefault="00C57B72" w:rsidP="00C57B72">
            <w:pPr>
              <w:rPr>
                <w:rFonts w:cs="Arial"/>
                <w:szCs w:val="22"/>
              </w:rPr>
            </w:pPr>
            <w:r w:rsidRPr="00E01829">
              <w:rPr>
                <w:rFonts w:cs="Arial"/>
                <w:szCs w:val="22"/>
              </w:rPr>
              <w:t>Review and revise reporting of AMR and AU to provide information and data to support jurisdictions and the private sector in their strategies in infection control and AMR prevention and containment</w:t>
            </w:r>
          </w:p>
          <w:p w:rsidR="00902EC3" w:rsidRPr="00E01829" w:rsidRDefault="00902EC3" w:rsidP="00547E16">
            <w:pPr>
              <w:rPr>
                <w:rFonts w:cs="Arial"/>
                <w:szCs w:val="22"/>
              </w:rPr>
            </w:pPr>
          </w:p>
        </w:tc>
        <w:tc>
          <w:tcPr>
            <w:tcW w:w="1880" w:type="dxa"/>
          </w:tcPr>
          <w:p w:rsidR="00C57B72" w:rsidRPr="00E01829" w:rsidRDefault="00C57B72" w:rsidP="00C57B72">
            <w:pPr>
              <w:rPr>
                <w:rFonts w:cs="Arial"/>
                <w:szCs w:val="22"/>
              </w:rPr>
            </w:pPr>
            <w:r w:rsidRPr="00E01829">
              <w:rPr>
                <w:rFonts w:cs="Arial"/>
                <w:szCs w:val="22"/>
              </w:rPr>
              <w:t>Continue support for the National Antimicrobial Resistance Strategy and the dissemination of data and reports for jurisdictional and local AMR and antibiotic usage AU strategies</w:t>
            </w:r>
          </w:p>
          <w:p w:rsidR="00902EC3" w:rsidRPr="00E01829" w:rsidRDefault="00902EC3" w:rsidP="00547E16">
            <w:pPr>
              <w:rPr>
                <w:rFonts w:cs="Arial"/>
                <w:szCs w:val="22"/>
              </w:rPr>
            </w:pPr>
          </w:p>
        </w:tc>
        <w:tc>
          <w:tcPr>
            <w:tcW w:w="2275" w:type="dxa"/>
          </w:tcPr>
          <w:p w:rsidR="00902EC3" w:rsidRPr="00E01829" w:rsidRDefault="00C57B72" w:rsidP="00C57B72">
            <w:pPr>
              <w:rPr>
                <w:rFonts w:cs="Arial"/>
                <w:szCs w:val="22"/>
              </w:rPr>
            </w:pPr>
            <w:r w:rsidRPr="00E01829">
              <w:rPr>
                <w:rFonts w:cs="Arial"/>
                <w:szCs w:val="22"/>
              </w:rPr>
              <w:t xml:space="preserve">Undertake an assessment of priority resources and guidance to promote the prevention and containment of HAI and AMR in the context of advice provided by AURA and the National Antimicrobial Resistance Strategy </w:t>
            </w:r>
          </w:p>
        </w:tc>
        <w:tc>
          <w:tcPr>
            <w:tcW w:w="1864" w:type="dxa"/>
          </w:tcPr>
          <w:p w:rsidR="00902EC3" w:rsidRPr="00E01829" w:rsidRDefault="00C57B72" w:rsidP="00C57B72">
            <w:pPr>
              <w:rPr>
                <w:rFonts w:cs="Arial"/>
                <w:szCs w:val="22"/>
              </w:rPr>
            </w:pPr>
            <w:r w:rsidRPr="00E01829">
              <w:rPr>
                <w:rFonts w:cs="Arial"/>
                <w:szCs w:val="22"/>
              </w:rPr>
              <w:t xml:space="preserve">Develop and promote resources and guidance to promote the prevention and containment of HAI and AMR in the context of advice provided by AURA and the National Antimicrobial Resistance Strategy </w:t>
            </w:r>
          </w:p>
        </w:tc>
      </w:tr>
      <w:tr w:rsidR="00902EC3" w:rsidTr="00C44DCC">
        <w:trPr>
          <w:cantSplit/>
          <w:trHeight w:val="1134"/>
        </w:trPr>
        <w:tc>
          <w:tcPr>
            <w:tcW w:w="622" w:type="dxa"/>
            <w:shd w:val="clear" w:color="auto" w:fill="DBE5F1" w:themeFill="accent1" w:themeFillTint="33"/>
            <w:textDirection w:val="btLr"/>
          </w:tcPr>
          <w:p w:rsidR="00902EC3" w:rsidRPr="00E01829" w:rsidRDefault="00902EC3" w:rsidP="00666D48">
            <w:pPr>
              <w:jc w:val="center"/>
              <w:rPr>
                <w:rFonts w:cs="Arial"/>
                <w:szCs w:val="22"/>
              </w:rPr>
            </w:pPr>
            <w:r w:rsidRPr="00E01829">
              <w:rPr>
                <w:rFonts w:cs="Arial"/>
                <w:szCs w:val="22"/>
              </w:rPr>
              <w:t>Priority 2</w:t>
            </w:r>
          </w:p>
        </w:tc>
        <w:tc>
          <w:tcPr>
            <w:tcW w:w="1773" w:type="dxa"/>
          </w:tcPr>
          <w:p w:rsidR="00902EC3" w:rsidRPr="00E01829" w:rsidRDefault="00C57B72" w:rsidP="00547E16">
            <w:pPr>
              <w:rPr>
                <w:rFonts w:cs="Arial"/>
                <w:szCs w:val="22"/>
              </w:rPr>
            </w:pPr>
            <w:r w:rsidRPr="00E01829">
              <w:rPr>
                <w:rFonts w:cs="Arial"/>
                <w:szCs w:val="22"/>
              </w:rPr>
              <w:t>Develop draft national statement, policy or framework on essential elements for a person-centred healthcare system</w:t>
            </w:r>
          </w:p>
        </w:tc>
        <w:tc>
          <w:tcPr>
            <w:tcW w:w="1880" w:type="dxa"/>
          </w:tcPr>
          <w:p w:rsidR="00C57B72" w:rsidRPr="00E01829" w:rsidRDefault="00C57B72" w:rsidP="00C57B72">
            <w:pPr>
              <w:rPr>
                <w:rFonts w:cs="Arial"/>
                <w:szCs w:val="22"/>
              </w:rPr>
            </w:pPr>
            <w:r w:rsidRPr="00E01829">
              <w:rPr>
                <w:rFonts w:cs="Arial"/>
                <w:szCs w:val="22"/>
              </w:rPr>
              <w:t>Finalise national paper on essential elements for a person-centred healthcare system</w:t>
            </w:r>
          </w:p>
          <w:p w:rsidR="00902EC3" w:rsidRPr="00E01829" w:rsidRDefault="00902EC3" w:rsidP="00547E16">
            <w:pPr>
              <w:rPr>
                <w:rFonts w:cs="Arial"/>
                <w:szCs w:val="22"/>
              </w:rPr>
            </w:pPr>
          </w:p>
        </w:tc>
        <w:tc>
          <w:tcPr>
            <w:tcW w:w="2275" w:type="dxa"/>
          </w:tcPr>
          <w:p w:rsidR="00C57B72" w:rsidRPr="00E01829" w:rsidRDefault="00C57B72" w:rsidP="00C57B72">
            <w:pPr>
              <w:rPr>
                <w:rFonts w:cs="Arial"/>
                <w:szCs w:val="22"/>
              </w:rPr>
            </w:pPr>
            <w:r w:rsidRPr="00E01829">
              <w:rPr>
                <w:rFonts w:cs="Arial"/>
                <w:szCs w:val="22"/>
              </w:rPr>
              <w:t>Finalise resources for consumers, clinicians, health services and policy makers about a person-centred healthcare system</w:t>
            </w:r>
          </w:p>
          <w:p w:rsidR="00902EC3" w:rsidRPr="00E01829" w:rsidRDefault="00902EC3" w:rsidP="00547E16">
            <w:pPr>
              <w:rPr>
                <w:rFonts w:cs="Arial"/>
                <w:szCs w:val="22"/>
              </w:rPr>
            </w:pPr>
          </w:p>
        </w:tc>
        <w:tc>
          <w:tcPr>
            <w:tcW w:w="1864" w:type="dxa"/>
          </w:tcPr>
          <w:p w:rsidR="00C57B72" w:rsidRPr="00E01829" w:rsidRDefault="00C57B72" w:rsidP="00C57B72">
            <w:pPr>
              <w:rPr>
                <w:rFonts w:cs="Arial"/>
                <w:szCs w:val="22"/>
              </w:rPr>
            </w:pPr>
            <w:r w:rsidRPr="00E01829">
              <w:rPr>
                <w:rFonts w:cs="Arial"/>
                <w:szCs w:val="22"/>
              </w:rPr>
              <w:t>Develop, consult on and commence implementation plan for a person-centred system</w:t>
            </w:r>
          </w:p>
          <w:p w:rsidR="00902EC3" w:rsidRPr="00E01829" w:rsidRDefault="00902EC3" w:rsidP="00D75A35">
            <w:pPr>
              <w:rPr>
                <w:rFonts w:cs="Arial"/>
                <w:szCs w:val="22"/>
              </w:rPr>
            </w:pPr>
          </w:p>
        </w:tc>
      </w:tr>
      <w:tr w:rsidR="00902EC3" w:rsidTr="00C44DCC">
        <w:trPr>
          <w:cantSplit/>
          <w:trHeight w:val="1134"/>
        </w:trPr>
        <w:tc>
          <w:tcPr>
            <w:tcW w:w="622" w:type="dxa"/>
            <w:shd w:val="clear" w:color="auto" w:fill="DBE5F1" w:themeFill="accent1" w:themeFillTint="33"/>
            <w:textDirection w:val="btLr"/>
          </w:tcPr>
          <w:p w:rsidR="00902EC3" w:rsidRPr="00E01829" w:rsidRDefault="00902EC3" w:rsidP="00666D48">
            <w:pPr>
              <w:jc w:val="center"/>
              <w:rPr>
                <w:rFonts w:cs="Arial"/>
                <w:szCs w:val="22"/>
              </w:rPr>
            </w:pPr>
            <w:r w:rsidRPr="00E01829">
              <w:rPr>
                <w:rFonts w:cs="Arial"/>
                <w:szCs w:val="22"/>
              </w:rPr>
              <w:lastRenderedPageBreak/>
              <w:t>Priority 2</w:t>
            </w:r>
          </w:p>
        </w:tc>
        <w:tc>
          <w:tcPr>
            <w:tcW w:w="1773" w:type="dxa"/>
          </w:tcPr>
          <w:p w:rsidR="00902EC3" w:rsidRPr="00E01829" w:rsidRDefault="00260A62" w:rsidP="00547E16">
            <w:pPr>
              <w:rPr>
                <w:rFonts w:cs="Arial"/>
                <w:szCs w:val="22"/>
              </w:rPr>
            </w:pPr>
            <w:r w:rsidRPr="00E01829">
              <w:rPr>
                <w:rFonts w:cs="Arial"/>
                <w:szCs w:val="22"/>
              </w:rPr>
              <w:t>Develop tools and resources for primary care settings to improve their health literacy environment</w:t>
            </w:r>
          </w:p>
        </w:tc>
        <w:tc>
          <w:tcPr>
            <w:tcW w:w="1880" w:type="dxa"/>
          </w:tcPr>
          <w:p w:rsidR="00260A62" w:rsidRPr="00E01829" w:rsidRDefault="00260A62" w:rsidP="00260A62">
            <w:pPr>
              <w:rPr>
                <w:rFonts w:cs="Arial"/>
                <w:szCs w:val="22"/>
              </w:rPr>
            </w:pPr>
            <w:r w:rsidRPr="00E01829">
              <w:rPr>
                <w:rFonts w:cs="Arial"/>
                <w:szCs w:val="22"/>
              </w:rPr>
              <w:t>Finalise, disseminate and distribute tools and resources to help primary care settings improve their health literacy environment</w:t>
            </w:r>
          </w:p>
          <w:p w:rsidR="00902EC3" w:rsidRPr="00E01829" w:rsidRDefault="00902EC3" w:rsidP="00547E16">
            <w:pPr>
              <w:rPr>
                <w:rFonts w:cs="Arial"/>
                <w:szCs w:val="22"/>
              </w:rPr>
            </w:pPr>
          </w:p>
        </w:tc>
        <w:tc>
          <w:tcPr>
            <w:tcW w:w="2275" w:type="dxa"/>
          </w:tcPr>
          <w:p w:rsidR="00260A62" w:rsidRPr="00E01829" w:rsidRDefault="00260A62" w:rsidP="00260A62">
            <w:pPr>
              <w:rPr>
                <w:rFonts w:cs="Arial"/>
                <w:szCs w:val="22"/>
              </w:rPr>
            </w:pPr>
            <w:r w:rsidRPr="00E01829">
              <w:rPr>
                <w:rFonts w:cs="Arial"/>
                <w:szCs w:val="22"/>
              </w:rPr>
              <w:t>Develop tools and resources to support Aboriginal and Torres Strait Islander organisations to improve their health literacy environment</w:t>
            </w:r>
          </w:p>
          <w:p w:rsidR="00902EC3" w:rsidRPr="00E01829" w:rsidRDefault="00902EC3" w:rsidP="00547E16">
            <w:pPr>
              <w:rPr>
                <w:rFonts w:cs="Arial"/>
                <w:szCs w:val="22"/>
              </w:rPr>
            </w:pPr>
          </w:p>
        </w:tc>
        <w:tc>
          <w:tcPr>
            <w:tcW w:w="1864" w:type="dxa"/>
          </w:tcPr>
          <w:p w:rsidR="00902EC3" w:rsidRPr="00E01829" w:rsidRDefault="00260A62" w:rsidP="00DF1EC3">
            <w:pPr>
              <w:rPr>
                <w:rFonts w:cs="Arial"/>
                <w:szCs w:val="22"/>
              </w:rPr>
            </w:pPr>
            <w:r w:rsidRPr="00E01829">
              <w:rPr>
                <w:rFonts w:cs="Arial"/>
                <w:szCs w:val="22"/>
              </w:rPr>
              <w:t>Develop tools and resources to guide health services</w:t>
            </w:r>
            <w:r w:rsidR="00DF1EC3">
              <w:rPr>
                <w:rFonts w:cs="Arial"/>
                <w:szCs w:val="22"/>
              </w:rPr>
              <w:t xml:space="preserve"> on</w:t>
            </w:r>
            <w:r w:rsidRPr="00E01829">
              <w:rPr>
                <w:rFonts w:cs="Arial"/>
                <w:szCs w:val="22"/>
              </w:rPr>
              <w:t xml:space="preserve"> how to develop high</w:t>
            </w:r>
            <w:r w:rsidR="00DF1EC3">
              <w:rPr>
                <w:rFonts w:cs="Arial"/>
                <w:szCs w:val="22"/>
              </w:rPr>
              <w:t xml:space="preserve"> </w:t>
            </w:r>
            <w:r w:rsidRPr="00E01829">
              <w:rPr>
                <w:rFonts w:cs="Arial"/>
                <w:szCs w:val="22"/>
              </w:rPr>
              <w:t xml:space="preserve">quality health information for consumers to support implementation of actions in version 2 of the NSQHS Standards </w:t>
            </w:r>
          </w:p>
        </w:tc>
      </w:tr>
      <w:tr w:rsidR="00902EC3" w:rsidTr="00C44DCC">
        <w:trPr>
          <w:cantSplit/>
          <w:trHeight w:val="1134"/>
        </w:trPr>
        <w:tc>
          <w:tcPr>
            <w:tcW w:w="622" w:type="dxa"/>
            <w:shd w:val="clear" w:color="auto" w:fill="DBE5F1" w:themeFill="accent1" w:themeFillTint="33"/>
            <w:textDirection w:val="btLr"/>
          </w:tcPr>
          <w:p w:rsidR="00902EC3" w:rsidRPr="00E01829" w:rsidRDefault="00902EC3" w:rsidP="00666D48">
            <w:pPr>
              <w:jc w:val="center"/>
              <w:rPr>
                <w:rFonts w:cs="Arial"/>
                <w:szCs w:val="22"/>
              </w:rPr>
            </w:pPr>
            <w:r w:rsidRPr="00E01829">
              <w:rPr>
                <w:rFonts w:cs="Arial"/>
                <w:szCs w:val="22"/>
              </w:rPr>
              <w:t>Priority 3</w:t>
            </w:r>
          </w:p>
        </w:tc>
        <w:tc>
          <w:tcPr>
            <w:tcW w:w="1773" w:type="dxa"/>
          </w:tcPr>
          <w:p w:rsidR="00902EC3" w:rsidRPr="00E01829" w:rsidRDefault="00902EC3" w:rsidP="00547E16">
            <w:pPr>
              <w:rPr>
                <w:rFonts w:cs="Arial"/>
                <w:szCs w:val="22"/>
              </w:rPr>
            </w:pPr>
            <w:r w:rsidRPr="00E01829">
              <w:rPr>
                <w:rFonts w:cs="Arial"/>
                <w:szCs w:val="22"/>
              </w:rPr>
              <w:t>Publish second Australian atlas of healthcare variation and develop an interactive web-based national atlas of healthcare variatio</w:t>
            </w:r>
            <w:r w:rsidR="00E01829">
              <w:rPr>
                <w:rFonts w:cs="Arial"/>
                <w:szCs w:val="22"/>
              </w:rPr>
              <w:t>n</w:t>
            </w:r>
          </w:p>
        </w:tc>
        <w:tc>
          <w:tcPr>
            <w:tcW w:w="1880" w:type="dxa"/>
          </w:tcPr>
          <w:p w:rsidR="00902EC3" w:rsidRPr="00E01829" w:rsidRDefault="00902EC3" w:rsidP="00547E16">
            <w:pPr>
              <w:rPr>
                <w:rFonts w:cs="Arial"/>
                <w:szCs w:val="22"/>
                <w:lang w:eastAsia="en-AU"/>
              </w:rPr>
            </w:pPr>
            <w:r w:rsidRPr="00E01829">
              <w:rPr>
                <w:rFonts w:cs="Arial"/>
                <w:szCs w:val="22"/>
              </w:rPr>
              <w:t>Publish third Australian atlas of healthcare variation</w:t>
            </w:r>
            <w:r w:rsidR="00260A62" w:rsidRPr="00E01829">
              <w:rPr>
                <w:rFonts w:cs="Arial"/>
                <w:szCs w:val="22"/>
              </w:rPr>
              <w:t xml:space="preserve"> and p</w:t>
            </w:r>
            <w:r w:rsidR="00260A62" w:rsidRPr="00E01829">
              <w:rPr>
                <w:rFonts w:cs="Arial"/>
                <w:szCs w:val="22"/>
                <w:lang w:eastAsia="en-AU"/>
              </w:rPr>
              <w:t>roduce guides and resources to support investigation and reduction of unwarranted variation </w:t>
            </w:r>
          </w:p>
        </w:tc>
        <w:tc>
          <w:tcPr>
            <w:tcW w:w="2275" w:type="dxa"/>
          </w:tcPr>
          <w:p w:rsidR="00902EC3" w:rsidRPr="00E01829" w:rsidRDefault="00902EC3" w:rsidP="00DF1EC3">
            <w:pPr>
              <w:rPr>
                <w:rFonts w:cs="Arial"/>
                <w:szCs w:val="22"/>
              </w:rPr>
            </w:pPr>
            <w:r w:rsidRPr="00E01829">
              <w:rPr>
                <w:rFonts w:cs="Arial"/>
                <w:szCs w:val="22"/>
              </w:rPr>
              <w:t>Publish fourth Australian atlas of healthcare variation</w:t>
            </w:r>
            <w:r w:rsidR="00260A62" w:rsidRPr="00E01829">
              <w:rPr>
                <w:rFonts w:cs="Arial"/>
                <w:szCs w:val="22"/>
              </w:rPr>
              <w:t xml:space="preserve"> and review usage of interactive web</w:t>
            </w:r>
            <w:r w:rsidR="00DF1EC3">
              <w:rPr>
                <w:rFonts w:cs="Arial"/>
                <w:szCs w:val="22"/>
              </w:rPr>
              <w:t>-</w:t>
            </w:r>
            <w:r w:rsidR="00260A62" w:rsidRPr="00E01829">
              <w:rPr>
                <w:rFonts w:cs="Arial"/>
                <w:szCs w:val="22"/>
              </w:rPr>
              <w:t>based atlas; continue to build and develop based on user feedback</w:t>
            </w:r>
          </w:p>
        </w:tc>
        <w:tc>
          <w:tcPr>
            <w:tcW w:w="1864" w:type="dxa"/>
          </w:tcPr>
          <w:p w:rsidR="00902EC3" w:rsidRPr="00E01829" w:rsidRDefault="00260A62" w:rsidP="00DF1EC3">
            <w:pPr>
              <w:rPr>
                <w:rFonts w:cs="Arial"/>
                <w:szCs w:val="22"/>
                <w:lang w:eastAsia="en-AU"/>
              </w:rPr>
            </w:pPr>
            <w:r w:rsidRPr="00E01829">
              <w:rPr>
                <w:rFonts w:cs="Arial"/>
                <w:szCs w:val="22"/>
              </w:rPr>
              <w:t>Publish fifth Australian atlas of healthcare variation and e</w:t>
            </w:r>
            <w:r w:rsidRPr="00E01829">
              <w:rPr>
                <w:rFonts w:cs="Arial"/>
                <w:szCs w:val="22"/>
                <w:lang w:eastAsia="en-AU"/>
              </w:rPr>
              <w:t xml:space="preserve">valuate changes in clinical practice in specific </w:t>
            </w:r>
            <w:r w:rsidR="00DF1EC3">
              <w:rPr>
                <w:rFonts w:cs="Arial"/>
                <w:szCs w:val="22"/>
                <w:lang w:eastAsia="en-AU"/>
              </w:rPr>
              <w:t>a</w:t>
            </w:r>
            <w:r w:rsidRPr="00E01829">
              <w:rPr>
                <w:rFonts w:cs="Arial"/>
                <w:szCs w:val="22"/>
                <w:lang w:eastAsia="en-AU"/>
              </w:rPr>
              <w:t>tlas clinical topic areas</w:t>
            </w:r>
          </w:p>
        </w:tc>
      </w:tr>
      <w:tr w:rsidR="00902EC3" w:rsidTr="00C44DCC">
        <w:trPr>
          <w:cantSplit/>
          <w:trHeight w:val="1134"/>
        </w:trPr>
        <w:tc>
          <w:tcPr>
            <w:tcW w:w="622" w:type="dxa"/>
            <w:shd w:val="clear" w:color="auto" w:fill="DBE5F1" w:themeFill="accent1" w:themeFillTint="33"/>
            <w:textDirection w:val="btLr"/>
          </w:tcPr>
          <w:p w:rsidR="00902EC3" w:rsidRPr="00E01829" w:rsidRDefault="00902EC3" w:rsidP="00666D48">
            <w:pPr>
              <w:jc w:val="center"/>
              <w:rPr>
                <w:rFonts w:cs="Arial"/>
                <w:szCs w:val="22"/>
              </w:rPr>
            </w:pPr>
            <w:r w:rsidRPr="00E01829">
              <w:rPr>
                <w:rFonts w:cs="Arial"/>
                <w:szCs w:val="22"/>
              </w:rPr>
              <w:t>Priority 3</w:t>
            </w:r>
          </w:p>
        </w:tc>
        <w:tc>
          <w:tcPr>
            <w:tcW w:w="1773" w:type="dxa"/>
          </w:tcPr>
          <w:p w:rsidR="00902EC3" w:rsidRPr="00E01829" w:rsidDel="00A902AB" w:rsidRDefault="00260A62" w:rsidP="00260A62">
            <w:pPr>
              <w:rPr>
                <w:rFonts w:cs="Arial"/>
                <w:szCs w:val="22"/>
              </w:rPr>
            </w:pPr>
            <w:r w:rsidRPr="00E01829">
              <w:rPr>
                <w:rFonts w:cs="Arial"/>
                <w:szCs w:val="22"/>
              </w:rPr>
              <w:t>National release of the clinical care standards developed in 2015-16, including those on Hip Fracture Care, Delirium and Osteoarthritis of the Knee</w:t>
            </w:r>
          </w:p>
        </w:tc>
        <w:tc>
          <w:tcPr>
            <w:tcW w:w="1880" w:type="dxa"/>
          </w:tcPr>
          <w:p w:rsidR="00902EC3" w:rsidRPr="00E01829" w:rsidDel="00A902AB" w:rsidRDefault="001A0EE2" w:rsidP="001A0EE2">
            <w:pPr>
              <w:rPr>
                <w:rFonts w:cs="Arial"/>
                <w:szCs w:val="22"/>
              </w:rPr>
            </w:pPr>
            <w:r>
              <w:rPr>
                <w:rFonts w:cs="Arial"/>
                <w:szCs w:val="22"/>
              </w:rPr>
              <w:t>National release of c</w:t>
            </w:r>
            <w:r w:rsidR="00902EC3" w:rsidRPr="00E01829">
              <w:rPr>
                <w:rFonts w:cs="Arial"/>
                <w:szCs w:val="22"/>
              </w:rPr>
              <w:t xml:space="preserve">linical </w:t>
            </w:r>
            <w:r>
              <w:rPr>
                <w:rFonts w:cs="Arial"/>
                <w:szCs w:val="22"/>
              </w:rPr>
              <w:t>c</w:t>
            </w:r>
            <w:r w:rsidR="00902EC3" w:rsidRPr="00E01829">
              <w:rPr>
                <w:rFonts w:cs="Arial"/>
                <w:szCs w:val="22"/>
              </w:rPr>
              <w:t xml:space="preserve">are </w:t>
            </w:r>
            <w:r>
              <w:rPr>
                <w:rFonts w:cs="Arial"/>
                <w:szCs w:val="22"/>
              </w:rPr>
              <w:t>s</w:t>
            </w:r>
            <w:r w:rsidR="00902EC3" w:rsidRPr="00E01829">
              <w:rPr>
                <w:rFonts w:cs="Arial"/>
                <w:szCs w:val="22"/>
              </w:rPr>
              <w:t>tandards developed in 2016</w:t>
            </w:r>
            <w:r w:rsidR="005B58F8">
              <w:rPr>
                <w:rFonts w:cs="Arial"/>
                <w:szCs w:val="22"/>
              </w:rPr>
              <w:t>-</w:t>
            </w:r>
            <w:r w:rsidR="00902EC3" w:rsidRPr="00E01829">
              <w:rPr>
                <w:rFonts w:cs="Arial"/>
                <w:szCs w:val="22"/>
              </w:rPr>
              <w:t xml:space="preserve">17, and </w:t>
            </w:r>
            <w:r w:rsidR="00260A62" w:rsidRPr="00E01829">
              <w:rPr>
                <w:rFonts w:cs="Arial"/>
                <w:szCs w:val="22"/>
              </w:rPr>
              <w:t xml:space="preserve">assess the need to update existing clinical care standards based on available new evidence </w:t>
            </w:r>
          </w:p>
        </w:tc>
        <w:tc>
          <w:tcPr>
            <w:tcW w:w="2275" w:type="dxa"/>
          </w:tcPr>
          <w:p w:rsidR="00902EC3" w:rsidRPr="00E01829" w:rsidRDefault="00902EC3" w:rsidP="001A0EE2">
            <w:pPr>
              <w:rPr>
                <w:rFonts w:cs="Arial"/>
                <w:szCs w:val="22"/>
              </w:rPr>
            </w:pPr>
            <w:r w:rsidRPr="00E01829">
              <w:rPr>
                <w:rFonts w:cs="Arial"/>
                <w:szCs w:val="22"/>
              </w:rPr>
              <w:t xml:space="preserve">National release of </w:t>
            </w:r>
            <w:r w:rsidR="001A0EE2">
              <w:rPr>
                <w:rFonts w:cs="Arial"/>
                <w:szCs w:val="22"/>
              </w:rPr>
              <w:t>c</w:t>
            </w:r>
            <w:r w:rsidRPr="00E01829">
              <w:rPr>
                <w:rFonts w:cs="Arial"/>
                <w:szCs w:val="22"/>
              </w:rPr>
              <w:t xml:space="preserve">linical </w:t>
            </w:r>
            <w:r w:rsidR="001A0EE2">
              <w:rPr>
                <w:rFonts w:cs="Arial"/>
                <w:szCs w:val="22"/>
              </w:rPr>
              <w:t>c</w:t>
            </w:r>
            <w:r w:rsidRPr="00E01829">
              <w:rPr>
                <w:rFonts w:cs="Arial"/>
                <w:szCs w:val="22"/>
              </w:rPr>
              <w:t xml:space="preserve">are </w:t>
            </w:r>
            <w:r w:rsidR="001A0EE2">
              <w:rPr>
                <w:rFonts w:cs="Arial"/>
                <w:szCs w:val="22"/>
              </w:rPr>
              <w:t>s</w:t>
            </w:r>
            <w:r w:rsidRPr="00E01829">
              <w:rPr>
                <w:rFonts w:cs="Arial"/>
                <w:szCs w:val="22"/>
              </w:rPr>
              <w:t>tandards developed in 201</w:t>
            </w:r>
            <w:r w:rsidR="00260A62" w:rsidRPr="00E01829">
              <w:rPr>
                <w:rFonts w:cs="Arial"/>
                <w:szCs w:val="22"/>
              </w:rPr>
              <w:t>7-18</w:t>
            </w:r>
            <w:r w:rsidRPr="00E01829">
              <w:rPr>
                <w:rFonts w:cs="Arial"/>
                <w:szCs w:val="22"/>
              </w:rPr>
              <w:t xml:space="preserve">, and </w:t>
            </w:r>
            <w:r w:rsidR="00260A62" w:rsidRPr="00E01829">
              <w:rPr>
                <w:rFonts w:cs="Arial"/>
                <w:szCs w:val="22"/>
              </w:rPr>
              <w:t>undertake evaluation process to measure the impact on process and outcomes of existing clinical care standards</w:t>
            </w:r>
          </w:p>
        </w:tc>
        <w:tc>
          <w:tcPr>
            <w:tcW w:w="1864" w:type="dxa"/>
          </w:tcPr>
          <w:p w:rsidR="00902EC3" w:rsidRPr="00E01829" w:rsidRDefault="00260A62" w:rsidP="001A0EE2">
            <w:pPr>
              <w:rPr>
                <w:rFonts w:cs="Arial"/>
                <w:szCs w:val="22"/>
              </w:rPr>
            </w:pPr>
            <w:r w:rsidRPr="00E01829">
              <w:rPr>
                <w:rFonts w:cs="Arial"/>
                <w:szCs w:val="22"/>
              </w:rPr>
              <w:t xml:space="preserve">National release of </w:t>
            </w:r>
            <w:r w:rsidR="001A0EE2">
              <w:rPr>
                <w:rFonts w:cs="Arial"/>
                <w:szCs w:val="22"/>
              </w:rPr>
              <w:t>c</w:t>
            </w:r>
            <w:r w:rsidRPr="00E01829">
              <w:rPr>
                <w:rFonts w:cs="Arial"/>
                <w:szCs w:val="22"/>
              </w:rPr>
              <w:t xml:space="preserve">linical </w:t>
            </w:r>
            <w:r w:rsidR="001A0EE2">
              <w:rPr>
                <w:rFonts w:cs="Arial"/>
                <w:szCs w:val="22"/>
              </w:rPr>
              <w:t>c</w:t>
            </w:r>
            <w:r w:rsidRPr="00E01829">
              <w:rPr>
                <w:rFonts w:cs="Arial"/>
                <w:szCs w:val="22"/>
              </w:rPr>
              <w:t xml:space="preserve">are </w:t>
            </w:r>
            <w:r w:rsidR="001A0EE2">
              <w:rPr>
                <w:rFonts w:cs="Arial"/>
                <w:szCs w:val="22"/>
              </w:rPr>
              <w:t>s</w:t>
            </w:r>
            <w:r w:rsidRPr="00E01829">
              <w:rPr>
                <w:rFonts w:cs="Arial"/>
                <w:szCs w:val="22"/>
              </w:rPr>
              <w:t>tandards developed in 2018-19, and implement national metrics for reporting patient safety</w:t>
            </w:r>
          </w:p>
        </w:tc>
      </w:tr>
      <w:tr w:rsidR="00902EC3" w:rsidTr="00C44DCC">
        <w:trPr>
          <w:cantSplit/>
          <w:trHeight w:val="1134"/>
        </w:trPr>
        <w:tc>
          <w:tcPr>
            <w:tcW w:w="622" w:type="dxa"/>
            <w:shd w:val="clear" w:color="auto" w:fill="DBE5F1" w:themeFill="accent1" w:themeFillTint="33"/>
            <w:textDirection w:val="btLr"/>
          </w:tcPr>
          <w:p w:rsidR="00902EC3" w:rsidRPr="00E01829" w:rsidRDefault="00902EC3" w:rsidP="00666D48">
            <w:pPr>
              <w:jc w:val="center"/>
              <w:rPr>
                <w:rFonts w:cs="Arial"/>
                <w:szCs w:val="22"/>
              </w:rPr>
            </w:pPr>
            <w:r w:rsidRPr="00E01829">
              <w:rPr>
                <w:rFonts w:cs="Arial"/>
                <w:szCs w:val="22"/>
              </w:rPr>
              <w:t>Priority 4</w:t>
            </w:r>
          </w:p>
        </w:tc>
        <w:tc>
          <w:tcPr>
            <w:tcW w:w="1773" w:type="dxa"/>
          </w:tcPr>
          <w:p w:rsidR="00902EC3" w:rsidRPr="00E01829" w:rsidRDefault="00260A62" w:rsidP="00260A62">
            <w:pPr>
              <w:rPr>
                <w:rFonts w:cs="Arial"/>
                <w:szCs w:val="22"/>
              </w:rPr>
            </w:pPr>
            <w:r w:rsidRPr="00E01829">
              <w:rPr>
                <w:rFonts w:cs="Arial"/>
                <w:szCs w:val="22"/>
              </w:rPr>
              <w:t xml:space="preserve">Review of national and international literature and undertake environmental scan on patient safety models </w:t>
            </w:r>
          </w:p>
        </w:tc>
        <w:tc>
          <w:tcPr>
            <w:tcW w:w="1880" w:type="dxa"/>
          </w:tcPr>
          <w:p w:rsidR="00902EC3" w:rsidRPr="00E01829" w:rsidRDefault="00E01829" w:rsidP="00547E16">
            <w:pPr>
              <w:rPr>
                <w:rFonts w:cs="Arial"/>
                <w:szCs w:val="22"/>
              </w:rPr>
            </w:pPr>
            <w:r w:rsidRPr="00E01829">
              <w:rPr>
                <w:rFonts w:cs="Arial"/>
                <w:szCs w:val="22"/>
              </w:rPr>
              <w:t xml:space="preserve">Progress the </w:t>
            </w:r>
            <w:r w:rsidRPr="00E01829">
              <w:rPr>
                <w:rFonts w:cs="Arial"/>
                <w:i/>
                <w:szCs w:val="22"/>
              </w:rPr>
              <w:t>Patient safety and learning model</w:t>
            </w:r>
            <w:r w:rsidRPr="00E01829">
              <w:rPr>
                <w:rFonts w:cs="Arial"/>
                <w:szCs w:val="22"/>
              </w:rPr>
              <w:t>, including implementation of the set of hospital-acquired complications</w:t>
            </w:r>
          </w:p>
        </w:tc>
        <w:tc>
          <w:tcPr>
            <w:tcW w:w="2275" w:type="dxa"/>
          </w:tcPr>
          <w:p w:rsidR="00902EC3" w:rsidRPr="00E01829" w:rsidRDefault="00E01829" w:rsidP="00E01829">
            <w:pPr>
              <w:rPr>
                <w:rFonts w:cs="Arial"/>
                <w:szCs w:val="22"/>
              </w:rPr>
            </w:pPr>
            <w:r w:rsidRPr="00E01829">
              <w:rPr>
                <w:rFonts w:cs="Arial"/>
                <w:szCs w:val="22"/>
              </w:rPr>
              <w:t xml:space="preserve">Implement the </w:t>
            </w:r>
            <w:r w:rsidRPr="00E01829">
              <w:rPr>
                <w:rFonts w:cs="Arial"/>
                <w:i/>
                <w:szCs w:val="22"/>
              </w:rPr>
              <w:t>Patient safety and learning model</w:t>
            </w:r>
            <w:r w:rsidRPr="00E01829">
              <w:rPr>
                <w:rFonts w:cs="Arial"/>
                <w:szCs w:val="22"/>
              </w:rPr>
              <w:t xml:space="preserve"> </w:t>
            </w:r>
          </w:p>
        </w:tc>
        <w:tc>
          <w:tcPr>
            <w:tcW w:w="1864" w:type="dxa"/>
          </w:tcPr>
          <w:p w:rsidR="00902EC3" w:rsidRPr="00E01829" w:rsidRDefault="00E01829" w:rsidP="00500B76">
            <w:pPr>
              <w:rPr>
                <w:rFonts w:cs="Arial"/>
                <w:szCs w:val="22"/>
              </w:rPr>
            </w:pPr>
            <w:r w:rsidRPr="00E01829">
              <w:rPr>
                <w:rFonts w:cs="Arial"/>
                <w:szCs w:val="22"/>
              </w:rPr>
              <w:t xml:space="preserve">Evaluate implementation of the </w:t>
            </w:r>
            <w:r w:rsidRPr="00E01829">
              <w:rPr>
                <w:rFonts w:cs="Arial"/>
                <w:i/>
                <w:szCs w:val="22"/>
              </w:rPr>
              <w:t>Patient safety and learning model</w:t>
            </w:r>
          </w:p>
        </w:tc>
      </w:tr>
    </w:tbl>
    <w:p w:rsidR="00CD7EDE" w:rsidRDefault="00CD7EDE" w:rsidP="006F1491"/>
    <w:p w:rsidR="00190713" w:rsidRDefault="007936B1" w:rsidP="00E04D12">
      <w:pPr>
        <w:pStyle w:val="Heading1"/>
        <w:spacing w:before="0" w:after="120"/>
      </w:pPr>
      <w:bookmarkStart w:id="22" w:name="_Toc456019985"/>
      <w:r>
        <w:lastRenderedPageBreak/>
        <w:t>C</w:t>
      </w:r>
      <w:r w:rsidR="00190713">
        <w:t>apability</w:t>
      </w:r>
      <w:bookmarkEnd w:id="22"/>
    </w:p>
    <w:p w:rsidR="00865823" w:rsidRPr="00865823" w:rsidRDefault="00865823" w:rsidP="000C5C4B">
      <w:bookmarkStart w:id="23" w:name="_Toc455410137"/>
      <w:r w:rsidRPr="00865823">
        <w:t>To meet its objectives and f</w:t>
      </w:r>
      <w:r>
        <w:t xml:space="preserve">unctions the Commission </w:t>
      </w:r>
      <w:r w:rsidR="009775D5">
        <w:t>requires strong proficiency in</w:t>
      </w:r>
      <w:r>
        <w:t xml:space="preserve"> public sector </w:t>
      </w:r>
      <w:r w:rsidR="009775D5">
        <w:t>policy and health sector</w:t>
      </w:r>
      <w:r w:rsidR="00D66EF5">
        <w:t xml:space="preserve"> experience</w:t>
      </w:r>
      <w:r w:rsidR="009775D5">
        <w:t xml:space="preserve">, which is achieved through the engagement of appropriately qualified and </w:t>
      </w:r>
      <w:r w:rsidR="00D66EF5">
        <w:t>skilled</w:t>
      </w:r>
      <w:r w:rsidR="009775D5">
        <w:t xml:space="preserve"> staff. The Commission’s work is informed by specialist clinical and consumer expertise, which is often met through engagement with a variety of stakeholders across the health sector. Stakeholder engagement provides a level of expertise and oversight to Commission</w:t>
      </w:r>
      <w:r w:rsidR="00D66EF5">
        <w:t xml:space="preserve"> activities</w:t>
      </w:r>
      <w:r w:rsidR="009775D5">
        <w:t>, which</w:t>
      </w:r>
      <w:r w:rsidR="00D66EF5">
        <w:t xml:space="preserve"> contributes to the achievement of a natio</w:t>
      </w:r>
      <w:r w:rsidR="00DF1EC3">
        <w:t xml:space="preserve">nal consensus for </w:t>
      </w:r>
      <w:proofErr w:type="gramStart"/>
      <w:r w:rsidR="00DF1EC3">
        <w:t>Commission</w:t>
      </w:r>
      <w:proofErr w:type="gramEnd"/>
      <w:r w:rsidR="00DF1EC3">
        <w:t xml:space="preserve"> le</w:t>
      </w:r>
      <w:r w:rsidR="00D66EF5">
        <w:t>d initiatives and reinforces the integrity of the Commission’s work.</w:t>
      </w:r>
      <w:bookmarkEnd w:id="23"/>
      <w:r w:rsidR="00D66EF5">
        <w:t xml:space="preserve">  </w:t>
      </w:r>
      <w:r w:rsidR="009775D5">
        <w:t xml:space="preserve">  </w:t>
      </w:r>
    </w:p>
    <w:p w:rsidR="00DB384D" w:rsidRPr="00D43BB8" w:rsidRDefault="00DB384D" w:rsidP="005233B1">
      <w:pPr>
        <w:pStyle w:val="Heading2"/>
        <w:spacing w:after="120"/>
        <w:rPr>
          <w:rStyle w:val="IntenseReference"/>
          <w:b/>
          <w:bCs/>
          <w:i/>
          <w:smallCaps w:val="0"/>
          <w:color w:val="auto"/>
          <w:spacing w:val="0"/>
        </w:rPr>
      </w:pPr>
      <w:bookmarkStart w:id="24" w:name="_Toc456019986"/>
      <w:r>
        <w:rPr>
          <w:rStyle w:val="IntenseReference"/>
          <w:b/>
          <w:bCs/>
          <w:i/>
          <w:smallCaps w:val="0"/>
          <w:color w:val="auto"/>
          <w:spacing w:val="0"/>
        </w:rPr>
        <w:t>Staff Profile</w:t>
      </w:r>
      <w:bookmarkEnd w:id="24"/>
    </w:p>
    <w:p w:rsidR="00232B92" w:rsidRDefault="00CD6852" w:rsidP="005233B1">
      <w:pPr>
        <w:spacing w:after="240"/>
      </w:pPr>
      <w:r w:rsidRPr="00232B92">
        <w:t>The Commission employs a diverse range of highly skilled and professional staff</w:t>
      </w:r>
      <w:r w:rsidR="00DB384D" w:rsidRPr="00232B92">
        <w:t xml:space="preserve"> from across the healthcare industry</w:t>
      </w:r>
      <w:r w:rsidRPr="00232B92">
        <w:t xml:space="preserve"> with experience</w:t>
      </w:r>
      <w:r w:rsidR="00C60D41" w:rsidRPr="00232B92">
        <w:t xml:space="preserve"> </w:t>
      </w:r>
      <w:r w:rsidR="003F7CEF" w:rsidRPr="00232B92">
        <w:t>in</w:t>
      </w:r>
      <w:r w:rsidR="004F16F1" w:rsidRPr="00232B92">
        <w:t xml:space="preserve"> </w:t>
      </w:r>
      <w:r w:rsidR="003F7CEF" w:rsidRPr="00232B92">
        <w:t>public sector governance</w:t>
      </w:r>
      <w:r w:rsidR="00DB384D" w:rsidRPr="00232B92">
        <w:t xml:space="preserve">. </w:t>
      </w:r>
      <w:r w:rsidR="003F7CEF" w:rsidRPr="00232B92">
        <w:t xml:space="preserve"> </w:t>
      </w:r>
      <w:r w:rsidR="00DB384D" w:rsidRPr="00232B92">
        <w:t xml:space="preserve">Commission </w:t>
      </w:r>
      <w:proofErr w:type="gramStart"/>
      <w:r w:rsidR="00DB384D" w:rsidRPr="00232B92">
        <w:t>staff have</w:t>
      </w:r>
      <w:proofErr w:type="gramEnd"/>
      <w:r w:rsidR="00DB384D" w:rsidRPr="00232B92">
        <w:t xml:space="preserve"> highly specific </w:t>
      </w:r>
      <w:r w:rsidR="00DB384D" w:rsidRPr="00E128EF">
        <w:rPr>
          <w:rFonts w:eastAsia="MS Mincho"/>
        </w:rPr>
        <w:t>healthcare</w:t>
      </w:r>
      <w:r w:rsidR="00DB384D" w:rsidRPr="00232B92">
        <w:t xml:space="preserve"> knowledge and skills and are committed to delivering safety and quality improvements in their area of healthcare expertise. </w:t>
      </w:r>
    </w:p>
    <w:p w:rsidR="0018054B" w:rsidRPr="005233B1" w:rsidRDefault="00722436" w:rsidP="0018054B">
      <w:pPr>
        <w:pBdr>
          <w:top w:val="single" w:sz="12" w:space="1" w:color="auto"/>
          <w:left w:val="single" w:sz="12" w:space="4" w:color="auto"/>
          <w:bottom w:val="single" w:sz="12" w:space="1" w:color="auto"/>
          <w:right w:val="single" w:sz="12" w:space="4" w:color="auto"/>
        </w:pBdr>
        <w:spacing w:after="40" w:line="140" w:lineRule="atLeast"/>
        <w:rPr>
          <w:rFonts w:eastAsia="MS Mincho"/>
          <w:b/>
          <w:szCs w:val="22"/>
        </w:rPr>
      </w:pPr>
      <w:r>
        <w:rPr>
          <w:rFonts w:eastAsia="MS Mincho"/>
          <w:b/>
          <w:szCs w:val="22"/>
        </w:rPr>
        <w:t>Addressing</w:t>
      </w:r>
      <w:r w:rsidR="0018054B" w:rsidRPr="005233B1">
        <w:rPr>
          <w:rFonts w:eastAsia="MS Mincho"/>
          <w:b/>
          <w:szCs w:val="22"/>
        </w:rPr>
        <w:t xml:space="preserve"> risk </w:t>
      </w:r>
    </w:p>
    <w:p w:rsidR="0018054B" w:rsidRPr="007B2DB2" w:rsidRDefault="00722436" w:rsidP="0018054B">
      <w:pPr>
        <w:pStyle w:val="ListParagraph"/>
        <w:numPr>
          <w:ilvl w:val="0"/>
          <w:numId w:val="40"/>
        </w:numPr>
        <w:pBdr>
          <w:top w:val="single" w:sz="12" w:space="1" w:color="auto"/>
          <w:left w:val="single" w:sz="12" w:space="4" w:color="auto"/>
          <w:bottom w:val="single" w:sz="12" w:space="1" w:color="auto"/>
          <w:right w:val="single" w:sz="12" w:space="4" w:color="auto"/>
        </w:pBdr>
        <w:spacing w:after="40" w:line="140" w:lineRule="atLeast"/>
        <w:ind w:left="851" w:hanging="851"/>
        <w:contextualSpacing w:val="0"/>
        <w:rPr>
          <w:rFonts w:eastAsia="MS Mincho"/>
          <w:b/>
          <w:i/>
          <w:szCs w:val="22"/>
        </w:rPr>
      </w:pPr>
      <w:r>
        <w:rPr>
          <w:rFonts w:eastAsia="MS Mincho"/>
          <w:b/>
          <w:i/>
          <w:szCs w:val="22"/>
        </w:rPr>
        <w:t>The Commission proactively addresses c</w:t>
      </w:r>
      <w:r w:rsidR="00BC68F0">
        <w:rPr>
          <w:rFonts w:eastAsia="MS Mincho"/>
          <w:b/>
          <w:i/>
          <w:szCs w:val="22"/>
        </w:rPr>
        <w:t>hallenges in</w:t>
      </w:r>
      <w:r w:rsidR="0018054B">
        <w:rPr>
          <w:rFonts w:eastAsia="MS Mincho"/>
          <w:b/>
          <w:i/>
          <w:szCs w:val="22"/>
        </w:rPr>
        <w:t xml:space="preserve"> the recruitment of appropriately ski</w:t>
      </w:r>
      <w:r w:rsidR="00A61B8E">
        <w:rPr>
          <w:rFonts w:eastAsia="MS Mincho"/>
          <w:b/>
          <w:i/>
          <w:szCs w:val="22"/>
        </w:rPr>
        <w:t>lled and experienced staff</w:t>
      </w:r>
      <w:r>
        <w:rPr>
          <w:rFonts w:eastAsia="MS Mincho"/>
          <w:b/>
          <w:i/>
          <w:szCs w:val="22"/>
        </w:rPr>
        <w:t xml:space="preserve"> to prevent </w:t>
      </w:r>
      <w:r w:rsidR="0018054B">
        <w:rPr>
          <w:rFonts w:eastAsia="MS Mincho"/>
          <w:b/>
          <w:i/>
          <w:szCs w:val="22"/>
        </w:rPr>
        <w:t>delay</w:t>
      </w:r>
      <w:r>
        <w:rPr>
          <w:rFonts w:eastAsia="MS Mincho"/>
          <w:b/>
          <w:i/>
          <w:szCs w:val="22"/>
        </w:rPr>
        <w:t>s</w:t>
      </w:r>
      <w:r w:rsidR="0018054B">
        <w:rPr>
          <w:rFonts w:eastAsia="MS Mincho"/>
          <w:b/>
          <w:i/>
          <w:szCs w:val="22"/>
        </w:rPr>
        <w:t xml:space="preserve"> </w:t>
      </w:r>
      <w:r w:rsidR="008B415D">
        <w:rPr>
          <w:rFonts w:eastAsia="MS Mincho"/>
          <w:b/>
          <w:i/>
          <w:szCs w:val="22"/>
        </w:rPr>
        <w:t>in</w:t>
      </w:r>
      <w:r>
        <w:rPr>
          <w:rFonts w:eastAsia="MS Mincho"/>
          <w:b/>
          <w:i/>
          <w:szCs w:val="22"/>
        </w:rPr>
        <w:t xml:space="preserve"> the</w:t>
      </w:r>
      <w:r w:rsidR="0018054B">
        <w:rPr>
          <w:rFonts w:eastAsia="MS Mincho"/>
          <w:b/>
          <w:i/>
          <w:szCs w:val="22"/>
        </w:rPr>
        <w:t xml:space="preserve"> delivery of key elements of the work plan</w:t>
      </w:r>
      <w:r w:rsidR="001A0EE2">
        <w:rPr>
          <w:rFonts w:eastAsia="MS Mincho"/>
          <w:b/>
          <w:i/>
          <w:szCs w:val="22"/>
        </w:rPr>
        <w:t>.</w:t>
      </w:r>
    </w:p>
    <w:p w:rsidR="00E472B6" w:rsidRPr="005233B1" w:rsidRDefault="00E472B6" w:rsidP="005233B1">
      <w:pPr>
        <w:pBdr>
          <w:top w:val="single" w:sz="12" w:space="1" w:color="auto"/>
          <w:left w:val="single" w:sz="12" w:space="4" w:color="auto"/>
          <w:bottom w:val="single" w:sz="12" w:space="1" w:color="auto"/>
          <w:right w:val="single" w:sz="12" w:space="4" w:color="auto"/>
        </w:pBdr>
        <w:spacing w:after="40" w:line="140" w:lineRule="atLeast"/>
        <w:rPr>
          <w:rFonts w:eastAsia="MS Mincho"/>
          <w:szCs w:val="22"/>
        </w:rPr>
      </w:pPr>
      <w:r w:rsidRPr="005233B1">
        <w:rPr>
          <w:rFonts w:eastAsia="MS Mincho"/>
          <w:szCs w:val="22"/>
        </w:rPr>
        <w:t>To mitigate</w:t>
      </w:r>
      <w:r w:rsidR="003E4F55">
        <w:rPr>
          <w:rFonts w:eastAsia="MS Mincho"/>
          <w:szCs w:val="22"/>
        </w:rPr>
        <w:t xml:space="preserve"> </w:t>
      </w:r>
      <w:r w:rsidR="001A0EE2">
        <w:rPr>
          <w:rFonts w:eastAsia="MS Mincho"/>
          <w:szCs w:val="22"/>
        </w:rPr>
        <w:t>the</w:t>
      </w:r>
      <w:r w:rsidR="00722436">
        <w:rPr>
          <w:rFonts w:eastAsia="MS Mincho"/>
          <w:szCs w:val="22"/>
        </w:rPr>
        <w:t xml:space="preserve"> potential</w:t>
      </w:r>
      <w:r w:rsidRPr="005233B1">
        <w:rPr>
          <w:rFonts w:eastAsia="MS Mincho"/>
          <w:szCs w:val="22"/>
        </w:rPr>
        <w:t xml:space="preserve"> risk</w:t>
      </w:r>
      <w:r w:rsidR="00722436">
        <w:rPr>
          <w:rFonts w:eastAsia="MS Mincho"/>
          <w:szCs w:val="22"/>
        </w:rPr>
        <w:t xml:space="preserve">s that can be posed by recruitment challenges, </w:t>
      </w:r>
      <w:r w:rsidRPr="005233B1">
        <w:rPr>
          <w:rFonts w:eastAsia="MS Mincho"/>
          <w:szCs w:val="22"/>
        </w:rPr>
        <w:t xml:space="preserve">the Commission uses a range of recruitment techniques to suit specific requirements. These include temporary secondments of specialist staff from jurisdictional agencies, casual contracts with clinical experts and fee for service arrangements with topic area experts for short term projects.  </w:t>
      </w:r>
    </w:p>
    <w:p w:rsidR="00E472B6" w:rsidRDefault="00E472B6" w:rsidP="00E04D12"/>
    <w:p w:rsidR="00232B92" w:rsidRPr="00232B92" w:rsidRDefault="00232B92" w:rsidP="00E04D12">
      <w:r w:rsidRPr="00232B92">
        <w:t>On 30 June 2016</w:t>
      </w:r>
      <w:r>
        <w:t xml:space="preserve">, the </w:t>
      </w:r>
      <w:r w:rsidR="00992AED">
        <w:t xml:space="preserve">functions of the </w:t>
      </w:r>
      <w:r w:rsidRPr="00232B92">
        <w:t>N</w:t>
      </w:r>
      <w:r>
        <w:t xml:space="preserve">ational </w:t>
      </w:r>
      <w:r w:rsidRPr="00232B92">
        <w:t>H</w:t>
      </w:r>
      <w:r>
        <w:t xml:space="preserve">ealth </w:t>
      </w:r>
      <w:r w:rsidRPr="00232B92">
        <w:t>P</w:t>
      </w:r>
      <w:r>
        <w:t xml:space="preserve">erformance </w:t>
      </w:r>
      <w:r w:rsidRPr="00232B92">
        <w:t>A</w:t>
      </w:r>
      <w:r w:rsidR="00727BDC">
        <w:t>uthority</w:t>
      </w:r>
      <w:r w:rsidR="001A0EE2">
        <w:t xml:space="preserve"> </w:t>
      </w:r>
      <w:r w:rsidR="00992AED">
        <w:t xml:space="preserve">transferred to the AIHW and the </w:t>
      </w:r>
      <w:r>
        <w:t>Commission</w:t>
      </w:r>
      <w:r w:rsidR="00992AED">
        <w:t>. T</w:t>
      </w:r>
      <w:r w:rsidRPr="00232B92">
        <w:t xml:space="preserve">he transfer </w:t>
      </w:r>
      <w:r>
        <w:t>has</w:t>
      </w:r>
      <w:r w:rsidR="005D04C8">
        <w:t xml:space="preserve"> provided the Commission with increased capacity for data analysis</w:t>
      </w:r>
      <w:r w:rsidRPr="00232B92">
        <w:t xml:space="preserve">, and </w:t>
      </w:r>
      <w:r>
        <w:t>will assist</w:t>
      </w:r>
      <w:r w:rsidRPr="00232B92">
        <w:t xml:space="preserve"> the Commission to develop clinically relevant information and reporting for clinicians to improve safety and quality outcomes at the local level.</w:t>
      </w:r>
    </w:p>
    <w:p w:rsidR="00DB384D" w:rsidRPr="00D43BB8" w:rsidRDefault="00DB384D" w:rsidP="005233B1">
      <w:pPr>
        <w:pStyle w:val="Heading2"/>
        <w:spacing w:after="120"/>
        <w:rPr>
          <w:rStyle w:val="IntenseReference"/>
          <w:b/>
          <w:bCs/>
          <w:i/>
          <w:smallCaps w:val="0"/>
          <w:color w:val="auto"/>
          <w:spacing w:val="0"/>
        </w:rPr>
      </w:pPr>
      <w:bookmarkStart w:id="25" w:name="_Toc456019987"/>
      <w:r w:rsidRPr="00D43BB8">
        <w:rPr>
          <w:rStyle w:val="IntenseReference"/>
          <w:b/>
          <w:bCs/>
          <w:i/>
          <w:smallCaps w:val="0"/>
          <w:color w:val="auto"/>
          <w:spacing w:val="0"/>
        </w:rPr>
        <w:t>Strengthening capabilities</w:t>
      </w:r>
      <w:bookmarkEnd w:id="25"/>
      <w:r w:rsidRPr="00D43BB8">
        <w:rPr>
          <w:rStyle w:val="IntenseReference"/>
          <w:b/>
          <w:bCs/>
          <w:i/>
          <w:smallCaps w:val="0"/>
          <w:color w:val="auto"/>
          <w:spacing w:val="0"/>
        </w:rPr>
        <w:t xml:space="preserve"> </w:t>
      </w:r>
    </w:p>
    <w:p w:rsidR="00D43BB8" w:rsidRPr="00E128EF" w:rsidRDefault="00D43BB8" w:rsidP="00E04D12">
      <w:pPr>
        <w:rPr>
          <w:snapToGrid w:val="0"/>
        </w:rPr>
      </w:pPr>
      <w:r w:rsidRPr="00E128EF">
        <w:rPr>
          <w:snapToGrid w:val="0"/>
        </w:rPr>
        <w:t xml:space="preserve">The Commission </w:t>
      </w:r>
      <w:r w:rsidR="00DC5D4D" w:rsidRPr="00E128EF">
        <w:rPr>
          <w:snapToGrid w:val="0"/>
        </w:rPr>
        <w:t>has enhanced its</w:t>
      </w:r>
      <w:r w:rsidRPr="00E128EF">
        <w:rPr>
          <w:snapToGrid w:val="0"/>
        </w:rPr>
        <w:t xml:space="preserve"> people management </w:t>
      </w:r>
      <w:r w:rsidR="00DC5D4D" w:rsidRPr="00E128EF">
        <w:rPr>
          <w:snapToGrid w:val="0"/>
        </w:rPr>
        <w:t>strategies</w:t>
      </w:r>
      <w:r w:rsidRPr="00E128EF">
        <w:rPr>
          <w:snapToGrid w:val="0"/>
        </w:rPr>
        <w:t xml:space="preserve"> to </w:t>
      </w:r>
      <w:r w:rsidR="00DC5D4D" w:rsidRPr="00E128EF">
        <w:rPr>
          <w:snapToGrid w:val="0"/>
        </w:rPr>
        <w:t>promote</w:t>
      </w:r>
      <w:r w:rsidR="00524AD1" w:rsidRPr="00E128EF">
        <w:rPr>
          <w:snapToGrid w:val="0"/>
        </w:rPr>
        <w:t xml:space="preserve"> the</w:t>
      </w:r>
      <w:r w:rsidRPr="00E128EF">
        <w:rPr>
          <w:snapToGrid w:val="0"/>
        </w:rPr>
        <w:t xml:space="preserve"> successful recruitment, retention and </w:t>
      </w:r>
      <w:r w:rsidR="00DF1EC3">
        <w:rPr>
          <w:snapToGrid w:val="0"/>
        </w:rPr>
        <w:t>development</w:t>
      </w:r>
      <w:r w:rsidRPr="00E128EF">
        <w:rPr>
          <w:snapToGrid w:val="0"/>
        </w:rPr>
        <w:t xml:space="preserve"> of staff now and into the future. The Commission </w:t>
      </w:r>
      <w:r w:rsidR="001A0EE2">
        <w:rPr>
          <w:snapToGrid w:val="0"/>
        </w:rPr>
        <w:t>promotes staff engagement</w:t>
      </w:r>
      <w:r w:rsidRPr="00E128EF">
        <w:rPr>
          <w:snapToGrid w:val="0"/>
        </w:rPr>
        <w:t xml:space="preserve"> by providing ongoing support through performance management systems and by embedding a strong sense of direction across the organisation. </w:t>
      </w:r>
    </w:p>
    <w:p w:rsidR="00232B92" w:rsidRPr="00232B92" w:rsidRDefault="00232B92" w:rsidP="00E04D12">
      <w:r w:rsidRPr="00232B92">
        <w:t xml:space="preserve">The Commission values the talent and contribution of its staff and recognises the importance of building </w:t>
      </w:r>
      <w:r w:rsidRPr="00E128EF">
        <w:rPr>
          <w:snapToGrid w:val="0"/>
        </w:rPr>
        <w:t>expertise</w:t>
      </w:r>
      <w:r w:rsidRPr="00232B92">
        <w:t xml:space="preserve"> within the organisation.</w:t>
      </w:r>
      <w:r>
        <w:t xml:space="preserve"> </w:t>
      </w:r>
      <w:r w:rsidRPr="00232B92">
        <w:t>Learning and development needs and opportunities are primarily identified through the performance development scheme.</w:t>
      </w:r>
    </w:p>
    <w:p w:rsidR="00232B92" w:rsidRPr="00232B92" w:rsidRDefault="00232B92" w:rsidP="00E04D12">
      <w:pPr>
        <w:pStyle w:val="NoSpacing"/>
        <w:spacing w:after="120" w:line="280" w:lineRule="atLeast"/>
        <w:rPr>
          <w:rFonts w:ascii="Arial" w:hAnsi="Arial"/>
          <w:color w:val="000000"/>
          <w:sz w:val="22"/>
          <w:lang w:eastAsia="ko-KR"/>
        </w:rPr>
      </w:pPr>
      <w:r>
        <w:rPr>
          <w:rFonts w:ascii="Arial" w:hAnsi="Arial"/>
          <w:color w:val="000000"/>
          <w:sz w:val="22"/>
          <w:lang w:eastAsia="ko-KR"/>
        </w:rPr>
        <w:t>T</w:t>
      </w:r>
      <w:r w:rsidRPr="00232B92">
        <w:rPr>
          <w:rFonts w:ascii="Arial" w:hAnsi="Arial"/>
          <w:color w:val="000000"/>
          <w:sz w:val="22"/>
          <w:lang w:eastAsia="ko-KR"/>
        </w:rPr>
        <w:t>he Commission</w:t>
      </w:r>
      <w:r>
        <w:rPr>
          <w:rFonts w:ascii="Arial" w:hAnsi="Arial"/>
          <w:color w:val="000000"/>
          <w:sz w:val="22"/>
          <w:lang w:eastAsia="ko-KR"/>
        </w:rPr>
        <w:t xml:space="preserve"> has </w:t>
      </w:r>
      <w:r w:rsidRPr="00232B92">
        <w:rPr>
          <w:rFonts w:ascii="Arial" w:hAnsi="Arial"/>
          <w:color w:val="000000"/>
          <w:sz w:val="22"/>
          <w:lang w:eastAsia="ko-KR"/>
        </w:rPr>
        <w:t>study support and training arrangements</w:t>
      </w:r>
      <w:r>
        <w:rPr>
          <w:rFonts w:ascii="Arial" w:hAnsi="Arial"/>
          <w:color w:val="000000"/>
          <w:sz w:val="22"/>
          <w:lang w:eastAsia="ko-KR"/>
        </w:rPr>
        <w:t xml:space="preserve"> in place that</w:t>
      </w:r>
      <w:r w:rsidRPr="00232B92">
        <w:rPr>
          <w:rFonts w:ascii="Arial" w:hAnsi="Arial"/>
          <w:color w:val="000000"/>
          <w:sz w:val="22"/>
          <w:lang w:eastAsia="ko-KR"/>
        </w:rPr>
        <w:t xml:space="preserve"> ensure the ongoing development of staff skills and capabilities. </w:t>
      </w:r>
      <w:r w:rsidR="005D04C8">
        <w:rPr>
          <w:rFonts w:ascii="Arial" w:hAnsi="Arial"/>
          <w:color w:val="000000"/>
          <w:sz w:val="22"/>
          <w:lang w:eastAsia="ko-KR"/>
        </w:rPr>
        <w:t xml:space="preserve">The Commission has high rates of </w:t>
      </w:r>
      <w:r w:rsidRPr="00E128EF">
        <w:rPr>
          <w:rFonts w:ascii="Arial" w:hAnsi="Arial"/>
          <w:snapToGrid w:val="0"/>
          <w:color w:val="000000"/>
          <w:sz w:val="22"/>
          <w:lang w:eastAsia="ko-KR"/>
        </w:rPr>
        <w:t>participation</w:t>
      </w:r>
      <w:r w:rsidRPr="00232B92">
        <w:rPr>
          <w:rFonts w:ascii="Arial" w:hAnsi="Arial"/>
          <w:color w:val="000000"/>
          <w:sz w:val="22"/>
          <w:lang w:eastAsia="ko-KR"/>
        </w:rPr>
        <w:t xml:space="preserve"> in study and training with </w:t>
      </w:r>
      <w:r w:rsidR="00DF1EC3">
        <w:rPr>
          <w:rFonts w:ascii="Arial" w:hAnsi="Arial"/>
          <w:color w:val="000000"/>
          <w:sz w:val="22"/>
          <w:lang w:eastAsia="ko-KR"/>
        </w:rPr>
        <w:t>around one in five</w:t>
      </w:r>
      <w:r w:rsidR="005D04C8">
        <w:rPr>
          <w:rFonts w:ascii="Arial" w:hAnsi="Arial"/>
          <w:color w:val="000000"/>
          <w:sz w:val="22"/>
          <w:lang w:eastAsia="ko-KR"/>
        </w:rPr>
        <w:t xml:space="preserve"> </w:t>
      </w:r>
      <w:r w:rsidRPr="00232B92">
        <w:rPr>
          <w:rFonts w:ascii="Arial" w:hAnsi="Arial"/>
          <w:color w:val="000000"/>
          <w:sz w:val="22"/>
          <w:lang w:eastAsia="ko-KR"/>
        </w:rPr>
        <w:t xml:space="preserve">staff accessing study support assistance and </w:t>
      </w:r>
      <w:r w:rsidR="00DF1EC3">
        <w:rPr>
          <w:rFonts w:ascii="Arial" w:hAnsi="Arial"/>
          <w:color w:val="000000"/>
          <w:sz w:val="22"/>
          <w:lang w:eastAsia="ko-KR"/>
        </w:rPr>
        <w:t>one in four</w:t>
      </w:r>
      <w:r w:rsidRPr="00232B92">
        <w:rPr>
          <w:rFonts w:ascii="Arial" w:hAnsi="Arial"/>
          <w:color w:val="000000"/>
          <w:sz w:val="22"/>
          <w:lang w:eastAsia="ko-KR"/>
        </w:rPr>
        <w:t xml:space="preserve"> employees completing external training </w:t>
      </w:r>
      <w:r w:rsidRPr="00232B92">
        <w:rPr>
          <w:rFonts w:ascii="Arial" w:hAnsi="Arial"/>
          <w:color w:val="000000"/>
          <w:sz w:val="22"/>
          <w:lang w:eastAsia="ko-KR"/>
        </w:rPr>
        <w:lastRenderedPageBreak/>
        <w:t>courses</w:t>
      </w:r>
      <w:r w:rsidR="00727BDC">
        <w:rPr>
          <w:rFonts w:ascii="Arial" w:hAnsi="Arial"/>
          <w:color w:val="000000"/>
          <w:sz w:val="22"/>
          <w:lang w:eastAsia="ko-KR"/>
        </w:rPr>
        <w:t xml:space="preserve"> annually</w:t>
      </w:r>
      <w:r w:rsidRPr="00232B92">
        <w:rPr>
          <w:rFonts w:ascii="Arial" w:hAnsi="Arial"/>
          <w:color w:val="000000"/>
          <w:sz w:val="22"/>
          <w:lang w:eastAsia="ko-KR"/>
        </w:rPr>
        <w:t xml:space="preserve">. Tertiary courses being undertaken include Masters of Public Health, Master of Health Service Management, Masters of Health Policy and various </w:t>
      </w:r>
      <w:r w:rsidR="001C3690">
        <w:rPr>
          <w:rFonts w:ascii="Arial" w:hAnsi="Arial"/>
          <w:color w:val="000000"/>
          <w:sz w:val="22"/>
          <w:lang w:eastAsia="ko-KR"/>
        </w:rPr>
        <w:t>g</w:t>
      </w:r>
      <w:r w:rsidRPr="00232B92">
        <w:rPr>
          <w:rFonts w:ascii="Arial" w:hAnsi="Arial"/>
          <w:color w:val="000000"/>
          <w:sz w:val="22"/>
          <w:lang w:eastAsia="ko-KR"/>
        </w:rPr>
        <w:t xml:space="preserve">raduate </w:t>
      </w:r>
      <w:r w:rsidR="001C3690">
        <w:rPr>
          <w:rFonts w:ascii="Arial" w:hAnsi="Arial"/>
          <w:color w:val="000000"/>
          <w:sz w:val="22"/>
          <w:lang w:eastAsia="ko-KR"/>
        </w:rPr>
        <w:t>c</w:t>
      </w:r>
      <w:r w:rsidRPr="00232B92">
        <w:rPr>
          <w:rFonts w:ascii="Arial" w:hAnsi="Arial"/>
          <w:color w:val="000000"/>
          <w:sz w:val="22"/>
          <w:lang w:eastAsia="ko-KR"/>
        </w:rPr>
        <w:t>ertificates in health related fields.</w:t>
      </w:r>
    </w:p>
    <w:p w:rsidR="00232B92" w:rsidRPr="00E128EF" w:rsidRDefault="00E128EF" w:rsidP="00E04D12">
      <w:pPr>
        <w:rPr>
          <w:szCs w:val="20"/>
        </w:rPr>
      </w:pPr>
      <w:r w:rsidRPr="00E128EF">
        <w:rPr>
          <w:szCs w:val="20"/>
        </w:rPr>
        <w:t>S</w:t>
      </w:r>
      <w:r w:rsidR="00232B92" w:rsidRPr="00E128EF">
        <w:rPr>
          <w:szCs w:val="20"/>
        </w:rPr>
        <w:t xml:space="preserve">taff training in workplace bullying and harassment, security awareness and fraud awareness </w:t>
      </w:r>
      <w:r w:rsidRPr="00E128EF">
        <w:rPr>
          <w:szCs w:val="20"/>
        </w:rPr>
        <w:t xml:space="preserve">is </w:t>
      </w:r>
      <w:r w:rsidRPr="00E128EF">
        <w:t>undertaken</w:t>
      </w:r>
      <w:r w:rsidRPr="00E128EF">
        <w:rPr>
          <w:szCs w:val="20"/>
        </w:rPr>
        <w:t xml:space="preserve"> annually. </w:t>
      </w:r>
    </w:p>
    <w:p w:rsidR="00D94679" w:rsidRDefault="00FF1DB8" w:rsidP="005233B1">
      <w:pPr>
        <w:pStyle w:val="Heading2"/>
        <w:spacing w:after="120"/>
        <w:rPr>
          <w:rStyle w:val="IntenseReference"/>
          <w:b/>
          <w:bCs/>
          <w:i/>
          <w:smallCaps w:val="0"/>
          <w:color w:val="auto"/>
          <w:spacing w:val="0"/>
        </w:rPr>
      </w:pPr>
      <w:bookmarkStart w:id="26" w:name="_Toc456019988"/>
      <w:r w:rsidRPr="00FF1DB8">
        <w:rPr>
          <w:rStyle w:val="IntenseReference"/>
          <w:b/>
          <w:bCs/>
          <w:i/>
          <w:smallCaps w:val="0"/>
          <w:color w:val="auto"/>
          <w:spacing w:val="0"/>
        </w:rPr>
        <w:t>Stakeholder engagement</w:t>
      </w:r>
      <w:bookmarkEnd w:id="26"/>
    </w:p>
    <w:p w:rsidR="00500B76" w:rsidRDefault="00D94679" w:rsidP="00E04D12">
      <w:r>
        <w:t>T</w:t>
      </w:r>
      <w:r w:rsidRPr="00D94679">
        <w:t xml:space="preserve">he Commission works closely with a number of </w:t>
      </w:r>
      <w:r>
        <w:t>c</w:t>
      </w:r>
      <w:r w:rsidRPr="00D94679">
        <w:t>ommittees including the</w:t>
      </w:r>
      <w:r w:rsidR="003C7EA3">
        <w:t xml:space="preserve"> Inter-Jurisdictional Committee, with representatives from the Australian Govern</w:t>
      </w:r>
      <w:r w:rsidR="00DF1EC3">
        <w:t xml:space="preserve">ment </w:t>
      </w:r>
      <w:r w:rsidR="003C7EA3">
        <w:t>and each state and territory governments, the</w:t>
      </w:r>
      <w:r w:rsidR="007863D6">
        <w:t xml:space="preserve"> </w:t>
      </w:r>
      <w:r w:rsidRPr="00D94679">
        <w:t>Private Hospital Sector Committee, with nominees from key private healthcare bodies</w:t>
      </w:r>
      <w:r w:rsidR="007863D6">
        <w:t>, and the P</w:t>
      </w:r>
      <w:r w:rsidRPr="00D94679">
        <w:t xml:space="preserve">rimary Care Committee, </w:t>
      </w:r>
      <w:r w:rsidR="00341D4F">
        <w:t>which p</w:t>
      </w:r>
      <w:r w:rsidRPr="00D94679">
        <w:t>rovid</w:t>
      </w:r>
      <w:r w:rsidR="00341D4F">
        <w:t>es</w:t>
      </w:r>
      <w:r w:rsidRPr="00D94679">
        <w:t xml:space="preserve"> primary care advice and liaison with </w:t>
      </w:r>
      <w:r w:rsidR="00727BDC">
        <w:t>the primary</w:t>
      </w:r>
      <w:r w:rsidRPr="00D94679">
        <w:t xml:space="preserve"> sector. </w:t>
      </w:r>
    </w:p>
    <w:p w:rsidR="00D94679" w:rsidRPr="00D94679" w:rsidRDefault="00D94679" w:rsidP="00E04D12">
      <w:r w:rsidRPr="00D94679">
        <w:t>The Commission also works in close partnership with</w:t>
      </w:r>
      <w:r>
        <w:t xml:space="preserve"> </w:t>
      </w:r>
      <w:r w:rsidR="00CD7EDE">
        <w:t>around 35</w:t>
      </w:r>
      <w:r w:rsidRPr="00D94679">
        <w:t xml:space="preserve"> </w:t>
      </w:r>
      <w:r>
        <w:t>a</w:t>
      </w:r>
      <w:r w:rsidRPr="00D94679">
        <w:t xml:space="preserve">dvisory </w:t>
      </w:r>
      <w:r>
        <w:t>c</w:t>
      </w:r>
      <w:r w:rsidRPr="00D94679">
        <w:t>ommittees</w:t>
      </w:r>
      <w:r>
        <w:t xml:space="preserve"> and working groups</w:t>
      </w:r>
      <w:r w:rsidRPr="00D94679">
        <w:t xml:space="preserve"> that directly relate to key aspects of individual work programs</w:t>
      </w:r>
      <w:r w:rsidR="00992AED">
        <w:t xml:space="preserve"> and provide expert input to specific Commission projects</w:t>
      </w:r>
      <w:r w:rsidRPr="00D94679">
        <w:t>. These involve key stakeholder groups, including consumers</w:t>
      </w:r>
      <w:r w:rsidR="00727BDC">
        <w:t>, clinical colleges, professional bodies</w:t>
      </w:r>
      <w:r w:rsidRPr="00D94679">
        <w:t xml:space="preserve"> and health professionals</w:t>
      </w:r>
      <w:r>
        <w:t xml:space="preserve">. </w:t>
      </w:r>
    </w:p>
    <w:p w:rsidR="00535BBD" w:rsidRDefault="00D94679" w:rsidP="00E04D12">
      <w:r>
        <w:t>The Commission has</w:t>
      </w:r>
      <w:r w:rsidRPr="00D94679">
        <w:t xml:space="preserve"> a strong commitment </w:t>
      </w:r>
      <w:r w:rsidR="00DF1EC3">
        <w:t>to</w:t>
      </w:r>
      <w:r w:rsidRPr="00D94679">
        <w:t xml:space="preserve"> ensuring the interests</w:t>
      </w:r>
      <w:r w:rsidR="0030053C">
        <w:t xml:space="preserve"> of</w:t>
      </w:r>
      <w:r>
        <w:t xml:space="preserve"> its</w:t>
      </w:r>
      <w:r w:rsidRPr="00D94679">
        <w:t xml:space="preserve"> internal and external stakeholders are adequately addressed.</w:t>
      </w:r>
      <w:r w:rsidR="0030053C">
        <w:t xml:space="preserve"> </w:t>
      </w:r>
      <w:r w:rsidRPr="00D94679">
        <w:t>The structure under which the Commission was established creates a strong environment for effective stakeholder engagement practices</w:t>
      </w:r>
      <w:r w:rsidR="0030053C">
        <w:t xml:space="preserve">, and </w:t>
      </w:r>
      <w:r w:rsidRPr="00D94679">
        <w:t>provides a high degree of oversight and input from leading external health representatives</w:t>
      </w:r>
      <w:r w:rsidR="00500B76">
        <w:t xml:space="preserve"> through</w:t>
      </w:r>
      <w:r w:rsidRPr="00D94679">
        <w:t xml:space="preserve"> their participation in specialist working gro</w:t>
      </w:r>
      <w:r w:rsidR="0030053C">
        <w:t xml:space="preserve">ups. </w:t>
      </w:r>
    </w:p>
    <w:p w:rsidR="00535BBD" w:rsidRDefault="00535BBD" w:rsidP="005233B1">
      <w:pPr>
        <w:pStyle w:val="Heading2"/>
        <w:spacing w:after="120"/>
        <w:rPr>
          <w:rStyle w:val="IntenseReference"/>
          <w:b/>
          <w:bCs/>
          <w:i/>
          <w:smallCaps w:val="0"/>
          <w:color w:val="auto"/>
          <w:spacing w:val="0"/>
        </w:rPr>
      </w:pPr>
      <w:bookmarkStart w:id="27" w:name="_Toc456019989"/>
      <w:r>
        <w:rPr>
          <w:rStyle w:val="IntenseReference"/>
          <w:b/>
          <w:bCs/>
          <w:i/>
          <w:smallCaps w:val="0"/>
          <w:color w:val="auto"/>
          <w:spacing w:val="0"/>
        </w:rPr>
        <w:t>Shared services</w:t>
      </w:r>
      <w:bookmarkEnd w:id="27"/>
      <w:r>
        <w:rPr>
          <w:rStyle w:val="IntenseReference"/>
          <w:b/>
          <w:bCs/>
          <w:i/>
          <w:smallCaps w:val="0"/>
          <w:color w:val="auto"/>
          <w:spacing w:val="0"/>
        </w:rPr>
        <w:t xml:space="preserve"> </w:t>
      </w:r>
    </w:p>
    <w:p w:rsidR="00C03412" w:rsidRPr="00BA0051" w:rsidRDefault="00C03412" w:rsidP="00E04D12">
      <w:r w:rsidRPr="00BA0051">
        <w:t xml:space="preserve">The Commission has adopted the </w:t>
      </w:r>
      <w:r w:rsidR="001C3690">
        <w:t xml:space="preserve">Australian Government </w:t>
      </w:r>
      <w:r w:rsidRPr="00BA0051">
        <w:t xml:space="preserve">Department of Health’s outsourced business model where </w:t>
      </w:r>
      <w:r>
        <w:t>services including f</w:t>
      </w:r>
      <w:r w:rsidRPr="00BA0051">
        <w:t xml:space="preserve">inance, IT, property management, mail services, payroll and human resource reporting </w:t>
      </w:r>
      <w:r>
        <w:t xml:space="preserve">are provided under a </w:t>
      </w:r>
      <w:r w:rsidR="001C3690">
        <w:t>m</w:t>
      </w:r>
      <w:r>
        <w:t xml:space="preserve">emorandum of </w:t>
      </w:r>
      <w:r w:rsidR="001C3690">
        <w:t>u</w:t>
      </w:r>
      <w:r>
        <w:t xml:space="preserve">nderstanding </w:t>
      </w:r>
      <w:r w:rsidRPr="00BA0051">
        <w:t>arrangement.</w:t>
      </w:r>
    </w:p>
    <w:p w:rsidR="00C03412" w:rsidRPr="00BA0051" w:rsidRDefault="00C03412" w:rsidP="00E04D12">
      <w:r>
        <w:t>I</w:t>
      </w:r>
      <w:r w:rsidRPr="00BA0051">
        <w:t>ndividual services are</w:t>
      </w:r>
      <w:r w:rsidR="001C3690">
        <w:t xml:space="preserve"> negotiated and agreed under a s</w:t>
      </w:r>
      <w:r w:rsidRPr="00BA0051">
        <w:t xml:space="preserve">ervice </w:t>
      </w:r>
      <w:r w:rsidR="001C3690">
        <w:t>l</w:t>
      </w:r>
      <w:r w:rsidRPr="00BA0051">
        <w:t xml:space="preserve">evel </w:t>
      </w:r>
      <w:r w:rsidR="001C3690">
        <w:t>a</w:t>
      </w:r>
      <w:r w:rsidRPr="00BA0051">
        <w:t>greement between the Commission and the Department of Health</w:t>
      </w:r>
      <w:r>
        <w:t>,</w:t>
      </w:r>
      <w:r w:rsidRPr="00BA0051">
        <w:t xml:space="preserve"> which details the services to be provided, the price of each service and the timeframe for the services to be provided.</w:t>
      </w:r>
      <w:r>
        <w:t xml:space="preserve"> </w:t>
      </w:r>
    </w:p>
    <w:p w:rsidR="00C03412" w:rsidRPr="00BA0051" w:rsidRDefault="00C03412" w:rsidP="00E04D12">
      <w:r w:rsidRPr="00BA0051">
        <w:t xml:space="preserve">The Commission considers the outsourced arrangement with </w:t>
      </w:r>
      <w:r>
        <w:t xml:space="preserve">the Department of </w:t>
      </w:r>
      <w:r w:rsidRPr="00BA0051">
        <w:t xml:space="preserve">Health to be the most cost-effective and efficient method of procuring these services. </w:t>
      </w:r>
    </w:p>
    <w:p w:rsidR="00D94679" w:rsidRPr="00C03412" w:rsidRDefault="00D94679" w:rsidP="00E04D12">
      <w:r>
        <w:br w:type="page"/>
      </w:r>
    </w:p>
    <w:p w:rsidR="004B7776" w:rsidRDefault="004B7776" w:rsidP="00E04D12">
      <w:pPr>
        <w:pStyle w:val="Heading1"/>
        <w:spacing w:before="0" w:after="120"/>
      </w:pPr>
      <w:bookmarkStart w:id="28" w:name="_Toc456019990"/>
      <w:r>
        <w:lastRenderedPageBreak/>
        <w:t xml:space="preserve">Risk </w:t>
      </w:r>
      <w:r w:rsidR="004C4992">
        <w:t>o</w:t>
      </w:r>
      <w:r w:rsidR="009474C1">
        <w:t xml:space="preserve">versight </w:t>
      </w:r>
      <w:r>
        <w:t xml:space="preserve">and </w:t>
      </w:r>
      <w:r w:rsidR="004C4992">
        <w:t>m</w:t>
      </w:r>
      <w:r w:rsidR="009474C1">
        <w:t>anagement</w:t>
      </w:r>
      <w:bookmarkEnd w:id="28"/>
    </w:p>
    <w:p w:rsidR="00D34571" w:rsidRPr="00281DD2" w:rsidRDefault="00281DD2" w:rsidP="005233B1">
      <w:pPr>
        <w:pStyle w:val="Heading2"/>
        <w:spacing w:after="120"/>
        <w:rPr>
          <w:rStyle w:val="IntenseReference"/>
          <w:b/>
          <w:bCs/>
          <w:i/>
          <w:smallCaps w:val="0"/>
          <w:color w:val="auto"/>
          <w:spacing w:val="0"/>
        </w:rPr>
      </w:pPr>
      <w:bookmarkStart w:id="29" w:name="_Toc456019991"/>
      <w:r w:rsidRPr="00281DD2">
        <w:rPr>
          <w:rStyle w:val="IntenseReference"/>
          <w:b/>
          <w:bCs/>
          <w:i/>
          <w:smallCaps w:val="0"/>
          <w:color w:val="auto"/>
          <w:spacing w:val="0"/>
        </w:rPr>
        <w:t xml:space="preserve">Risk </w:t>
      </w:r>
      <w:r w:rsidR="004C4992">
        <w:rPr>
          <w:rStyle w:val="IntenseReference"/>
          <w:b/>
          <w:bCs/>
          <w:i/>
          <w:smallCaps w:val="0"/>
          <w:color w:val="auto"/>
          <w:spacing w:val="0"/>
        </w:rPr>
        <w:t>o</w:t>
      </w:r>
      <w:r w:rsidRPr="00281DD2">
        <w:rPr>
          <w:rStyle w:val="IntenseReference"/>
          <w:b/>
          <w:bCs/>
          <w:i/>
          <w:smallCaps w:val="0"/>
          <w:color w:val="auto"/>
          <w:spacing w:val="0"/>
        </w:rPr>
        <w:t>versight</w:t>
      </w:r>
      <w:bookmarkEnd w:id="29"/>
      <w:r w:rsidRPr="00281DD2">
        <w:rPr>
          <w:rStyle w:val="IntenseReference"/>
          <w:b/>
          <w:bCs/>
          <w:i/>
          <w:smallCaps w:val="0"/>
          <w:color w:val="auto"/>
          <w:spacing w:val="0"/>
        </w:rPr>
        <w:t xml:space="preserve"> </w:t>
      </w:r>
    </w:p>
    <w:p w:rsidR="00500B76" w:rsidRDefault="00281DD2" w:rsidP="00E04D12">
      <w:r w:rsidRPr="00281DD2">
        <w:t>Risk influences every aspect of the Commission’s business. Understanding risks and managing them appropriately enhance</w:t>
      </w:r>
      <w:r w:rsidR="00DF1EC3">
        <w:t>s</w:t>
      </w:r>
      <w:r w:rsidRPr="00281DD2">
        <w:t xml:space="preserve"> the Commission’s ability to make better decisions, deliver on objectives and subsequently improve performance. Risk management is part of the Commission’s strategy to promote accountability through good governance and </w:t>
      </w:r>
      <w:r w:rsidR="006F1491">
        <w:t>sound</w:t>
      </w:r>
      <w:r w:rsidRPr="00281DD2">
        <w:t xml:space="preserve"> business practices. </w:t>
      </w:r>
    </w:p>
    <w:p w:rsidR="004C4992" w:rsidRDefault="00281DD2" w:rsidP="00E04D12">
      <w:r w:rsidRPr="00281DD2">
        <w:t>The Commission has developed a Risk Management Framework</w:t>
      </w:r>
      <w:r w:rsidR="004C4992">
        <w:t>, which is</w:t>
      </w:r>
      <w:r w:rsidRPr="00281DD2">
        <w:t xml:space="preserve"> an essential component of effective governance. The Commission is committed to embedding risk management principles and practices into </w:t>
      </w:r>
      <w:proofErr w:type="gramStart"/>
      <w:r w:rsidRPr="00281DD2">
        <w:t>its</w:t>
      </w:r>
      <w:proofErr w:type="gramEnd"/>
      <w:r w:rsidR="004C4992">
        <w:t>:</w:t>
      </w:r>
    </w:p>
    <w:p w:rsidR="004C4992" w:rsidRPr="00500B76" w:rsidRDefault="00281DD2" w:rsidP="00E04D12">
      <w:pPr>
        <w:pStyle w:val="ListParagraph"/>
        <w:numPr>
          <w:ilvl w:val="0"/>
          <w:numId w:val="24"/>
        </w:numPr>
        <w:contextualSpacing w:val="0"/>
      </w:pPr>
      <w:r w:rsidRPr="00500B76">
        <w:t>organisational culture</w:t>
      </w:r>
    </w:p>
    <w:p w:rsidR="004C4992" w:rsidRPr="00500B76" w:rsidRDefault="00281DD2" w:rsidP="00E04D12">
      <w:pPr>
        <w:pStyle w:val="ListParagraph"/>
        <w:numPr>
          <w:ilvl w:val="0"/>
          <w:numId w:val="24"/>
        </w:numPr>
        <w:contextualSpacing w:val="0"/>
      </w:pPr>
      <w:r w:rsidRPr="00500B76">
        <w:t>governance and accountability arrangements</w:t>
      </w:r>
    </w:p>
    <w:p w:rsidR="00500B76" w:rsidRPr="00500B76" w:rsidRDefault="00281DD2" w:rsidP="00E04D12">
      <w:pPr>
        <w:pStyle w:val="ListParagraph"/>
        <w:numPr>
          <w:ilvl w:val="0"/>
          <w:numId w:val="24"/>
        </w:numPr>
        <w:contextualSpacing w:val="0"/>
      </w:pPr>
      <w:r w:rsidRPr="00500B76">
        <w:t>reporting</w:t>
      </w:r>
      <w:r w:rsidR="00500B76" w:rsidRPr="00500B76">
        <w:t xml:space="preserve"> and</w:t>
      </w:r>
      <w:r w:rsidRPr="00500B76">
        <w:t xml:space="preserve"> performance review</w:t>
      </w:r>
      <w:r w:rsidR="00500B76" w:rsidRPr="00500B76">
        <w:t xml:space="preserve"> processes</w:t>
      </w:r>
      <w:r w:rsidRPr="00500B76">
        <w:t xml:space="preserve"> </w:t>
      </w:r>
    </w:p>
    <w:p w:rsidR="00500B76" w:rsidRPr="00500B76" w:rsidRDefault="00281DD2" w:rsidP="00E04D12">
      <w:pPr>
        <w:pStyle w:val="ListParagraph"/>
        <w:numPr>
          <w:ilvl w:val="0"/>
          <w:numId w:val="24"/>
        </w:numPr>
        <w:contextualSpacing w:val="0"/>
      </w:pPr>
      <w:proofErr w:type="gramStart"/>
      <w:r w:rsidRPr="00500B76">
        <w:t>business</w:t>
      </w:r>
      <w:proofErr w:type="gramEnd"/>
      <w:r w:rsidRPr="00500B76">
        <w:t xml:space="preserve"> transformation and improvement processes. </w:t>
      </w:r>
    </w:p>
    <w:p w:rsidR="00281DD2" w:rsidRPr="00281DD2" w:rsidRDefault="00281DD2" w:rsidP="00E04D12">
      <w:pPr>
        <w:rPr>
          <w:rFonts w:cs="Arial"/>
          <w:bCs/>
        </w:rPr>
      </w:pPr>
      <w:r w:rsidRPr="00281DD2">
        <w:t>Through the Commission’s Risk Management Framework and its supporting processes, the Commission formally establishes and communicates its approach to ongoing risk management, and guides staff members in their actions and abilities to accept and control risks.</w:t>
      </w:r>
    </w:p>
    <w:p w:rsidR="004B7776" w:rsidRPr="00023EF9" w:rsidRDefault="00281DD2" w:rsidP="005233B1">
      <w:pPr>
        <w:pStyle w:val="Heading2"/>
        <w:spacing w:after="120"/>
      </w:pPr>
      <w:bookmarkStart w:id="30" w:name="_Toc456019992"/>
      <w:r>
        <w:t xml:space="preserve">Risk </w:t>
      </w:r>
      <w:r w:rsidR="000921BA">
        <w:t>m</w:t>
      </w:r>
      <w:r>
        <w:t>anagement</w:t>
      </w:r>
      <w:bookmarkEnd w:id="30"/>
    </w:p>
    <w:p w:rsidR="00281DD2" w:rsidRPr="00281DD2" w:rsidRDefault="00281DD2" w:rsidP="00E04D12">
      <w:r w:rsidRPr="00281DD2">
        <w:t xml:space="preserve">The Commission </w:t>
      </w:r>
      <w:r w:rsidR="00354996">
        <w:t xml:space="preserve">has </w:t>
      </w:r>
      <w:r w:rsidRPr="00281DD2">
        <w:t>adopt</w:t>
      </w:r>
      <w:r w:rsidR="00354996">
        <w:t>ed</w:t>
      </w:r>
      <w:r w:rsidRPr="00281DD2">
        <w:t xml:space="preserve"> a risk management approach based on </w:t>
      </w:r>
      <w:r w:rsidR="00FF1DB8">
        <w:t xml:space="preserve">the </w:t>
      </w:r>
      <w:r w:rsidR="00FF1DB8" w:rsidRPr="006F1491">
        <w:rPr>
          <w:i/>
        </w:rPr>
        <w:t xml:space="preserve">AS/NZS ISO 31000:2009 Risk </w:t>
      </w:r>
      <w:r w:rsidR="000921BA">
        <w:rPr>
          <w:i/>
        </w:rPr>
        <w:t>m</w:t>
      </w:r>
      <w:r w:rsidRPr="006F1491">
        <w:rPr>
          <w:i/>
        </w:rPr>
        <w:t>anagem</w:t>
      </w:r>
      <w:r w:rsidR="00FF1DB8" w:rsidRPr="006F1491">
        <w:rPr>
          <w:i/>
        </w:rPr>
        <w:t xml:space="preserve">ent – </w:t>
      </w:r>
      <w:r w:rsidR="000921BA">
        <w:rPr>
          <w:i/>
        </w:rPr>
        <w:t>p</w:t>
      </w:r>
      <w:r w:rsidR="00FF1DB8" w:rsidRPr="006F1491">
        <w:rPr>
          <w:i/>
        </w:rPr>
        <w:t xml:space="preserve">rinciples and </w:t>
      </w:r>
      <w:r w:rsidR="000921BA">
        <w:rPr>
          <w:i/>
        </w:rPr>
        <w:t>g</w:t>
      </w:r>
      <w:r w:rsidRPr="006F1491">
        <w:rPr>
          <w:i/>
        </w:rPr>
        <w:t>uidelines</w:t>
      </w:r>
      <w:r w:rsidRPr="00281DD2">
        <w:t>. The risk management process ensure</w:t>
      </w:r>
      <w:r w:rsidR="00354996">
        <w:t>s</w:t>
      </w:r>
      <w:r w:rsidRPr="00281DD2">
        <w:t xml:space="preserve"> that decisions are based on a robust approach, assessments are conducted in a consistent manner</w:t>
      </w:r>
      <w:r w:rsidR="000921BA">
        <w:t>,</w:t>
      </w:r>
      <w:r w:rsidRPr="00281DD2">
        <w:t xml:space="preserve"> and a common language is used and understood across the Commission. </w:t>
      </w:r>
    </w:p>
    <w:p w:rsidR="00281DD2" w:rsidRPr="00281DD2" w:rsidRDefault="00281DD2" w:rsidP="00E04D12">
      <w:r w:rsidRPr="00281DD2">
        <w:t>Risk identificati</w:t>
      </w:r>
      <w:r w:rsidR="00354996">
        <w:t>on, assessment and management are</w:t>
      </w:r>
      <w:r w:rsidRPr="00281DD2">
        <w:t xml:space="preserve"> undertaken formally at four levels across the Commission:</w:t>
      </w:r>
    </w:p>
    <w:p w:rsidR="00281DD2" w:rsidRPr="000921BA" w:rsidRDefault="000921BA" w:rsidP="00E04D12">
      <w:pPr>
        <w:pStyle w:val="ListParagraph"/>
        <w:numPr>
          <w:ilvl w:val="0"/>
          <w:numId w:val="24"/>
        </w:numPr>
        <w:contextualSpacing w:val="0"/>
      </w:pPr>
      <w:r>
        <w:t>s</w:t>
      </w:r>
      <w:r w:rsidR="00281DD2" w:rsidRPr="006F1491">
        <w:t xml:space="preserve">trategic </w:t>
      </w:r>
      <w:r w:rsidR="00411E6A" w:rsidRPr="006F1491">
        <w:t>l</w:t>
      </w:r>
      <w:r w:rsidR="00281DD2" w:rsidRPr="006F1491">
        <w:t>evel</w:t>
      </w:r>
      <w:r w:rsidR="00281DD2" w:rsidRPr="000921BA">
        <w:t xml:space="preserve"> – </w:t>
      </w:r>
      <w:r w:rsidR="004C4992">
        <w:t>risks that</w:t>
      </w:r>
      <w:r w:rsidR="00281DD2" w:rsidRPr="000921BA">
        <w:t xml:space="preserve"> could affect the achievement of the Commission’s vision and objectives </w:t>
      </w:r>
    </w:p>
    <w:p w:rsidR="00281DD2" w:rsidRPr="000921BA" w:rsidRDefault="000921BA" w:rsidP="00E04D12">
      <w:pPr>
        <w:pStyle w:val="ListParagraph"/>
        <w:numPr>
          <w:ilvl w:val="0"/>
          <w:numId w:val="24"/>
        </w:numPr>
        <w:contextualSpacing w:val="0"/>
      </w:pPr>
      <w:r>
        <w:t>o</w:t>
      </w:r>
      <w:r w:rsidR="00281DD2" w:rsidRPr="006F1491">
        <w:t xml:space="preserve">perational </w:t>
      </w:r>
      <w:r w:rsidR="00411E6A" w:rsidRPr="006F1491">
        <w:t>l</w:t>
      </w:r>
      <w:r w:rsidR="00281DD2" w:rsidRPr="006F1491">
        <w:t>evel</w:t>
      </w:r>
      <w:r w:rsidR="00281DD2" w:rsidRPr="000921BA">
        <w:t xml:space="preserve"> – risks </w:t>
      </w:r>
      <w:r w:rsidR="004C4992">
        <w:t>that</w:t>
      </w:r>
      <w:r w:rsidR="00281DD2" w:rsidRPr="000921BA">
        <w:t xml:space="preserve"> may affect the objectives of one or more business areas </w:t>
      </w:r>
    </w:p>
    <w:p w:rsidR="00281DD2" w:rsidRPr="000921BA" w:rsidRDefault="000921BA" w:rsidP="00E04D12">
      <w:pPr>
        <w:pStyle w:val="ListParagraph"/>
        <w:numPr>
          <w:ilvl w:val="0"/>
          <w:numId w:val="24"/>
        </w:numPr>
        <w:contextualSpacing w:val="0"/>
      </w:pPr>
      <w:r>
        <w:t>p</w:t>
      </w:r>
      <w:r w:rsidR="00281DD2" w:rsidRPr="006F1491">
        <w:t xml:space="preserve">rogram </w:t>
      </w:r>
      <w:r w:rsidR="00411E6A" w:rsidRPr="006F1491">
        <w:t>l</w:t>
      </w:r>
      <w:r w:rsidR="00281DD2" w:rsidRPr="006F1491">
        <w:t>evel</w:t>
      </w:r>
      <w:r w:rsidR="00281DD2" w:rsidRPr="000921BA">
        <w:t xml:space="preserve"> – risks </w:t>
      </w:r>
      <w:r w:rsidR="004C4992">
        <w:t>that have</w:t>
      </w:r>
      <w:r w:rsidR="00DF1EC3">
        <w:t xml:space="preserve"> the potential to impact </w:t>
      </w:r>
      <w:r w:rsidR="00281DD2" w:rsidRPr="000921BA">
        <w:t xml:space="preserve">on a set of projects </w:t>
      </w:r>
      <w:r w:rsidR="004C4992">
        <w:t>that</w:t>
      </w:r>
      <w:r w:rsidR="004C4992" w:rsidRPr="000921BA">
        <w:t xml:space="preserve"> </w:t>
      </w:r>
      <w:r w:rsidR="00281DD2" w:rsidRPr="000921BA">
        <w:t>are grouped and managed together to deliver a combined outcome</w:t>
      </w:r>
    </w:p>
    <w:p w:rsidR="00281DD2" w:rsidRPr="000921BA" w:rsidRDefault="000921BA" w:rsidP="00E04D12">
      <w:pPr>
        <w:pStyle w:val="ListParagraph"/>
        <w:numPr>
          <w:ilvl w:val="0"/>
          <w:numId w:val="24"/>
        </w:numPr>
        <w:contextualSpacing w:val="0"/>
      </w:pPr>
      <w:proofErr w:type="gramStart"/>
      <w:r>
        <w:t>p</w:t>
      </w:r>
      <w:r w:rsidR="00281DD2" w:rsidRPr="006F1491">
        <w:t>roject</w:t>
      </w:r>
      <w:proofErr w:type="gramEnd"/>
      <w:r w:rsidR="00281DD2" w:rsidRPr="006F1491">
        <w:t xml:space="preserve"> </w:t>
      </w:r>
      <w:r w:rsidR="00411E6A" w:rsidRPr="006F1491">
        <w:t>l</w:t>
      </w:r>
      <w:r w:rsidR="00281DD2" w:rsidRPr="006F1491">
        <w:t>evel</w:t>
      </w:r>
      <w:r w:rsidR="00281DD2" w:rsidRPr="000921BA">
        <w:t xml:space="preserve"> –</w:t>
      </w:r>
      <w:r w:rsidR="004C4992">
        <w:t xml:space="preserve"> </w:t>
      </w:r>
      <w:r w:rsidR="00281DD2" w:rsidRPr="000921BA">
        <w:t xml:space="preserve">risks </w:t>
      </w:r>
      <w:r w:rsidR="004C4992">
        <w:t xml:space="preserve">that </w:t>
      </w:r>
      <w:r w:rsidR="00281DD2" w:rsidRPr="000921BA">
        <w:t xml:space="preserve">could affect the time, cost, scope or quality of </w:t>
      </w:r>
      <w:r w:rsidR="004C4992">
        <w:t>a</w:t>
      </w:r>
      <w:r w:rsidR="004C4992" w:rsidRPr="000921BA">
        <w:t xml:space="preserve"> </w:t>
      </w:r>
      <w:r w:rsidR="00281DD2" w:rsidRPr="000921BA">
        <w:t xml:space="preserve">project. </w:t>
      </w:r>
    </w:p>
    <w:p w:rsidR="00281DD2" w:rsidRPr="00281DD2" w:rsidRDefault="00281DD2" w:rsidP="00E04D12">
      <w:r w:rsidRPr="00281DD2">
        <w:t>Risks identified at the strategic an</w:t>
      </w:r>
      <w:r w:rsidR="00354996">
        <w:t>d operational level are</w:t>
      </w:r>
      <w:r w:rsidRPr="00281DD2">
        <w:t xml:space="preserve"> listed and maintained in the Commission’s Risk Register. These risks </w:t>
      </w:r>
      <w:r w:rsidR="00354996">
        <w:t>are</w:t>
      </w:r>
      <w:r w:rsidRPr="00281DD2">
        <w:t xml:space="preserve"> monitored and reviewed on an ongoing basis by the Board, the </w:t>
      </w:r>
      <w:r w:rsidR="001C3690">
        <w:t xml:space="preserve">Audit and Risk Committee </w:t>
      </w:r>
      <w:r w:rsidRPr="00281DD2">
        <w:t>and the Commission’s executive staff</w:t>
      </w:r>
      <w:r>
        <w:t xml:space="preserve">. </w:t>
      </w:r>
    </w:p>
    <w:p w:rsidR="00AA0CFB" w:rsidRPr="00AA0CFB" w:rsidRDefault="00AA0CFB" w:rsidP="005233B1">
      <w:pPr>
        <w:pStyle w:val="Heading2"/>
        <w:spacing w:after="120"/>
      </w:pPr>
      <w:bookmarkStart w:id="31" w:name="_Toc456019993"/>
      <w:r w:rsidRPr="00AA0CFB">
        <w:lastRenderedPageBreak/>
        <w:t xml:space="preserve">Compliance with </w:t>
      </w:r>
      <w:r w:rsidR="000921BA">
        <w:t>l</w:t>
      </w:r>
      <w:r w:rsidRPr="00AA0CFB">
        <w:t>egislation</w:t>
      </w:r>
      <w:bookmarkEnd w:id="31"/>
    </w:p>
    <w:p w:rsidR="000921BA" w:rsidRDefault="00AA0CFB" w:rsidP="00E04D12">
      <w:r w:rsidRPr="00A10F48">
        <w:t xml:space="preserve">The </w:t>
      </w:r>
      <w:r>
        <w:rPr>
          <w:lang w:val="en-US"/>
        </w:rPr>
        <w:t xml:space="preserve">Commission is committed to achieving its compliance requirements, meeting its statutory obligations and maintaining the highest of ethical standards. </w:t>
      </w:r>
      <w:r w:rsidRPr="00A10F48">
        <w:t xml:space="preserve">The </w:t>
      </w:r>
      <w:r w:rsidRPr="00A10F48">
        <w:rPr>
          <w:lang w:val="en-US"/>
        </w:rPr>
        <w:t>Commission</w:t>
      </w:r>
      <w:r w:rsidR="00354996">
        <w:rPr>
          <w:lang w:val="en-US"/>
        </w:rPr>
        <w:t xml:space="preserve">’s </w:t>
      </w:r>
      <w:r w:rsidRPr="006F1491">
        <w:rPr>
          <w:i/>
        </w:rPr>
        <w:t xml:space="preserve">Legislative and </w:t>
      </w:r>
      <w:r w:rsidR="000921BA" w:rsidRPr="006F1491">
        <w:rPr>
          <w:i/>
        </w:rPr>
        <w:t>p</w:t>
      </w:r>
      <w:r w:rsidRPr="006F1491">
        <w:rPr>
          <w:i/>
        </w:rPr>
        <w:t xml:space="preserve">olicy </w:t>
      </w:r>
      <w:r w:rsidR="000921BA" w:rsidRPr="006F1491">
        <w:rPr>
          <w:i/>
        </w:rPr>
        <w:t>c</w:t>
      </w:r>
      <w:r w:rsidRPr="006F1491">
        <w:rPr>
          <w:i/>
        </w:rPr>
        <w:t xml:space="preserve">ompliance </w:t>
      </w:r>
      <w:r w:rsidR="000921BA" w:rsidRPr="006F1491">
        <w:rPr>
          <w:i/>
        </w:rPr>
        <w:t>f</w:t>
      </w:r>
      <w:r w:rsidRPr="006F1491">
        <w:rPr>
          <w:i/>
        </w:rPr>
        <w:t>ramework</w:t>
      </w:r>
      <w:r>
        <w:t xml:space="preserve"> help</w:t>
      </w:r>
      <w:r w:rsidR="00354996">
        <w:t xml:space="preserve">s to </w:t>
      </w:r>
      <w:r>
        <w:t xml:space="preserve">identify and manage its obligations around compliance, and </w:t>
      </w:r>
      <w:r w:rsidRPr="00A10F48">
        <w:t>establish</w:t>
      </w:r>
      <w:r w:rsidR="00354996">
        <w:t>es</w:t>
      </w:r>
      <w:r>
        <w:t xml:space="preserve"> a system for reviewing its performance by conducting annual compliance reports. Th</w:t>
      </w:r>
      <w:r w:rsidR="00354996">
        <w:t xml:space="preserve">e annual compliance reports </w:t>
      </w:r>
      <w:r>
        <w:t xml:space="preserve">provide the Commission’s Board and </w:t>
      </w:r>
      <w:r w:rsidR="001C3690">
        <w:t>Audit and Risk Committee</w:t>
      </w:r>
      <w:r>
        <w:t xml:space="preserve"> with a level of assurance that the Commission is meeting its compliance obligations and requirements</w:t>
      </w:r>
      <w:r w:rsidRPr="00A10F48">
        <w:t>.</w:t>
      </w:r>
      <w:r>
        <w:t xml:space="preserve"> </w:t>
      </w:r>
    </w:p>
    <w:p w:rsidR="00AA0CFB" w:rsidRPr="00E72E3D" w:rsidRDefault="00AA0CFB" w:rsidP="00E04D12">
      <w:pPr>
        <w:rPr>
          <w:lang w:val="en-US"/>
        </w:rPr>
      </w:pPr>
      <w:r>
        <w:rPr>
          <w:lang w:val="en-US"/>
        </w:rPr>
        <w:t xml:space="preserve">The </w:t>
      </w:r>
      <w:r w:rsidR="000921BA">
        <w:rPr>
          <w:lang w:val="en-US"/>
        </w:rPr>
        <w:t>c</w:t>
      </w:r>
      <w:r>
        <w:rPr>
          <w:lang w:val="en-US"/>
        </w:rPr>
        <w:t xml:space="preserve">ompliance </w:t>
      </w:r>
      <w:r w:rsidR="000921BA">
        <w:rPr>
          <w:lang w:val="en-US"/>
        </w:rPr>
        <w:t>f</w:t>
      </w:r>
      <w:r>
        <w:rPr>
          <w:lang w:val="en-US"/>
        </w:rPr>
        <w:t>ramework establishes the overarching principles and commitment to action for the Commission to achiev</w:t>
      </w:r>
      <w:r w:rsidR="000921BA">
        <w:rPr>
          <w:lang w:val="en-US"/>
        </w:rPr>
        <w:t>e</w:t>
      </w:r>
      <w:r>
        <w:rPr>
          <w:lang w:val="en-US"/>
        </w:rPr>
        <w:t xml:space="preserve"> compliance, and promotes</w:t>
      </w:r>
      <w:r w:rsidRPr="00E72E3D">
        <w:rPr>
          <w:lang w:val="en-US"/>
        </w:rPr>
        <w:t xml:space="preserve"> the understanding and awaren</w:t>
      </w:r>
      <w:r>
        <w:rPr>
          <w:lang w:val="en-US"/>
        </w:rPr>
        <w:t>ess of compliance obligations for</w:t>
      </w:r>
      <w:r w:rsidRPr="00E72E3D">
        <w:rPr>
          <w:lang w:val="en-US"/>
        </w:rPr>
        <w:t xml:space="preserve"> all staff. </w:t>
      </w:r>
      <w:r>
        <w:rPr>
          <w:lang w:val="en-US"/>
        </w:rPr>
        <w:t xml:space="preserve">The </w:t>
      </w:r>
      <w:r w:rsidR="000921BA">
        <w:rPr>
          <w:lang w:val="en-US"/>
        </w:rPr>
        <w:t>c</w:t>
      </w:r>
      <w:r w:rsidRPr="004D5B8B">
        <w:rPr>
          <w:lang w:val="en-US"/>
        </w:rPr>
        <w:t xml:space="preserve">ompliance </w:t>
      </w:r>
      <w:r w:rsidR="000921BA">
        <w:rPr>
          <w:lang w:val="en-US"/>
        </w:rPr>
        <w:t>f</w:t>
      </w:r>
      <w:r>
        <w:rPr>
          <w:lang w:val="en-US"/>
        </w:rPr>
        <w:t>ramework includes measures such as</w:t>
      </w:r>
      <w:r w:rsidRPr="00E72E3D">
        <w:rPr>
          <w:lang w:val="en-US"/>
        </w:rPr>
        <w:t>:</w:t>
      </w:r>
    </w:p>
    <w:p w:rsidR="00AA0CFB" w:rsidRPr="006F1491" w:rsidRDefault="000921BA" w:rsidP="00E04D12">
      <w:pPr>
        <w:pStyle w:val="ListParagraph"/>
        <w:numPr>
          <w:ilvl w:val="0"/>
          <w:numId w:val="24"/>
        </w:numPr>
        <w:contextualSpacing w:val="0"/>
      </w:pPr>
      <w:r>
        <w:t>s</w:t>
      </w:r>
      <w:r w:rsidR="00AA0CFB" w:rsidRPr="000921BA">
        <w:t>tating</w:t>
      </w:r>
      <w:r w:rsidR="00AA0CFB" w:rsidRPr="006F1491">
        <w:t xml:space="preserve"> key compliance obligations in policy documents and position descriptions</w:t>
      </w:r>
    </w:p>
    <w:p w:rsidR="00AA0CFB" w:rsidRPr="006F1491" w:rsidRDefault="000921BA" w:rsidP="00E04D12">
      <w:pPr>
        <w:pStyle w:val="ListParagraph"/>
        <w:numPr>
          <w:ilvl w:val="0"/>
          <w:numId w:val="24"/>
        </w:numPr>
        <w:contextualSpacing w:val="0"/>
      </w:pPr>
      <w:r>
        <w:t>i</w:t>
      </w:r>
      <w:r w:rsidR="00AA0CFB" w:rsidRPr="000921BA">
        <w:t>ncorporating</w:t>
      </w:r>
      <w:r w:rsidR="00AA0CFB" w:rsidRPr="006F1491">
        <w:t xml:space="preserve"> compliance training in appropriate staff development activities</w:t>
      </w:r>
    </w:p>
    <w:p w:rsidR="00AA0CFB" w:rsidRPr="006F1491" w:rsidRDefault="000921BA" w:rsidP="00E04D12">
      <w:pPr>
        <w:pStyle w:val="ListParagraph"/>
        <w:numPr>
          <w:ilvl w:val="0"/>
          <w:numId w:val="24"/>
        </w:numPr>
        <w:contextualSpacing w:val="0"/>
      </w:pPr>
      <w:r>
        <w:t>p</w:t>
      </w:r>
      <w:r w:rsidR="00AA0CFB" w:rsidRPr="000921BA">
        <w:t>roviding</w:t>
      </w:r>
      <w:r w:rsidR="00AA0CFB" w:rsidRPr="006F1491">
        <w:t xml:space="preserve"> specific training to staff with specific responsibilities </w:t>
      </w:r>
      <w:r>
        <w:t>before</w:t>
      </w:r>
      <w:r w:rsidR="00AA0CFB" w:rsidRPr="006F1491">
        <w:t xml:space="preserve"> or when there are legislative changes</w:t>
      </w:r>
    </w:p>
    <w:p w:rsidR="00AA0CFB" w:rsidRPr="006F1491" w:rsidRDefault="000921BA" w:rsidP="00E04D12">
      <w:pPr>
        <w:pStyle w:val="ListParagraph"/>
        <w:numPr>
          <w:ilvl w:val="0"/>
          <w:numId w:val="24"/>
        </w:numPr>
        <w:contextualSpacing w:val="0"/>
      </w:pPr>
      <w:r>
        <w:t>i</w:t>
      </w:r>
      <w:r w:rsidR="00AA0CFB" w:rsidRPr="000921BA">
        <w:t>ncorporating</w:t>
      </w:r>
      <w:r w:rsidR="00AA0CFB" w:rsidRPr="006F1491">
        <w:t xml:space="preserve"> relevant compliance components into the Commission’s strategic planning and review processes</w:t>
      </w:r>
    </w:p>
    <w:p w:rsidR="00AA0CFB" w:rsidRPr="006F1491" w:rsidRDefault="00DF1EC3" w:rsidP="00E04D12">
      <w:pPr>
        <w:pStyle w:val="ListParagraph"/>
        <w:numPr>
          <w:ilvl w:val="0"/>
          <w:numId w:val="24"/>
        </w:numPr>
        <w:contextualSpacing w:val="0"/>
      </w:pPr>
      <w:proofErr w:type="gramStart"/>
      <w:r>
        <w:t>compiling</w:t>
      </w:r>
      <w:proofErr w:type="gramEnd"/>
      <w:r>
        <w:t xml:space="preserve"> </w:t>
      </w:r>
      <w:r w:rsidR="00AA0CFB" w:rsidRPr="006F1491">
        <w:t xml:space="preserve">annual compliance reports. </w:t>
      </w:r>
    </w:p>
    <w:p w:rsidR="00AA0CFB" w:rsidRPr="004D5B8B" w:rsidRDefault="00AA0CFB" w:rsidP="00E04D12">
      <w:pPr>
        <w:rPr>
          <w:lang w:val="en-US"/>
        </w:rPr>
      </w:pPr>
      <w:r w:rsidRPr="004D5B8B">
        <w:rPr>
          <w:lang w:val="en-US"/>
        </w:rPr>
        <w:t xml:space="preserve">Compliance is achieved through the actions of staff and </w:t>
      </w:r>
      <w:r w:rsidR="001C3690">
        <w:rPr>
          <w:lang w:val="en-US"/>
        </w:rPr>
        <w:t>the executive</w:t>
      </w:r>
      <w:r>
        <w:rPr>
          <w:lang w:val="en-US"/>
        </w:rPr>
        <w:t xml:space="preserve">. The </w:t>
      </w:r>
      <w:r w:rsidR="000921BA">
        <w:rPr>
          <w:lang w:val="en-US"/>
        </w:rPr>
        <w:t>c</w:t>
      </w:r>
      <w:r w:rsidRPr="004D5B8B">
        <w:rPr>
          <w:lang w:val="en-US"/>
        </w:rPr>
        <w:t xml:space="preserve">ompliance </w:t>
      </w:r>
      <w:r w:rsidR="000921BA">
        <w:rPr>
          <w:lang w:val="en-US"/>
        </w:rPr>
        <w:t>f</w:t>
      </w:r>
      <w:r>
        <w:rPr>
          <w:lang w:val="en-US"/>
        </w:rPr>
        <w:t>ramework</w:t>
      </w:r>
      <w:r w:rsidRPr="004D5B8B">
        <w:rPr>
          <w:lang w:val="en-US"/>
        </w:rPr>
        <w:t xml:space="preserve"> prevent</w:t>
      </w:r>
      <w:r w:rsidR="00411E6A">
        <w:rPr>
          <w:lang w:val="en-US"/>
        </w:rPr>
        <w:t>s</w:t>
      </w:r>
      <w:r w:rsidRPr="004D5B8B">
        <w:rPr>
          <w:lang w:val="en-US"/>
        </w:rPr>
        <w:t xml:space="preserve"> non-compliance through a structured and planned program. </w:t>
      </w:r>
      <w:r>
        <w:rPr>
          <w:lang w:val="en-US"/>
        </w:rPr>
        <w:t xml:space="preserve">The Commission’s </w:t>
      </w:r>
      <w:r w:rsidR="000921BA">
        <w:rPr>
          <w:lang w:val="en-US"/>
        </w:rPr>
        <w:t>c</w:t>
      </w:r>
      <w:r w:rsidRPr="004D5B8B">
        <w:rPr>
          <w:lang w:val="en-US"/>
        </w:rPr>
        <w:t xml:space="preserve">ompliance </w:t>
      </w:r>
      <w:r w:rsidR="000921BA">
        <w:rPr>
          <w:lang w:val="en-US"/>
        </w:rPr>
        <w:t>f</w:t>
      </w:r>
      <w:r>
        <w:rPr>
          <w:lang w:val="en-US"/>
        </w:rPr>
        <w:t>ramework includes</w:t>
      </w:r>
      <w:r w:rsidRPr="004D5B8B">
        <w:rPr>
          <w:lang w:val="en-US"/>
        </w:rPr>
        <w:t xml:space="preserve">: </w:t>
      </w:r>
    </w:p>
    <w:p w:rsidR="00AA0CFB" w:rsidRPr="006F1491" w:rsidRDefault="00AA0CFB" w:rsidP="00E04D12">
      <w:pPr>
        <w:pStyle w:val="ListParagraph"/>
        <w:numPr>
          <w:ilvl w:val="0"/>
          <w:numId w:val="24"/>
        </w:numPr>
        <w:contextualSpacing w:val="0"/>
      </w:pPr>
      <w:r w:rsidRPr="00010C3C">
        <w:rPr>
          <w:rFonts w:cs="Arial"/>
          <w:szCs w:val="22"/>
        </w:rPr>
        <w:t>identifying</w:t>
      </w:r>
      <w:r w:rsidRPr="004D5B8B">
        <w:rPr>
          <w:rFonts w:cs="Arial"/>
          <w:szCs w:val="22"/>
          <w:lang w:val="en-US"/>
        </w:rPr>
        <w:t xml:space="preserve"> </w:t>
      </w:r>
      <w:r w:rsidRPr="006F1491">
        <w:t xml:space="preserve">compliance obligations and promoting awareness </w:t>
      </w:r>
    </w:p>
    <w:p w:rsidR="00AA0CFB" w:rsidRPr="006F1491" w:rsidRDefault="00AA0CFB" w:rsidP="00E04D12">
      <w:pPr>
        <w:pStyle w:val="ListParagraph"/>
        <w:numPr>
          <w:ilvl w:val="0"/>
          <w:numId w:val="24"/>
        </w:numPr>
        <w:contextualSpacing w:val="0"/>
      </w:pPr>
      <w:r w:rsidRPr="000921BA">
        <w:t>allocating</w:t>
      </w:r>
      <w:r w:rsidRPr="006F1491">
        <w:t xml:space="preserve"> responsibility to the relevant officers to facilitate staff and organisational compliance with obligations</w:t>
      </w:r>
    </w:p>
    <w:p w:rsidR="00AA0CFB" w:rsidRPr="00450E48" w:rsidRDefault="00AA0CFB" w:rsidP="00E04D12">
      <w:pPr>
        <w:pStyle w:val="ListParagraph"/>
        <w:numPr>
          <w:ilvl w:val="0"/>
          <w:numId w:val="24"/>
        </w:numPr>
        <w:contextualSpacing w:val="0"/>
      </w:pPr>
      <w:r w:rsidRPr="000921BA">
        <w:t>undertaking</w:t>
      </w:r>
      <w:r w:rsidRPr="00450E48">
        <w:t xml:space="preserve"> a risk assessment of obligations, whe</w:t>
      </w:r>
      <w:r w:rsidR="000921BA">
        <w:t>n</w:t>
      </w:r>
      <w:r w:rsidRPr="00450E48">
        <w:t xml:space="preserve"> necessary, to identify actions and strategies to prevent or minimise risks of non-compliance</w:t>
      </w:r>
    </w:p>
    <w:p w:rsidR="00AA0CFB" w:rsidRPr="00450E48" w:rsidRDefault="00AA0CFB" w:rsidP="00E04D12">
      <w:pPr>
        <w:pStyle w:val="ListParagraph"/>
        <w:numPr>
          <w:ilvl w:val="0"/>
          <w:numId w:val="24"/>
        </w:numPr>
        <w:contextualSpacing w:val="0"/>
      </w:pPr>
      <w:r w:rsidRPr="000921BA">
        <w:t>establishing</w:t>
      </w:r>
      <w:r w:rsidRPr="00450E48">
        <w:t xml:space="preserve"> monitoring mechanisms to provide information to </w:t>
      </w:r>
      <w:r w:rsidR="001C3690">
        <w:rPr>
          <w:lang w:val="en-US"/>
        </w:rPr>
        <w:t>the executive</w:t>
      </w:r>
      <w:r w:rsidRPr="00450E48">
        <w:t>, including identifying any non-compliance and remedial action taken</w:t>
      </w:r>
    </w:p>
    <w:p w:rsidR="00AA0CFB" w:rsidRPr="00450E48" w:rsidRDefault="00AA0CFB" w:rsidP="00E04D12">
      <w:pPr>
        <w:pStyle w:val="ListParagraph"/>
        <w:numPr>
          <w:ilvl w:val="0"/>
          <w:numId w:val="24"/>
        </w:numPr>
        <w:contextualSpacing w:val="0"/>
      </w:pPr>
      <w:r w:rsidRPr="000921BA">
        <w:t>establishing</w:t>
      </w:r>
      <w:r w:rsidRPr="00450E48">
        <w:t xml:space="preserve"> reporting mechanisms to relevant </w:t>
      </w:r>
      <w:r w:rsidR="001C3690">
        <w:rPr>
          <w:lang w:val="en-US"/>
        </w:rPr>
        <w:t>the executive</w:t>
      </w:r>
      <w:r w:rsidRPr="00450E48">
        <w:t xml:space="preserve">, the </w:t>
      </w:r>
      <w:r w:rsidR="001C3690">
        <w:t>Audit and Risk Committee</w:t>
      </w:r>
      <w:r w:rsidRPr="00450E48">
        <w:t xml:space="preserve"> and the Board</w:t>
      </w:r>
    </w:p>
    <w:p w:rsidR="00AA0CFB" w:rsidRPr="00450E48" w:rsidRDefault="00AA0CFB" w:rsidP="00E04D12">
      <w:pPr>
        <w:pStyle w:val="ListParagraph"/>
        <w:numPr>
          <w:ilvl w:val="0"/>
          <w:numId w:val="24"/>
        </w:numPr>
        <w:contextualSpacing w:val="0"/>
      </w:pPr>
      <w:r w:rsidRPr="000921BA">
        <w:t>promoting</w:t>
      </w:r>
      <w:r w:rsidRPr="00450E48">
        <w:t xml:space="preserve"> to staff and </w:t>
      </w:r>
      <w:r w:rsidR="001C3690">
        <w:rPr>
          <w:lang w:val="en-US"/>
        </w:rPr>
        <w:t>the executive</w:t>
      </w:r>
      <w:r w:rsidR="001C3690" w:rsidRPr="00450E48">
        <w:t xml:space="preserve"> </w:t>
      </w:r>
      <w:r w:rsidRPr="00450E48">
        <w:t>awareness of the importance of compliance with specific obligations, as well as commitment to compliance, as an organisational value</w:t>
      </w:r>
    </w:p>
    <w:p w:rsidR="00AA0CFB" w:rsidRPr="000921BA" w:rsidRDefault="00AA0CFB" w:rsidP="00E04D12">
      <w:pPr>
        <w:pStyle w:val="ListParagraph"/>
        <w:numPr>
          <w:ilvl w:val="0"/>
          <w:numId w:val="24"/>
        </w:numPr>
        <w:contextualSpacing w:val="0"/>
      </w:pPr>
      <w:proofErr w:type="gramStart"/>
      <w:r w:rsidRPr="000921BA">
        <w:t>fostering</w:t>
      </w:r>
      <w:proofErr w:type="gramEnd"/>
      <w:r w:rsidRPr="000921BA">
        <w:t xml:space="preserve"> continuous improvement in compliance processes across the </w:t>
      </w:r>
      <w:r w:rsidR="001C3690">
        <w:t>organisation</w:t>
      </w:r>
      <w:r w:rsidRPr="000921BA">
        <w:t xml:space="preserve"> to ensure obligations are met.</w:t>
      </w:r>
    </w:p>
    <w:sectPr w:rsidR="00AA0CFB" w:rsidRPr="000921BA" w:rsidSect="001731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978" w:rsidRDefault="004F5978" w:rsidP="00500B76">
      <w:r>
        <w:separator/>
      </w:r>
    </w:p>
  </w:endnote>
  <w:endnote w:type="continuationSeparator" w:id="0">
    <w:p w:rsidR="004F5978" w:rsidRDefault="004F5978" w:rsidP="00500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ight">
    <w:panose1 w:val="00000000000000000000"/>
    <w:charset w:val="00"/>
    <w:family w:val="swiss"/>
    <w:notTrueType/>
    <w:pitch w:val="default"/>
    <w:sig w:usb0="00000003" w:usb1="00000000" w:usb2="00000000" w:usb3="00000000" w:csb0="00000001" w:csb1="00000000"/>
  </w:font>
  <w:font w:name="HelveticaNeue-LightItalic">
    <w:altName w:val="Arial"/>
    <w:panose1 w:val="00000000000000000000"/>
    <w:charset w:val="4D"/>
    <w:family w:val="auto"/>
    <w:notTrueType/>
    <w:pitch w:val="default"/>
    <w:sig w:usb0="00000003" w:usb1="00000000" w:usb2="00000000" w:usb3="00000000" w:csb0="00000001" w:csb1="00000000"/>
  </w:font>
  <w:font w:name="HelveticaNeueLT Com 45 Lt">
    <w:altName w:val="HelveticaNeueLT Com 45 L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DB2" w:rsidRDefault="007B2D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4362116"/>
      <w:docPartObj>
        <w:docPartGallery w:val="Page Numbers (Bottom of Page)"/>
        <w:docPartUnique/>
      </w:docPartObj>
    </w:sdtPr>
    <w:sdtEndPr>
      <w:rPr>
        <w:noProof/>
      </w:rPr>
    </w:sdtEndPr>
    <w:sdtContent>
      <w:p w:rsidR="007B2DB2" w:rsidRDefault="007B2DB2" w:rsidP="0020000F">
        <w:pPr>
          <w:pStyle w:val="Footer"/>
          <w:jc w:val="right"/>
        </w:pPr>
        <w:r>
          <w:fldChar w:fldCharType="begin"/>
        </w:r>
        <w:r>
          <w:instrText xml:space="preserve"> PAGE   \* MERGEFORMAT </w:instrText>
        </w:r>
        <w:r>
          <w:fldChar w:fldCharType="separate"/>
        </w:r>
        <w:r w:rsidR="00D22F1A">
          <w:rPr>
            <w:noProof/>
          </w:rPr>
          <w:t>1</w:t>
        </w:r>
        <w:r>
          <w:rPr>
            <w:noProof/>
          </w:rPr>
          <w:fldChar w:fldCharType="end"/>
        </w:r>
      </w:p>
    </w:sdtContent>
  </w:sdt>
  <w:p w:rsidR="007B2DB2" w:rsidRDefault="007B2DB2" w:rsidP="00500B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DB2" w:rsidRDefault="007B2D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978" w:rsidRDefault="004F5978" w:rsidP="00500B76">
      <w:r>
        <w:separator/>
      </w:r>
    </w:p>
  </w:footnote>
  <w:footnote w:type="continuationSeparator" w:id="0">
    <w:p w:rsidR="004F5978" w:rsidRDefault="004F5978" w:rsidP="00500B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DB2" w:rsidRDefault="007B2D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DB2" w:rsidRDefault="007B2D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DB2" w:rsidRDefault="007B2D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894EE878"/>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
    <w:nsid w:val="044D2474"/>
    <w:multiLevelType w:val="hybridMultilevel"/>
    <w:tmpl w:val="6C2C3F10"/>
    <w:lvl w:ilvl="0" w:tplc="0C090001">
      <w:start w:val="1"/>
      <w:numFmt w:val="bullet"/>
      <w:lvlText w:val=""/>
      <w:lvlJc w:val="left"/>
      <w:pPr>
        <w:ind w:left="-491" w:hanging="360"/>
      </w:pPr>
      <w:rPr>
        <w:rFonts w:ascii="Symbol" w:hAnsi="Symbol" w:hint="default"/>
        <w:color w:val="auto"/>
        <w:sz w:val="16"/>
      </w:rPr>
    </w:lvl>
    <w:lvl w:ilvl="1" w:tplc="0C090003">
      <w:start w:val="1"/>
      <w:numFmt w:val="bullet"/>
      <w:lvlText w:val="o"/>
      <w:lvlJc w:val="left"/>
      <w:pPr>
        <w:ind w:left="229" w:hanging="360"/>
      </w:pPr>
      <w:rPr>
        <w:rFonts w:ascii="Courier New" w:hAnsi="Courier New" w:cs="Courier New" w:hint="default"/>
      </w:rPr>
    </w:lvl>
    <w:lvl w:ilvl="2" w:tplc="0C090005" w:tentative="1">
      <w:start w:val="1"/>
      <w:numFmt w:val="bullet"/>
      <w:lvlText w:val=""/>
      <w:lvlJc w:val="left"/>
      <w:pPr>
        <w:ind w:left="949" w:hanging="360"/>
      </w:pPr>
      <w:rPr>
        <w:rFonts w:ascii="Wingdings" w:hAnsi="Wingdings" w:hint="default"/>
      </w:rPr>
    </w:lvl>
    <w:lvl w:ilvl="3" w:tplc="0C090001" w:tentative="1">
      <w:start w:val="1"/>
      <w:numFmt w:val="bullet"/>
      <w:lvlText w:val=""/>
      <w:lvlJc w:val="left"/>
      <w:pPr>
        <w:ind w:left="1669" w:hanging="360"/>
      </w:pPr>
      <w:rPr>
        <w:rFonts w:ascii="Symbol" w:hAnsi="Symbol" w:hint="default"/>
      </w:rPr>
    </w:lvl>
    <w:lvl w:ilvl="4" w:tplc="0C090003" w:tentative="1">
      <w:start w:val="1"/>
      <w:numFmt w:val="bullet"/>
      <w:lvlText w:val="o"/>
      <w:lvlJc w:val="left"/>
      <w:pPr>
        <w:ind w:left="2389" w:hanging="360"/>
      </w:pPr>
      <w:rPr>
        <w:rFonts w:ascii="Courier New" w:hAnsi="Courier New" w:cs="Courier New" w:hint="default"/>
      </w:rPr>
    </w:lvl>
    <w:lvl w:ilvl="5" w:tplc="0C090005" w:tentative="1">
      <w:start w:val="1"/>
      <w:numFmt w:val="bullet"/>
      <w:lvlText w:val=""/>
      <w:lvlJc w:val="left"/>
      <w:pPr>
        <w:ind w:left="3109" w:hanging="360"/>
      </w:pPr>
      <w:rPr>
        <w:rFonts w:ascii="Wingdings" w:hAnsi="Wingdings" w:hint="default"/>
      </w:rPr>
    </w:lvl>
    <w:lvl w:ilvl="6" w:tplc="0C090001" w:tentative="1">
      <w:start w:val="1"/>
      <w:numFmt w:val="bullet"/>
      <w:lvlText w:val=""/>
      <w:lvlJc w:val="left"/>
      <w:pPr>
        <w:ind w:left="3829" w:hanging="360"/>
      </w:pPr>
      <w:rPr>
        <w:rFonts w:ascii="Symbol" w:hAnsi="Symbol" w:hint="default"/>
      </w:rPr>
    </w:lvl>
    <w:lvl w:ilvl="7" w:tplc="0C090003" w:tentative="1">
      <w:start w:val="1"/>
      <w:numFmt w:val="bullet"/>
      <w:lvlText w:val="o"/>
      <w:lvlJc w:val="left"/>
      <w:pPr>
        <w:ind w:left="4549" w:hanging="360"/>
      </w:pPr>
      <w:rPr>
        <w:rFonts w:ascii="Courier New" w:hAnsi="Courier New" w:cs="Courier New" w:hint="default"/>
      </w:rPr>
    </w:lvl>
    <w:lvl w:ilvl="8" w:tplc="0C090005" w:tentative="1">
      <w:start w:val="1"/>
      <w:numFmt w:val="bullet"/>
      <w:lvlText w:val=""/>
      <w:lvlJc w:val="left"/>
      <w:pPr>
        <w:ind w:left="5269" w:hanging="360"/>
      </w:pPr>
      <w:rPr>
        <w:rFonts w:ascii="Wingdings" w:hAnsi="Wingdings" w:hint="default"/>
      </w:rPr>
    </w:lvl>
  </w:abstractNum>
  <w:abstractNum w:abstractNumId="2">
    <w:nsid w:val="052162CF"/>
    <w:multiLevelType w:val="hybridMultilevel"/>
    <w:tmpl w:val="B888E66C"/>
    <w:lvl w:ilvl="0" w:tplc="F46A44FC">
      <w:start w:val="1"/>
      <w:numFmt w:val="bullet"/>
      <w:lvlText w:val=""/>
      <w:lvlJc w:val="left"/>
      <w:pPr>
        <w:tabs>
          <w:tab w:val="num" w:pos="360"/>
        </w:tabs>
        <w:ind w:left="360" w:hanging="360"/>
      </w:pPr>
      <w:rPr>
        <w:rFonts w:ascii="Symbol" w:hAnsi="Symbol" w:hint="default"/>
        <w:spacing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4D1181"/>
    <w:multiLevelType w:val="hybridMultilevel"/>
    <w:tmpl w:val="412EE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1023456"/>
    <w:multiLevelType w:val="hybridMultilevel"/>
    <w:tmpl w:val="F340873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15132D91"/>
    <w:multiLevelType w:val="hybridMultilevel"/>
    <w:tmpl w:val="BD7824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54063A1"/>
    <w:multiLevelType w:val="hybridMultilevel"/>
    <w:tmpl w:val="0EE22E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8105C16"/>
    <w:multiLevelType w:val="hybridMultilevel"/>
    <w:tmpl w:val="FCEC9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82035E3"/>
    <w:multiLevelType w:val="hybridMultilevel"/>
    <w:tmpl w:val="28ACCA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F500786"/>
    <w:multiLevelType w:val="hybridMultilevel"/>
    <w:tmpl w:val="949CBE1C"/>
    <w:lvl w:ilvl="0" w:tplc="596CE2CE">
      <w:start w:val="201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F69485D"/>
    <w:multiLevelType w:val="hybridMultilevel"/>
    <w:tmpl w:val="CB8E8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26D5557"/>
    <w:multiLevelType w:val="hybridMultilevel"/>
    <w:tmpl w:val="EB687D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815691A"/>
    <w:multiLevelType w:val="hybridMultilevel"/>
    <w:tmpl w:val="0F441FDC"/>
    <w:lvl w:ilvl="0" w:tplc="9AAE9582">
      <w:start w:val="1"/>
      <w:numFmt w:val="bullet"/>
      <w:lvlText w:val=""/>
      <w:lvlJc w:val="left"/>
      <w:pPr>
        <w:ind w:left="-491" w:hanging="360"/>
      </w:pPr>
      <w:rPr>
        <w:rFonts w:ascii="Wingdings" w:hAnsi="Wingdings" w:hint="default"/>
        <w:color w:val="auto"/>
        <w:sz w:val="16"/>
      </w:rPr>
    </w:lvl>
    <w:lvl w:ilvl="1" w:tplc="0C090003">
      <w:start w:val="1"/>
      <w:numFmt w:val="bullet"/>
      <w:lvlText w:val="o"/>
      <w:lvlJc w:val="left"/>
      <w:pPr>
        <w:ind w:left="229" w:hanging="360"/>
      </w:pPr>
      <w:rPr>
        <w:rFonts w:ascii="Courier New" w:hAnsi="Courier New" w:cs="Courier New" w:hint="default"/>
      </w:rPr>
    </w:lvl>
    <w:lvl w:ilvl="2" w:tplc="0C090005" w:tentative="1">
      <w:start w:val="1"/>
      <w:numFmt w:val="bullet"/>
      <w:lvlText w:val=""/>
      <w:lvlJc w:val="left"/>
      <w:pPr>
        <w:ind w:left="949" w:hanging="360"/>
      </w:pPr>
      <w:rPr>
        <w:rFonts w:ascii="Wingdings" w:hAnsi="Wingdings" w:hint="default"/>
      </w:rPr>
    </w:lvl>
    <w:lvl w:ilvl="3" w:tplc="0C090001" w:tentative="1">
      <w:start w:val="1"/>
      <w:numFmt w:val="bullet"/>
      <w:lvlText w:val=""/>
      <w:lvlJc w:val="left"/>
      <w:pPr>
        <w:ind w:left="1669" w:hanging="360"/>
      </w:pPr>
      <w:rPr>
        <w:rFonts w:ascii="Symbol" w:hAnsi="Symbol" w:hint="default"/>
      </w:rPr>
    </w:lvl>
    <w:lvl w:ilvl="4" w:tplc="0C090003" w:tentative="1">
      <w:start w:val="1"/>
      <w:numFmt w:val="bullet"/>
      <w:lvlText w:val="o"/>
      <w:lvlJc w:val="left"/>
      <w:pPr>
        <w:ind w:left="2389" w:hanging="360"/>
      </w:pPr>
      <w:rPr>
        <w:rFonts w:ascii="Courier New" w:hAnsi="Courier New" w:cs="Courier New" w:hint="default"/>
      </w:rPr>
    </w:lvl>
    <w:lvl w:ilvl="5" w:tplc="0C090005" w:tentative="1">
      <w:start w:val="1"/>
      <w:numFmt w:val="bullet"/>
      <w:lvlText w:val=""/>
      <w:lvlJc w:val="left"/>
      <w:pPr>
        <w:ind w:left="3109" w:hanging="360"/>
      </w:pPr>
      <w:rPr>
        <w:rFonts w:ascii="Wingdings" w:hAnsi="Wingdings" w:hint="default"/>
      </w:rPr>
    </w:lvl>
    <w:lvl w:ilvl="6" w:tplc="0C090001" w:tentative="1">
      <w:start w:val="1"/>
      <w:numFmt w:val="bullet"/>
      <w:lvlText w:val=""/>
      <w:lvlJc w:val="left"/>
      <w:pPr>
        <w:ind w:left="3829" w:hanging="360"/>
      </w:pPr>
      <w:rPr>
        <w:rFonts w:ascii="Symbol" w:hAnsi="Symbol" w:hint="default"/>
      </w:rPr>
    </w:lvl>
    <w:lvl w:ilvl="7" w:tplc="0C090003" w:tentative="1">
      <w:start w:val="1"/>
      <w:numFmt w:val="bullet"/>
      <w:lvlText w:val="o"/>
      <w:lvlJc w:val="left"/>
      <w:pPr>
        <w:ind w:left="4549" w:hanging="360"/>
      </w:pPr>
      <w:rPr>
        <w:rFonts w:ascii="Courier New" w:hAnsi="Courier New" w:cs="Courier New" w:hint="default"/>
      </w:rPr>
    </w:lvl>
    <w:lvl w:ilvl="8" w:tplc="0C090005" w:tentative="1">
      <w:start w:val="1"/>
      <w:numFmt w:val="bullet"/>
      <w:lvlText w:val=""/>
      <w:lvlJc w:val="left"/>
      <w:pPr>
        <w:ind w:left="5269" w:hanging="360"/>
      </w:pPr>
      <w:rPr>
        <w:rFonts w:ascii="Wingdings" w:hAnsi="Wingdings" w:hint="default"/>
      </w:rPr>
    </w:lvl>
  </w:abstractNum>
  <w:abstractNum w:abstractNumId="13">
    <w:nsid w:val="2C0A27A7"/>
    <w:multiLevelType w:val="hybridMultilevel"/>
    <w:tmpl w:val="CA3872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34265CBB"/>
    <w:multiLevelType w:val="hybridMultilevel"/>
    <w:tmpl w:val="6922CF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6DC58BF"/>
    <w:multiLevelType w:val="singleLevel"/>
    <w:tmpl w:val="0C090001"/>
    <w:lvl w:ilvl="0">
      <w:start w:val="1"/>
      <w:numFmt w:val="bullet"/>
      <w:lvlText w:val=""/>
      <w:lvlJc w:val="left"/>
      <w:pPr>
        <w:ind w:left="720" w:hanging="360"/>
      </w:pPr>
      <w:rPr>
        <w:rFonts w:ascii="Symbol" w:hAnsi="Symbol" w:hint="default"/>
      </w:rPr>
    </w:lvl>
  </w:abstractNum>
  <w:abstractNum w:abstractNumId="16">
    <w:nsid w:val="38F26E05"/>
    <w:multiLevelType w:val="multilevel"/>
    <w:tmpl w:val="E5A470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44105822"/>
    <w:multiLevelType w:val="hybridMultilevel"/>
    <w:tmpl w:val="B46292DA"/>
    <w:lvl w:ilvl="0" w:tplc="BD12CF5C">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8">
    <w:nsid w:val="45CD7F3D"/>
    <w:multiLevelType w:val="hybridMultilevel"/>
    <w:tmpl w:val="1778AC02"/>
    <w:lvl w:ilvl="0" w:tplc="126E8476">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nsid w:val="48DA1FA5"/>
    <w:multiLevelType w:val="hybridMultilevel"/>
    <w:tmpl w:val="4650FB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49C7090D"/>
    <w:multiLevelType w:val="hybridMultilevel"/>
    <w:tmpl w:val="DE145D6A"/>
    <w:lvl w:ilvl="0" w:tplc="0C090001">
      <w:start w:val="2015"/>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EFB2AE7"/>
    <w:multiLevelType w:val="hybridMultilevel"/>
    <w:tmpl w:val="337687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5625241E"/>
    <w:multiLevelType w:val="multilevel"/>
    <w:tmpl w:val="AC5CC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CA3C4B"/>
    <w:multiLevelType w:val="hybridMultilevel"/>
    <w:tmpl w:val="A37663B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5ADC6854"/>
    <w:multiLevelType w:val="hybridMultilevel"/>
    <w:tmpl w:val="7A62641E"/>
    <w:lvl w:ilvl="0" w:tplc="51EE6F3A">
      <w:start w:val="1"/>
      <w:numFmt w:val="decimal"/>
      <w:lvlText w:val="%1."/>
      <w:lvlJc w:val="left"/>
      <w:pPr>
        <w:ind w:left="360" w:hanging="360"/>
      </w:pPr>
      <w:rPr>
        <w:rFonts w:ascii="Arial" w:eastAsia="Times New Roman" w:hAnsi="Arial" w:cs="Times New Roman"/>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5CD932EE"/>
    <w:multiLevelType w:val="hybridMultilevel"/>
    <w:tmpl w:val="42BEC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5B064FA"/>
    <w:multiLevelType w:val="hybridMultilevel"/>
    <w:tmpl w:val="4992B7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67154B7F"/>
    <w:multiLevelType w:val="hybridMultilevel"/>
    <w:tmpl w:val="1DDCD34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8">
    <w:nsid w:val="68403DDE"/>
    <w:multiLevelType w:val="hybridMultilevel"/>
    <w:tmpl w:val="DC00AB78"/>
    <w:lvl w:ilvl="0" w:tplc="B0B0C1B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A2C67BE"/>
    <w:multiLevelType w:val="hybridMultilevel"/>
    <w:tmpl w:val="544C764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FF67BAF"/>
    <w:multiLevelType w:val="hybridMultilevel"/>
    <w:tmpl w:val="22B6ED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72F4429F"/>
    <w:multiLevelType w:val="hybridMultilevel"/>
    <w:tmpl w:val="14207C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73F67A12"/>
    <w:multiLevelType w:val="hybridMultilevel"/>
    <w:tmpl w:val="901E4F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47212CF"/>
    <w:multiLevelType w:val="hybridMultilevel"/>
    <w:tmpl w:val="1660A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51A3119"/>
    <w:multiLevelType w:val="hybridMultilevel"/>
    <w:tmpl w:val="6C7C33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76707073"/>
    <w:multiLevelType w:val="hybridMultilevel"/>
    <w:tmpl w:val="999203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777170D0"/>
    <w:multiLevelType w:val="hybridMultilevel"/>
    <w:tmpl w:val="EB687D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8F647BE"/>
    <w:multiLevelType w:val="hybridMultilevel"/>
    <w:tmpl w:val="1D186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A612DF6"/>
    <w:multiLevelType w:val="hybridMultilevel"/>
    <w:tmpl w:val="CF708F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7CFE6EFB"/>
    <w:multiLevelType w:val="hybridMultilevel"/>
    <w:tmpl w:val="8862A538"/>
    <w:lvl w:ilvl="0" w:tplc="FE7EDE62">
      <w:start w:val="1"/>
      <w:numFmt w:val="bullet"/>
      <w:lvlText w:val=""/>
      <w:lvlJc w:val="left"/>
      <w:pPr>
        <w:ind w:left="360" w:hanging="360"/>
      </w:pPr>
      <w:rPr>
        <w:rFonts w:ascii="Wingdings" w:hAnsi="Wingdings" w:hint="default"/>
        <w:color w:val="FFFFFF" w:themeColor="background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4"/>
  </w:num>
  <w:num w:numId="2">
    <w:abstractNumId w:val="38"/>
  </w:num>
  <w:num w:numId="3">
    <w:abstractNumId w:val="19"/>
  </w:num>
  <w:num w:numId="4">
    <w:abstractNumId w:val="23"/>
  </w:num>
  <w:num w:numId="5">
    <w:abstractNumId w:val="5"/>
  </w:num>
  <w:num w:numId="6">
    <w:abstractNumId w:val="13"/>
  </w:num>
  <w:num w:numId="7">
    <w:abstractNumId w:val="20"/>
  </w:num>
  <w:num w:numId="8">
    <w:abstractNumId w:val="9"/>
  </w:num>
  <w:num w:numId="9">
    <w:abstractNumId w:val="25"/>
  </w:num>
  <w:num w:numId="10">
    <w:abstractNumId w:val="4"/>
  </w:num>
  <w:num w:numId="11">
    <w:abstractNumId w:val="8"/>
  </w:num>
  <w:num w:numId="12">
    <w:abstractNumId w:val="26"/>
  </w:num>
  <w:num w:numId="13">
    <w:abstractNumId w:val="31"/>
  </w:num>
  <w:num w:numId="14">
    <w:abstractNumId w:val="34"/>
  </w:num>
  <w:num w:numId="15">
    <w:abstractNumId w:val="0"/>
  </w:num>
  <w:num w:numId="16">
    <w:abstractNumId w:val="12"/>
  </w:num>
  <w:num w:numId="17">
    <w:abstractNumId w:val="11"/>
  </w:num>
  <w:num w:numId="18">
    <w:abstractNumId w:val="36"/>
  </w:num>
  <w:num w:numId="19">
    <w:abstractNumId w:val="28"/>
  </w:num>
  <w:num w:numId="20">
    <w:abstractNumId w:val="2"/>
  </w:num>
  <w:num w:numId="21">
    <w:abstractNumId w:val="18"/>
  </w:num>
  <w:num w:numId="22">
    <w:abstractNumId w:val="32"/>
  </w:num>
  <w:num w:numId="23">
    <w:abstractNumId w:val="22"/>
  </w:num>
  <w:num w:numId="24">
    <w:abstractNumId w:val="3"/>
  </w:num>
  <w:num w:numId="25">
    <w:abstractNumId w:val="27"/>
  </w:num>
  <w:num w:numId="26">
    <w:abstractNumId w:val="17"/>
  </w:num>
  <w:num w:numId="27">
    <w:abstractNumId w:val="29"/>
  </w:num>
  <w:num w:numId="28">
    <w:abstractNumId w:val="1"/>
  </w:num>
  <w:num w:numId="29">
    <w:abstractNumId w:val="24"/>
  </w:num>
  <w:num w:numId="30">
    <w:abstractNumId w:val="16"/>
  </w:num>
  <w:num w:numId="31">
    <w:abstractNumId w:val="33"/>
  </w:num>
  <w:num w:numId="32">
    <w:abstractNumId w:val="15"/>
  </w:num>
  <w:num w:numId="33">
    <w:abstractNumId w:val="35"/>
  </w:num>
  <w:num w:numId="34">
    <w:abstractNumId w:val="21"/>
  </w:num>
  <w:num w:numId="35">
    <w:abstractNumId w:val="7"/>
  </w:num>
  <w:num w:numId="36">
    <w:abstractNumId w:val="30"/>
  </w:num>
  <w:num w:numId="37">
    <w:abstractNumId w:val="6"/>
  </w:num>
  <w:num w:numId="38">
    <w:abstractNumId w:val="10"/>
  </w:num>
  <w:num w:numId="39">
    <w:abstractNumId w:val="37"/>
  </w:num>
  <w:num w:numId="40">
    <w:abstractNumId w:val="3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FCC"/>
    <w:rsid w:val="00003743"/>
    <w:rsid w:val="00005ECE"/>
    <w:rsid w:val="00014F73"/>
    <w:rsid w:val="000158B9"/>
    <w:rsid w:val="00023EF9"/>
    <w:rsid w:val="00031603"/>
    <w:rsid w:val="00032BD4"/>
    <w:rsid w:val="00045C03"/>
    <w:rsid w:val="00051E2D"/>
    <w:rsid w:val="00067456"/>
    <w:rsid w:val="00076708"/>
    <w:rsid w:val="00080CB5"/>
    <w:rsid w:val="00090675"/>
    <w:rsid w:val="000909EE"/>
    <w:rsid w:val="000921BA"/>
    <w:rsid w:val="00093F30"/>
    <w:rsid w:val="000958D1"/>
    <w:rsid w:val="000C5C4B"/>
    <w:rsid w:val="000D2D09"/>
    <w:rsid w:val="000E1ADE"/>
    <w:rsid w:val="000E4225"/>
    <w:rsid w:val="000F2256"/>
    <w:rsid w:val="000F5A4B"/>
    <w:rsid w:val="0010378E"/>
    <w:rsid w:val="001111AE"/>
    <w:rsid w:val="0011348A"/>
    <w:rsid w:val="00116A49"/>
    <w:rsid w:val="00122577"/>
    <w:rsid w:val="00130787"/>
    <w:rsid w:val="001312A3"/>
    <w:rsid w:val="00131B8E"/>
    <w:rsid w:val="00134243"/>
    <w:rsid w:val="00135962"/>
    <w:rsid w:val="00146773"/>
    <w:rsid w:val="001519E0"/>
    <w:rsid w:val="001549A3"/>
    <w:rsid w:val="00160CA1"/>
    <w:rsid w:val="00162723"/>
    <w:rsid w:val="001655C0"/>
    <w:rsid w:val="00173175"/>
    <w:rsid w:val="0018054B"/>
    <w:rsid w:val="0018515C"/>
    <w:rsid w:val="001863F0"/>
    <w:rsid w:val="00186AEE"/>
    <w:rsid w:val="00190713"/>
    <w:rsid w:val="001A0484"/>
    <w:rsid w:val="001A0EE2"/>
    <w:rsid w:val="001A2909"/>
    <w:rsid w:val="001B3443"/>
    <w:rsid w:val="001B5BC4"/>
    <w:rsid w:val="001B632C"/>
    <w:rsid w:val="001C2C30"/>
    <w:rsid w:val="001C3690"/>
    <w:rsid w:val="001C5BB6"/>
    <w:rsid w:val="001D68BA"/>
    <w:rsid w:val="001D6BBD"/>
    <w:rsid w:val="001E67B8"/>
    <w:rsid w:val="001E6C5F"/>
    <w:rsid w:val="001F53A7"/>
    <w:rsid w:val="001F6283"/>
    <w:rsid w:val="001F7652"/>
    <w:rsid w:val="0020000F"/>
    <w:rsid w:val="00203C94"/>
    <w:rsid w:val="002147C2"/>
    <w:rsid w:val="00214D4C"/>
    <w:rsid w:val="002207C1"/>
    <w:rsid w:val="00220E41"/>
    <w:rsid w:val="002258DC"/>
    <w:rsid w:val="00226D52"/>
    <w:rsid w:val="002279A9"/>
    <w:rsid w:val="00232B92"/>
    <w:rsid w:val="002403D3"/>
    <w:rsid w:val="00250170"/>
    <w:rsid w:val="00250C8D"/>
    <w:rsid w:val="00251AE1"/>
    <w:rsid w:val="00256C66"/>
    <w:rsid w:val="00260213"/>
    <w:rsid w:val="00260A62"/>
    <w:rsid w:val="002640B9"/>
    <w:rsid w:val="0027242E"/>
    <w:rsid w:val="00276D10"/>
    <w:rsid w:val="00281DD2"/>
    <w:rsid w:val="00282CA2"/>
    <w:rsid w:val="0029002F"/>
    <w:rsid w:val="00296ED1"/>
    <w:rsid w:val="002A254B"/>
    <w:rsid w:val="002A5B05"/>
    <w:rsid w:val="002B0201"/>
    <w:rsid w:val="002B1DD4"/>
    <w:rsid w:val="002B2448"/>
    <w:rsid w:val="002C41D8"/>
    <w:rsid w:val="002C45E9"/>
    <w:rsid w:val="002D6AF8"/>
    <w:rsid w:val="002F3735"/>
    <w:rsid w:val="0030053C"/>
    <w:rsid w:val="0030786C"/>
    <w:rsid w:val="00312212"/>
    <w:rsid w:val="0032081E"/>
    <w:rsid w:val="00320BAE"/>
    <w:rsid w:val="00324E9D"/>
    <w:rsid w:val="00325BC3"/>
    <w:rsid w:val="00327080"/>
    <w:rsid w:val="003311A4"/>
    <w:rsid w:val="00336927"/>
    <w:rsid w:val="00341D4F"/>
    <w:rsid w:val="00344439"/>
    <w:rsid w:val="00347736"/>
    <w:rsid w:val="00354065"/>
    <w:rsid w:val="00354996"/>
    <w:rsid w:val="003572FF"/>
    <w:rsid w:val="00364DC6"/>
    <w:rsid w:val="00365C0F"/>
    <w:rsid w:val="00370F02"/>
    <w:rsid w:val="003731B6"/>
    <w:rsid w:val="0037417B"/>
    <w:rsid w:val="0037484D"/>
    <w:rsid w:val="00377901"/>
    <w:rsid w:val="00384382"/>
    <w:rsid w:val="0039044C"/>
    <w:rsid w:val="00390B96"/>
    <w:rsid w:val="00392734"/>
    <w:rsid w:val="00397DF8"/>
    <w:rsid w:val="003A2701"/>
    <w:rsid w:val="003B1C36"/>
    <w:rsid w:val="003B3961"/>
    <w:rsid w:val="003C315C"/>
    <w:rsid w:val="003C7EA3"/>
    <w:rsid w:val="003D17F9"/>
    <w:rsid w:val="003D23D3"/>
    <w:rsid w:val="003E23F8"/>
    <w:rsid w:val="003E4F55"/>
    <w:rsid w:val="003E7A26"/>
    <w:rsid w:val="003F7CEF"/>
    <w:rsid w:val="004028A9"/>
    <w:rsid w:val="00404972"/>
    <w:rsid w:val="0040599A"/>
    <w:rsid w:val="00406CC0"/>
    <w:rsid w:val="00411E6A"/>
    <w:rsid w:val="0041724F"/>
    <w:rsid w:val="004211A4"/>
    <w:rsid w:val="00421FCC"/>
    <w:rsid w:val="00423848"/>
    <w:rsid w:val="004268A8"/>
    <w:rsid w:val="00431267"/>
    <w:rsid w:val="00433FE1"/>
    <w:rsid w:val="0044148C"/>
    <w:rsid w:val="00445EF0"/>
    <w:rsid w:val="00450E48"/>
    <w:rsid w:val="0045292A"/>
    <w:rsid w:val="004557B4"/>
    <w:rsid w:val="00467916"/>
    <w:rsid w:val="00480FBE"/>
    <w:rsid w:val="004867E2"/>
    <w:rsid w:val="004B7776"/>
    <w:rsid w:val="004C0648"/>
    <w:rsid w:val="004C18ED"/>
    <w:rsid w:val="004C1BF8"/>
    <w:rsid w:val="004C4992"/>
    <w:rsid w:val="004C583C"/>
    <w:rsid w:val="004D2AC2"/>
    <w:rsid w:val="004D2FBA"/>
    <w:rsid w:val="004E4551"/>
    <w:rsid w:val="004E4BE2"/>
    <w:rsid w:val="004E4C26"/>
    <w:rsid w:val="004E57BD"/>
    <w:rsid w:val="004E64EB"/>
    <w:rsid w:val="004F16F1"/>
    <w:rsid w:val="004F5978"/>
    <w:rsid w:val="004F5986"/>
    <w:rsid w:val="00500B76"/>
    <w:rsid w:val="005017FE"/>
    <w:rsid w:val="00506F17"/>
    <w:rsid w:val="00514AC5"/>
    <w:rsid w:val="00516D6D"/>
    <w:rsid w:val="00522F83"/>
    <w:rsid w:val="005233B1"/>
    <w:rsid w:val="00524208"/>
    <w:rsid w:val="00524AD1"/>
    <w:rsid w:val="00535BBD"/>
    <w:rsid w:val="0054686A"/>
    <w:rsid w:val="00547E16"/>
    <w:rsid w:val="005502CE"/>
    <w:rsid w:val="00553FF5"/>
    <w:rsid w:val="005639A6"/>
    <w:rsid w:val="00580738"/>
    <w:rsid w:val="005907A1"/>
    <w:rsid w:val="00594279"/>
    <w:rsid w:val="00596BAA"/>
    <w:rsid w:val="005970D0"/>
    <w:rsid w:val="005B58F8"/>
    <w:rsid w:val="005B68BB"/>
    <w:rsid w:val="005C4FF4"/>
    <w:rsid w:val="005C5F92"/>
    <w:rsid w:val="005C6FC6"/>
    <w:rsid w:val="005D028E"/>
    <w:rsid w:val="005D04C8"/>
    <w:rsid w:val="005D7A8C"/>
    <w:rsid w:val="005E0F8A"/>
    <w:rsid w:val="005E21AD"/>
    <w:rsid w:val="005F2AE3"/>
    <w:rsid w:val="005F6729"/>
    <w:rsid w:val="00630BFF"/>
    <w:rsid w:val="00634CD4"/>
    <w:rsid w:val="006448F4"/>
    <w:rsid w:val="00657A12"/>
    <w:rsid w:val="006662EB"/>
    <w:rsid w:val="00666D48"/>
    <w:rsid w:val="00670F27"/>
    <w:rsid w:val="0067426A"/>
    <w:rsid w:val="00677826"/>
    <w:rsid w:val="00677B27"/>
    <w:rsid w:val="00680317"/>
    <w:rsid w:val="006836E1"/>
    <w:rsid w:val="00683E68"/>
    <w:rsid w:val="00685439"/>
    <w:rsid w:val="00690354"/>
    <w:rsid w:val="006A5859"/>
    <w:rsid w:val="006B1E2F"/>
    <w:rsid w:val="006C386A"/>
    <w:rsid w:val="006C472F"/>
    <w:rsid w:val="006D2AB3"/>
    <w:rsid w:val="006E20DF"/>
    <w:rsid w:val="006E3201"/>
    <w:rsid w:val="006E59DD"/>
    <w:rsid w:val="006F1491"/>
    <w:rsid w:val="006F4158"/>
    <w:rsid w:val="006F461F"/>
    <w:rsid w:val="00701393"/>
    <w:rsid w:val="007025A9"/>
    <w:rsid w:val="0070766C"/>
    <w:rsid w:val="007138A2"/>
    <w:rsid w:val="00722436"/>
    <w:rsid w:val="007250E2"/>
    <w:rsid w:val="00727116"/>
    <w:rsid w:val="00727BDC"/>
    <w:rsid w:val="00731F0B"/>
    <w:rsid w:val="007359BA"/>
    <w:rsid w:val="00735D30"/>
    <w:rsid w:val="00741698"/>
    <w:rsid w:val="00742A3C"/>
    <w:rsid w:val="007503F4"/>
    <w:rsid w:val="007562D4"/>
    <w:rsid w:val="0077071F"/>
    <w:rsid w:val="00780578"/>
    <w:rsid w:val="007863D6"/>
    <w:rsid w:val="0079002D"/>
    <w:rsid w:val="007936B1"/>
    <w:rsid w:val="007A6833"/>
    <w:rsid w:val="007B2DB2"/>
    <w:rsid w:val="007B3BC1"/>
    <w:rsid w:val="007C6CEF"/>
    <w:rsid w:val="007D358B"/>
    <w:rsid w:val="007E05D9"/>
    <w:rsid w:val="007E1B00"/>
    <w:rsid w:val="007F6E26"/>
    <w:rsid w:val="008003DD"/>
    <w:rsid w:val="00812D3B"/>
    <w:rsid w:val="00825797"/>
    <w:rsid w:val="008264EB"/>
    <w:rsid w:val="00832CD2"/>
    <w:rsid w:val="008506F4"/>
    <w:rsid w:val="00855446"/>
    <w:rsid w:val="00856C2C"/>
    <w:rsid w:val="00865823"/>
    <w:rsid w:val="00866850"/>
    <w:rsid w:val="0088084E"/>
    <w:rsid w:val="00884F70"/>
    <w:rsid w:val="00890DC5"/>
    <w:rsid w:val="008964B1"/>
    <w:rsid w:val="008965DF"/>
    <w:rsid w:val="008B2B67"/>
    <w:rsid w:val="008B415D"/>
    <w:rsid w:val="008D76E8"/>
    <w:rsid w:val="008F2A05"/>
    <w:rsid w:val="008F3D2C"/>
    <w:rsid w:val="008F4426"/>
    <w:rsid w:val="008F48C0"/>
    <w:rsid w:val="00902EC3"/>
    <w:rsid w:val="00910098"/>
    <w:rsid w:val="009145F2"/>
    <w:rsid w:val="00926096"/>
    <w:rsid w:val="00935C44"/>
    <w:rsid w:val="00942E55"/>
    <w:rsid w:val="0094427B"/>
    <w:rsid w:val="009474C1"/>
    <w:rsid w:val="009532B2"/>
    <w:rsid w:val="0095357E"/>
    <w:rsid w:val="009607EC"/>
    <w:rsid w:val="00960C83"/>
    <w:rsid w:val="00971C80"/>
    <w:rsid w:val="009775D5"/>
    <w:rsid w:val="009776EA"/>
    <w:rsid w:val="009804CD"/>
    <w:rsid w:val="00992AED"/>
    <w:rsid w:val="009976D8"/>
    <w:rsid w:val="009B320C"/>
    <w:rsid w:val="009B5ACD"/>
    <w:rsid w:val="009C0E7D"/>
    <w:rsid w:val="009C7406"/>
    <w:rsid w:val="009D3837"/>
    <w:rsid w:val="009E1887"/>
    <w:rsid w:val="009E2099"/>
    <w:rsid w:val="009F7B57"/>
    <w:rsid w:val="00A02F6C"/>
    <w:rsid w:val="00A0626B"/>
    <w:rsid w:val="00A06B94"/>
    <w:rsid w:val="00A11277"/>
    <w:rsid w:val="00A1194C"/>
    <w:rsid w:val="00A136FB"/>
    <w:rsid w:val="00A13910"/>
    <w:rsid w:val="00A175CF"/>
    <w:rsid w:val="00A17648"/>
    <w:rsid w:val="00A17EC3"/>
    <w:rsid w:val="00A20972"/>
    <w:rsid w:val="00A21F97"/>
    <w:rsid w:val="00A235A0"/>
    <w:rsid w:val="00A23B4C"/>
    <w:rsid w:val="00A32610"/>
    <w:rsid w:val="00A35F40"/>
    <w:rsid w:val="00A3731E"/>
    <w:rsid w:val="00A41DCF"/>
    <w:rsid w:val="00A4512D"/>
    <w:rsid w:val="00A50271"/>
    <w:rsid w:val="00A508F6"/>
    <w:rsid w:val="00A54C30"/>
    <w:rsid w:val="00A61B8E"/>
    <w:rsid w:val="00A65022"/>
    <w:rsid w:val="00A705AF"/>
    <w:rsid w:val="00A779F7"/>
    <w:rsid w:val="00A80652"/>
    <w:rsid w:val="00A83A28"/>
    <w:rsid w:val="00A902AB"/>
    <w:rsid w:val="00A92D15"/>
    <w:rsid w:val="00A97996"/>
    <w:rsid w:val="00AA0CFB"/>
    <w:rsid w:val="00AA6607"/>
    <w:rsid w:val="00AC0E83"/>
    <w:rsid w:val="00AC702C"/>
    <w:rsid w:val="00AD10BE"/>
    <w:rsid w:val="00AE2370"/>
    <w:rsid w:val="00AE6BD9"/>
    <w:rsid w:val="00AF1BFD"/>
    <w:rsid w:val="00AF734F"/>
    <w:rsid w:val="00B0194E"/>
    <w:rsid w:val="00B01CA7"/>
    <w:rsid w:val="00B13ED1"/>
    <w:rsid w:val="00B1499B"/>
    <w:rsid w:val="00B15C4A"/>
    <w:rsid w:val="00B1654A"/>
    <w:rsid w:val="00B20C0E"/>
    <w:rsid w:val="00B26008"/>
    <w:rsid w:val="00B2652C"/>
    <w:rsid w:val="00B316E7"/>
    <w:rsid w:val="00B37155"/>
    <w:rsid w:val="00B406BA"/>
    <w:rsid w:val="00B42851"/>
    <w:rsid w:val="00B44A61"/>
    <w:rsid w:val="00B450AA"/>
    <w:rsid w:val="00B61F1F"/>
    <w:rsid w:val="00B738B4"/>
    <w:rsid w:val="00B74D82"/>
    <w:rsid w:val="00B75325"/>
    <w:rsid w:val="00B77A79"/>
    <w:rsid w:val="00B80C38"/>
    <w:rsid w:val="00B82EB2"/>
    <w:rsid w:val="00B83D4C"/>
    <w:rsid w:val="00B94C39"/>
    <w:rsid w:val="00BA16C7"/>
    <w:rsid w:val="00BA3D90"/>
    <w:rsid w:val="00BB077D"/>
    <w:rsid w:val="00BB1251"/>
    <w:rsid w:val="00BB6501"/>
    <w:rsid w:val="00BC2051"/>
    <w:rsid w:val="00BC68F0"/>
    <w:rsid w:val="00BD2E9B"/>
    <w:rsid w:val="00BE020F"/>
    <w:rsid w:val="00BE0883"/>
    <w:rsid w:val="00BF2219"/>
    <w:rsid w:val="00C01198"/>
    <w:rsid w:val="00C03412"/>
    <w:rsid w:val="00C03944"/>
    <w:rsid w:val="00C0549F"/>
    <w:rsid w:val="00C26830"/>
    <w:rsid w:val="00C30136"/>
    <w:rsid w:val="00C331B5"/>
    <w:rsid w:val="00C3704C"/>
    <w:rsid w:val="00C42ADF"/>
    <w:rsid w:val="00C43B7D"/>
    <w:rsid w:val="00C44170"/>
    <w:rsid w:val="00C44DCC"/>
    <w:rsid w:val="00C524E7"/>
    <w:rsid w:val="00C52848"/>
    <w:rsid w:val="00C57B72"/>
    <w:rsid w:val="00C60D41"/>
    <w:rsid w:val="00C661BE"/>
    <w:rsid w:val="00C96561"/>
    <w:rsid w:val="00C97168"/>
    <w:rsid w:val="00CB1CE4"/>
    <w:rsid w:val="00CB5B1A"/>
    <w:rsid w:val="00CC3DC1"/>
    <w:rsid w:val="00CC4764"/>
    <w:rsid w:val="00CC4EB1"/>
    <w:rsid w:val="00CC618A"/>
    <w:rsid w:val="00CC709D"/>
    <w:rsid w:val="00CD6852"/>
    <w:rsid w:val="00CD6C75"/>
    <w:rsid w:val="00CD7EDE"/>
    <w:rsid w:val="00CE5E39"/>
    <w:rsid w:val="00CE70C8"/>
    <w:rsid w:val="00CF036F"/>
    <w:rsid w:val="00D0525D"/>
    <w:rsid w:val="00D059B4"/>
    <w:rsid w:val="00D05ECF"/>
    <w:rsid w:val="00D10C1D"/>
    <w:rsid w:val="00D11EAC"/>
    <w:rsid w:val="00D12269"/>
    <w:rsid w:val="00D12C35"/>
    <w:rsid w:val="00D13961"/>
    <w:rsid w:val="00D163C5"/>
    <w:rsid w:val="00D169D3"/>
    <w:rsid w:val="00D16B0D"/>
    <w:rsid w:val="00D17F41"/>
    <w:rsid w:val="00D22F1A"/>
    <w:rsid w:val="00D31085"/>
    <w:rsid w:val="00D32AE9"/>
    <w:rsid w:val="00D34571"/>
    <w:rsid w:val="00D35373"/>
    <w:rsid w:val="00D367A9"/>
    <w:rsid w:val="00D37230"/>
    <w:rsid w:val="00D43BB8"/>
    <w:rsid w:val="00D44094"/>
    <w:rsid w:val="00D47826"/>
    <w:rsid w:val="00D60C4F"/>
    <w:rsid w:val="00D645D0"/>
    <w:rsid w:val="00D66B6F"/>
    <w:rsid w:val="00D66EF5"/>
    <w:rsid w:val="00D737F2"/>
    <w:rsid w:val="00D75A35"/>
    <w:rsid w:val="00D818FB"/>
    <w:rsid w:val="00D83C43"/>
    <w:rsid w:val="00D850A0"/>
    <w:rsid w:val="00D94679"/>
    <w:rsid w:val="00DA143B"/>
    <w:rsid w:val="00DA694C"/>
    <w:rsid w:val="00DB384D"/>
    <w:rsid w:val="00DB420A"/>
    <w:rsid w:val="00DC5125"/>
    <w:rsid w:val="00DC5D4D"/>
    <w:rsid w:val="00DD5AA5"/>
    <w:rsid w:val="00DD784A"/>
    <w:rsid w:val="00DE3084"/>
    <w:rsid w:val="00DF1EC3"/>
    <w:rsid w:val="00E01829"/>
    <w:rsid w:val="00E030BE"/>
    <w:rsid w:val="00E04D12"/>
    <w:rsid w:val="00E124E6"/>
    <w:rsid w:val="00E128EF"/>
    <w:rsid w:val="00E14033"/>
    <w:rsid w:val="00E14AB8"/>
    <w:rsid w:val="00E339AC"/>
    <w:rsid w:val="00E4717D"/>
    <w:rsid w:val="00E472B6"/>
    <w:rsid w:val="00E50DED"/>
    <w:rsid w:val="00E53437"/>
    <w:rsid w:val="00E575CD"/>
    <w:rsid w:val="00E57C6C"/>
    <w:rsid w:val="00E805E8"/>
    <w:rsid w:val="00E81933"/>
    <w:rsid w:val="00E83D79"/>
    <w:rsid w:val="00E905A4"/>
    <w:rsid w:val="00E925B6"/>
    <w:rsid w:val="00EA44A1"/>
    <w:rsid w:val="00EB3B52"/>
    <w:rsid w:val="00EB4473"/>
    <w:rsid w:val="00EC310D"/>
    <w:rsid w:val="00EC44CF"/>
    <w:rsid w:val="00EC4A1A"/>
    <w:rsid w:val="00EC6915"/>
    <w:rsid w:val="00EE377A"/>
    <w:rsid w:val="00F02D1B"/>
    <w:rsid w:val="00F21AED"/>
    <w:rsid w:val="00F33C78"/>
    <w:rsid w:val="00F33CF7"/>
    <w:rsid w:val="00F3446E"/>
    <w:rsid w:val="00F36605"/>
    <w:rsid w:val="00F40674"/>
    <w:rsid w:val="00F4072F"/>
    <w:rsid w:val="00F40C49"/>
    <w:rsid w:val="00F41B53"/>
    <w:rsid w:val="00F55EF9"/>
    <w:rsid w:val="00F64771"/>
    <w:rsid w:val="00F73989"/>
    <w:rsid w:val="00F73F56"/>
    <w:rsid w:val="00F75C96"/>
    <w:rsid w:val="00F80494"/>
    <w:rsid w:val="00F82008"/>
    <w:rsid w:val="00F82C74"/>
    <w:rsid w:val="00F84A04"/>
    <w:rsid w:val="00F91B8B"/>
    <w:rsid w:val="00FA4371"/>
    <w:rsid w:val="00FA6F4B"/>
    <w:rsid w:val="00FB1A9E"/>
    <w:rsid w:val="00FB1FCD"/>
    <w:rsid w:val="00FC39C1"/>
    <w:rsid w:val="00FC5010"/>
    <w:rsid w:val="00FD1447"/>
    <w:rsid w:val="00FD440E"/>
    <w:rsid w:val="00FD6FF5"/>
    <w:rsid w:val="00FE36A0"/>
    <w:rsid w:val="00FF0811"/>
    <w:rsid w:val="00FF1DB8"/>
    <w:rsid w:val="00FF26A9"/>
    <w:rsid w:val="00FF448C"/>
    <w:rsid w:val="00FF6A30"/>
    <w:rsid w:val="00FF76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0B76"/>
    <w:pPr>
      <w:spacing w:after="120" w:line="280" w:lineRule="atLeast"/>
    </w:pPr>
    <w:rPr>
      <w:rFonts w:ascii="Arial" w:hAnsi="Arial"/>
      <w:color w:val="000000"/>
      <w:sz w:val="22"/>
      <w:szCs w:val="24"/>
      <w:lang w:eastAsia="ko-KR"/>
    </w:rPr>
  </w:style>
  <w:style w:type="paragraph" w:styleId="Heading1">
    <w:name w:val="heading 1"/>
    <w:basedOn w:val="Normal"/>
    <w:next w:val="Normal"/>
    <w:link w:val="Heading1Char"/>
    <w:uiPriority w:val="9"/>
    <w:qFormat/>
    <w:rsid w:val="00A705AF"/>
    <w:pPr>
      <w:keepNext/>
      <w:spacing w:before="240" w:after="60"/>
      <w:outlineLvl w:val="0"/>
    </w:pPr>
    <w:rPr>
      <w:rFonts w:cs="Arial"/>
      <w:b/>
      <w:bCs/>
      <w:kern w:val="28"/>
      <w:sz w:val="28"/>
      <w:szCs w:val="32"/>
    </w:rPr>
  </w:style>
  <w:style w:type="paragraph" w:styleId="Heading2">
    <w:name w:val="heading 2"/>
    <w:basedOn w:val="Normal"/>
    <w:next w:val="Normal"/>
    <w:qFormat/>
    <w:rsid w:val="00A705AF"/>
    <w:pPr>
      <w:keepNext/>
      <w:spacing w:before="240" w:after="60"/>
      <w:outlineLvl w:val="1"/>
    </w:pPr>
    <w:rPr>
      <w:rFonts w:cs="Arial"/>
      <w:b/>
      <w:bCs/>
      <w:i/>
      <w:iCs/>
      <w:szCs w:val="28"/>
    </w:rPr>
  </w:style>
  <w:style w:type="paragraph" w:styleId="Heading3">
    <w:name w:val="heading 3"/>
    <w:basedOn w:val="Normal"/>
    <w:next w:val="Normal"/>
    <w:link w:val="Heading3Char"/>
    <w:uiPriority w:val="99"/>
    <w:qFormat/>
    <w:rsid w:val="00A705AF"/>
    <w:pPr>
      <w:keepNext/>
      <w:spacing w:before="240" w:after="60"/>
      <w:outlineLvl w:val="2"/>
    </w:pPr>
    <w:rPr>
      <w:rFonts w:cs="Arial"/>
      <w:bCs/>
      <w:szCs w:val="26"/>
    </w:rPr>
  </w:style>
  <w:style w:type="paragraph" w:styleId="Heading4">
    <w:name w:val="heading 4"/>
    <w:basedOn w:val="Normal"/>
    <w:next w:val="Normal"/>
    <w:qFormat/>
    <w:rsid w:val="00500B76"/>
    <w:pPr>
      <w:outlineLvl w:val="3"/>
    </w:pPr>
    <w:rPr>
      <w:b/>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eastAsiaTheme="majorEastAsia"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List Paragraph1,Recommendation,Bullet table"/>
    <w:basedOn w:val="Normal"/>
    <w:link w:val="ListParagraphChar"/>
    <w:uiPriority w:val="34"/>
    <w:qFormat/>
    <w:rsid w:val="00A4512D"/>
    <w:pPr>
      <w:ind w:left="720"/>
      <w:contextualSpacing/>
    </w:pPr>
  </w:style>
  <w:style w:type="paragraph" w:styleId="BalloonText">
    <w:name w:val="Balloon Text"/>
    <w:basedOn w:val="Normal"/>
    <w:link w:val="BalloonTextChar"/>
    <w:rsid w:val="00A06B94"/>
    <w:rPr>
      <w:rFonts w:ascii="Tahoma" w:hAnsi="Tahoma" w:cs="Tahoma"/>
      <w:sz w:val="16"/>
      <w:szCs w:val="16"/>
    </w:rPr>
  </w:style>
  <w:style w:type="character" w:customStyle="1" w:styleId="BalloonTextChar">
    <w:name w:val="Balloon Text Char"/>
    <w:basedOn w:val="DefaultParagraphFont"/>
    <w:link w:val="BalloonText"/>
    <w:rsid w:val="00A06B94"/>
    <w:rPr>
      <w:rFonts w:ascii="Tahoma" w:hAnsi="Tahoma" w:cs="Tahoma"/>
      <w:sz w:val="16"/>
      <w:szCs w:val="16"/>
      <w:lang w:eastAsia="en-US"/>
    </w:rPr>
  </w:style>
  <w:style w:type="character" w:customStyle="1" w:styleId="Heading3Char">
    <w:name w:val="Heading 3 Char"/>
    <w:basedOn w:val="DefaultParagraphFont"/>
    <w:link w:val="Heading3"/>
    <w:uiPriority w:val="99"/>
    <w:rsid w:val="00A20972"/>
    <w:rPr>
      <w:rFonts w:ascii="Arial" w:hAnsi="Arial" w:cs="Arial"/>
      <w:bCs/>
      <w:sz w:val="22"/>
      <w:szCs w:val="26"/>
      <w:lang w:eastAsia="en-US"/>
    </w:rPr>
  </w:style>
  <w:style w:type="paragraph" w:customStyle="1" w:styleId="02Bodycopy">
    <w:name w:val="02_Body copy"/>
    <w:basedOn w:val="Normal"/>
    <w:uiPriority w:val="99"/>
    <w:rsid w:val="00A20972"/>
    <w:pPr>
      <w:tabs>
        <w:tab w:val="left" w:pos="283"/>
        <w:tab w:val="left" w:pos="567"/>
        <w:tab w:val="left" w:pos="850"/>
        <w:tab w:val="left" w:pos="1134"/>
        <w:tab w:val="left" w:pos="1417"/>
        <w:tab w:val="left" w:pos="1701"/>
        <w:tab w:val="left" w:pos="1984"/>
        <w:tab w:val="left" w:pos="2268"/>
      </w:tabs>
      <w:suppressAutoHyphens/>
      <w:autoSpaceDE w:val="0"/>
      <w:autoSpaceDN w:val="0"/>
      <w:adjustRightInd w:val="0"/>
      <w:spacing w:line="312" w:lineRule="auto"/>
    </w:pPr>
    <w:rPr>
      <w:rFonts w:eastAsiaTheme="minorEastAsia" w:cs="HelveticaNeue-Light"/>
      <w:spacing w:val="4"/>
      <w:sz w:val="20"/>
      <w:szCs w:val="20"/>
      <w:lang w:val="en-GB" w:eastAsia="ja-JP"/>
    </w:rPr>
  </w:style>
  <w:style w:type="character" w:customStyle="1" w:styleId="02Bodyitalic">
    <w:name w:val="02_Body italic"/>
    <w:uiPriority w:val="99"/>
    <w:rsid w:val="00A20972"/>
    <w:rPr>
      <w:rFonts w:ascii="HelveticaNeue-LightItalic" w:hAnsi="HelveticaNeue-LightItalic" w:cs="HelveticaNeue-LightItalic" w:hint="default"/>
      <w:i/>
      <w:iCs/>
    </w:rPr>
  </w:style>
  <w:style w:type="table" w:styleId="TableGrid">
    <w:name w:val="Table Grid"/>
    <w:basedOn w:val="TableNormal"/>
    <w:rsid w:val="00324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rsid w:val="00324E9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324E9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324E9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24E9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324E9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1Char">
    <w:name w:val="Heading 1 Char"/>
    <w:link w:val="Heading1"/>
    <w:uiPriority w:val="9"/>
    <w:rsid w:val="00160CA1"/>
    <w:rPr>
      <w:rFonts w:ascii="Arial" w:hAnsi="Arial" w:cs="Arial"/>
      <w:b/>
      <w:bCs/>
      <w:kern w:val="28"/>
      <w:sz w:val="28"/>
      <w:szCs w:val="32"/>
      <w:lang w:eastAsia="en-US"/>
    </w:rPr>
  </w:style>
  <w:style w:type="paragraph" w:styleId="Header">
    <w:name w:val="header"/>
    <w:basedOn w:val="Normal"/>
    <w:link w:val="HeaderChar"/>
    <w:rsid w:val="00173175"/>
    <w:pPr>
      <w:tabs>
        <w:tab w:val="center" w:pos="4513"/>
        <w:tab w:val="right" w:pos="9026"/>
      </w:tabs>
    </w:pPr>
  </w:style>
  <w:style w:type="character" w:customStyle="1" w:styleId="HeaderChar">
    <w:name w:val="Header Char"/>
    <w:basedOn w:val="DefaultParagraphFont"/>
    <w:link w:val="Header"/>
    <w:rsid w:val="00173175"/>
    <w:rPr>
      <w:rFonts w:ascii="Arial" w:hAnsi="Arial"/>
      <w:sz w:val="22"/>
      <w:szCs w:val="24"/>
      <w:lang w:eastAsia="en-US"/>
    </w:rPr>
  </w:style>
  <w:style w:type="paragraph" w:styleId="Footer">
    <w:name w:val="footer"/>
    <w:basedOn w:val="Normal"/>
    <w:link w:val="FooterChar"/>
    <w:uiPriority w:val="99"/>
    <w:rsid w:val="00173175"/>
    <w:pPr>
      <w:tabs>
        <w:tab w:val="center" w:pos="4513"/>
        <w:tab w:val="right" w:pos="9026"/>
      </w:tabs>
    </w:pPr>
  </w:style>
  <w:style w:type="character" w:customStyle="1" w:styleId="FooterChar">
    <w:name w:val="Footer Char"/>
    <w:basedOn w:val="DefaultParagraphFont"/>
    <w:link w:val="Footer"/>
    <w:uiPriority w:val="99"/>
    <w:rsid w:val="00173175"/>
    <w:rPr>
      <w:rFonts w:ascii="Arial" w:hAnsi="Arial"/>
      <w:sz w:val="22"/>
      <w:szCs w:val="24"/>
      <w:lang w:eastAsia="en-US"/>
    </w:rPr>
  </w:style>
  <w:style w:type="paragraph" w:styleId="NormalWeb">
    <w:name w:val="Normal (Web)"/>
    <w:basedOn w:val="Normal"/>
    <w:unhideWhenUsed/>
    <w:rsid w:val="00D83C43"/>
    <w:pPr>
      <w:spacing w:before="100" w:beforeAutospacing="1" w:after="100" w:afterAutospacing="1"/>
    </w:pPr>
    <w:rPr>
      <w:rFonts w:ascii="Times New Roman" w:hAnsi="Times New Roman"/>
      <w:sz w:val="24"/>
      <w:lang w:eastAsia="en-AU"/>
    </w:rPr>
  </w:style>
  <w:style w:type="paragraph" w:customStyle="1" w:styleId="Default">
    <w:name w:val="Default"/>
    <w:rsid w:val="00C43B7D"/>
    <w:pPr>
      <w:autoSpaceDE w:val="0"/>
      <w:autoSpaceDN w:val="0"/>
      <w:adjustRightInd w:val="0"/>
    </w:pPr>
    <w:rPr>
      <w:rFonts w:ascii="HelveticaNeueLT Com 45 Lt" w:hAnsi="HelveticaNeueLT Com 45 Lt" w:cs="HelveticaNeueLT Com 45 Lt"/>
      <w:color w:val="000000"/>
      <w:sz w:val="24"/>
      <w:szCs w:val="24"/>
    </w:rPr>
  </w:style>
  <w:style w:type="paragraph" w:customStyle="1" w:styleId="Commissionbodytext">
    <w:name w:val="Commission body text"/>
    <w:basedOn w:val="Normal"/>
    <w:link w:val="CommissionbodytextChar"/>
    <w:qFormat/>
    <w:rsid w:val="00A17EC3"/>
    <w:pPr>
      <w:spacing w:line="276" w:lineRule="auto"/>
    </w:pPr>
    <w:rPr>
      <w:rFonts w:eastAsiaTheme="minorEastAsia" w:cs="Arial"/>
      <w:szCs w:val="22"/>
      <w:lang w:val="en-US" w:eastAsia="ja-JP"/>
    </w:rPr>
  </w:style>
  <w:style w:type="character" w:customStyle="1" w:styleId="CommissionbodytextChar">
    <w:name w:val="Commission body text Char"/>
    <w:basedOn w:val="DefaultParagraphFont"/>
    <w:link w:val="Commissionbodytext"/>
    <w:rsid w:val="00A17EC3"/>
    <w:rPr>
      <w:rFonts w:ascii="Arial" w:eastAsiaTheme="minorEastAsia" w:hAnsi="Arial" w:cs="Arial"/>
      <w:sz w:val="22"/>
      <w:szCs w:val="22"/>
      <w:lang w:val="en-US" w:eastAsia="ja-JP"/>
    </w:rPr>
  </w:style>
  <w:style w:type="character" w:customStyle="1" w:styleId="ListParagraphChar">
    <w:name w:val="List Paragraph Char"/>
    <w:aliases w:val="List Paragraph1 Char,Recommendation Char,Bullet table Char"/>
    <w:basedOn w:val="DefaultParagraphFont"/>
    <w:link w:val="ListParagraph"/>
    <w:rsid w:val="00A17EC3"/>
    <w:rPr>
      <w:rFonts w:ascii="Arial" w:hAnsi="Arial"/>
      <w:sz w:val="22"/>
      <w:szCs w:val="24"/>
      <w:lang w:eastAsia="en-US"/>
    </w:rPr>
  </w:style>
  <w:style w:type="paragraph" w:styleId="TOCHeading">
    <w:name w:val="TOC Heading"/>
    <w:basedOn w:val="Heading1"/>
    <w:next w:val="Normal"/>
    <w:uiPriority w:val="39"/>
    <w:unhideWhenUsed/>
    <w:qFormat/>
    <w:rsid w:val="00BA16C7"/>
    <w:pPr>
      <w:keepLines/>
      <w:spacing w:before="480" w:after="0" w:line="276" w:lineRule="auto"/>
      <w:outlineLvl w:val="9"/>
    </w:pPr>
    <w:rPr>
      <w:rFonts w:asciiTheme="majorHAnsi" w:eastAsiaTheme="majorEastAsia" w:hAnsiTheme="majorHAnsi" w:cstheme="majorBidi"/>
      <w:color w:val="365F91" w:themeColor="accent1" w:themeShade="BF"/>
      <w:kern w:val="0"/>
      <w:szCs w:val="28"/>
      <w:lang w:val="en-US" w:eastAsia="ja-JP"/>
    </w:rPr>
  </w:style>
  <w:style w:type="paragraph" w:styleId="TOC1">
    <w:name w:val="toc 1"/>
    <w:basedOn w:val="Normal"/>
    <w:next w:val="Normal"/>
    <w:autoRedefine/>
    <w:uiPriority w:val="39"/>
    <w:rsid w:val="00BA16C7"/>
    <w:pPr>
      <w:spacing w:after="100"/>
    </w:pPr>
  </w:style>
  <w:style w:type="paragraph" w:styleId="TOC2">
    <w:name w:val="toc 2"/>
    <w:basedOn w:val="Normal"/>
    <w:next w:val="Normal"/>
    <w:autoRedefine/>
    <w:uiPriority w:val="39"/>
    <w:rsid w:val="00BA16C7"/>
    <w:pPr>
      <w:spacing w:after="100"/>
      <w:ind w:left="220"/>
    </w:pPr>
  </w:style>
  <w:style w:type="character" w:styleId="Hyperlink">
    <w:name w:val="Hyperlink"/>
    <w:basedOn w:val="DefaultParagraphFont"/>
    <w:uiPriority w:val="99"/>
    <w:unhideWhenUsed/>
    <w:rsid w:val="00BA16C7"/>
    <w:rPr>
      <w:color w:val="0000FF" w:themeColor="hyperlink"/>
      <w:u w:val="single"/>
    </w:rPr>
  </w:style>
  <w:style w:type="paragraph" w:styleId="TOC3">
    <w:name w:val="toc 3"/>
    <w:basedOn w:val="Normal"/>
    <w:next w:val="Normal"/>
    <w:autoRedefine/>
    <w:uiPriority w:val="39"/>
    <w:rsid w:val="00BC2051"/>
    <w:pPr>
      <w:spacing w:after="100"/>
      <w:ind w:left="440"/>
    </w:pPr>
  </w:style>
  <w:style w:type="paragraph" w:styleId="BodyText">
    <w:name w:val="Body Text"/>
    <w:basedOn w:val="Normal"/>
    <w:link w:val="BodyTextChar"/>
    <w:rsid w:val="00AA0CFB"/>
    <w:pPr>
      <w:overflowPunct w:val="0"/>
      <w:autoSpaceDE w:val="0"/>
      <w:autoSpaceDN w:val="0"/>
      <w:adjustRightInd w:val="0"/>
      <w:spacing w:line="300" w:lineRule="atLeast"/>
      <w:textAlignment w:val="baseline"/>
    </w:pPr>
    <w:rPr>
      <w:sz w:val="24"/>
      <w:szCs w:val="20"/>
    </w:rPr>
  </w:style>
  <w:style w:type="character" w:customStyle="1" w:styleId="BodyTextChar">
    <w:name w:val="Body Text Char"/>
    <w:basedOn w:val="DefaultParagraphFont"/>
    <w:link w:val="BodyText"/>
    <w:rsid w:val="00AA0CFB"/>
    <w:rPr>
      <w:rFonts w:ascii="Arial" w:hAnsi="Arial"/>
      <w:sz w:val="24"/>
      <w:lang w:eastAsia="en-US"/>
    </w:rPr>
  </w:style>
  <w:style w:type="paragraph" w:customStyle="1" w:styleId="paragraph">
    <w:name w:val="paragraph"/>
    <w:aliases w:val="a"/>
    <w:link w:val="paragraphChar"/>
    <w:rsid w:val="00960C83"/>
    <w:pPr>
      <w:tabs>
        <w:tab w:val="right" w:pos="1531"/>
      </w:tabs>
      <w:spacing w:before="40"/>
      <w:ind w:left="1644" w:hanging="1644"/>
    </w:pPr>
    <w:rPr>
      <w:sz w:val="22"/>
      <w:szCs w:val="24"/>
    </w:rPr>
  </w:style>
  <w:style w:type="paragraph" w:customStyle="1" w:styleId="paragraphsub">
    <w:name w:val="paragraph(sub)"/>
    <w:aliases w:val="aa"/>
    <w:basedOn w:val="paragraph"/>
    <w:rsid w:val="00960C83"/>
    <w:pPr>
      <w:tabs>
        <w:tab w:val="clear" w:pos="1531"/>
        <w:tab w:val="right" w:pos="1985"/>
      </w:tabs>
      <w:ind w:left="2098" w:hanging="2098"/>
    </w:pPr>
  </w:style>
  <w:style w:type="character" w:customStyle="1" w:styleId="paragraphChar">
    <w:name w:val="paragraph Char"/>
    <w:aliases w:val="a Char"/>
    <w:basedOn w:val="DefaultParagraphFont"/>
    <w:link w:val="paragraph"/>
    <w:rsid w:val="00960C83"/>
    <w:rPr>
      <w:sz w:val="22"/>
      <w:szCs w:val="24"/>
    </w:rPr>
  </w:style>
  <w:style w:type="paragraph" w:customStyle="1" w:styleId="subsection">
    <w:name w:val="subsection"/>
    <w:aliases w:val="ss"/>
    <w:link w:val="subsectionChar"/>
    <w:rsid w:val="006F461F"/>
    <w:pPr>
      <w:tabs>
        <w:tab w:val="right" w:pos="1021"/>
      </w:tabs>
      <w:spacing w:before="180"/>
      <w:ind w:left="1134" w:hanging="1134"/>
    </w:pPr>
    <w:rPr>
      <w:sz w:val="22"/>
      <w:szCs w:val="24"/>
    </w:rPr>
  </w:style>
  <w:style w:type="paragraph" w:customStyle="1" w:styleId="ActHead5">
    <w:name w:val="ActHead 5"/>
    <w:aliases w:val="s"/>
    <w:basedOn w:val="Normal"/>
    <w:next w:val="Normal"/>
    <w:rsid w:val="006F461F"/>
    <w:pPr>
      <w:keepNext/>
      <w:keepLines/>
      <w:spacing w:before="280"/>
      <w:ind w:left="1134" w:hanging="1134"/>
      <w:outlineLvl w:val="4"/>
    </w:pPr>
    <w:rPr>
      <w:rFonts w:ascii="Times New Roman" w:hAnsi="Times New Roman"/>
      <w:b/>
      <w:bCs/>
      <w:kern w:val="28"/>
      <w:sz w:val="24"/>
      <w:szCs w:val="32"/>
      <w:lang w:eastAsia="en-AU"/>
    </w:rPr>
  </w:style>
  <w:style w:type="character" w:customStyle="1" w:styleId="subsectionChar">
    <w:name w:val="subsection Char"/>
    <w:aliases w:val="ss Char"/>
    <w:basedOn w:val="DefaultParagraphFont"/>
    <w:link w:val="subsection"/>
    <w:rsid w:val="006F461F"/>
    <w:rPr>
      <w:sz w:val="22"/>
      <w:szCs w:val="24"/>
    </w:rPr>
  </w:style>
  <w:style w:type="character" w:customStyle="1" w:styleId="A5">
    <w:name w:val="A5"/>
    <w:uiPriority w:val="99"/>
    <w:rsid w:val="00D94679"/>
    <w:rPr>
      <w:color w:val="000000"/>
      <w:sz w:val="22"/>
      <w:szCs w:val="22"/>
    </w:rPr>
  </w:style>
  <w:style w:type="paragraph" w:customStyle="1" w:styleId="2bodyparaoverride-14">
    <w:name w:val="_2_body paraoverride-14"/>
    <w:basedOn w:val="Normal"/>
    <w:rsid w:val="00122577"/>
    <w:pPr>
      <w:spacing w:beforeLines="1" w:afterLines="50"/>
    </w:pPr>
    <w:rPr>
      <w:rFonts w:eastAsiaTheme="minorEastAsia" w:cstheme="minorBidi"/>
      <w:sz w:val="20"/>
      <w:szCs w:val="20"/>
    </w:rPr>
  </w:style>
  <w:style w:type="paragraph" w:customStyle="1" w:styleId="CharCharChar">
    <w:name w:val="Char Char Char"/>
    <w:basedOn w:val="Normal"/>
    <w:rsid w:val="00884F70"/>
    <w:rPr>
      <w:rFonts w:cs="Arial"/>
      <w:szCs w:val="22"/>
    </w:rPr>
  </w:style>
  <w:style w:type="paragraph" w:styleId="FootnoteText">
    <w:name w:val="footnote text"/>
    <w:basedOn w:val="Normal"/>
    <w:link w:val="FootnoteTextChar"/>
    <w:rsid w:val="006E20DF"/>
    <w:rPr>
      <w:rFonts w:eastAsiaTheme="minorEastAsia" w:cstheme="minorBidi"/>
      <w:sz w:val="20"/>
      <w:szCs w:val="20"/>
      <w:lang w:val="en-US" w:eastAsia="ja-JP"/>
    </w:rPr>
  </w:style>
  <w:style w:type="character" w:customStyle="1" w:styleId="FootnoteTextChar">
    <w:name w:val="Footnote Text Char"/>
    <w:basedOn w:val="DefaultParagraphFont"/>
    <w:link w:val="FootnoteText"/>
    <w:rsid w:val="006E20DF"/>
    <w:rPr>
      <w:rFonts w:ascii="Arial" w:eastAsiaTheme="minorEastAsia" w:hAnsi="Arial" w:cstheme="minorBidi"/>
      <w:lang w:val="en-US" w:eastAsia="ja-JP"/>
    </w:rPr>
  </w:style>
  <w:style w:type="character" w:styleId="FootnoteReference">
    <w:name w:val="footnote reference"/>
    <w:basedOn w:val="DefaultParagraphFont"/>
    <w:rsid w:val="006E20DF"/>
    <w:rPr>
      <w:vertAlign w:val="superscript"/>
    </w:rPr>
  </w:style>
  <w:style w:type="character" w:customStyle="1" w:styleId="apple-converted-space">
    <w:name w:val="apple-converted-space"/>
    <w:basedOn w:val="DefaultParagraphFont"/>
    <w:rsid w:val="00FB1FCD"/>
  </w:style>
  <w:style w:type="character" w:styleId="CommentReference">
    <w:name w:val="annotation reference"/>
    <w:basedOn w:val="DefaultParagraphFont"/>
    <w:uiPriority w:val="99"/>
    <w:rsid w:val="00E14033"/>
    <w:rPr>
      <w:sz w:val="16"/>
      <w:szCs w:val="16"/>
    </w:rPr>
  </w:style>
  <w:style w:type="paragraph" w:styleId="CommentText">
    <w:name w:val="annotation text"/>
    <w:basedOn w:val="Normal"/>
    <w:link w:val="CommentTextChar"/>
    <w:uiPriority w:val="99"/>
    <w:rsid w:val="00E14033"/>
    <w:rPr>
      <w:sz w:val="20"/>
      <w:szCs w:val="20"/>
    </w:rPr>
  </w:style>
  <w:style w:type="character" w:customStyle="1" w:styleId="CommentTextChar">
    <w:name w:val="Comment Text Char"/>
    <w:basedOn w:val="DefaultParagraphFont"/>
    <w:link w:val="CommentText"/>
    <w:uiPriority w:val="99"/>
    <w:rsid w:val="00E14033"/>
    <w:rPr>
      <w:rFonts w:ascii="Arial" w:hAnsi="Arial"/>
      <w:lang w:eastAsia="en-US"/>
    </w:rPr>
  </w:style>
  <w:style w:type="paragraph" w:styleId="CommentSubject">
    <w:name w:val="annotation subject"/>
    <w:basedOn w:val="CommentText"/>
    <w:next w:val="CommentText"/>
    <w:link w:val="CommentSubjectChar"/>
    <w:rsid w:val="00E14033"/>
    <w:rPr>
      <w:b/>
      <w:bCs/>
    </w:rPr>
  </w:style>
  <w:style w:type="character" w:customStyle="1" w:styleId="CommentSubjectChar">
    <w:name w:val="Comment Subject Char"/>
    <w:basedOn w:val="CommentTextChar"/>
    <w:link w:val="CommentSubject"/>
    <w:rsid w:val="00E14033"/>
    <w:rPr>
      <w:rFonts w:ascii="Arial" w:hAnsi="Arial"/>
      <w:b/>
      <w:bCs/>
      <w:lang w:eastAsia="en-US"/>
    </w:rPr>
  </w:style>
  <w:style w:type="paragraph" w:styleId="Revision">
    <w:name w:val="Revision"/>
    <w:hidden/>
    <w:uiPriority w:val="99"/>
    <w:semiHidden/>
    <w:rsid w:val="005C6FC6"/>
    <w:rPr>
      <w:rFonts w:ascii="Arial" w:hAnsi="Arial"/>
      <w:sz w:val="22"/>
      <w:szCs w:val="24"/>
      <w:lang w:eastAsia="en-US"/>
    </w:rPr>
  </w:style>
  <w:style w:type="character" w:customStyle="1" w:styleId="oneclick-link">
    <w:name w:val="oneclick-link"/>
    <w:basedOn w:val="DefaultParagraphFont"/>
    <w:rsid w:val="00971C80"/>
  </w:style>
  <w:style w:type="paragraph" w:styleId="PlainText">
    <w:name w:val="Plain Text"/>
    <w:basedOn w:val="Normal"/>
    <w:link w:val="PlainTextChar1"/>
    <w:rsid w:val="00C97168"/>
    <w:pPr>
      <w:spacing w:after="0" w:line="240" w:lineRule="auto"/>
    </w:pPr>
    <w:rPr>
      <w:rFonts w:ascii="Calibri" w:hAnsi="Calibri"/>
      <w:color w:val="auto"/>
      <w:sz w:val="24"/>
      <w:szCs w:val="21"/>
      <w:lang w:eastAsia="en-US"/>
    </w:rPr>
  </w:style>
  <w:style w:type="character" w:customStyle="1" w:styleId="PlainTextChar">
    <w:name w:val="Plain Text Char"/>
    <w:basedOn w:val="DefaultParagraphFont"/>
    <w:rsid w:val="00C97168"/>
    <w:rPr>
      <w:rFonts w:ascii="Consolas" w:hAnsi="Consolas" w:cs="Consolas"/>
      <w:color w:val="000000"/>
      <w:sz w:val="21"/>
      <w:szCs w:val="21"/>
      <w:lang w:eastAsia="ko-KR"/>
    </w:rPr>
  </w:style>
  <w:style w:type="character" w:customStyle="1" w:styleId="PlainTextChar1">
    <w:name w:val="Plain Text Char1"/>
    <w:basedOn w:val="DefaultParagraphFont"/>
    <w:link w:val="PlainText"/>
    <w:locked/>
    <w:rsid w:val="00C97168"/>
    <w:rPr>
      <w:rFonts w:ascii="Calibri" w:hAnsi="Calibri"/>
      <w:sz w:val="24"/>
      <w:szCs w:val="21"/>
      <w:lang w:eastAsia="en-US"/>
    </w:rPr>
  </w:style>
  <w:style w:type="paragraph" w:customStyle="1" w:styleId="a">
    <w:name w:val="_"/>
    <w:basedOn w:val="Normal"/>
    <w:rsid w:val="00232B92"/>
    <w:pPr>
      <w:widowControl w:val="0"/>
      <w:spacing w:after="0" w:line="240" w:lineRule="auto"/>
      <w:ind w:left="770" w:hanging="770"/>
    </w:pPr>
    <w:rPr>
      <w:rFonts w:ascii="Times New Roman" w:hAnsi="Times New Roman"/>
      <w:snapToGrid w:val="0"/>
      <w:color w:val="auto"/>
      <w:sz w:val="24"/>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0B76"/>
    <w:pPr>
      <w:spacing w:after="120" w:line="280" w:lineRule="atLeast"/>
    </w:pPr>
    <w:rPr>
      <w:rFonts w:ascii="Arial" w:hAnsi="Arial"/>
      <w:color w:val="000000"/>
      <w:sz w:val="22"/>
      <w:szCs w:val="24"/>
      <w:lang w:eastAsia="ko-KR"/>
    </w:rPr>
  </w:style>
  <w:style w:type="paragraph" w:styleId="Heading1">
    <w:name w:val="heading 1"/>
    <w:basedOn w:val="Normal"/>
    <w:next w:val="Normal"/>
    <w:link w:val="Heading1Char"/>
    <w:uiPriority w:val="9"/>
    <w:qFormat/>
    <w:rsid w:val="00A705AF"/>
    <w:pPr>
      <w:keepNext/>
      <w:spacing w:before="240" w:after="60"/>
      <w:outlineLvl w:val="0"/>
    </w:pPr>
    <w:rPr>
      <w:rFonts w:cs="Arial"/>
      <w:b/>
      <w:bCs/>
      <w:kern w:val="28"/>
      <w:sz w:val="28"/>
      <w:szCs w:val="32"/>
    </w:rPr>
  </w:style>
  <w:style w:type="paragraph" w:styleId="Heading2">
    <w:name w:val="heading 2"/>
    <w:basedOn w:val="Normal"/>
    <w:next w:val="Normal"/>
    <w:qFormat/>
    <w:rsid w:val="00A705AF"/>
    <w:pPr>
      <w:keepNext/>
      <w:spacing w:before="240" w:after="60"/>
      <w:outlineLvl w:val="1"/>
    </w:pPr>
    <w:rPr>
      <w:rFonts w:cs="Arial"/>
      <w:b/>
      <w:bCs/>
      <w:i/>
      <w:iCs/>
      <w:szCs w:val="28"/>
    </w:rPr>
  </w:style>
  <w:style w:type="paragraph" w:styleId="Heading3">
    <w:name w:val="heading 3"/>
    <w:basedOn w:val="Normal"/>
    <w:next w:val="Normal"/>
    <w:link w:val="Heading3Char"/>
    <w:uiPriority w:val="99"/>
    <w:qFormat/>
    <w:rsid w:val="00A705AF"/>
    <w:pPr>
      <w:keepNext/>
      <w:spacing w:before="240" w:after="60"/>
      <w:outlineLvl w:val="2"/>
    </w:pPr>
    <w:rPr>
      <w:rFonts w:cs="Arial"/>
      <w:bCs/>
      <w:szCs w:val="26"/>
    </w:rPr>
  </w:style>
  <w:style w:type="paragraph" w:styleId="Heading4">
    <w:name w:val="heading 4"/>
    <w:basedOn w:val="Normal"/>
    <w:next w:val="Normal"/>
    <w:qFormat/>
    <w:rsid w:val="00500B76"/>
    <w:pPr>
      <w:outlineLvl w:val="3"/>
    </w:pPr>
    <w:rPr>
      <w:b/>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eastAsiaTheme="majorEastAsia"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List Paragraph1,Recommendation,Bullet table"/>
    <w:basedOn w:val="Normal"/>
    <w:link w:val="ListParagraphChar"/>
    <w:uiPriority w:val="34"/>
    <w:qFormat/>
    <w:rsid w:val="00A4512D"/>
    <w:pPr>
      <w:ind w:left="720"/>
      <w:contextualSpacing/>
    </w:pPr>
  </w:style>
  <w:style w:type="paragraph" w:styleId="BalloonText">
    <w:name w:val="Balloon Text"/>
    <w:basedOn w:val="Normal"/>
    <w:link w:val="BalloonTextChar"/>
    <w:rsid w:val="00A06B94"/>
    <w:rPr>
      <w:rFonts w:ascii="Tahoma" w:hAnsi="Tahoma" w:cs="Tahoma"/>
      <w:sz w:val="16"/>
      <w:szCs w:val="16"/>
    </w:rPr>
  </w:style>
  <w:style w:type="character" w:customStyle="1" w:styleId="BalloonTextChar">
    <w:name w:val="Balloon Text Char"/>
    <w:basedOn w:val="DefaultParagraphFont"/>
    <w:link w:val="BalloonText"/>
    <w:rsid w:val="00A06B94"/>
    <w:rPr>
      <w:rFonts w:ascii="Tahoma" w:hAnsi="Tahoma" w:cs="Tahoma"/>
      <w:sz w:val="16"/>
      <w:szCs w:val="16"/>
      <w:lang w:eastAsia="en-US"/>
    </w:rPr>
  </w:style>
  <w:style w:type="character" w:customStyle="1" w:styleId="Heading3Char">
    <w:name w:val="Heading 3 Char"/>
    <w:basedOn w:val="DefaultParagraphFont"/>
    <w:link w:val="Heading3"/>
    <w:uiPriority w:val="99"/>
    <w:rsid w:val="00A20972"/>
    <w:rPr>
      <w:rFonts w:ascii="Arial" w:hAnsi="Arial" w:cs="Arial"/>
      <w:bCs/>
      <w:sz w:val="22"/>
      <w:szCs w:val="26"/>
      <w:lang w:eastAsia="en-US"/>
    </w:rPr>
  </w:style>
  <w:style w:type="paragraph" w:customStyle="1" w:styleId="02Bodycopy">
    <w:name w:val="02_Body copy"/>
    <w:basedOn w:val="Normal"/>
    <w:uiPriority w:val="99"/>
    <w:rsid w:val="00A20972"/>
    <w:pPr>
      <w:tabs>
        <w:tab w:val="left" w:pos="283"/>
        <w:tab w:val="left" w:pos="567"/>
        <w:tab w:val="left" w:pos="850"/>
        <w:tab w:val="left" w:pos="1134"/>
        <w:tab w:val="left" w:pos="1417"/>
        <w:tab w:val="left" w:pos="1701"/>
        <w:tab w:val="left" w:pos="1984"/>
        <w:tab w:val="left" w:pos="2268"/>
      </w:tabs>
      <w:suppressAutoHyphens/>
      <w:autoSpaceDE w:val="0"/>
      <w:autoSpaceDN w:val="0"/>
      <w:adjustRightInd w:val="0"/>
      <w:spacing w:line="312" w:lineRule="auto"/>
    </w:pPr>
    <w:rPr>
      <w:rFonts w:eastAsiaTheme="minorEastAsia" w:cs="HelveticaNeue-Light"/>
      <w:spacing w:val="4"/>
      <w:sz w:val="20"/>
      <w:szCs w:val="20"/>
      <w:lang w:val="en-GB" w:eastAsia="ja-JP"/>
    </w:rPr>
  </w:style>
  <w:style w:type="character" w:customStyle="1" w:styleId="02Bodyitalic">
    <w:name w:val="02_Body italic"/>
    <w:uiPriority w:val="99"/>
    <w:rsid w:val="00A20972"/>
    <w:rPr>
      <w:rFonts w:ascii="HelveticaNeue-LightItalic" w:hAnsi="HelveticaNeue-LightItalic" w:cs="HelveticaNeue-LightItalic" w:hint="default"/>
      <w:i/>
      <w:iCs/>
    </w:rPr>
  </w:style>
  <w:style w:type="table" w:styleId="TableGrid">
    <w:name w:val="Table Grid"/>
    <w:basedOn w:val="TableNormal"/>
    <w:rsid w:val="00324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rsid w:val="00324E9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324E9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324E9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24E9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324E9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1Char">
    <w:name w:val="Heading 1 Char"/>
    <w:link w:val="Heading1"/>
    <w:uiPriority w:val="9"/>
    <w:rsid w:val="00160CA1"/>
    <w:rPr>
      <w:rFonts w:ascii="Arial" w:hAnsi="Arial" w:cs="Arial"/>
      <w:b/>
      <w:bCs/>
      <w:kern w:val="28"/>
      <w:sz w:val="28"/>
      <w:szCs w:val="32"/>
      <w:lang w:eastAsia="en-US"/>
    </w:rPr>
  </w:style>
  <w:style w:type="paragraph" w:styleId="Header">
    <w:name w:val="header"/>
    <w:basedOn w:val="Normal"/>
    <w:link w:val="HeaderChar"/>
    <w:rsid w:val="00173175"/>
    <w:pPr>
      <w:tabs>
        <w:tab w:val="center" w:pos="4513"/>
        <w:tab w:val="right" w:pos="9026"/>
      </w:tabs>
    </w:pPr>
  </w:style>
  <w:style w:type="character" w:customStyle="1" w:styleId="HeaderChar">
    <w:name w:val="Header Char"/>
    <w:basedOn w:val="DefaultParagraphFont"/>
    <w:link w:val="Header"/>
    <w:rsid w:val="00173175"/>
    <w:rPr>
      <w:rFonts w:ascii="Arial" w:hAnsi="Arial"/>
      <w:sz w:val="22"/>
      <w:szCs w:val="24"/>
      <w:lang w:eastAsia="en-US"/>
    </w:rPr>
  </w:style>
  <w:style w:type="paragraph" w:styleId="Footer">
    <w:name w:val="footer"/>
    <w:basedOn w:val="Normal"/>
    <w:link w:val="FooterChar"/>
    <w:uiPriority w:val="99"/>
    <w:rsid w:val="00173175"/>
    <w:pPr>
      <w:tabs>
        <w:tab w:val="center" w:pos="4513"/>
        <w:tab w:val="right" w:pos="9026"/>
      </w:tabs>
    </w:pPr>
  </w:style>
  <w:style w:type="character" w:customStyle="1" w:styleId="FooterChar">
    <w:name w:val="Footer Char"/>
    <w:basedOn w:val="DefaultParagraphFont"/>
    <w:link w:val="Footer"/>
    <w:uiPriority w:val="99"/>
    <w:rsid w:val="00173175"/>
    <w:rPr>
      <w:rFonts w:ascii="Arial" w:hAnsi="Arial"/>
      <w:sz w:val="22"/>
      <w:szCs w:val="24"/>
      <w:lang w:eastAsia="en-US"/>
    </w:rPr>
  </w:style>
  <w:style w:type="paragraph" w:styleId="NormalWeb">
    <w:name w:val="Normal (Web)"/>
    <w:basedOn w:val="Normal"/>
    <w:unhideWhenUsed/>
    <w:rsid w:val="00D83C43"/>
    <w:pPr>
      <w:spacing w:before="100" w:beforeAutospacing="1" w:after="100" w:afterAutospacing="1"/>
    </w:pPr>
    <w:rPr>
      <w:rFonts w:ascii="Times New Roman" w:hAnsi="Times New Roman"/>
      <w:sz w:val="24"/>
      <w:lang w:eastAsia="en-AU"/>
    </w:rPr>
  </w:style>
  <w:style w:type="paragraph" w:customStyle="1" w:styleId="Default">
    <w:name w:val="Default"/>
    <w:rsid w:val="00C43B7D"/>
    <w:pPr>
      <w:autoSpaceDE w:val="0"/>
      <w:autoSpaceDN w:val="0"/>
      <w:adjustRightInd w:val="0"/>
    </w:pPr>
    <w:rPr>
      <w:rFonts w:ascii="HelveticaNeueLT Com 45 Lt" w:hAnsi="HelveticaNeueLT Com 45 Lt" w:cs="HelveticaNeueLT Com 45 Lt"/>
      <w:color w:val="000000"/>
      <w:sz w:val="24"/>
      <w:szCs w:val="24"/>
    </w:rPr>
  </w:style>
  <w:style w:type="paragraph" w:customStyle="1" w:styleId="Commissionbodytext">
    <w:name w:val="Commission body text"/>
    <w:basedOn w:val="Normal"/>
    <w:link w:val="CommissionbodytextChar"/>
    <w:qFormat/>
    <w:rsid w:val="00A17EC3"/>
    <w:pPr>
      <w:spacing w:line="276" w:lineRule="auto"/>
    </w:pPr>
    <w:rPr>
      <w:rFonts w:eastAsiaTheme="minorEastAsia" w:cs="Arial"/>
      <w:szCs w:val="22"/>
      <w:lang w:val="en-US" w:eastAsia="ja-JP"/>
    </w:rPr>
  </w:style>
  <w:style w:type="character" w:customStyle="1" w:styleId="CommissionbodytextChar">
    <w:name w:val="Commission body text Char"/>
    <w:basedOn w:val="DefaultParagraphFont"/>
    <w:link w:val="Commissionbodytext"/>
    <w:rsid w:val="00A17EC3"/>
    <w:rPr>
      <w:rFonts w:ascii="Arial" w:eastAsiaTheme="minorEastAsia" w:hAnsi="Arial" w:cs="Arial"/>
      <w:sz w:val="22"/>
      <w:szCs w:val="22"/>
      <w:lang w:val="en-US" w:eastAsia="ja-JP"/>
    </w:rPr>
  </w:style>
  <w:style w:type="character" w:customStyle="1" w:styleId="ListParagraphChar">
    <w:name w:val="List Paragraph Char"/>
    <w:aliases w:val="List Paragraph1 Char,Recommendation Char,Bullet table Char"/>
    <w:basedOn w:val="DefaultParagraphFont"/>
    <w:link w:val="ListParagraph"/>
    <w:rsid w:val="00A17EC3"/>
    <w:rPr>
      <w:rFonts w:ascii="Arial" w:hAnsi="Arial"/>
      <w:sz w:val="22"/>
      <w:szCs w:val="24"/>
      <w:lang w:eastAsia="en-US"/>
    </w:rPr>
  </w:style>
  <w:style w:type="paragraph" w:styleId="TOCHeading">
    <w:name w:val="TOC Heading"/>
    <w:basedOn w:val="Heading1"/>
    <w:next w:val="Normal"/>
    <w:uiPriority w:val="39"/>
    <w:unhideWhenUsed/>
    <w:qFormat/>
    <w:rsid w:val="00BA16C7"/>
    <w:pPr>
      <w:keepLines/>
      <w:spacing w:before="480" w:after="0" w:line="276" w:lineRule="auto"/>
      <w:outlineLvl w:val="9"/>
    </w:pPr>
    <w:rPr>
      <w:rFonts w:asciiTheme="majorHAnsi" w:eastAsiaTheme="majorEastAsia" w:hAnsiTheme="majorHAnsi" w:cstheme="majorBidi"/>
      <w:color w:val="365F91" w:themeColor="accent1" w:themeShade="BF"/>
      <w:kern w:val="0"/>
      <w:szCs w:val="28"/>
      <w:lang w:val="en-US" w:eastAsia="ja-JP"/>
    </w:rPr>
  </w:style>
  <w:style w:type="paragraph" w:styleId="TOC1">
    <w:name w:val="toc 1"/>
    <w:basedOn w:val="Normal"/>
    <w:next w:val="Normal"/>
    <w:autoRedefine/>
    <w:uiPriority w:val="39"/>
    <w:rsid w:val="00BA16C7"/>
    <w:pPr>
      <w:spacing w:after="100"/>
    </w:pPr>
  </w:style>
  <w:style w:type="paragraph" w:styleId="TOC2">
    <w:name w:val="toc 2"/>
    <w:basedOn w:val="Normal"/>
    <w:next w:val="Normal"/>
    <w:autoRedefine/>
    <w:uiPriority w:val="39"/>
    <w:rsid w:val="00BA16C7"/>
    <w:pPr>
      <w:spacing w:after="100"/>
      <w:ind w:left="220"/>
    </w:pPr>
  </w:style>
  <w:style w:type="character" w:styleId="Hyperlink">
    <w:name w:val="Hyperlink"/>
    <w:basedOn w:val="DefaultParagraphFont"/>
    <w:uiPriority w:val="99"/>
    <w:unhideWhenUsed/>
    <w:rsid w:val="00BA16C7"/>
    <w:rPr>
      <w:color w:val="0000FF" w:themeColor="hyperlink"/>
      <w:u w:val="single"/>
    </w:rPr>
  </w:style>
  <w:style w:type="paragraph" w:styleId="TOC3">
    <w:name w:val="toc 3"/>
    <w:basedOn w:val="Normal"/>
    <w:next w:val="Normal"/>
    <w:autoRedefine/>
    <w:uiPriority w:val="39"/>
    <w:rsid w:val="00BC2051"/>
    <w:pPr>
      <w:spacing w:after="100"/>
      <w:ind w:left="440"/>
    </w:pPr>
  </w:style>
  <w:style w:type="paragraph" w:styleId="BodyText">
    <w:name w:val="Body Text"/>
    <w:basedOn w:val="Normal"/>
    <w:link w:val="BodyTextChar"/>
    <w:rsid w:val="00AA0CFB"/>
    <w:pPr>
      <w:overflowPunct w:val="0"/>
      <w:autoSpaceDE w:val="0"/>
      <w:autoSpaceDN w:val="0"/>
      <w:adjustRightInd w:val="0"/>
      <w:spacing w:line="300" w:lineRule="atLeast"/>
      <w:textAlignment w:val="baseline"/>
    </w:pPr>
    <w:rPr>
      <w:sz w:val="24"/>
      <w:szCs w:val="20"/>
    </w:rPr>
  </w:style>
  <w:style w:type="character" w:customStyle="1" w:styleId="BodyTextChar">
    <w:name w:val="Body Text Char"/>
    <w:basedOn w:val="DefaultParagraphFont"/>
    <w:link w:val="BodyText"/>
    <w:rsid w:val="00AA0CFB"/>
    <w:rPr>
      <w:rFonts w:ascii="Arial" w:hAnsi="Arial"/>
      <w:sz w:val="24"/>
      <w:lang w:eastAsia="en-US"/>
    </w:rPr>
  </w:style>
  <w:style w:type="paragraph" w:customStyle="1" w:styleId="paragraph">
    <w:name w:val="paragraph"/>
    <w:aliases w:val="a"/>
    <w:link w:val="paragraphChar"/>
    <w:rsid w:val="00960C83"/>
    <w:pPr>
      <w:tabs>
        <w:tab w:val="right" w:pos="1531"/>
      </w:tabs>
      <w:spacing w:before="40"/>
      <w:ind w:left="1644" w:hanging="1644"/>
    </w:pPr>
    <w:rPr>
      <w:sz w:val="22"/>
      <w:szCs w:val="24"/>
    </w:rPr>
  </w:style>
  <w:style w:type="paragraph" w:customStyle="1" w:styleId="paragraphsub">
    <w:name w:val="paragraph(sub)"/>
    <w:aliases w:val="aa"/>
    <w:basedOn w:val="paragraph"/>
    <w:rsid w:val="00960C83"/>
    <w:pPr>
      <w:tabs>
        <w:tab w:val="clear" w:pos="1531"/>
        <w:tab w:val="right" w:pos="1985"/>
      </w:tabs>
      <w:ind w:left="2098" w:hanging="2098"/>
    </w:pPr>
  </w:style>
  <w:style w:type="character" w:customStyle="1" w:styleId="paragraphChar">
    <w:name w:val="paragraph Char"/>
    <w:aliases w:val="a Char"/>
    <w:basedOn w:val="DefaultParagraphFont"/>
    <w:link w:val="paragraph"/>
    <w:rsid w:val="00960C83"/>
    <w:rPr>
      <w:sz w:val="22"/>
      <w:szCs w:val="24"/>
    </w:rPr>
  </w:style>
  <w:style w:type="paragraph" w:customStyle="1" w:styleId="subsection">
    <w:name w:val="subsection"/>
    <w:aliases w:val="ss"/>
    <w:link w:val="subsectionChar"/>
    <w:rsid w:val="006F461F"/>
    <w:pPr>
      <w:tabs>
        <w:tab w:val="right" w:pos="1021"/>
      </w:tabs>
      <w:spacing w:before="180"/>
      <w:ind w:left="1134" w:hanging="1134"/>
    </w:pPr>
    <w:rPr>
      <w:sz w:val="22"/>
      <w:szCs w:val="24"/>
    </w:rPr>
  </w:style>
  <w:style w:type="paragraph" w:customStyle="1" w:styleId="ActHead5">
    <w:name w:val="ActHead 5"/>
    <w:aliases w:val="s"/>
    <w:basedOn w:val="Normal"/>
    <w:next w:val="Normal"/>
    <w:rsid w:val="006F461F"/>
    <w:pPr>
      <w:keepNext/>
      <w:keepLines/>
      <w:spacing w:before="280"/>
      <w:ind w:left="1134" w:hanging="1134"/>
      <w:outlineLvl w:val="4"/>
    </w:pPr>
    <w:rPr>
      <w:rFonts w:ascii="Times New Roman" w:hAnsi="Times New Roman"/>
      <w:b/>
      <w:bCs/>
      <w:kern w:val="28"/>
      <w:sz w:val="24"/>
      <w:szCs w:val="32"/>
      <w:lang w:eastAsia="en-AU"/>
    </w:rPr>
  </w:style>
  <w:style w:type="character" w:customStyle="1" w:styleId="subsectionChar">
    <w:name w:val="subsection Char"/>
    <w:aliases w:val="ss Char"/>
    <w:basedOn w:val="DefaultParagraphFont"/>
    <w:link w:val="subsection"/>
    <w:rsid w:val="006F461F"/>
    <w:rPr>
      <w:sz w:val="22"/>
      <w:szCs w:val="24"/>
    </w:rPr>
  </w:style>
  <w:style w:type="character" w:customStyle="1" w:styleId="A5">
    <w:name w:val="A5"/>
    <w:uiPriority w:val="99"/>
    <w:rsid w:val="00D94679"/>
    <w:rPr>
      <w:color w:val="000000"/>
      <w:sz w:val="22"/>
      <w:szCs w:val="22"/>
    </w:rPr>
  </w:style>
  <w:style w:type="paragraph" w:customStyle="1" w:styleId="2bodyparaoverride-14">
    <w:name w:val="_2_body paraoverride-14"/>
    <w:basedOn w:val="Normal"/>
    <w:rsid w:val="00122577"/>
    <w:pPr>
      <w:spacing w:beforeLines="1" w:afterLines="50"/>
    </w:pPr>
    <w:rPr>
      <w:rFonts w:eastAsiaTheme="minorEastAsia" w:cstheme="minorBidi"/>
      <w:sz w:val="20"/>
      <w:szCs w:val="20"/>
    </w:rPr>
  </w:style>
  <w:style w:type="paragraph" w:customStyle="1" w:styleId="CharCharChar">
    <w:name w:val="Char Char Char"/>
    <w:basedOn w:val="Normal"/>
    <w:rsid w:val="00884F70"/>
    <w:rPr>
      <w:rFonts w:cs="Arial"/>
      <w:szCs w:val="22"/>
    </w:rPr>
  </w:style>
  <w:style w:type="paragraph" w:styleId="FootnoteText">
    <w:name w:val="footnote text"/>
    <w:basedOn w:val="Normal"/>
    <w:link w:val="FootnoteTextChar"/>
    <w:rsid w:val="006E20DF"/>
    <w:rPr>
      <w:rFonts w:eastAsiaTheme="minorEastAsia" w:cstheme="minorBidi"/>
      <w:sz w:val="20"/>
      <w:szCs w:val="20"/>
      <w:lang w:val="en-US" w:eastAsia="ja-JP"/>
    </w:rPr>
  </w:style>
  <w:style w:type="character" w:customStyle="1" w:styleId="FootnoteTextChar">
    <w:name w:val="Footnote Text Char"/>
    <w:basedOn w:val="DefaultParagraphFont"/>
    <w:link w:val="FootnoteText"/>
    <w:rsid w:val="006E20DF"/>
    <w:rPr>
      <w:rFonts w:ascii="Arial" w:eastAsiaTheme="minorEastAsia" w:hAnsi="Arial" w:cstheme="minorBidi"/>
      <w:lang w:val="en-US" w:eastAsia="ja-JP"/>
    </w:rPr>
  </w:style>
  <w:style w:type="character" w:styleId="FootnoteReference">
    <w:name w:val="footnote reference"/>
    <w:basedOn w:val="DefaultParagraphFont"/>
    <w:rsid w:val="006E20DF"/>
    <w:rPr>
      <w:vertAlign w:val="superscript"/>
    </w:rPr>
  </w:style>
  <w:style w:type="character" w:customStyle="1" w:styleId="apple-converted-space">
    <w:name w:val="apple-converted-space"/>
    <w:basedOn w:val="DefaultParagraphFont"/>
    <w:rsid w:val="00FB1FCD"/>
  </w:style>
  <w:style w:type="character" w:styleId="CommentReference">
    <w:name w:val="annotation reference"/>
    <w:basedOn w:val="DefaultParagraphFont"/>
    <w:uiPriority w:val="99"/>
    <w:rsid w:val="00E14033"/>
    <w:rPr>
      <w:sz w:val="16"/>
      <w:szCs w:val="16"/>
    </w:rPr>
  </w:style>
  <w:style w:type="paragraph" w:styleId="CommentText">
    <w:name w:val="annotation text"/>
    <w:basedOn w:val="Normal"/>
    <w:link w:val="CommentTextChar"/>
    <w:uiPriority w:val="99"/>
    <w:rsid w:val="00E14033"/>
    <w:rPr>
      <w:sz w:val="20"/>
      <w:szCs w:val="20"/>
    </w:rPr>
  </w:style>
  <w:style w:type="character" w:customStyle="1" w:styleId="CommentTextChar">
    <w:name w:val="Comment Text Char"/>
    <w:basedOn w:val="DefaultParagraphFont"/>
    <w:link w:val="CommentText"/>
    <w:uiPriority w:val="99"/>
    <w:rsid w:val="00E14033"/>
    <w:rPr>
      <w:rFonts w:ascii="Arial" w:hAnsi="Arial"/>
      <w:lang w:eastAsia="en-US"/>
    </w:rPr>
  </w:style>
  <w:style w:type="paragraph" w:styleId="CommentSubject">
    <w:name w:val="annotation subject"/>
    <w:basedOn w:val="CommentText"/>
    <w:next w:val="CommentText"/>
    <w:link w:val="CommentSubjectChar"/>
    <w:rsid w:val="00E14033"/>
    <w:rPr>
      <w:b/>
      <w:bCs/>
    </w:rPr>
  </w:style>
  <w:style w:type="character" w:customStyle="1" w:styleId="CommentSubjectChar">
    <w:name w:val="Comment Subject Char"/>
    <w:basedOn w:val="CommentTextChar"/>
    <w:link w:val="CommentSubject"/>
    <w:rsid w:val="00E14033"/>
    <w:rPr>
      <w:rFonts w:ascii="Arial" w:hAnsi="Arial"/>
      <w:b/>
      <w:bCs/>
      <w:lang w:eastAsia="en-US"/>
    </w:rPr>
  </w:style>
  <w:style w:type="paragraph" w:styleId="Revision">
    <w:name w:val="Revision"/>
    <w:hidden/>
    <w:uiPriority w:val="99"/>
    <w:semiHidden/>
    <w:rsid w:val="005C6FC6"/>
    <w:rPr>
      <w:rFonts w:ascii="Arial" w:hAnsi="Arial"/>
      <w:sz w:val="22"/>
      <w:szCs w:val="24"/>
      <w:lang w:eastAsia="en-US"/>
    </w:rPr>
  </w:style>
  <w:style w:type="character" w:customStyle="1" w:styleId="oneclick-link">
    <w:name w:val="oneclick-link"/>
    <w:basedOn w:val="DefaultParagraphFont"/>
    <w:rsid w:val="00971C80"/>
  </w:style>
  <w:style w:type="paragraph" w:styleId="PlainText">
    <w:name w:val="Plain Text"/>
    <w:basedOn w:val="Normal"/>
    <w:link w:val="PlainTextChar1"/>
    <w:rsid w:val="00C97168"/>
    <w:pPr>
      <w:spacing w:after="0" w:line="240" w:lineRule="auto"/>
    </w:pPr>
    <w:rPr>
      <w:rFonts w:ascii="Calibri" w:hAnsi="Calibri"/>
      <w:color w:val="auto"/>
      <w:sz w:val="24"/>
      <w:szCs w:val="21"/>
      <w:lang w:eastAsia="en-US"/>
    </w:rPr>
  </w:style>
  <w:style w:type="character" w:customStyle="1" w:styleId="PlainTextChar">
    <w:name w:val="Plain Text Char"/>
    <w:basedOn w:val="DefaultParagraphFont"/>
    <w:rsid w:val="00C97168"/>
    <w:rPr>
      <w:rFonts w:ascii="Consolas" w:hAnsi="Consolas" w:cs="Consolas"/>
      <w:color w:val="000000"/>
      <w:sz w:val="21"/>
      <w:szCs w:val="21"/>
      <w:lang w:eastAsia="ko-KR"/>
    </w:rPr>
  </w:style>
  <w:style w:type="character" w:customStyle="1" w:styleId="PlainTextChar1">
    <w:name w:val="Plain Text Char1"/>
    <w:basedOn w:val="DefaultParagraphFont"/>
    <w:link w:val="PlainText"/>
    <w:locked/>
    <w:rsid w:val="00C97168"/>
    <w:rPr>
      <w:rFonts w:ascii="Calibri" w:hAnsi="Calibri"/>
      <w:sz w:val="24"/>
      <w:szCs w:val="21"/>
      <w:lang w:eastAsia="en-US"/>
    </w:rPr>
  </w:style>
  <w:style w:type="paragraph" w:customStyle="1" w:styleId="a">
    <w:name w:val="_"/>
    <w:basedOn w:val="Normal"/>
    <w:rsid w:val="00232B92"/>
    <w:pPr>
      <w:widowControl w:val="0"/>
      <w:spacing w:after="0" w:line="240" w:lineRule="auto"/>
      <w:ind w:left="770" w:hanging="770"/>
    </w:pPr>
    <w:rPr>
      <w:rFonts w:ascii="Times New Roman" w:hAnsi="Times New Roman"/>
      <w:snapToGrid w:val="0"/>
      <w:color w:val="auto"/>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272300">
      <w:bodyDiv w:val="1"/>
      <w:marLeft w:val="0"/>
      <w:marRight w:val="0"/>
      <w:marTop w:val="0"/>
      <w:marBottom w:val="0"/>
      <w:divBdr>
        <w:top w:val="none" w:sz="0" w:space="0" w:color="auto"/>
        <w:left w:val="none" w:sz="0" w:space="0" w:color="auto"/>
        <w:bottom w:val="none" w:sz="0" w:space="0" w:color="auto"/>
        <w:right w:val="none" w:sz="0" w:space="0" w:color="auto"/>
      </w:divBdr>
    </w:div>
    <w:div w:id="583688317">
      <w:bodyDiv w:val="1"/>
      <w:marLeft w:val="0"/>
      <w:marRight w:val="0"/>
      <w:marTop w:val="0"/>
      <w:marBottom w:val="0"/>
      <w:divBdr>
        <w:top w:val="none" w:sz="0" w:space="0" w:color="auto"/>
        <w:left w:val="none" w:sz="0" w:space="0" w:color="auto"/>
        <w:bottom w:val="none" w:sz="0" w:space="0" w:color="auto"/>
        <w:right w:val="none" w:sz="0" w:space="0" w:color="auto"/>
      </w:divBdr>
    </w:div>
    <w:div w:id="895163848">
      <w:bodyDiv w:val="1"/>
      <w:marLeft w:val="0"/>
      <w:marRight w:val="0"/>
      <w:marTop w:val="0"/>
      <w:marBottom w:val="0"/>
      <w:divBdr>
        <w:top w:val="none" w:sz="0" w:space="0" w:color="auto"/>
        <w:left w:val="none" w:sz="0" w:space="0" w:color="auto"/>
        <w:bottom w:val="none" w:sz="0" w:space="0" w:color="auto"/>
        <w:right w:val="none" w:sz="0" w:space="0" w:color="auto"/>
      </w:divBdr>
    </w:div>
    <w:div w:id="953487996">
      <w:bodyDiv w:val="1"/>
      <w:marLeft w:val="0"/>
      <w:marRight w:val="0"/>
      <w:marTop w:val="0"/>
      <w:marBottom w:val="0"/>
      <w:divBdr>
        <w:top w:val="none" w:sz="0" w:space="0" w:color="auto"/>
        <w:left w:val="none" w:sz="0" w:space="0" w:color="auto"/>
        <w:bottom w:val="none" w:sz="0" w:space="0" w:color="auto"/>
        <w:right w:val="none" w:sz="0" w:space="0" w:color="auto"/>
      </w:divBdr>
    </w:div>
    <w:div w:id="1780946823">
      <w:bodyDiv w:val="1"/>
      <w:marLeft w:val="0"/>
      <w:marRight w:val="0"/>
      <w:marTop w:val="0"/>
      <w:marBottom w:val="0"/>
      <w:divBdr>
        <w:top w:val="none" w:sz="0" w:space="0" w:color="auto"/>
        <w:left w:val="none" w:sz="0" w:space="0" w:color="auto"/>
        <w:bottom w:val="none" w:sz="0" w:space="0" w:color="auto"/>
        <w:right w:val="none" w:sz="0" w:space="0" w:color="auto"/>
      </w:divBdr>
    </w:div>
    <w:div w:id="1881361558">
      <w:bodyDiv w:val="1"/>
      <w:marLeft w:val="0"/>
      <w:marRight w:val="0"/>
      <w:marTop w:val="0"/>
      <w:marBottom w:val="0"/>
      <w:divBdr>
        <w:top w:val="none" w:sz="0" w:space="0" w:color="auto"/>
        <w:left w:val="none" w:sz="0" w:space="0" w:color="auto"/>
        <w:bottom w:val="none" w:sz="0" w:space="0" w:color="auto"/>
        <w:right w:val="none" w:sz="0" w:space="0" w:color="auto"/>
      </w:divBdr>
      <w:divsChild>
        <w:div w:id="424350058">
          <w:marLeft w:val="0"/>
          <w:marRight w:val="0"/>
          <w:marTop w:val="0"/>
          <w:marBottom w:val="0"/>
          <w:divBdr>
            <w:top w:val="none" w:sz="0" w:space="0" w:color="auto"/>
            <w:left w:val="none" w:sz="0" w:space="0" w:color="auto"/>
            <w:bottom w:val="none" w:sz="0" w:space="0" w:color="auto"/>
            <w:right w:val="none" w:sz="0" w:space="0" w:color="auto"/>
          </w:divBdr>
          <w:divsChild>
            <w:div w:id="195123033">
              <w:marLeft w:val="0"/>
              <w:marRight w:val="0"/>
              <w:marTop w:val="0"/>
              <w:marBottom w:val="0"/>
              <w:divBdr>
                <w:top w:val="none" w:sz="0" w:space="0" w:color="auto"/>
                <w:left w:val="none" w:sz="0" w:space="0" w:color="auto"/>
                <w:bottom w:val="none" w:sz="0" w:space="0" w:color="auto"/>
                <w:right w:val="none" w:sz="0" w:space="0" w:color="auto"/>
              </w:divBdr>
              <w:divsChild>
                <w:div w:id="157484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01111">
          <w:marLeft w:val="0"/>
          <w:marRight w:val="0"/>
          <w:marTop w:val="0"/>
          <w:marBottom w:val="0"/>
          <w:divBdr>
            <w:top w:val="none" w:sz="0" w:space="0" w:color="auto"/>
            <w:left w:val="none" w:sz="0" w:space="0" w:color="auto"/>
            <w:bottom w:val="none" w:sz="0" w:space="0" w:color="auto"/>
            <w:right w:val="none" w:sz="0" w:space="0" w:color="auto"/>
          </w:divBdr>
          <w:divsChild>
            <w:div w:id="1834450302">
              <w:marLeft w:val="0"/>
              <w:marRight w:val="0"/>
              <w:marTop w:val="0"/>
              <w:marBottom w:val="0"/>
              <w:divBdr>
                <w:top w:val="none" w:sz="0" w:space="0" w:color="auto"/>
                <w:left w:val="none" w:sz="0" w:space="0" w:color="auto"/>
                <w:bottom w:val="none" w:sz="0" w:space="0" w:color="auto"/>
                <w:right w:val="none" w:sz="0" w:space="0" w:color="auto"/>
              </w:divBdr>
              <w:divsChild>
                <w:div w:id="60034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50765">
          <w:marLeft w:val="0"/>
          <w:marRight w:val="0"/>
          <w:marTop w:val="0"/>
          <w:marBottom w:val="0"/>
          <w:divBdr>
            <w:top w:val="none" w:sz="0" w:space="0" w:color="auto"/>
            <w:left w:val="none" w:sz="0" w:space="0" w:color="auto"/>
            <w:bottom w:val="none" w:sz="0" w:space="0" w:color="auto"/>
            <w:right w:val="none" w:sz="0" w:space="0" w:color="auto"/>
          </w:divBdr>
          <w:divsChild>
            <w:div w:id="1504592827">
              <w:marLeft w:val="0"/>
              <w:marRight w:val="0"/>
              <w:marTop w:val="0"/>
              <w:marBottom w:val="0"/>
              <w:divBdr>
                <w:top w:val="none" w:sz="0" w:space="0" w:color="auto"/>
                <w:left w:val="none" w:sz="0" w:space="0" w:color="auto"/>
                <w:bottom w:val="none" w:sz="0" w:space="0" w:color="auto"/>
                <w:right w:val="none" w:sz="0" w:space="0" w:color="auto"/>
              </w:divBdr>
              <w:divsChild>
                <w:div w:id="4972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49357">
          <w:marLeft w:val="0"/>
          <w:marRight w:val="0"/>
          <w:marTop w:val="0"/>
          <w:marBottom w:val="0"/>
          <w:divBdr>
            <w:top w:val="none" w:sz="0" w:space="0" w:color="auto"/>
            <w:left w:val="none" w:sz="0" w:space="0" w:color="auto"/>
            <w:bottom w:val="none" w:sz="0" w:space="0" w:color="auto"/>
            <w:right w:val="none" w:sz="0" w:space="0" w:color="auto"/>
          </w:divBdr>
          <w:divsChild>
            <w:div w:id="170069697">
              <w:marLeft w:val="0"/>
              <w:marRight w:val="0"/>
              <w:marTop w:val="0"/>
              <w:marBottom w:val="0"/>
              <w:divBdr>
                <w:top w:val="none" w:sz="0" w:space="0" w:color="auto"/>
                <w:left w:val="none" w:sz="0" w:space="0" w:color="auto"/>
                <w:bottom w:val="none" w:sz="0" w:space="0" w:color="auto"/>
                <w:right w:val="none" w:sz="0" w:space="0" w:color="auto"/>
              </w:divBdr>
            </w:div>
          </w:divsChild>
        </w:div>
        <w:div w:id="1322466985">
          <w:marLeft w:val="0"/>
          <w:marRight w:val="0"/>
          <w:marTop w:val="0"/>
          <w:marBottom w:val="0"/>
          <w:divBdr>
            <w:top w:val="none" w:sz="0" w:space="0" w:color="auto"/>
            <w:left w:val="none" w:sz="0" w:space="0" w:color="auto"/>
            <w:bottom w:val="none" w:sz="0" w:space="0" w:color="auto"/>
            <w:right w:val="none" w:sz="0" w:space="0" w:color="auto"/>
          </w:divBdr>
          <w:divsChild>
            <w:div w:id="15046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62557">
      <w:bodyDiv w:val="1"/>
      <w:marLeft w:val="0"/>
      <w:marRight w:val="0"/>
      <w:marTop w:val="0"/>
      <w:marBottom w:val="0"/>
      <w:divBdr>
        <w:top w:val="none" w:sz="0" w:space="0" w:color="auto"/>
        <w:left w:val="none" w:sz="0" w:space="0" w:color="auto"/>
        <w:bottom w:val="none" w:sz="0" w:space="0" w:color="auto"/>
        <w:right w:val="none" w:sz="0" w:space="0" w:color="auto"/>
      </w:divBdr>
      <w:divsChild>
        <w:div w:id="1241140579">
          <w:marLeft w:val="0"/>
          <w:marRight w:val="0"/>
          <w:marTop w:val="0"/>
          <w:marBottom w:val="0"/>
          <w:divBdr>
            <w:top w:val="none" w:sz="0" w:space="0" w:color="auto"/>
            <w:left w:val="none" w:sz="0" w:space="0" w:color="auto"/>
            <w:bottom w:val="none" w:sz="0" w:space="0" w:color="auto"/>
            <w:right w:val="none" w:sz="0" w:space="0" w:color="auto"/>
          </w:divBdr>
          <w:divsChild>
            <w:div w:id="165244524">
              <w:marLeft w:val="0"/>
              <w:marRight w:val="0"/>
              <w:marTop w:val="0"/>
              <w:marBottom w:val="0"/>
              <w:divBdr>
                <w:top w:val="none" w:sz="0" w:space="0" w:color="auto"/>
                <w:left w:val="none" w:sz="0" w:space="0" w:color="auto"/>
                <w:bottom w:val="none" w:sz="0" w:space="0" w:color="auto"/>
                <w:right w:val="none" w:sz="0" w:space="0" w:color="auto"/>
              </w:divBdr>
              <w:divsChild>
                <w:div w:id="978610417">
                  <w:marLeft w:val="0"/>
                  <w:marRight w:val="0"/>
                  <w:marTop w:val="0"/>
                  <w:marBottom w:val="0"/>
                  <w:divBdr>
                    <w:top w:val="none" w:sz="0" w:space="0" w:color="auto"/>
                    <w:left w:val="none" w:sz="0" w:space="0" w:color="auto"/>
                    <w:bottom w:val="none" w:sz="0" w:space="0" w:color="auto"/>
                    <w:right w:val="none" w:sz="0" w:space="0" w:color="auto"/>
                  </w:divBdr>
                  <w:divsChild>
                    <w:div w:id="758529887">
                      <w:marLeft w:val="0"/>
                      <w:marRight w:val="0"/>
                      <w:marTop w:val="0"/>
                      <w:marBottom w:val="0"/>
                      <w:divBdr>
                        <w:top w:val="none" w:sz="0" w:space="0" w:color="auto"/>
                        <w:left w:val="none" w:sz="0" w:space="0" w:color="auto"/>
                        <w:bottom w:val="none" w:sz="0" w:space="0" w:color="auto"/>
                        <w:right w:val="none" w:sz="0" w:space="0" w:color="auto"/>
                      </w:divBdr>
                      <w:divsChild>
                        <w:div w:id="1056585810">
                          <w:marLeft w:val="0"/>
                          <w:marRight w:val="0"/>
                          <w:marTop w:val="0"/>
                          <w:marBottom w:val="0"/>
                          <w:divBdr>
                            <w:top w:val="none" w:sz="0" w:space="0" w:color="auto"/>
                            <w:left w:val="none" w:sz="0" w:space="0" w:color="auto"/>
                            <w:bottom w:val="none" w:sz="0" w:space="0" w:color="auto"/>
                            <w:right w:val="none" w:sz="0" w:space="0" w:color="auto"/>
                          </w:divBdr>
                          <w:divsChild>
                            <w:div w:id="1917592560">
                              <w:marLeft w:val="0"/>
                              <w:marRight w:val="0"/>
                              <w:marTop w:val="0"/>
                              <w:marBottom w:val="0"/>
                              <w:divBdr>
                                <w:top w:val="none" w:sz="0" w:space="0" w:color="auto"/>
                                <w:left w:val="none" w:sz="0" w:space="0" w:color="auto"/>
                                <w:bottom w:val="none" w:sz="0" w:space="0" w:color="auto"/>
                                <w:right w:val="none" w:sz="0" w:space="0" w:color="auto"/>
                              </w:divBdr>
                              <w:divsChild>
                                <w:div w:id="121303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83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7EA4A-7E20-498F-8DAE-59560381D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TotalTime>
  <Pages>22</Pages>
  <Words>6812</Words>
  <Characters>38829</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45550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Dunbar</dc:creator>
  <cp:lastModifiedBy>Box Rhiannon</cp:lastModifiedBy>
  <cp:revision>66</cp:revision>
  <cp:lastPrinted>2016-07-11T00:57:00Z</cp:lastPrinted>
  <dcterms:created xsi:type="dcterms:W3CDTF">2016-05-24T21:31:00Z</dcterms:created>
  <dcterms:modified xsi:type="dcterms:W3CDTF">2016-07-11T07:04:00Z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