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1691E" w:rsidRDefault="00824B99" w:rsidP="00B608DA">
      <w:pPr>
        <w:pStyle w:val="Heading1"/>
        <w:jc w:val="both"/>
        <w:rPr>
          <w:rFonts w:ascii="Bookman Old Style" w:hAnsi="Bookman Old Style"/>
          <w:sz w:val="48"/>
          <w:szCs w:val="48"/>
          <w:lang w:val="en-AU"/>
        </w:rPr>
      </w:pPr>
      <w:r w:rsidRPr="0091691E">
        <w:rPr>
          <w:rFonts w:ascii="Bookman Old Style" w:hAnsi="Bookman Old Style"/>
          <w:noProof/>
          <w:sz w:val="48"/>
          <w:szCs w:val="48"/>
          <w:lang w:val="en-AU" w:eastAsia="en-AU"/>
        </w:rPr>
        <w:drawing>
          <wp:anchor distT="0" distB="0" distL="114300" distR="114300" simplePos="0" relativeHeight="251659264" behindDoc="1" locked="0" layoutInCell="1" allowOverlap="1" wp14:anchorId="0C71C952" wp14:editId="044513F4">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1691E">
        <w:rPr>
          <w:rFonts w:ascii="Bookman Old Style" w:hAnsi="Bookman Old Style"/>
          <w:sz w:val="48"/>
          <w:szCs w:val="48"/>
          <w:lang w:val="en-AU"/>
        </w:rPr>
        <w:t>On the Radar</w:t>
      </w:r>
    </w:p>
    <w:p w:rsidR="00B160EF" w:rsidRPr="0091691E" w:rsidRDefault="00715F47" w:rsidP="00B160EF">
      <w:pPr>
        <w:rPr>
          <w:color w:val="000000"/>
          <w:lang w:val="en-AU"/>
        </w:rPr>
      </w:pPr>
      <w:r w:rsidRPr="0091691E">
        <w:rPr>
          <w:color w:val="000000"/>
          <w:lang w:val="en-AU"/>
        </w:rPr>
        <w:t xml:space="preserve">Issue </w:t>
      </w:r>
      <w:r w:rsidR="00ED198B" w:rsidRPr="0091691E">
        <w:rPr>
          <w:color w:val="000000"/>
          <w:lang w:val="en-AU"/>
        </w:rPr>
        <w:t>1</w:t>
      </w:r>
      <w:r w:rsidR="00B31C8B">
        <w:rPr>
          <w:color w:val="000000"/>
          <w:lang w:val="en-AU"/>
        </w:rPr>
        <w:t>84</w:t>
      </w:r>
    </w:p>
    <w:p w:rsidR="000F7901" w:rsidRPr="0091691E" w:rsidRDefault="00932843" w:rsidP="00B160EF">
      <w:pPr>
        <w:rPr>
          <w:lang w:val="en-AU"/>
        </w:rPr>
      </w:pPr>
      <w:r w:rsidRPr="0091691E">
        <w:rPr>
          <w:lang w:val="en-AU"/>
        </w:rPr>
        <w:t>2</w:t>
      </w:r>
      <w:r w:rsidR="00B31C8B">
        <w:rPr>
          <w:lang w:val="en-AU"/>
        </w:rPr>
        <w:t>8</w:t>
      </w:r>
      <w:r w:rsidR="00C372BE" w:rsidRPr="0091691E">
        <w:rPr>
          <w:lang w:val="en-AU"/>
        </w:rPr>
        <w:t xml:space="preserve"> July</w:t>
      </w:r>
      <w:r w:rsidR="00E724CB" w:rsidRPr="0091691E">
        <w:rPr>
          <w:lang w:val="en-AU"/>
        </w:rPr>
        <w:t xml:space="preserve"> </w:t>
      </w:r>
      <w:r w:rsidR="000F7901" w:rsidRPr="0091691E">
        <w:rPr>
          <w:lang w:val="en-AU"/>
        </w:rPr>
        <w:t>2014</w:t>
      </w:r>
    </w:p>
    <w:p w:rsidR="00566895" w:rsidRPr="0091691E" w:rsidRDefault="00566895" w:rsidP="00B160EF">
      <w:pPr>
        <w:rPr>
          <w:lang w:val="en-AU"/>
        </w:rPr>
      </w:pPr>
    </w:p>
    <w:p w:rsidR="00B160EF" w:rsidRPr="0091691E" w:rsidRDefault="00B160EF" w:rsidP="00B160EF">
      <w:pPr>
        <w:rPr>
          <w:lang w:val="en-AU"/>
        </w:rPr>
      </w:pPr>
      <w:r w:rsidRPr="0091691E">
        <w:rPr>
          <w:i/>
          <w:lang w:val="en-AU"/>
        </w:rPr>
        <w:t>On the Radar</w:t>
      </w:r>
      <w:r w:rsidRPr="0091691E">
        <w:rPr>
          <w:lang w:val="en-AU"/>
        </w:rPr>
        <w:t xml:space="preserve"> is a summary of some of the recent publications in the areas of safety and quality in health care. Inclusion in this document is not an endorsement or recommendation of any publication or provider.</w:t>
      </w:r>
    </w:p>
    <w:p w:rsidR="00B160EF" w:rsidRPr="0091691E" w:rsidRDefault="00B160EF" w:rsidP="00B160EF">
      <w:pPr>
        <w:rPr>
          <w:lang w:val="en-AU"/>
        </w:rPr>
      </w:pPr>
    </w:p>
    <w:p w:rsidR="00B160EF" w:rsidRPr="0091691E" w:rsidRDefault="00B160EF" w:rsidP="00B160EF">
      <w:pPr>
        <w:rPr>
          <w:b/>
          <w:lang w:val="en-AU"/>
        </w:rPr>
      </w:pPr>
      <w:r w:rsidRPr="0091691E">
        <w:rPr>
          <w:lang w:val="en-AU"/>
        </w:rPr>
        <w:t>Access to particular documents may depend on whether they are Open Access or not, and/or your individual or institutional access to subscription sites/services.</w:t>
      </w:r>
      <w:r w:rsidR="00F460A7" w:rsidRPr="0091691E">
        <w:rPr>
          <w:lang w:val="en-AU"/>
        </w:rPr>
        <w:t xml:space="preserve"> Material that may require subscription is included as it is considered relevant.</w:t>
      </w:r>
    </w:p>
    <w:p w:rsidR="00B160EF" w:rsidRPr="0091691E" w:rsidRDefault="00B160EF" w:rsidP="00B160EF">
      <w:pPr>
        <w:rPr>
          <w:lang w:val="en-AU"/>
        </w:rPr>
      </w:pPr>
    </w:p>
    <w:p w:rsidR="00230D83" w:rsidRPr="0091691E" w:rsidRDefault="00B160EF" w:rsidP="0045757F">
      <w:pPr>
        <w:autoSpaceDE w:val="0"/>
        <w:rPr>
          <w:lang w:val="en-AU"/>
        </w:rPr>
      </w:pPr>
      <w:r w:rsidRPr="0091691E">
        <w:rPr>
          <w:i/>
          <w:lang w:val="en-AU"/>
        </w:rPr>
        <w:t>On the Radar</w:t>
      </w:r>
      <w:r w:rsidRPr="0091691E">
        <w:rPr>
          <w:lang w:val="en-AU"/>
        </w:rPr>
        <w:t xml:space="preserve"> is available </w:t>
      </w:r>
      <w:r w:rsidR="003D1E7A" w:rsidRPr="0091691E">
        <w:rPr>
          <w:lang w:val="en-AU"/>
        </w:rPr>
        <w:t xml:space="preserve">online, </w:t>
      </w:r>
      <w:r w:rsidRPr="0091691E">
        <w:rPr>
          <w:lang w:val="en-AU"/>
        </w:rPr>
        <w:t xml:space="preserve">via email or as a PDF document from </w:t>
      </w:r>
      <w:hyperlink r:id="rId10" w:history="1">
        <w:r w:rsidR="00230D83" w:rsidRPr="0091691E">
          <w:rPr>
            <w:rStyle w:val="Hyperlink"/>
            <w:lang w:val="en-AU"/>
          </w:rPr>
          <w:t>http://www.safetyandquality.gov.au/publications-resources/on-the-radar/</w:t>
        </w:r>
      </w:hyperlink>
    </w:p>
    <w:p w:rsidR="0090536C" w:rsidRPr="0091691E" w:rsidRDefault="0090536C" w:rsidP="0045757F">
      <w:pPr>
        <w:autoSpaceDE w:val="0"/>
        <w:rPr>
          <w:lang w:val="en-AU"/>
        </w:rPr>
      </w:pPr>
    </w:p>
    <w:p w:rsidR="00B160EF" w:rsidRPr="0091691E" w:rsidRDefault="00B160EF" w:rsidP="0045757F">
      <w:pPr>
        <w:autoSpaceDE w:val="0"/>
        <w:rPr>
          <w:lang w:val="en-AU"/>
        </w:rPr>
      </w:pPr>
      <w:r w:rsidRPr="0091691E">
        <w:rPr>
          <w:lang w:val="en-AU"/>
        </w:rPr>
        <w:t xml:space="preserve">If you would like to receive </w:t>
      </w:r>
      <w:r w:rsidRPr="0091691E">
        <w:rPr>
          <w:i/>
          <w:lang w:val="en-AU"/>
        </w:rPr>
        <w:t>On the Radar</w:t>
      </w:r>
      <w:r w:rsidRPr="0091691E">
        <w:rPr>
          <w:lang w:val="en-AU"/>
        </w:rPr>
        <w:t xml:space="preserve"> via email</w:t>
      </w:r>
      <w:r w:rsidR="003D7B9E" w:rsidRPr="0091691E">
        <w:rPr>
          <w:lang w:val="en-AU"/>
        </w:rPr>
        <w:t>, you can</w:t>
      </w:r>
      <w:r w:rsidR="00F24F60" w:rsidRPr="0091691E">
        <w:rPr>
          <w:lang w:val="en-AU"/>
        </w:rPr>
        <w:t xml:space="preserve"> subscribe on our website </w:t>
      </w:r>
      <w:hyperlink r:id="rId11" w:history="1">
        <w:r w:rsidR="00F24F60" w:rsidRPr="0091691E">
          <w:rPr>
            <w:rStyle w:val="Hyperlink"/>
            <w:lang w:val="en-AU"/>
          </w:rPr>
          <w:t>http://www.safetyandquality.gov.au/</w:t>
        </w:r>
      </w:hyperlink>
      <w:r w:rsidR="003D7B9E" w:rsidRPr="0091691E">
        <w:rPr>
          <w:lang w:val="en-AU"/>
        </w:rPr>
        <w:t xml:space="preserve"> or by emailing us at </w:t>
      </w:r>
      <w:r w:rsidR="003D7B9E" w:rsidRPr="0091691E">
        <w:rPr>
          <w:rFonts w:ascii="ZWAdobeF" w:hAnsi="ZWAdobeF" w:cs="ZWAdobeF"/>
          <w:sz w:val="2"/>
          <w:szCs w:val="2"/>
          <w:lang w:val="en-AU"/>
        </w:rPr>
        <w:t>H</w:t>
      </w:r>
      <w:hyperlink r:id="rId12" w:history="1">
        <w:r w:rsidR="003D7B9E" w:rsidRPr="0091691E">
          <w:rPr>
            <w:rFonts w:ascii="ZWAdobeF" w:hAnsi="ZWAdobeF" w:cs="ZWAdobeF"/>
            <w:sz w:val="2"/>
            <w:szCs w:val="2"/>
            <w:lang w:val="en-AU"/>
          </w:rPr>
          <w:t>U</w:t>
        </w:r>
        <w:r w:rsidR="003D7B9E" w:rsidRPr="0091691E">
          <w:rPr>
            <w:rStyle w:val="Hyperlink"/>
            <w:lang w:val="en-AU"/>
          </w:rPr>
          <w:t>mail@safetyandquality.gov.au</w:t>
        </w:r>
        <w:r w:rsidR="003D7B9E" w:rsidRPr="0091691E">
          <w:rPr>
            <w:rStyle w:val="Hyperlink"/>
            <w:rFonts w:ascii="ZWAdobeF" w:hAnsi="ZWAdobeF" w:cs="ZWAdobeF"/>
            <w:color w:val="auto"/>
            <w:sz w:val="2"/>
            <w:szCs w:val="2"/>
            <w:u w:val="none"/>
            <w:lang w:val="en-AU"/>
          </w:rPr>
          <w:t>U</w:t>
        </w:r>
      </w:hyperlink>
      <w:r w:rsidR="003D7B9E" w:rsidRPr="0091691E">
        <w:rPr>
          <w:lang w:val="en-AU"/>
        </w:rPr>
        <w:t xml:space="preserve">. </w:t>
      </w:r>
      <w:r w:rsidR="00E51D23" w:rsidRPr="0091691E">
        <w:rPr>
          <w:lang w:val="en-AU"/>
        </w:rPr>
        <w:br/>
      </w:r>
      <w:r w:rsidR="003D7B9E" w:rsidRPr="0091691E">
        <w:rPr>
          <w:lang w:val="en-AU"/>
        </w:rPr>
        <w:t xml:space="preserve">You can also send feedback and comments to </w:t>
      </w:r>
      <w:r w:rsidR="003D7B9E" w:rsidRPr="0091691E">
        <w:rPr>
          <w:rFonts w:ascii="ZWAdobeF" w:hAnsi="ZWAdobeF" w:cs="ZWAdobeF"/>
          <w:sz w:val="2"/>
          <w:szCs w:val="2"/>
          <w:lang w:val="en-AU"/>
        </w:rPr>
        <w:t>H</w:t>
      </w:r>
      <w:hyperlink r:id="rId13" w:history="1">
        <w:r w:rsidR="003D7B9E" w:rsidRPr="0091691E">
          <w:rPr>
            <w:rFonts w:ascii="ZWAdobeF" w:hAnsi="ZWAdobeF" w:cs="ZWAdobeF"/>
            <w:sz w:val="2"/>
            <w:szCs w:val="2"/>
            <w:lang w:val="en-AU"/>
          </w:rPr>
          <w:t>U</w:t>
        </w:r>
        <w:r w:rsidR="003D7B9E" w:rsidRPr="0091691E">
          <w:rPr>
            <w:rStyle w:val="Hyperlink"/>
            <w:lang w:val="en-AU"/>
          </w:rPr>
          <w:t>mail@safetyandquality.gov.au</w:t>
        </w:r>
        <w:r w:rsidR="003D7B9E" w:rsidRPr="0091691E">
          <w:rPr>
            <w:rStyle w:val="Hyperlink"/>
            <w:rFonts w:ascii="ZWAdobeF" w:hAnsi="ZWAdobeF" w:cs="ZWAdobeF"/>
            <w:color w:val="auto"/>
            <w:sz w:val="2"/>
            <w:szCs w:val="2"/>
            <w:u w:val="none"/>
            <w:lang w:val="en-AU"/>
          </w:rPr>
          <w:t>U</w:t>
        </w:r>
      </w:hyperlink>
      <w:r w:rsidR="003D7B9E" w:rsidRPr="0091691E">
        <w:rPr>
          <w:lang w:val="en-AU"/>
        </w:rPr>
        <w:t>.</w:t>
      </w:r>
    </w:p>
    <w:p w:rsidR="00B160EF" w:rsidRPr="0091691E" w:rsidRDefault="00B160EF" w:rsidP="00837FC4">
      <w:pPr>
        <w:tabs>
          <w:tab w:val="left" w:pos="7773"/>
        </w:tabs>
        <w:rPr>
          <w:lang w:val="en-AU"/>
        </w:rPr>
      </w:pPr>
    </w:p>
    <w:p w:rsidR="00837FC4" w:rsidRPr="0091691E" w:rsidRDefault="00B160EF" w:rsidP="004554DB">
      <w:pPr>
        <w:autoSpaceDE w:val="0"/>
        <w:rPr>
          <w:lang w:val="en-AU"/>
        </w:rPr>
      </w:pPr>
      <w:bookmarkStart w:id="0" w:name="OLE_LINK1"/>
      <w:r w:rsidRPr="0091691E">
        <w:rPr>
          <w:lang w:val="en-AU"/>
        </w:rPr>
        <w:t xml:space="preserve">For information about the Commission and its programs and publications, please visit </w:t>
      </w:r>
      <w:hyperlink r:id="rId14" w:history="1">
        <w:r w:rsidR="00837FC4" w:rsidRPr="0091691E">
          <w:rPr>
            <w:rStyle w:val="Hyperlink"/>
            <w:lang w:val="en-AU"/>
          </w:rPr>
          <w:t>http://www.safetyandquality.gov.au</w:t>
        </w:r>
      </w:hyperlink>
    </w:p>
    <w:p w:rsidR="00210235" w:rsidRPr="0091691E" w:rsidRDefault="004554DB" w:rsidP="004554DB">
      <w:pPr>
        <w:autoSpaceDE w:val="0"/>
        <w:rPr>
          <w:lang w:val="en-AU"/>
        </w:rPr>
      </w:pPr>
      <w:r w:rsidRPr="0091691E">
        <w:rPr>
          <w:lang w:val="en-AU"/>
        </w:rPr>
        <w:t>You can also follow us on Twitter @ACSQHC.</w:t>
      </w:r>
    </w:p>
    <w:p w:rsidR="00DD32E9" w:rsidRPr="0091691E" w:rsidRDefault="00DD32E9" w:rsidP="004554DB">
      <w:pPr>
        <w:autoSpaceDE w:val="0"/>
        <w:rPr>
          <w:lang w:val="en-AU"/>
        </w:rPr>
      </w:pPr>
    </w:p>
    <w:p w:rsidR="00210235" w:rsidRPr="0091691E" w:rsidRDefault="00210235" w:rsidP="00210235">
      <w:pPr>
        <w:keepNext/>
        <w:pBdr>
          <w:top w:val="single" w:sz="4" w:space="1" w:color="auto"/>
        </w:pBdr>
        <w:rPr>
          <w:b/>
          <w:lang w:val="en-AU"/>
        </w:rPr>
      </w:pPr>
      <w:r w:rsidRPr="0091691E">
        <w:rPr>
          <w:b/>
          <w:lang w:val="en-AU"/>
        </w:rPr>
        <w:t>On the Radar</w:t>
      </w:r>
    </w:p>
    <w:p w:rsidR="00340157" w:rsidRPr="0091691E" w:rsidRDefault="00340157" w:rsidP="00210235">
      <w:pPr>
        <w:keepNext/>
        <w:pBdr>
          <w:top w:val="single" w:sz="4" w:space="1" w:color="auto"/>
        </w:pBdr>
        <w:rPr>
          <w:bCs/>
          <w:lang w:val="en-AU"/>
        </w:rPr>
      </w:pPr>
      <w:r w:rsidRPr="0091691E">
        <w:rPr>
          <w:bCs/>
          <w:lang w:val="en-AU"/>
        </w:rPr>
        <w:t xml:space="preserve">Editor: </w:t>
      </w:r>
      <w:r w:rsidR="00C8085B" w:rsidRPr="0091691E">
        <w:rPr>
          <w:bCs/>
          <w:lang w:val="en-AU"/>
        </w:rPr>
        <w:t xml:space="preserve">Dr </w:t>
      </w:r>
      <w:r w:rsidRPr="0091691E">
        <w:rPr>
          <w:bCs/>
          <w:lang w:val="en-AU"/>
        </w:rPr>
        <w:t xml:space="preserve">Niall Johnson </w:t>
      </w:r>
      <w:hyperlink r:id="rId15" w:history="1">
        <w:r w:rsidRPr="0091691E">
          <w:rPr>
            <w:rStyle w:val="Hyperlink"/>
            <w:bCs/>
            <w:lang w:val="en-AU"/>
          </w:rPr>
          <w:t>niall.johnson@safetyandquality.gov.au</w:t>
        </w:r>
      </w:hyperlink>
    </w:p>
    <w:p w:rsidR="009A35BE" w:rsidRDefault="00210235" w:rsidP="00A8296D">
      <w:pPr>
        <w:keepNext/>
        <w:pBdr>
          <w:top w:val="single" w:sz="4" w:space="1" w:color="auto"/>
        </w:pBdr>
        <w:rPr>
          <w:shd w:val="clear" w:color="auto" w:fill="FFFFFF"/>
          <w:lang w:val="en-AU"/>
        </w:rPr>
      </w:pPr>
      <w:r w:rsidRPr="0091691E">
        <w:rPr>
          <w:bCs/>
          <w:lang w:val="en-AU"/>
        </w:rPr>
        <w:t xml:space="preserve">Contributors: </w:t>
      </w:r>
      <w:r w:rsidR="0056339A" w:rsidRPr="0091691E">
        <w:rPr>
          <w:bCs/>
          <w:lang w:val="en-AU"/>
        </w:rPr>
        <w:t>Niall Johnson</w:t>
      </w:r>
      <w:r w:rsidR="00A8296D">
        <w:rPr>
          <w:bCs/>
          <w:lang w:val="en-AU"/>
        </w:rPr>
        <w:t xml:space="preserve">, Debbie Carter, Eliza </w:t>
      </w:r>
      <w:proofErr w:type="spellStart"/>
      <w:r w:rsidR="00A8296D">
        <w:rPr>
          <w:bCs/>
          <w:lang w:val="en-AU"/>
        </w:rPr>
        <w:t>McEw</w:t>
      </w:r>
      <w:bookmarkEnd w:id="0"/>
      <w:r w:rsidR="00A8296D">
        <w:rPr>
          <w:shd w:val="clear" w:color="auto" w:fill="FFFFFF"/>
          <w:lang w:val="en-AU"/>
        </w:rPr>
        <w:t>in</w:t>
      </w:r>
      <w:proofErr w:type="spellEnd"/>
      <w:r w:rsidR="006655A9">
        <w:rPr>
          <w:shd w:val="clear" w:color="auto" w:fill="FFFFFF"/>
          <w:lang w:val="en-AU"/>
        </w:rPr>
        <w:t>, Luke Slawomirski</w:t>
      </w:r>
    </w:p>
    <w:p w:rsidR="00F34D09" w:rsidRDefault="00F34D09" w:rsidP="00F34D09">
      <w:pPr>
        <w:rPr>
          <w:shd w:val="clear" w:color="auto" w:fill="FFFFFF"/>
          <w:lang w:val="en-AU"/>
        </w:rPr>
      </w:pPr>
    </w:p>
    <w:p w:rsidR="00F34D09" w:rsidRPr="0089224B" w:rsidRDefault="00F34D09" w:rsidP="00F34D09">
      <w:pPr>
        <w:rPr>
          <w:b/>
          <w:lang w:val="en-AU"/>
        </w:rPr>
      </w:pPr>
      <w:r w:rsidRPr="0089224B">
        <w:rPr>
          <w:b/>
          <w:lang w:val="en-AU"/>
        </w:rPr>
        <w:t>Consultation on Exploring Healthcare Variation in Australia: Analyses Resulting from an OECD Study</w:t>
      </w:r>
    </w:p>
    <w:p w:rsidR="00F34D09" w:rsidRPr="0089224B" w:rsidRDefault="00F34D09" w:rsidP="00F34D09">
      <w:pPr>
        <w:rPr>
          <w:i/>
          <w:lang w:val="en-AU"/>
        </w:rPr>
      </w:pPr>
      <w:r w:rsidRPr="0089224B">
        <w:rPr>
          <w:i/>
          <w:lang w:val="en-AU"/>
        </w:rPr>
        <w:t xml:space="preserve">Consultation </w:t>
      </w:r>
      <w:r>
        <w:rPr>
          <w:i/>
          <w:lang w:val="en-AU"/>
        </w:rPr>
        <w:t>extended to 22 August 2014</w:t>
      </w:r>
    </w:p>
    <w:p w:rsidR="00F34D09" w:rsidRDefault="00F34D09" w:rsidP="00F34D09">
      <w:pPr>
        <w:rPr>
          <w:lang w:val="en-AU"/>
        </w:rPr>
      </w:pPr>
    </w:p>
    <w:p w:rsidR="00F34D09" w:rsidRDefault="00F34D09" w:rsidP="00F34D09">
      <w:pPr>
        <w:rPr>
          <w:lang w:val="en-AU"/>
        </w:rPr>
      </w:pPr>
      <w:r w:rsidRPr="0089224B">
        <w:rPr>
          <w:lang w:val="en-AU"/>
        </w:rPr>
        <w:t>The Australian results of an Organisation for Economic Co-operation and Development (OECD) study on healthcare variation were published in th</w:t>
      </w:r>
      <w:r>
        <w:rPr>
          <w:lang w:val="en-AU"/>
        </w:rPr>
        <w:t>e</w:t>
      </w:r>
      <w:r w:rsidRPr="0089224B">
        <w:rPr>
          <w:lang w:val="en-AU"/>
        </w:rPr>
        <w:t xml:space="preserve"> </w:t>
      </w:r>
      <w:r w:rsidRPr="0089224B">
        <w:rPr>
          <w:i/>
          <w:lang w:val="en-AU"/>
        </w:rPr>
        <w:t>Exploring Healthcare Variation in Australia: Analyses Resulting from an OECD Study</w:t>
      </w:r>
      <w:r>
        <w:rPr>
          <w:lang w:val="en-AU"/>
        </w:rPr>
        <w:t xml:space="preserve"> </w:t>
      </w:r>
      <w:r w:rsidRPr="0089224B">
        <w:rPr>
          <w:lang w:val="en-AU"/>
        </w:rPr>
        <w:t>discussion paper authored by the Australian Commission on Safety and Quality in Health Care (the Commission) and the Australian Institute of Health and Welfare.</w:t>
      </w:r>
      <w:r>
        <w:rPr>
          <w:lang w:val="en-AU"/>
        </w:rPr>
        <w:t xml:space="preserve"> The paper is available at </w:t>
      </w:r>
      <w:hyperlink r:id="rId16" w:history="1">
        <w:r w:rsidRPr="00EC6917">
          <w:rPr>
            <w:rStyle w:val="Hyperlink"/>
            <w:lang w:val="en-AU"/>
          </w:rPr>
          <w:t>http://www.safetyandquality.gov.au/publications/exploring-healthcare-variation-in-australia/</w:t>
        </w:r>
      </w:hyperlink>
    </w:p>
    <w:p w:rsidR="00F34D09" w:rsidRDefault="00F34D09" w:rsidP="00F34D09">
      <w:pPr>
        <w:rPr>
          <w:lang w:val="en-AU"/>
        </w:rPr>
      </w:pPr>
    </w:p>
    <w:p w:rsidR="00F34D09" w:rsidRPr="0089224B" w:rsidRDefault="00F34D09" w:rsidP="00F34D09">
      <w:pPr>
        <w:rPr>
          <w:lang w:val="en-AU"/>
        </w:rPr>
      </w:pPr>
      <w:r w:rsidRPr="0089224B">
        <w:rPr>
          <w:lang w:val="en-AU"/>
        </w:rPr>
        <w:t>The paper examines variation in the rates of several common procedures, selected by the OECD, including: knee surgery (knee arthroscopy and knee replacement); cardiac procedures (cardiac catheterisation, percutaneous coronary interventions and coronary artery bypass grafting; caesarean section; and hysterectomy. The procedures measured were undertaken in hospitals and day procedure centres, both public and private, during 2010-11. Variation was measured according to the Medicare Local area where patients lived, but the approach can be applied to any desired geographic scale.</w:t>
      </w:r>
    </w:p>
    <w:p w:rsidR="00F34D09" w:rsidRPr="0089224B" w:rsidRDefault="00F34D09" w:rsidP="00F34D09">
      <w:pPr>
        <w:rPr>
          <w:lang w:val="en-AU"/>
        </w:rPr>
      </w:pPr>
    </w:p>
    <w:p w:rsidR="00F34D09" w:rsidRDefault="00F34D09" w:rsidP="00F34D09">
      <w:pPr>
        <w:rPr>
          <w:lang w:val="en-AU"/>
        </w:rPr>
      </w:pPr>
      <w:r w:rsidRPr="0089224B">
        <w:rPr>
          <w:lang w:val="en-AU"/>
        </w:rPr>
        <w:lastRenderedPageBreak/>
        <w:t xml:space="preserve">The Commission is inviting comment and feedback on the paper. Consultation </w:t>
      </w:r>
      <w:r>
        <w:rPr>
          <w:lang w:val="en-AU"/>
        </w:rPr>
        <w:t>has been extended until 22</w:t>
      </w:r>
      <w:r w:rsidRPr="0089224B">
        <w:rPr>
          <w:lang w:val="en-AU"/>
        </w:rPr>
        <w:t xml:space="preserve"> </w:t>
      </w:r>
      <w:r>
        <w:rPr>
          <w:lang w:val="en-AU"/>
        </w:rPr>
        <w:t>August</w:t>
      </w:r>
      <w:r w:rsidRPr="0089224B">
        <w:rPr>
          <w:lang w:val="en-AU"/>
        </w:rPr>
        <w:t xml:space="preserve"> 2014. Details about how to make a submis</w:t>
      </w:r>
      <w:r>
        <w:rPr>
          <w:lang w:val="en-AU"/>
        </w:rPr>
        <w:t>sion are included in the paper.</w:t>
      </w:r>
    </w:p>
    <w:p w:rsidR="00F34D09" w:rsidRPr="0089224B" w:rsidRDefault="00F34D09" w:rsidP="00F34D09">
      <w:pPr>
        <w:rPr>
          <w:lang w:val="en-AU"/>
        </w:rPr>
      </w:pPr>
    </w:p>
    <w:p w:rsidR="00F34D09" w:rsidRDefault="00F34D09" w:rsidP="00F34D09">
      <w:pPr>
        <w:rPr>
          <w:lang w:val="en-AU"/>
        </w:rPr>
      </w:pPr>
      <w:r w:rsidRPr="0089224B">
        <w:rPr>
          <w:lang w:val="en-AU"/>
        </w:rPr>
        <w:t xml:space="preserve">The contact person for this consultation is Mr Luke Slawomirski, Program Manager, </w:t>
      </w:r>
      <w:proofErr w:type="gramStart"/>
      <w:r w:rsidRPr="0089224B">
        <w:rPr>
          <w:lang w:val="en-AU"/>
        </w:rPr>
        <w:t>Implementation</w:t>
      </w:r>
      <w:proofErr w:type="gramEnd"/>
      <w:r w:rsidRPr="0089224B">
        <w:rPr>
          <w:lang w:val="en-AU"/>
        </w:rPr>
        <w:t xml:space="preserve"> Support. Mr Slawomirski can be contacted on (02) 9126 3600 or via email at </w:t>
      </w:r>
      <w:hyperlink r:id="rId17" w:history="1">
        <w:r w:rsidRPr="00EC6917">
          <w:rPr>
            <w:rStyle w:val="Hyperlink"/>
            <w:lang w:val="en-AU"/>
          </w:rPr>
          <w:t>medicalpracticevariation@safetyandquality.gov.au</w:t>
        </w:r>
      </w:hyperlink>
    </w:p>
    <w:p w:rsidR="00B31C8B" w:rsidRDefault="00B31C8B" w:rsidP="00B31C8B">
      <w:pPr>
        <w:rPr>
          <w:b/>
          <w:lang w:val="en-AU"/>
        </w:rPr>
      </w:pPr>
    </w:p>
    <w:p w:rsidR="00C372BE" w:rsidRPr="0091691E" w:rsidRDefault="00C372BE" w:rsidP="00F87778">
      <w:pPr>
        <w:keepNext/>
        <w:rPr>
          <w:b/>
          <w:lang w:val="en-AU"/>
        </w:rPr>
      </w:pPr>
      <w:r w:rsidRPr="0091691E">
        <w:rPr>
          <w:b/>
          <w:lang w:val="en-AU"/>
        </w:rPr>
        <w:t>Reports</w:t>
      </w:r>
    </w:p>
    <w:p w:rsidR="00C372BE" w:rsidRPr="0091691E" w:rsidRDefault="00C372BE" w:rsidP="00C372BE">
      <w:pPr>
        <w:keepNext/>
        <w:keepLines/>
        <w:autoSpaceDE w:val="0"/>
        <w:autoSpaceDN w:val="0"/>
        <w:adjustRightInd w:val="0"/>
        <w:rPr>
          <w:lang w:val="en-AU"/>
        </w:rPr>
      </w:pPr>
    </w:p>
    <w:p w:rsidR="00C55EE2" w:rsidRPr="00C55EE2" w:rsidRDefault="00C55EE2" w:rsidP="00C55EE2">
      <w:pPr>
        <w:keepNext/>
        <w:keepLines/>
        <w:autoSpaceDE w:val="0"/>
        <w:autoSpaceDN w:val="0"/>
        <w:adjustRightInd w:val="0"/>
        <w:rPr>
          <w:i/>
          <w:lang w:val="en-AU"/>
        </w:rPr>
      </w:pPr>
      <w:r w:rsidRPr="00C55EE2">
        <w:rPr>
          <w:i/>
          <w:lang w:val="en-AU"/>
        </w:rPr>
        <w:t>Mortality measurement: The case in favour</w:t>
      </w:r>
    </w:p>
    <w:p w:rsidR="00C55EE2" w:rsidRDefault="00C55EE2" w:rsidP="00BC0F75">
      <w:pPr>
        <w:keepNext/>
        <w:keepLines/>
        <w:autoSpaceDE w:val="0"/>
        <w:autoSpaceDN w:val="0"/>
        <w:adjustRightInd w:val="0"/>
        <w:rPr>
          <w:lang w:val="en-AU"/>
        </w:rPr>
      </w:pPr>
      <w:r w:rsidRPr="00C55EE2">
        <w:rPr>
          <w:lang w:val="en-AU"/>
        </w:rPr>
        <w:t>Taylor R, Aylin P</w:t>
      </w:r>
    </w:p>
    <w:p w:rsidR="00BC0F75" w:rsidRPr="0091691E" w:rsidRDefault="00C55EE2" w:rsidP="00BC0F75">
      <w:pPr>
        <w:keepNext/>
        <w:keepLines/>
        <w:autoSpaceDE w:val="0"/>
        <w:autoSpaceDN w:val="0"/>
        <w:adjustRightInd w:val="0"/>
        <w:rPr>
          <w:lang w:val="en-AU"/>
        </w:rPr>
      </w:pPr>
      <w:r w:rsidRPr="00C55EE2">
        <w:rPr>
          <w:lang w:val="en-AU"/>
        </w:rPr>
        <w:t>London: Dr Foster Inte</w:t>
      </w:r>
      <w:r>
        <w:rPr>
          <w:lang w:val="en-AU"/>
        </w:rPr>
        <w:t>l</w:t>
      </w:r>
      <w:r w:rsidRPr="00C55EE2">
        <w:rPr>
          <w:lang w:val="en-AU"/>
        </w:rPr>
        <w:t>ligence and Imperial College London; 2014.</w:t>
      </w:r>
    </w:p>
    <w:tbl>
      <w:tblPr>
        <w:tblStyle w:val="TableGrid"/>
        <w:tblW w:w="0" w:type="auto"/>
        <w:tblInd w:w="288" w:type="dxa"/>
        <w:tblLayout w:type="fixed"/>
        <w:tblLook w:val="01E0" w:firstRow="1" w:lastRow="1" w:firstColumn="1" w:lastColumn="1" w:noHBand="0" w:noVBand="0"/>
      </w:tblPr>
      <w:tblGrid>
        <w:gridCol w:w="1080"/>
        <w:gridCol w:w="8280"/>
      </w:tblGrid>
      <w:tr w:rsidR="00BC0F75" w:rsidRPr="0091691E" w:rsidTr="003644B3">
        <w:tc>
          <w:tcPr>
            <w:tcW w:w="1080" w:type="dxa"/>
            <w:tcBorders>
              <w:top w:val="single" w:sz="4" w:space="0" w:color="auto"/>
              <w:left w:val="single" w:sz="4" w:space="0" w:color="auto"/>
              <w:bottom w:val="single" w:sz="4" w:space="0" w:color="auto"/>
              <w:right w:val="single" w:sz="4" w:space="0" w:color="auto"/>
            </w:tcBorders>
            <w:vAlign w:val="center"/>
          </w:tcPr>
          <w:p w:rsidR="00BC0F75" w:rsidRPr="0091691E" w:rsidRDefault="00BC0F75" w:rsidP="003644B3">
            <w:pPr>
              <w:rPr>
                <w:lang w:val="en-AU"/>
              </w:rPr>
            </w:pPr>
            <w:r w:rsidRPr="0091691E">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C0F75" w:rsidRPr="0091691E" w:rsidRDefault="00EB447A" w:rsidP="00C55EE2">
            <w:pPr>
              <w:rPr>
                <w:lang w:val="en-AU"/>
              </w:rPr>
            </w:pPr>
            <w:hyperlink r:id="rId18" w:history="1">
              <w:r w:rsidR="00C55EE2" w:rsidRPr="001E452D">
                <w:rPr>
                  <w:rStyle w:val="Hyperlink"/>
                  <w:lang w:val="en-AU"/>
                </w:rPr>
                <w:t>http://drfosterintelligence.co.uk/2014/07/15/measurement/</w:t>
              </w:r>
            </w:hyperlink>
          </w:p>
        </w:tc>
      </w:tr>
      <w:tr w:rsidR="00BC0F75" w:rsidRPr="0091691E" w:rsidTr="003644B3">
        <w:tc>
          <w:tcPr>
            <w:tcW w:w="1080" w:type="dxa"/>
            <w:tcBorders>
              <w:top w:val="single" w:sz="4" w:space="0" w:color="auto"/>
              <w:left w:val="single" w:sz="4" w:space="0" w:color="auto"/>
              <w:bottom w:val="single" w:sz="4" w:space="0" w:color="auto"/>
              <w:right w:val="single" w:sz="4" w:space="0" w:color="auto"/>
            </w:tcBorders>
            <w:vAlign w:val="center"/>
          </w:tcPr>
          <w:p w:rsidR="00BC0F75" w:rsidRPr="0091691E" w:rsidRDefault="00BC0F75" w:rsidP="003644B3">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010C1" w:rsidRPr="00C55EE2" w:rsidRDefault="00C55EE2" w:rsidP="008010C1">
            <w:pPr>
              <w:rPr>
                <w:lang w:val="en-AU"/>
              </w:rPr>
            </w:pPr>
            <w:r>
              <w:rPr>
                <w:lang w:val="en-AU"/>
              </w:rPr>
              <w:t xml:space="preserve">Report from the UK’s Dr Foster Intelligence group restating the case for </w:t>
            </w:r>
            <w:r w:rsidR="008010C1">
              <w:rPr>
                <w:lang w:val="en-AU"/>
              </w:rPr>
              <w:t xml:space="preserve">reporting risk-adjusted </w:t>
            </w:r>
            <w:r>
              <w:rPr>
                <w:lang w:val="en-AU"/>
              </w:rPr>
              <w:t xml:space="preserve">mortality </w:t>
            </w:r>
            <w:r w:rsidR="008010C1">
              <w:rPr>
                <w:lang w:val="en-AU"/>
              </w:rPr>
              <w:t>measures</w:t>
            </w:r>
            <w:r>
              <w:rPr>
                <w:lang w:val="en-AU"/>
              </w:rPr>
              <w:t xml:space="preserve">. </w:t>
            </w:r>
            <w:r w:rsidR="008010C1">
              <w:rPr>
                <w:lang w:val="en-AU"/>
              </w:rPr>
              <w:t>The authors argue that need to be various ways to measure and monitor healthcare and that no single measure can adequately summarise safety and quality of a healthcare organisation. They also rebut some of the criticisms that have been made of mortality measures and “</w:t>
            </w:r>
            <w:r w:rsidR="008010C1" w:rsidRPr="008010C1">
              <w:rPr>
                <w:lang w:val="en-AU"/>
              </w:rPr>
              <w:t xml:space="preserve">advocate a </w:t>
            </w:r>
            <w:r w:rsidR="008010C1" w:rsidRPr="008010C1">
              <w:rPr>
                <w:b/>
                <w:lang w:val="en-AU"/>
              </w:rPr>
              <w:t>multidimensional approach to measuring healthcare</w:t>
            </w:r>
            <w:r w:rsidR="008010C1" w:rsidRPr="008010C1">
              <w:rPr>
                <w:lang w:val="en-AU"/>
              </w:rPr>
              <w:t xml:space="preserve"> – including the use of risk-adjusted mortality measures –</w:t>
            </w:r>
            <w:r w:rsidR="008010C1" w:rsidRPr="008010C1">
              <w:rPr>
                <w:b/>
                <w:lang w:val="en-AU"/>
              </w:rPr>
              <w:t xml:space="preserve"> as the best way of monitoring safety and improving quality</w:t>
            </w:r>
            <w:r w:rsidR="008010C1">
              <w:rPr>
                <w:lang w:val="en-AU"/>
              </w:rPr>
              <w:t>.”</w:t>
            </w:r>
          </w:p>
        </w:tc>
      </w:tr>
    </w:tbl>
    <w:p w:rsidR="00BC0F75" w:rsidRPr="0091691E" w:rsidRDefault="00BC0F75" w:rsidP="00AD1101">
      <w:pPr>
        <w:keepNext/>
        <w:keepLines/>
        <w:autoSpaceDE w:val="0"/>
        <w:autoSpaceDN w:val="0"/>
        <w:adjustRightInd w:val="0"/>
        <w:rPr>
          <w:i/>
          <w:lang w:val="en-AU"/>
        </w:rPr>
      </w:pPr>
    </w:p>
    <w:p w:rsidR="0091691E" w:rsidRDefault="0091691E">
      <w:pPr>
        <w:rPr>
          <w:b/>
          <w:lang w:val="en-AU"/>
        </w:rPr>
      </w:pPr>
    </w:p>
    <w:p w:rsidR="00A30DF9" w:rsidRPr="0091691E" w:rsidRDefault="00254636" w:rsidP="00F87778">
      <w:pPr>
        <w:keepNext/>
        <w:rPr>
          <w:b/>
          <w:lang w:val="en-AU"/>
        </w:rPr>
      </w:pPr>
      <w:r w:rsidRPr="0091691E">
        <w:rPr>
          <w:b/>
          <w:lang w:val="en-AU"/>
        </w:rPr>
        <w:t>Journal articles</w:t>
      </w:r>
    </w:p>
    <w:p w:rsidR="00932843" w:rsidRDefault="00932843" w:rsidP="00932843">
      <w:pPr>
        <w:keepNext/>
        <w:keepLines/>
        <w:autoSpaceDE w:val="0"/>
        <w:autoSpaceDN w:val="0"/>
        <w:adjustRightInd w:val="0"/>
        <w:rPr>
          <w:lang w:val="en-AU"/>
        </w:rPr>
      </w:pPr>
    </w:p>
    <w:p w:rsidR="00A8296D" w:rsidRPr="00A8296D" w:rsidRDefault="00A8296D" w:rsidP="00A8296D">
      <w:pPr>
        <w:keepNext/>
        <w:keepLines/>
        <w:autoSpaceDE w:val="0"/>
        <w:autoSpaceDN w:val="0"/>
        <w:adjustRightInd w:val="0"/>
        <w:rPr>
          <w:i/>
          <w:lang w:val="en-AU"/>
        </w:rPr>
      </w:pPr>
      <w:r w:rsidRPr="00A8296D">
        <w:rPr>
          <w:i/>
          <w:lang w:val="en-AU"/>
        </w:rPr>
        <w:t>Antibiotic prescribing practice in residential aged care facilities — health care providers' perspectives</w:t>
      </w:r>
    </w:p>
    <w:p w:rsidR="00A8296D" w:rsidRDefault="00A8296D" w:rsidP="00B31C8B">
      <w:pPr>
        <w:keepNext/>
        <w:keepLines/>
        <w:autoSpaceDE w:val="0"/>
        <w:autoSpaceDN w:val="0"/>
        <w:adjustRightInd w:val="0"/>
        <w:rPr>
          <w:lang w:val="en-AU"/>
        </w:rPr>
      </w:pPr>
      <w:r w:rsidRPr="00A8296D">
        <w:rPr>
          <w:lang w:val="en-AU"/>
        </w:rPr>
        <w:t xml:space="preserve">Lim CJ, </w:t>
      </w:r>
      <w:proofErr w:type="spellStart"/>
      <w:r w:rsidRPr="00A8296D">
        <w:rPr>
          <w:lang w:val="en-AU"/>
        </w:rPr>
        <w:t>Kwong</w:t>
      </w:r>
      <w:proofErr w:type="spellEnd"/>
      <w:r w:rsidRPr="00A8296D">
        <w:rPr>
          <w:lang w:val="en-AU"/>
        </w:rPr>
        <w:t xml:space="preserve"> MW-L, Stuart RL, </w:t>
      </w:r>
      <w:proofErr w:type="spellStart"/>
      <w:r w:rsidRPr="00A8296D">
        <w:rPr>
          <w:lang w:val="en-AU"/>
        </w:rPr>
        <w:t>Buising</w:t>
      </w:r>
      <w:proofErr w:type="spellEnd"/>
      <w:r w:rsidRPr="00A8296D">
        <w:rPr>
          <w:lang w:val="en-AU"/>
        </w:rPr>
        <w:t xml:space="preserve"> KL, Freidman ND, Bennett NJ, et al.</w:t>
      </w:r>
    </w:p>
    <w:p w:rsidR="00B31C8B" w:rsidRPr="0091691E" w:rsidRDefault="00A8296D" w:rsidP="00B31C8B">
      <w:pPr>
        <w:keepNext/>
        <w:keepLines/>
        <w:autoSpaceDE w:val="0"/>
        <w:autoSpaceDN w:val="0"/>
        <w:adjustRightInd w:val="0"/>
        <w:rPr>
          <w:lang w:val="en-AU"/>
        </w:rPr>
      </w:pPr>
      <w:proofErr w:type="gramStart"/>
      <w:r w:rsidRPr="00A8296D">
        <w:rPr>
          <w:lang w:val="en-AU"/>
        </w:rPr>
        <w:t>Medical Journal of Australia.</w:t>
      </w:r>
      <w:proofErr w:type="gramEnd"/>
      <w:r w:rsidRPr="00A8296D">
        <w:rPr>
          <w:lang w:val="en-AU"/>
        </w:rPr>
        <w:t xml:space="preserve"> 2014</w:t>
      </w:r>
      <w:proofErr w:type="gramStart"/>
      <w:r w:rsidRPr="00A8296D">
        <w:rPr>
          <w:lang w:val="en-AU"/>
        </w:rPr>
        <w:t>;201</w:t>
      </w:r>
      <w:proofErr w:type="gramEnd"/>
      <w:r w:rsidRPr="00A8296D">
        <w:rPr>
          <w:lang w:val="en-AU"/>
        </w:rPr>
        <w:t>(2):101-5.</w:t>
      </w:r>
    </w:p>
    <w:tbl>
      <w:tblPr>
        <w:tblStyle w:val="TableGrid"/>
        <w:tblW w:w="0" w:type="auto"/>
        <w:tblInd w:w="288" w:type="dxa"/>
        <w:tblLayout w:type="fixed"/>
        <w:tblLook w:val="01E0" w:firstRow="1" w:lastRow="1" w:firstColumn="1" w:lastColumn="1" w:noHBand="0" w:noVBand="0"/>
      </w:tblPr>
      <w:tblGrid>
        <w:gridCol w:w="1080"/>
        <w:gridCol w:w="8280"/>
      </w:tblGrid>
      <w:tr w:rsidR="00B31C8B" w:rsidRPr="0091691E" w:rsidTr="001C4332">
        <w:tc>
          <w:tcPr>
            <w:tcW w:w="1080" w:type="dxa"/>
            <w:tcBorders>
              <w:top w:val="single" w:sz="4" w:space="0" w:color="auto"/>
              <w:left w:val="single" w:sz="4" w:space="0" w:color="auto"/>
              <w:bottom w:val="single" w:sz="4" w:space="0" w:color="auto"/>
              <w:right w:val="single" w:sz="4" w:space="0" w:color="auto"/>
            </w:tcBorders>
            <w:vAlign w:val="center"/>
          </w:tcPr>
          <w:p w:rsidR="00B31C8B" w:rsidRPr="0091691E" w:rsidRDefault="00B31C8B" w:rsidP="001C4332">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31C8B" w:rsidRPr="0091691E" w:rsidRDefault="00EB447A" w:rsidP="00A8296D">
            <w:pPr>
              <w:rPr>
                <w:lang w:val="en-AU"/>
              </w:rPr>
            </w:pPr>
            <w:hyperlink r:id="rId19" w:history="1">
              <w:r w:rsidR="00A8296D" w:rsidRPr="00000982">
                <w:rPr>
                  <w:rStyle w:val="Hyperlink"/>
                  <w:lang w:val="en-AU"/>
                </w:rPr>
                <w:t>http://dx.doi.org/10.5694/mja13.00102</w:t>
              </w:r>
            </w:hyperlink>
          </w:p>
        </w:tc>
      </w:tr>
      <w:tr w:rsidR="00B31C8B" w:rsidRPr="0091691E" w:rsidTr="001C4332">
        <w:tc>
          <w:tcPr>
            <w:tcW w:w="1080" w:type="dxa"/>
            <w:tcBorders>
              <w:top w:val="single" w:sz="4" w:space="0" w:color="auto"/>
              <w:left w:val="single" w:sz="4" w:space="0" w:color="auto"/>
              <w:bottom w:val="single" w:sz="4" w:space="0" w:color="auto"/>
              <w:right w:val="single" w:sz="4" w:space="0" w:color="auto"/>
            </w:tcBorders>
            <w:vAlign w:val="center"/>
          </w:tcPr>
          <w:p w:rsidR="00B31C8B" w:rsidRPr="0091691E" w:rsidRDefault="00B31C8B" w:rsidP="001C4332">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E3261" w:rsidRPr="000E3261" w:rsidRDefault="000E3261" w:rsidP="000E3261">
            <w:pPr>
              <w:autoSpaceDE w:val="0"/>
              <w:autoSpaceDN w:val="0"/>
              <w:adjustRightInd w:val="0"/>
              <w:rPr>
                <w:lang w:val="en-AU"/>
              </w:rPr>
            </w:pPr>
            <w:r w:rsidRPr="000E3261">
              <w:rPr>
                <w:lang w:val="en-AU"/>
              </w:rPr>
              <w:t xml:space="preserve">In the latest </w:t>
            </w:r>
            <w:r w:rsidRPr="006655A9">
              <w:rPr>
                <w:i/>
                <w:lang w:val="en-AU"/>
              </w:rPr>
              <w:t>MJA</w:t>
            </w:r>
            <w:r w:rsidRPr="000E3261">
              <w:rPr>
                <w:lang w:val="en-AU"/>
              </w:rPr>
              <w:t xml:space="preserve">, Lim and colleagues reported that </w:t>
            </w:r>
            <w:r w:rsidRPr="00FB10A6">
              <w:rPr>
                <w:b/>
                <w:lang w:val="en-AU"/>
              </w:rPr>
              <w:t>optimal antibiotic prescribing</w:t>
            </w:r>
            <w:r w:rsidRPr="000E3261">
              <w:rPr>
                <w:lang w:val="en-AU"/>
              </w:rPr>
              <w:t xml:space="preserve"> </w:t>
            </w:r>
            <w:r w:rsidR="006655A9" w:rsidRPr="000E3261">
              <w:rPr>
                <w:lang w:val="en-AU"/>
              </w:rPr>
              <w:t xml:space="preserve">in 12 high-level residential aged-care facilities in Victoria </w:t>
            </w:r>
            <w:r w:rsidRPr="000E3261">
              <w:rPr>
                <w:lang w:val="en-AU"/>
              </w:rPr>
              <w:t xml:space="preserve">was </w:t>
            </w:r>
            <w:r w:rsidRPr="00FB10A6">
              <w:rPr>
                <w:b/>
                <w:lang w:val="en-AU"/>
              </w:rPr>
              <w:t>hampered by numerous workflow and culture-related barriers</w:t>
            </w:r>
            <w:r w:rsidRPr="000E3261">
              <w:rPr>
                <w:lang w:val="en-AU"/>
              </w:rPr>
              <w:t>. The study authors took a qualitative approach, using semi-structured interviews, focus groups and onsite observation to assess the main outcome measures: emergent themes on antibiotic prescribing practices in residential aged-care facilities. It also provided important insights to guide antimicrobial stewardship interventions in the residential aged-care setting, particularly highlighting the role of nurses</w:t>
            </w:r>
            <w:r w:rsidRPr="000E3261">
              <w:rPr>
                <w:b/>
                <w:bCs/>
                <w:i/>
                <w:smallCaps/>
                <w:lang w:val="en-AU"/>
              </w:rPr>
              <w:t>.</w:t>
            </w:r>
          </w:p>
          <w:p w:rsidR="00B31C8B" w:rsidRPr="000E3261" w:rsidRDefault="000E3261" w:rsidP="00C34C59">
            <w:pPr>
              <w:autoSpaceDE w:val="0"/>
              <w:autoSpaceDN w:val="0"/>
              <w:adjustRightInd w:val="0"/>
              <w:rPr>
                <w:rFonts w:ascii="Arial" w:hAnsi="Arial" w:cs="Arial"/>
                <w:lang w:eastAsia="en-AU"/>
              </w:rPr>
            </w:pPr>
            <w:r w:rsidRPr="000E3261">
              <w:rPr>
                <w:lang w:val="en-AU"/>
              </w:rPr>
              <w:t xml:space="preserve">This </w:t>
            </w:r>
            <w:r>
              <w:rPr>
                <w:lang w:val="en-AU"/>
              </w:rPr>
              <w:t xml:space="preserve">study </w:t>
            </w:r>
            <w:r w:rsidRPr="000E3261">
              <w:rPr>
                <w:lang w:val="en-AU"/>
              </w:rPr>
              <w:t xml:space="preserve">adds to what we already know about the factors leading to prescribing of antibiotics in residential aged care facilities; however this is perhaps one of the </w:t>
            </w:r>
            <w:r w:rsidR="00D82A33" w:rsidRPr="000E3261">
              <w:rPr>
                <w:lang w:val="en-AU"/>
              </w:rPr>
              <w:t>first</w:t>
            </w:r>
            <w:r w:rsidR="00D82A33">
              <w:rPr>
                <w:lang w:val="en-AU"/>
              </w:rPr>
              <w:t xml:space="preserve"> </w:t>
            </w:r>
            <w:r w:rsidR="00D82A33" w:rsidRPr="000E3261">
              <w:rPr>
                <w:lang w:val="en-AU"/>
              </w:rPr>
              <w:t>to</w:t>
            </w:r>
            <w:r w:rsidRPr="000E3261">
              <w:rPr>
                <w:lang w:val="en-AU"/>
              </w:rPr>
              <w:t xml:space="preserve"> explore the views of </w:t>
            </w:r>
            <w:r w:rsidR="00D82A33">
              <w:rPr>
                <w:lang w:val="en-AU"/>
              </w:rPr>
              <w:t xml:space="preserve">individual </w:t>
            </w:r>
            <w:r w:rsidRPr="000E3261">
              <w:rPr>
                <w:lang w:val="en-AU"/>
              </w:rPr>
              <w:t>health care professionals</w:t>
            </w:r>
            <w:r w:rsidR="00D82A33">
              <w:rPr>
                <w:lang w:val="en-AU"/>
              </w:rPr>
              <w:t xml:space="preserve"> working in this setting</w:t>
            </w:r>
            <w:r w:rsidRPr="000E3261">
              <w:rPr>
                <w:lang w:val="en-AU"/>
              </w:rPr>
              <w:t xml:space="preserve"> about the challenges </w:t>
            </w:r>
            <w:r w:rsidR="00D82A33">
              <w:rPr>
                <w:lang w:val="en-AU"/>
              </w:rPr>
              <w:t xml:space="preserve">they experience </w:t>
            </w:r>
            <w:r w:rsidR="00C34C59">
              <w:rPr>
                <w:lang w:val="en-AU"/>
              </w:rPr>
              <w:t>surrounding</w:t>
            </w:r>
            <w:r>
              <w:rPr>
                <w:lang w:val="en-AU"/>
              </w:rPr>
              <w:t xml:space="preserve"> optimal antibiotic prescribing</w:t>
            </w:r>
            <w:r w:rsidRPr="000E3261">
              <w:rPr>
                <w:lang w:val="en-AU"/>
              </w:rPr>
              <w:t>.</w:t>
            </w:r>
          </w:p>
        </w:tc>
      </w:tr>
    </w:tbl>
    <w:p w:rsidR="00B31C8B" w:rsidRDefault="00B31C8B" w:rsidP="00B31C8B">
      <w:pPr>
        <w:rPr>
          <w:i/>
          <w:lang w:val="en-AU"/>
        </w:rPr>
      </w:pPr>
    </w:p>
    <w:p w:rsidR="00C258D4" w:rsidRDefault="00C258D4" w:rsidP="00B31C8B">
      <w:pPr>
        <w:rPr>
          <w:i/>
          <w:lang w:val="en-AU"/>
        </w:rPr>
      </w:pPr>
      <w:r w:rsidRPr="0091691E">
        <w:rPr>
          <w:lang w:val="en-AU"/>
        </w:rPr>
        <w:t xml:space="preserve">For information on the Commission’s work on </w:t>
      </w:r>
      <w:r w:rsidR="00C55EE2">
        <w:rPr>
          <w:lang w:val="en-AU"/>
        </w:rPr>
        <w:t>healthcare associated infection, including antimicrobial stewardship</w:t>
      </w:r>
      <w:r w:rsidRPr="0091691E">
        <w:rPr>
          <w:lang w:val="en-AU"/>
        </w:rPr>
        <w:t>, see</w:t>
      </w:r>
      <w:r w:rsidR="00C55EE2">
        <w:rPr>
          <w:lang w:val="en-AU"/>
        </w:rPr>
        <w:t xml:space="preserve"> </w:t>
      </w:r>
      <w:hyperlink r:id="rId20" w:history="1">
        <w:r w:rsidR="00C55EE2" w:rsidRPr="001E452D">
          <w:rPr>
            <w:rStyle w:val="Hyperlink"/>
            <w:lang w:val="en-AU"/>
          </w:rPr>
          <w:t>http://www.safetyandquality.gov.au/our-work/healthcare-associated-infection/</w:t>
        </w:r>
      </w:hyperlink>
    </w:p>
    <w:p w:rsidR="00C258D4" w:rsidRPr="0091691E" w:rsidRDefault="00C258D4" w:rsidP="00B31C8B">
      <w:pPr>
        <w:rPr>
          <w:i/>
          <w:lang w:val="en-AU"/>
        </w:rPr>
      </w:pPr>
    </w:p>
    <w:p w:rsidR="00CA1AE2" w:rsidRPr="00F96D1C" w:rsidRDefault="00CA1AE2" w:rsidP="00CA1AE2">
      <w:pPr>
        <w:keepNext/>
        <w:keepLines/>
        <w:autoSpaceDE w:val="0"/>
        <w:autoSpaceDN w:val="0"/>
        <w:adjustRightInd w:val="0"/>
        <w:rPr>
          <w:i/>
          <w:lang w:val="en-AU"/>
        </w:rPr>
      </w:pPr>
      <w:r w:rsidRPr="00F96D1C">
        <w:rPr>
          <w:i/>
          <w:lang w:val="en-AU"/>
        </w:rPr>
        <w:lastRenderedPageBreak/>
        <w:t>Positive deviance: a different approach to achieving patient safety</w:t>
      </w:r>
    </w:p>
    <w:p w:rsidR="00CA1AE2" w:rsidRDefault="00CA1AE2" w:rsidP="00CA1AE2">
      <w:pPr>
        <w:keepNext/>
        <w:keepLines/>
        <w:autoSpaceDE w:val="0"/>
        <w:autoSpaceDN w:val="0"/>
        <w:adjustRightInd w:val="0"/>
        <w:rPr>
          <w:lang w:val="en-AU"/>
        </w:rPr>
      </w:pPr>
      <w:r w:rsidRPr="00F96D1C">
        <w:rPr>
          <w:lang w:val="en-AU"/>
        </w:rPr>
        <w:t>Lawton R, Taylor N, Clay-Williams R, Braithwaite J</w:t>
      </w:r>
    </w:p>
    <w:p w:rsidR="00CA1AE2" w:rsidRPr="0091691E" w:rsidRDefault="00CA1AE2" w:rsidP="00CA1AE2">
      <w:pPr>
        <w:keepNext/>
        <w:keepLines/>
        <w:autoSpaceDE w:val="0"/>
        <w:autoSpaceDN w:val="0"/>
        <w:adjustRightInd w:val="0"/>
        <w:rPr>
          <w:lang w:val="en-AU"/>
        </w:rPr>
      </w:pPr>
      <w:proofErr w:type="gramStart"/>
      <w:r w:rsidRPr="00F96D1C">
        <w:rPr>
          <w:lang w:val="en-AU"/>
        </w:rPr>
        <w:t>BMJ Quality &amp; Safety.</w:t>
      </w:r>
      <w:proofErr w:type="gramEnd"/>
      <w:r w:rsidRPr="00F96D1C">
        <w:rPr>
          <w:lang w:val="en-AU"/>
        </w:rPr>
        <w:t xml:space="preserve"> </w:t>
      </w:r>
      <w:proofErr w:type="gramStart"/>
      <w:r w:rsidRPr="00F96D1C">
        <w:rPr>
          <w:lang w:val="en-AU"/>
        </w:rPr>
        <w:t>2014</w:t>
      </w:r>
      <w:r>
        <w:rPr>
          <w:lang w:val="en-AU"/>
        </w:rPr>
        <w:t xml:space="preserve"> [epub]</w:t>
      </w:r>
      <w:r w:rsidRPr="00F96D1C">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A1AE2" w:rsidRPr="0091691E" w:rsidTr="00D544DB">
        <w:tc>
          <w:tcPr>
            <w:tcW w:w="1080" w:type="dxa"/>
            <w:tcBorders>
              <w:top w:val="single" w:sz="4" w:space="0" w:color="auto"/>
              <w:left w:val="single" w:sz="4" w:space="0" w:color="auto"/>
              <w:bottom w:val="single" w:sz="4" w:space="0" w:color="auto"/>
              <w:right w:val="single" w:sz="4" w:space="0" w:color="auto"/>
            </w:tcBorders>
            <w:vAlign w:val="center"/>
          </w:tcPr>
          <w:p w:rsidR="00CA1AE2" w:rsidRPr="0091691E" w:rsidRDefault="00CA1AE2" w:rsidP="00D544DB">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A1AE2" w:rsidRPr="0091691E" w:rsidRDefault="00CA1AE2" w:rsidP="00D544DB">
            <w:pPr>
              <w:rPr>
                <w:lang w:val="en-AU"/>
              </w:rPr>
            </w:pPr>
            <w:hyperlink r:id="rId21" w:history="1">
              <w:r w:rsidRPr="001E452D">
                <w:rPr>
                  <w:rStyle w:val="Hyperlink"/>
                  <w:lang w:val="en-AU"/>
                </w:rPr>
                <w:t>http://dx.doi.org/10.1136/bmjqs-2014-003115</w:t>
              </w:r>
            </w:hyperlink>
          </w:p>
        </w:tc>
      </w:tr>
      <w:tr w:rsidR="00CA1AE2" w:rsidRPr="0091691E" w:rsidTr="00D544DB">
        <w:tc>
          <w:tcPr>
            <w:tcW w:w="1080" w:type="dxa"/>
            <w:tcBorders>
              <w:top w:val="single" w:sz="4" w:space="0" w:color="auto"/>
              <w:left w:val="single" w:sz="4" w:space="0" w:color="auto"/>
              <w:bottom w:val="single" w:sz="4" w:space="0" w:color="auto"/>
              <w:right w:val="single" w:sz="4" w:space="0" w:color="auto"/>
            </w:tcBorders>
            <w:vAlign w:val="center"/>
          </w:tcPr>
          <w:p w:rsidR="00CA1AE2" w:rsidRPr="0091691E" w:rsidRDefault="00CA1AE2" w:rsidP="00D544DB">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A1AE2" w:rsidRDefault="00CA1AE2" w:rsidP="00D544DB">
            <w:pPr>
              <w:rPr>
                <w:lang w:val="en-AU"/>
              </w:rPr>
            </w:pPr>
            <w:r>
              <w:rPr>
                <w:lang w:val="en-AU"/>
              </w:rPr>
              <w:t xml:space="preserve">Paper from UK and Australian researchers advocating for a more proactive and positive approach to patient safety by adopting the concept of </w:t>
            </w:r>
            <w:r w:rsidRPr="006F19DC">
              <w:rPr>
                <w:b/>
                <w:lang w:val="en-AU"/>
              </w:rPr>
              <w:t>positive deviance</w:t>
            </w:r>
            <w:r>
              <w:rPr>
                <w:lang w:val="en-AU"/>
              </w:rPr>
              <w:t xml:space="preserve">. Rather than focussing on negatives that lead to lapses in patient safety this approach looks to the </w:t>
            </w:r>
            <w:r w:rsidRPr="006F19DC">
              <w:rPr>
                <w:b/>
                <w:lang w:val="en-AU"/>
              </w:rPr>
              <w:t>behaviours of successful teams and organisations</w:t>
            </w:r>
            <w:r>
              <w:rPr>
                <w:lang w:val="en-AU"/>
              </w:rPr>
              <w:t>. This approach is built upon the premise that “</w:t>
            </w:r>
            <w:r w:rsidRPr="006F19DC">
              <w:rPr>
                <w:lang w:val="en-AU"/>
              </w:rPr>
              <w:t xml:space="preserve">solutions to common problems mostly exist within clinical communities </w:t>
            </w:r>
            <w:r>
              <w:rPr>
                <w:lang w:val="en-AU"/>
              </w:rPr>
              <w:t>…</w:t>
            </w:r>
            <w:r w:rsidRPr="006F19DC">
              <w:rPr>
                <w:lang w:val="en-AU"/>
              </w:rPr>
              <w:t xml:space="preserve"> and that identifiable members of a community have tacit knowledge and wisdom that can be generalised</w:t>
            </w:r>
            <w:r>
              <w:rPr>
                <w:lang w:val="en-AU"/>
              </w:rPr>
              <w:t>” and that consequently “</w:t>
            </w:r>
            <w:r w:rsidRPr="006F19DC">
              <w:rPr>
                <w:lang w:val="en-AU"/>
              </w:rPr>
              <w:t>because the solutions have been generated within a community, they tend to be more readily accepted and feasible within existing resources, thus increasing the likelihood of success and, potentially, of adoption elsewhere</w:t>
            </w:r>
            <w:r>
              <w:rPr>
                <w:lang w:val="en-AU"/>
              </w:rPr>
              <w:t>.”</w:t>
            </w:r>
          </w:p>
          <w:p w:rsidR="00CA1AE2" w:rsidRDefault="00CA1AE2" w:rsidP="00D544DB">
            <w:pPr>
              <w:rPr>
                <w:lang w:val="en-AU"/>
              </w:rPr>
            </w:pPr>
            <w:r>
              <w:rPr>
                <w:lang w:val="en-AU"/>
              </w:rPr>
              <w:t>The authors also describe steps in the approach:</w:t>
            </w:r>
          </w:p>
          <w:p w:rsidR="00CA1AE2" w:rsidRPr="00B31C8B" w:rsidRDefault="00CA1AE2" w:rsidP="00D544DB">
            <w:pPr>
              <w:rPr>
                <w:lang w:val="en-AU"/>
              </w:rPr>
            </w:pPr>
            <w:r>
              <w:rPr>
                <w:noProof/>
                <w:lang w:val="en-AU" w:eastAsia="en-AU"/>
              </w:rPr>
              <w:drawing>
                <wp:inline distT="0" distB="0" distL="0" distR="0" wp14:anchorId="32B8A693" wp14:editId="70DB29EB">
                  <wp:extent cx="3171825" cy="419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medium.gif"/>
                          <pic:cNvPicPr/>
                        </pic:nvPicPr>
                        <pic:blipFill>
                          <a:blip r:embed="rId22">
                            <a:extLst>
                              <a:ext uri="{28A0092B-C50C-407E-A947-70E740481C1C}">
                                <a14:useLocalDpi xmlns:a14="http://schemas.microsoft.com/office/drawing/2010/main" val="0"/>
                              </a:ext>
                            </a:extLst>
                          </a:blip>
                          <a:stretch>
                            <a:fillRect/>
                          </a:stretch>
                        </pic:blipFill>
                        <pic:spPr>
                          <a:xfrm>
                            <a:off x="0" y="0"/>
                            <a:ext cx="3171825" cy="4191000"/>
                          </a:xfrm>
                          <a:prstGeom prst="rect">
                            <a:avLst/>
                          </a:prstGeom>
                        </pic:spPr>
                      </pic:pic>
                    </a:graphicData>
                  </a:graphic>
                </wp:inline>
              </w:drawing>
            </w:r>
          </w:p>
        </w:tc>
      </w:tr>
    </w:tbl>
    <w:p w:rsidR="00CA1AE2" w:rsidRDefault="00CA1AE2" w:rsidP="00CA1AE2">
      <w:pPr>
        <w:rPr>
          <w:i/>
          <w:lang w:val="en-AU"/>
        </w:rPr>
      </w:pPr>
    </w:p>
    <w:p w:rsidR="00CA1AE2" w:rsidRPr="0091691E" w:rsidRDefault="00CA1AE2" w:rsidP="00CA1AE2">
      <w:pPr>
        <w:rPr>
          <w:i/>
          <w:lang w:val="en-AU"/>
        </w:rPr>
      </w:pPr>
    </w:p>
    <w:p w:rsidR="00CA1AE2" w:rsidRPr="00D61363" w:rsidRDefault="00CA1AE2" w:rsidP="00CA1AE2">
      <w:pPr>
        <w:keepNext/>
        <w:keepLines/>
        <w:autoSpaceDE w:val="0"/>
        <w:autoSpaceDN w:val="0"/>
        <w:adjustRightInd w:val="0"/>
        <w:rPr>
          <w:i/>
          <w:lang w:val="en-AU"/>
        </w:rPr>
      </w:pPr>
      <w:r w:rsidRPr="00D61363">
        <w:rPr>
          <w:i/>
          <w:lang w:val="en-AU"/>
        </w:rPr>
        <w:t xml:space="preserve">High Levels </w:t>
      </w:r>
      <w:proofErr w:type="gramStart"/>
      <w:r w:rsidRPr="00D61363">
        <w:rPr>
          <w:i/>
          <w:lang w:val="en-AU"/>
        </w:rPr>
        <w:t>Of</w:t>
      </w:r>
      <w:proofErr w:type="gramEnd"/>
      <w:r w:rsidRPr="00D61363">
        <w:rPr>
          <w:i/>
          <w:lang w:val="en-AU"/>
        </w:rPr>
        <w:t xml:space="preserve"> Bed Occupancy Associated With Increased Inpatient And Thirty-Day Hospital Mortality In Denmark</w:t>
      </w:r>
    </w:p>
    <w:p w:rsidR="00CA1AE2" w:rsidRDefault="00CA1AE2" w:rsidP="00CA1AE2">
      <w:pPr>
        <w:keepNext/>
        <w:keepLines/>
        <w:autoSpaceDE w:val="0"/>
        <w:autoSpaceDN w:val="0"/>
        <w:adjustRightInd w:val="0"/>
        <w:rPr>
          <w:lang w:val="en-AU"/>
        </w:rPr>
      </w:pPr>
      <w:r w:rsidRPr="00D61363">
        <w:rPr>
          <w:lang w:val="en-AU"/>
        </w:rPr>
        <w:t xml:space="preserve">Madsen F, </w:t>
      </w:r>
      <w:proofErr w:type="spellStart"/>
      <w:r w:rsidRPr="00D61363">
        <w:rPr>
          <w:lang w:val="en-AU"/>
        </w:rPr>
        <w:t>Ladelund</w:t>
      </w:r>
      <w:proofErr w:type="spellEnd"/>
      <w:r w:rsidRPr="00D61363">
        <w:rPr>
          <w:lang w:val="en-AU"/>
        </w:rPr>
        <w:t xml:space="preserve"> S, </w:t>
      </w:r>
      <w:proofErr w:type="spellStart"/>
      <w:r w:rsidRPr="00D61363">
        <w:rPr>
          <w:lang w:val="en-AU"/>
        </w:rPr>
        <w:t>Linneberg</w:t>
      </w:r>
      <w:proofErr w:type="spellEnd"/>
      <w:r w:rsidRPr="00D61363">
        <w:rPr>
          <w:lang w:val="en-AU"/>
        </w:rPr>
        <w:t xml:space="preserve"> A</w:t>
      </w:r>
    </w:p>
    <w:p w:rsidR="00CA1AE2" w:rsidRPr="0091691E" w:rsidRDefault="00CA1AE2" w:rsidP="00CA1AE2">
      <w:pPr>
        <w:keepNext/>
        <w:keepLines/>
        <w:autoSpaceDE w:val="0"/>
        <w:autoSpaceDN w:val="0"/>
        <w:adjustRightInd w:val="0"/>
        <w:rPr>
          <w:lang w:val="en-AU"/>
        </w:rPr>
      </w:pPr>
      <w:proofErr w:type="gramStart"/>
      <w:r w:rsidRPr="00D61363">
        <w:rPr>
          <w:lang w:val="en-AU"/>
        </w:rPr>
        <w:t>Health Affairs.</w:t>
      </w:r>
      <w:proofErr w:type="gramEnd"/>
      <w:r w:rsidRPr="00D61363">
        <w:rPr>
          <w:lang w:val="en-AU"/>
        </w:rPr>
        <w:t xml:space="preserve"> 2014</w:t>
      </w:r>
      <w:proofErr w:type="gramStart"/>
      <w:r w:rsidRPr="00D61363">
        <w:rPr>
          <w:lang w:val="en-AU"/>
        </w:rPr>
        <w:t>;33</w:t>
      </w:r>
      <w:proofErr w:type="gramEnd"/>
      <w:r w:rsidRPr="00D61363">
        <w:rPr>
          <w:lang w:val="en-AU"/>
        </w:rPr>
        <w:t>(7):1236-44.</w:t>
      </w:r>
    </w:p>
    <w:tbl>
      <w:tblPr>
        <w:tblStyle w:val="TableGrid"/>
        <w:tblW w:w="0" w:type="auto"/>
        <w:tblInd w:w="288" w:type="dxa"/>
        <w:tblLayout w:type="fixed"/>
        <w:tblLook w:val="01E0" w:firstRow="1" w:lastRow="1" w:firstColumn="1" w:lastColumn="1" w:noHBand="0" w:noVBand="0"/>
      </w:tblPr>
      <w:tblGrid>
        <w:gridCol w:w="1080"/>
        <w:gridCol w:w="8280"/>
      </w:tblGrid>
      <w:tr w:rsidR="00CA1AE2" w:rsidRPr="0091691E" w:rsidTr="00D544DB">
        <w:tc>
          <w:tcPr>
            <w:tcW w:w="1080" w:type="dxa"/>
            <w:tcBorders>
              <w:top w:val="single" w:sz="4" w:space="0" w:color="auto"/>
              <w:left w:val="single" w:sz="4" w:space="0" w:color="auto"/>
              <w:bottom w:val="single" w:sz="4" w:space="0" w:color="auto"/>
              <w:right w:val="single" w:sz="4" w:space="0" w:color="auto"/>
            </w:tcBorders>
            <w:vAlign w:val="center"/>
          </w:tcPr>
          <w:p w:rsidR="00CA1AE2" w:rsidRPr="0091691E" w:rsidRDefault="00CA1AE2" w:rsidP="00D544DB">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A1AE2" w:rsidRPr="0091691E" w:rsidRDefault="00CA1AE2" w:rsidP="00D544DB">
            <w:pPr>
              <w:rPr>
                <w:lang w:val="en-AU"/>
              </w:rPr>
            </w:pPr>
            <w:hyperlink r:id="rId23" w:history="1">
              <w:r w:rsidRPr="00085D43">
                <w:rPr>
                  <w:rStyle w:val="Hyperlink"/>
                  <w:lang w:val="en-AU"/>
                </w:rPr>
                <w:t>http://dx.doi.org/10.1377/hlthaff.2013.1303</w:t>
              </w:r>
            </w:hyperlink>
          </w:p>
        </w:tc>
      </w:tr>
      <w:tr w:rsidR="00CA1AE2" w:rsidRPr="0091691E" w:rsidTr="00D544DB">
        <w:tc>
          <w:tcPr>
            <w:tcW w:w="1080" w:type="dxa"/>
            <w:tcBorders>
              <w:top w:val="single" w:sz="4" w:space="0" w:color="auto"/>
              <w:left w:val="single" w:sz="4" w:space="0" w:color="auto"/>
              <w:bottom w:val="single" w:sz="4" w:space="0" w:color="auto"/>
              <w:right w:val="single" w:sz="4" w:space="0" w:color="auto"/>
            </w:tcBorders>
            <w:vAlign w:val="center"/>
          </w:tcPr>
          <w:p w:rsidR="00CA1AE2" w:rsidRPr="0091691E" w:rsidRDefault="00CA1AE2" w:rsidP="00D544DB">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A1AE2" w:rsidRDefault="00CA1AE2" w:rsidP="00D544DB">
            <w:pPr>
              <w:rPr>
                <w:lang w:val="en-AU"/>
              </w:rPr>
            </w:pPr>
            <w:r>
              <w:rPr>
                <w:lang w:val="en-AU"/>
              </w:rPr>
              <w:t xml:space="preserve">As was the case with an item described in a recent issue of </w:t>
            </w:r>
            <w:r w:rsidRPr="00D61363">
              <w:rPr>
                <w:i/>
                <w:lang w:val="en-AU"/>
              </w:rPr>
              <w:t>On the Radar</w:t>
            </w:r>
            <w:r>
              <w:rPr>
                <w:lang w:val="en-AU"/>
              </w:rPr>
              <w:t xml:space="preserve">, this Danish study reports finding that higher levels of bed occupancy were associated with mortality. The previous work suggested a ‘tipping point’. </w:t>
            </w:r>
          </w:p>
          <w:p w:rsidR="00CA1AE2" w:rsidRPr="00B31C8B" w:rsidRDefault="00CA1AE2" w:rsidP="00D544DB">
            <w:pPr>
              <w:rPr>
                <w:lang w:val="en-AU"/>
              </w:rPr>
            </w:pPr>
            <w:r>
              <w:rPr>
                <w:lang w:val="en-AU"/>
              </w:rPr>
              <w:t xml:space="preserve">For this study, </w:t>
            </w:r>
            <w:r w:rsidRPr="00202774">
              <w:rPr>
                <w:lang w:val="en-AU"/>
              </w:rPr>
              <w:t>all 2.65 million admissions to Danish hospitals’ departments of medicine in the period 1995–2012</w:t>
            </w:r>
            <w:r>
              <w:rPr>
                <w:lang w:val="en-AU"/>
              </w:rPr>
              <w:t xml:space="preserve"> were analysed. The authors report finding </w:t>
            </w:r>
            <w:r w:rsidRPr="00202774">
              <w:rPr>
                <w:lang w:val="en-AU"/>
              </w:rPr>
              <w:t xml:space="preserve">that </w:t>
            </w:r>
            <w:r>
              <w:rPr>
                <w:lang w:val="en-AU"/>
              </w:rPr>
              <w:lastRenderedPageBreak/>
              <w:t>“</w:t>
            </w:r>
            <w:r w:rsidRPr="00202774">
              <w:rPr>
                <w:b/>
                <w:lang w:val="en-AU"/>
              </w:rPr>
              <w:t>high bed occupancy rates were associated with a significant 9 percent increase in rates of in-hospital mortality and thirty-day mortality</w:t>
            </w:r>
            <w:r w:rsidRPr="00202774">
              <w:rPr>
                <w:lang w:val="en-AU"/>
              </w:rPr>
              <w:t>, compared to low bed occupancy rates</w:t>
            </w:r>
            <w:r>
              <w:rPr>
                <w:lang w:val="en-AU"/>
              </w:rPr>
              <w:t>”</w:t>
            </w:r>
            <w:r w:rsidRPr="00202774">
              <w:rPr>
                <w:lang w:val="en-AU"/>
              </w:rPr>
              <w:t xml:space="preserve">. </w:t>
            </w:r>
            <w:r>
              <w:rPr>
                <w:lang w:val="en-AU"/>
              </w:rPr>
              <w:t xml:space="preserve">Also significantly associated with </w:t>
            </w:r>
            <w:r w:rsidRPr="00202774">
              <w:rPr>
                <w:b/>
                <w:lang w:val="en-AU"/>
              </w:rPr>
              <w:t>increased mortality</w:t>
            </w:r>
            <w:r>
              <w:rPr>
                <w:lang w:val="en-AU"/>
              </w:rPr>
              <w:t xml:space="preserve"> were b</w:t>
            </w:r>
            <w:r w:rsidRPr="00202774">
              <w:rPr>
                <w:lang w:val="en-AU"/>
              </w:rPr>
              <w:t xml:space="preserve">eing </w:t>
            </w:r>
            <w:r w:rsidRPr="00202774">
              <w:rPr>
                <w:b/>
                <w:lang w:val="en-AU"/>
              </w:rPr>
              <w:t>admitted outside of normal working hours</w:t>
            </w:r>
            <w:r w:rsidRPr="00202774">
              <w:rPr>
                <w:lang w:val="en-AU"/>
              </w:rPr>
              <w:t xml:space="preserve"> or on a </w:t>
            </w:r>
            <w:r w:rsidRPr="00202774">
              <w:rPr>
                <w:b/>
                <w:lang w:val="en-AU"/>
              </w:rPr>
              <w:t>weekend</w:t>
            </w:r>
            <w:r w:rsidRPr="00202774">
              <w:rPr>
                <w:lang w:val="en-AU"/>
              </w:rPr>
              <w:t xml:space="preserve"> or holiday. </w:t>
            </w:r>
          </w:p>
        </w:tc>
      </w:tr>
    </w:tbl>
    <w:p w:rsidR="00CA1AE2" w:rsidRPr="0091691E" w:rsidRDefault="00CA1AE2" w:rsidP="00CA1AE2">
      <w:pPr>
        <w:rPr>
          <w:i/>
          <w:lang w:val="en-AU"/>
        </w:rPr>
      </w:pPr>
    </w:p>
    <w:p w:rsidR="00C55EE2" w:rsidRPr="00637EA5" w:rsidRDefault="00C55EE2" w:rsidP="00C55EE2">
      <w:pPr>
        <w:keepNext/>
        <w:keepLines/>
        <w:autoSpaceDE w:val="0"/>
        <w:autoSpaceDN w:val="0"/>
        <w:adjustRightInd w:val="0"/>
        <w:rPr>
          <w:i/>
          <w:lang w:val="en-AU"/>
        </w:rPr>
      </w:pPr>
      <w:r w:rsidRPr="00637EA5">
        <w:rPr>
          <w:i/>
          <w:lang w:val="en-AU"/>
        </w:rPr>
        <w:t>Deafening silence? Time to reconsider whether organisations are silent or deaf when things go wrong</w:t>
      </w:r>
    </w:p>
    <w:p w:rsidR="00C55EE2" w:rsidRDefault="00C55EE2" w:rsidP="00C55EE2">
      <w:pPr>
        <w:keepNext/>
        <w:keepLines/>
        <w:autoSpaceDE w:val="0"/>
        <w:autoSpaceDN w:val="0"/>
        <w:adjustRightInd w:val="0"/>
        <w:rPr>
          <w:lang w:val="en-AU"/>
        </w:rPr>
      </w:pPr>
      <w:r w:rsidRPr="00637EA5">
        <w:rPr>
          <w:lang w:val="en-AU"/>
        </w:rPr>
        <w:t>Jones A, Kelly D</w:t>
      </w:r>
    </w:p>
    <w:p w:rsidR="00C55EE2" w:rsidRPr="0091691E" w:rsidRDefault="00C55EE2" w:rsidP="00C55EE2">
      <w:pPr>
        <w:keepNext/>
        <w:keepLines/>
        <w:autoSpaceDE w:val="0"/>
        <w:autoSpaceDN w:val="0"/>
        <w:adjustRightInd w:val="0"/>
        <w:rPr>
          <w:lang w:val="en-AU"/>
        </w:rPr>
      </w:pPr>
      <w:proofErr w:type="gramStart"/>
      <w:r w:rsidRPr="00637EA5">
        <w:rPr>
          <w:lang w:val="en-AU"/>
        </w:rPr>
        <w:t>BMJ Quality &amp; Safety.</w:t>
      </w:r>
      <w:proofErr w:type="gramEnd"/>
      <w:r w:rsidRPr="00637EA5">
        <w:rPr>
          <w:lang w:val="en-AU"/>
        </w:rPr>
        <w:t xml:space="preserve"> </w:t>
      </w:r>
      <w:proofErr w:type="gramStart"/>
      <w:r w:rsidRPr="00637EA5">
        <w:rPr>
          <w:lang w:val="en-AU"/>
        </w:rPr>
        <w:t>2014</w:t>
      </w:r>
      <w:r>
        <w:rPr>
          <w:lang w:val="en-AU"/>
        </w:rPr>
        <w:t xml:space="preserve"> [epub]</w:t>
      </w:r>
      <w:r w:rsidRPr="00637EA5">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55EE2" w:rsidRPr="0091691E" w:rsidTr="001A7218">
        <w:tc>
          <w:tcPr>
            <w:tcW w:w="1080" w:type="dxa"/>
            <w:tcBorders>
              <w:top w:val="single" w:sz="4" w:space="0" w:color="auto"/>
              <w:left w:val="single" w:sz="4" w:space="0" w:color="auto"/>
              <w:bottom w:val="single" w:sz="4" w:space="0" w:color="auto"/>
              <w:right w:val="single" w:sz="4" w:space="0" w:color="auto"/>
            </w:tcBorders>
            <w:vAlign w:val="center"/>
          </w:tcPr>
          <w:p w:rsidR="00C55EE2" w:rsidRPr="0091691E" w:rsidRDefault="00C55EE2" w:rsidP="001A7218">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55EE2" w:rsidRPr="0091691E" w:rsidRDefault="00EB447A" w:rsidP="001A7218">
            <w:pPr>
              <w:rPr>
                <w:lang w:val="en-AU"/>
              </w:rPr>
            </w:pPr>
            <w:hyperlink r:id="rId24" w:history="1">
              <w:r w:rsidR="00C55EE2" w:rsidRPr="00000982">
                <w:rPr>
                  <w:rStyle w:val="Hyperlink"/>
                  <w:lang w:val="en-AU"/>
                </w:rPr>
                <w:t>http://dx.doi.org/10.1136/bmjqs-2013-002718</w:t>
              </w:r>
            </w:hyperlink>
          </w:p>
        </w:tc>
      </w:tr>
      <w:tr w:rsidR="00C55EE2" w:rsidRPr="0091691E" w:rsidTr="001A7218">
        <w:tc>
          <w:tcPr>
            <w:tcW w:w="1080" w:type="dxa"/>
            <w:tcBorders>
              <w:top w:val="single" w:sz="4" w:space="0" w:color="auto"/>
              <w:left w:val="single" w:sz="4" w:space="0" w:color="auto"/>
              <w:bottom w:val="single" w:sz="4" w:space="0" w:color="auto"/>
              <w:right w:val="single" w:sz="4" w:space="0" w:color="auto"/>
            </w:tcBorders>
            <w:vAlign w:val="center"/>
          </w:tcPr>
          <w:p w:rsidR="00C55EE2" w:rsidRPr="0091691E" w:rsidRDefault="00C55EE2" w:rsidP="001A7218">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5EE2" w:rsidRPr="00B31C8B" w:rsidRDefault="00C55EE2" w:rsidP="00C379CE">
            <w:pPr>
              <w:rPr>
                <w:lang w:val="en-AU"/>
              </w:rPr>
            </w:pPr>
            <w:r>
              <w:rPr>
                <w:lang w:val="en-AU"/>
              </w:rPr>
              <w:t xml:space="preserve">Following the items on medical/staff engagement in the last issue of </w:t>
            </w:r>
            <w:r w:rsidRPr="00C55EE2">
              <w:rPr>
                <w:i/>
                <w:lang w:val="en-AU"/>
              </w:rPr>
              <w:t>On the Radar</w:t>
            </w:r>
            <w:r>
              <w:rPr>
                <w:lang w:val="en-AU"/>
              </w:rPr>
              <w:t xml:space="preserve"> is this item suggesting a move beyond issues of whistle-blowing and organisational silence (or even wilful blindness). The authors “propose that a </w:t>
            </w:r>
            <w:r w:rsidRPr="00C55EE2">
              <w:rPr>
                <w:lang w:val="en-AU"/>
              </w:rPr>
              <w:t xml:space="preserve">virtuous cycle is possible, whereby the introduction of systems that result in </w:t>
            </w:r>
            <w:r w:rsidRPr="00C55EE2">
              <w:rPr>
                <w:b/>
                <w:lang w:val="en-AU"/>
              </w:rPr>
              <w:t>better listening and valuing of employee concerns reinforces a culture of speaking up</w:t>
            </w:r>
            <w:r w:rsidRPr="00C55EE2">
              <w:rPr>
                <w:lang w:val="en-AU"/>
              </w:rPr>
              <w:t xml:space="preserve"> </w:t>
            </w:r>
            <w:r w:rsidRPr="00C55EE2">
              <w:rPr>
                <w:b/>
                <w:lang w:val="en-AU"/>
              </w:rPr>
              <w:t>and</w:t>
            </w:r>
            <w:r w:rsidRPr="00C55EE2">
              <w:rPr>
                <w:lang w:val="en-AU"/>
              </w:rPr>
              <w:t xml:space="preserve">, in turn, </w:t>
            </w:r>
            <w:r w:rsidRPr="00C55EE2">
              <w:rPr>
                <w:b/>
                <w:lang w:val="en-AU"/>
              </w:rPr>
              <w:t>organizational learning</w:t>
            </w:r>
            <w:r w:rsidRPr="00C55EE2">
              <w:rPr>
                <w:lang w:val="en-AU"/>
              </w:rPr>
              <w:t>. Similarly, organizations that disregard employees concerns are destined not to learn, ultimately falling silent and failing</w:t>
            </w:r>
            <w:r>
              <w:rPr>
                <w:lang w:val="en-AU"/>
              </w:rPr>
              <w:t>.” They go on to suggest that “</w:t>
            </w:r>
            <w:r w:rsidRPr="00C55EE2">
              <w:rPr>
                <w:lang w:val="en-AU"/>
              </w:rPr>
              <w:t xml:space="preserve">Organisations should thus </w:t>
            </w:r>
            <w:r w:rsidRPr="00C55EE2">
              <w:rPr>
                <w:b/>
                <w:lang w:val="en-AU"/>
              </w:rPr>
              <w:t>demonstrably promote and value the importance of staff listening and speaking-out</w:t>
            </w:r>
            <w:r w:rsidRPr="00C55EE2">
              <w:rPr>
                <w:lang w:val="en-AU"/>
              </w:rPr>
              <w:t xml:space="preserve"> across both vertical (</w:t>
            </w:r>
            <w:proofErr w:type="spellStart"/>
            <w:r w:rsidRPr="00C55EE2">
              <w:rPr>
                <w:lang w:val="en-AU"/>
              </w:rPr>
              <w:t>eg</w:t>
            </w:r>
            <w:proofErr w:type="spellEnd"/>
            <w:r w:rsidRPr="00C55EE2">
              <w:rPr>
                <w:lang w:val="en-AU"/>
              </w:rPr>
              <w:t>, staff nurse speaking to matron) and horizontal (</w:t>
            </w:r>
            <w:proofErr w:type="spellStart"/>
            <w:r w:rsidRPr="00C55EE2">
              <w:rPr>
                <w:lang w:val="en-AU"/>
              </w:rPr>
              <w:t>eg</w:t>
            </w:r>
            <w:proofErr w:type="spellEnd"/>
            <w:r w:rsidRPr="00C55EE2">
              <w:rPr>
                <w:lang w:val="en-AU"/>
              </w:rPr>
              <w:t xml:space="preserve">, clinical director speaking to clinical director) status boundaries as a positive response </w:t>
            </w:r>
            <w:r w:rsidRPr="00C55EE2">
              <w:rPr>
                <w:b/>
                <w:lang w:val="en-AU"/>
              </w:rPr>
              <w:t>reinforces to employees that they are safe to speak out, which in turn promotes regular critical upward feedback</w:t>
            </w:r>
            <w:r w:rsidRPr="00C55EE2">
              <w:rPr>
                <w:lang w:val="en-AU"/>
              </w:rPr>
              <w:t>.</w:t>
            </w:r>
            <w:r>
              <w:rPr>
                <w:lang w:val="en-AU"/>
              </w:rPr>
              <w:t>”</w:t>
            </w:r>
          </w:p>
        </w:tc>
      </w:tr>
    </w:tbl>
    <w:p w:rsidR="00C55EE2" w:rsidRPr="0091691E" w:rsidRDefault="00C55EE2" w:rsidP="00C55EE2">
      <w:pPr>
        <w:rPr>
          <w:i/>
          <w:lang w:val="en-AU"/>
        </w:rPr>
      </w:pPr>
    </w:p>
    <w:p w:rsidR="00C258D4" w:rsidRPr="00637EA5" w:rsidRDefault="00C258D4" w:rsidP="00C258D4">
      <w:pPr>
        <w:keepNext/>
        <w:keepLines/>
        <w:autoSpaceDE w:val="0"/>
        <w:autoSpaceDN w:val="0"/>
        <w:adjustRightInd w:val="0"/>
        <w:rPr>
          <w:i/>
          <w:lang w:val="en-AU"/>
        </w:rPr>
      </w:pPr>
      <w:r w:rsidRPr="00637EA5">
        <w:rPr>
          <w:i/>
          <w:lang w:val="en-AU"/>
        </w:rPr>
        <w:t>Patient safety after partial and total knee replacement</w:t>
      </w:r>
    </w:p>
    <w:p w:rsidR="00C258D4" w:rsidRDefault="00C258D4" w:rsidP="00C258D4">
      <w:pPr>
        <w:keepNext/>
        <w:keepLines/>
        <w:autoSpaceDE w:val="0"/>
        <w:autoSpaceDN w:val="0"/>
        <w:adjustRightInd w:val="0"/>
        <w:rPr>
          <w:lang w:val="en-AU"/>
        </w:rPr>
      </w:pPr>
      <w:r w:rsidRPr="00637EA5">
        <w:rPr>
          <w:lang w:val="en-AU"/>
        </w:rPr>
        <w:t>Cobb JP</w:t>
      </w:r>
    </w:p>
    <w:p w:rsidR="00C258D4" w:rsidRPr="0091691E" w:rsidRDefault="00C258D4" w:rsidP="00C258D4">
      <w:pPr>
        <w:keepNext/>
        <w:keepLines/>
        <w:autoSpaceDE w:val="0"/>
        <w:autoSpaceDN w:val="0"/>
        <w:adjustRightInd w:val="0"/>
        <w:rPr>
          <w:lang w:val="en-AU"/>
        </w:rPr>
      </w:pPr>
      <w:proofErr w:type="gramStart"/>
      <w:r w:rsidRPr="00637EA5">
        <w:rPr>
          <w:lang w:val="en-AU"/>
        </w:rPr>
        <w:t>The Lancet.</w:t>
      </w:r>
      <w:proofErr w:type="gramEnd"/>
      <w:r w:rsidRPr="00637EA5">
        <w:rPr>
          <w:lang w:val="en-AU"/>
        </w:rPr>
        <w:t xml:space="preserve"> </w:t>
      </w:r>
      <w:proofErr w:type="gramStart"/>
      <w:r w:rsidRPr="00637EA5">
        <w:rPr>
          <w:lang w:val="en-AU"/>
        </w:rPr>
        <w:t>2014</w:t>
      </w:r>
      <w:r>
        <w:rPr>
          <w:lang w:val="en-AU"/>
        </w:rPr>
        <w:t xml:space="preserve"> [epub]</w:t>
      </w:r>
      <w:r w:rsidRPr="00637EA5">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258D4" w:rsidRPr="0091691E" w:rsidTr="001A7218">
        <w:tc>
          <w:tcPr>
            <w:tcW w:w="1080" w:type="dxa"/>
            <w:tcBorders>
              <w:top w:val="single" w:sz="4" w:space="0" w:color="auto"/>
              <w:left w:val="single" w:sz="4" w:space="0" w:color="auto"/>
              <w:bottom w:val="single" w:sz="4" w:space="0" w:color="auto"/>
              <w:right w:val="single" w:sz="4" w:space="0" w:color="auto"/>
            </w:tcBorders>
            <w:vAlign w:val="center"/>
          </w:tcPr>
          <w:p w:rsidR="00C258D4" w:rsidRPr="0091691E" w:rsidRDefault="00C258D4" w:rsidP="001A7218">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258D4" w:rsidRPr="0091691E" w:rsidRDefault="00EB447A" w:rsidP="001A7218">
            <w:pPr>
              <w:rPr>
                <w:lang w:val="en-AU"/>
              </w:rPr>
            </w:pPr>
            <w:hyperlink r:id="rId25" w:history="1">
              <w:r w:rsidR="00C258D4" w:rsidRPr="00000982">
                <w:rPr>
                  <w:rStyle w:val="Hyperlink"/>
                  <w:lang w:val="en-AU"/>
                </w:rPr>
                <w:t>http://dx.doi.org/10.1016/S0140-6736(14)60885-0</w:t>
              </w:r>
            </w:hyperlink>
            <w:r w:rsidR="00C258D4">
              <w:rPr>
                <w:lang w:val="en-AU"/>
              </w:rPr>
              <w:t xml:space="preserve"> </w:t>
            </w:r>
          </w:p>
        </w:tc>
      </w:tr>
      <w:tr w:rsidR="00C258D4" w:rsidRPr="0091691E" w:rsidTr="001A7218">
        <w:tc>
          <w:tcPr>
            <w:tcW w:w="1080" w:type="dxa"/>
            <w:tcBorders>
              <w:top w:val="single" w:sz="4" w:space="0" w:color="auto"/>
              <w:left w:val="single" w:sz="4" w:space="0" w:color="auto"/>
              <w:bottom w:val="single" w:sz="4" w:space="0" w:color="auto"/>
              <w:right w:val="single" w:sz="4" w:space="0" w:color="auto"/>
            </w:tcBorders>
            <w:vAlign w:val="center"/>
          </w:tcPr>
          <w:p w:rsidR="00C258D4" w:rsidRPr="0091691E" w:rsidRDefault="00C258D4" w:rsidP="001A7218">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258D4" w:rsidRDefault="00C258D4" w:rsidP="001A7218">
            <w:pPr>
              <w:rPr>
                <w:lang w:val="en-AU"/>
              </w:rPr>
            </w:pPr>
            <w:r>
              <w:rPr>
                <w:lang w:val="en-AU"/>
              </w:rPr>
              <w:t xml:space="preserve">This paper stresses the need to focus on patient outcomes for joint replacement rather than device outcomes (as many joint registries apparently do). Cobb argues that such a </w:t>
            </w:r>
            <w:r w:rsidRPr="00C258D4">
              <w:rPr>
                <w:lang w:val="en-AU"/>
              </w:rPr>
              <w:t xml:space="preserve">focus </w:t>
            </w:r>
            <w:r>
              <w:rPr>
                <w:lang w:val="en-AU"/>
              </w:rPr>
              <w:t>“</w:t>
            </w:r>
            <w:r w:rsidRPr="00C258D4">
              <w:rPr>
                <w:lang w:val="en-AU"/>
              </w:rPr>
              <w:t>can lead to perverse results: a joint replacement with a problem that can be fixed, curing the pain and restoring the patient's quality of life, is a failure owing to its revision, whereas a painful joint replacement that cannot be revised, condemning the patient to a lifetime of stiffness and pain, is recorded as a success in registry terms.</w:t>
            </w:r>
            <w:r>
              <w:rPr>
                <w:lang w:val="en-AU"/>
              </w:rPr>
              <w:t>”</w:t>
            </w:r>
          </w:p>
          <w:p w:rsidR="00C258D4" w:rsidRPr="00B31C8B" w:rsidRDefault="00C258D4" w:rsidP="001A7218">
            <w:pPr>
              <w:rPr>
                <w:lang w:val="en-AU"/>
              </w:rPr>
            </w:pPr>
            <w:r>
              <w:rPr>
                <w:lang w:val="en-AU"/>
              </w:rPr>
              <w:t xml:space="preserve">In light of such issues, Cobb argues that the data presented in a pair of papers that he is commenting upon in this article suggest that the lesser operation of partial or </w:t>
            </w:r>
            <w:proofErr w:type="spellStart"/>
            <w:r>
              <w:rPr>
                <w:lang w:val="en-AU"/>
              </w:rPr>
              <w:t>unicompartmental</w:t>
            </w:r>
            <w:proofErr w:type="spellEnd"/>
            <w:r>
              <w:rPr>
                <w:lang w:val="en-AU"/>
              </w:rPr>
              <w:t xml:space="preserve"> knee replacement (UKR) is a cost-effective option (despite the revision rate) and, furthermore, when “m</w:t>
            </w:r>
            <w:r w:rsidRPr="00C258D4">
              <w:rPr>
                <w:lang w:val="en-AU"/>
              </w:rPr>
              <w:t xml:space="preserve">easured in terms of risk of perioperative death or serious morbidity, </w:t>
            </w:r>
            <w:r w:rsidRPr="00C258D4">
              <w:rPr>
                <w:b/>
                <w:lang w:val="en-AU"/>
              </w:rPr>
              <w:t>UKR is unequivocally safer than TKR</w:t>
            </w:r>
            <w:r>
              <w:rPr>
                <w:lang w:val="en-AU"/>
              </w:rPr>
              <w:t>” (total knee replacement). The implications are not trivial either, for if half of the eligible patients “</w:t>
            </w:r>
            <w:r w:rsidRPr="00C258D4">
              <w:rPr>
                <w:lang w:val="en-AU"/>
              </w:rPr>
              <w:t>were offered the more conservative procedure of UKR, the NHS could save an estimated £70 million every year immediately on operative costs alone, and</w:t>
            </w:r>
            <w:r>
              <w:rPr>
                <w:lang w:val="en-AU"/>
              </w:rPr>
              <w:t xml:space="preserve"> …</w:t>
            </w:r>
            <w:r w:rsidRPr="00C258D4">
              <w:rPr>
                <w:lang w:val="en-AU"/>
              </w:rPr>
              <w:t xml:space="preserve">there would be </w:t>
            </w:r>
            <w:r w:rsidRPr="00C379CE">
              <w:rPr>
                <w:lang w:val="en-AU"/>
              </w:rPr>
              <w:t>170</w:t>
            </w:r>
            <w:r w:rsidRPr="00C258D4">
              <w:rPr>
                <w:b/>
                <w:lang w:val="en-AU"/>
              </w:rPr>
              <w:t xml:space="preserve"> fewer postoperative deaths annually</w:t>
            </w:r>
            <w:r w:rsidRPr="00C379CE">
              <w:rPr>
                <w:b/>
                <w:lang w:val="en-AU"/>
              </w:rPr>
              <w:t>, and many</w:t>
            </w:r>
            <w:r w:rsidRPr="00C258D4">
              <w:rPr>
                <w:lang w:val="en-AU"/>
              </w:rPr>
              <w:t xml:space="preserve"> </w:t>
            </w:r>
            <w:r w:rsidRPr="00C258D4">
              <w:rPr>
                <w:b/>
                <w:lang w:val="en-AU"/>
              </w:rPr>
              <w:t>hundreds of fewer strokes, myocardial infarctions, and infections</w:t>
            </w:r>
            <w:r w:rsidRPr="00C258D4">
              <w:rPr>
                <w:lang w:val="en-AU"/>
              </w:rPr>
              <w:t>.</w:t>
            </w:r>
            <w:r>
              <w:rPr>
                <w:lang w:val="en-AU"/>
              </w:rPr>
              <w:t>”</w:t>
            </w:r>
          </w:p>
        </w:tc>
      </w:tr>
    </w:tbl>
    <w:p w:rsidR="000A203C" w:rsidRDefault="000A203C" w:rsidP="00C258D4">
      <w:pPr>
        <w:rPr>
          <w:rFonts w:ascii="Arial" w:hAnsi="Arial" w:cs="Arial"/>
          <w:i/>
          <w:lang w:eastAsia="en-AU"/>
        </w:rPr>
      </w:pPr>
    </w:p>
    <w:p w:rsidR="00C258D4" w:rsidRPr="000A203C" w:rsidRDefault="000A203C" w:rsidP="00CA1AE2">
      <w:pPr>
        <w:keepNext/>
        <w:rPr>
          <w:i/>
          <w:lang w:val="en-AU"/>
        </w:rPr>
      </w:pPr>
      <w:r w:rsidRPr="000A203C">
        <w:rPr>
          <w:i/>
          <w:lang w:eastAsia="en-AU"/>
        </w:rPr>
        <w:lastRenderedPageBreak/>
        <w:t>Geographical variation in incidence of knee arthroscopy for patients with osteoarthritis: a population-based analysis of Vict</w:t>
      </w:r>
      <w:r w:rsidR="00BE1C9C">
        <w:rPr>
          <w:i/>
          <w:lang w:eastAsia="en-AU"/>
        </w:rPr>
        <w:t>orian hospital separations data</w:t>
      </w:r>
    </w:p>
    <w:p w:rsidR="000A203C" w:rsidRPr="000A203C" w:rsidRDefault="000A203C" w:rsidP="00CA1AE2">
      <w:pPr>
        <w:keepNext/>
        <w:rPr>
          <w:lang w:eastAsia="en-AU"/>
        </w:rPr>
      </w:pPr>
      <w:proofErr w:type="spellStart"/>
      <w:r w:rsidRPr="000A203C">
        <w:rPr>
          <w:lang w:eastAsia="en-AU"/>
        </w:rPr>
        <w:t>Bohensky</w:t>
      </w:r>
      <w:proofErr w:type="spellEnd"/>
      <w:r w:rsidRPr="000A203C">
        <w:rPr>
          <w:lang w:eastAsia="en-AU"/>
        </w:rPr>
        <w:t xml:space="preserve"> M, Barker A, </w:t>
      </w:r>
      <w:proofErr w:type="spellStart"/>
      <w:r w:rsidRPr="000A203C">
        <w:rPr>
          <w:lang w:eastAsia="en-AU"/>
        </w:rPr>
        <w:t>Morello</w:t>
      </w:r>
      <w:proofErr w:type="spellEnd"/>
      <w:r w:rsidRPr="000A203C">
        <w:rPr>
          <w:lang w:eastAsia="en-AU"/>
        </w:rPr>
        <w:t xml:space="preserve"> R, De </w:t>
      </w:r>
      <w:proofErr w:type="spellStart"/>
      <w:r w:rsidRPr="000A203C">
        <w:rPr>
          <w:lang w:eastAsia="en-AU"/>
        </w:rPr>
        <w:t>Steiger</w:t>
      </w:r>
      <w:proofErr w:type="spellEnd"/>
      <w:r w:rsidRPr="000A203C">
        <w:rPr>
          <w:lang w:eastAsia="en-AU"/>
        </w:rPr>
        <w:t xml:space="preserve"> RN, </w:t>
      </w:r>
      <w:proofErr w:type="spellStart"/>
      <w:r w:rsidRPr="000A203C">
        <w:rPr>
          <w:lang w:eastAsia="en-AU"/>
        </w:rPr>
        <w:t>Gorelik</w:t>
      </w:r>
      <w:proofErr w:type="spellEnd"/>
      <w:r w:rsidRPr="000A203C">
        <w:rPr>
          <w:lang w:eastAsia="en-AU"/>
        </w:rPr>
        <w:t xml:space="preserve"> A and Brand C.</w:t>
      </w:r>
    </w:p>
    <w:p w:rsidR="000A203C" w:rsidRPr="00BE1C9C" w:rsidRDefault="000A203C" w:rsidP="000A203C">
      <w:pPr>
        <w:rPr>
          <w:lang w:eastAsia="en-AU"/>
        </w:rPr>
      </w:pPr>
      <w:proofErr w:type="gramStart"/>
      <w:r w:rsidRPr="00BE1C9C">
        <w:rPr>
          <w:iCs/>
          <w:lang w:eastAsia="en-AU"/>
        </w:rPr>
        <w:t>Internal Medicine Journal</w:t>
      </w:r>
      <w:r w:rsidR="00BE1C9C">
        <w:rPr>
          <w:lang w:eastAsia="en-AU"/>
        </w:rPr>
        <w:t>.</w:t>
      </w:r>
      <w:proofErr w:type="gramEnd"/>
      <w:r w:rsidR="00BE1C9C">
        <w:rPr>
          <w:lang w:eastAsia="en-AU"/>
        </w:rPr>
        <w:t xml:space="preserve"> 2014; 44: 537-45</w:t>
      </w:r>
    </w:p>
    <w:tbl>
      <w:tblPr>
        <w:tblStyle w:val="TableGrid"/>
        <w:tblW w:w="0" w:type="auto"/>
        <w:tblInd w:w="288" w:type="dxa"/>
        <w:tblLayout w:type="fixed"/>
        <w:tblLook w:val="01E0" w:firstRow="1" w:lastRow="1" w:firstColumn="1" w:lastColumn="1" w:noHBand="0" w:noVBand="0"/>
      </w:tblPr>
      <w:tblGrid>
        <w:gridCol w:w="1080"/>
        <w:gridCol w:w="8280"/>
      </w:tblGrid>
      <w:tr w:rsidR="000A203C" w:rsidRPr="0091691E" w:rsidTr="00182A9D">
        <w:tc>
          <w:tcPr>
            <w:tcW w:w="1080" w:type="dxa"/>
            <w:tcBorders>
              <w:top w:val="single" w:sz="4" w:space="0" w:color="auto"/>
              <w:left w:val="single" w:sz="4" w:space="0" w:color="auto"/>
              <w:bottom w:val="single" w:sz="4" w:space="0" w:color="auto"/>
              <w:right w:val="single" w:sz="4" w:space="0" w:color="auto"/>
            </w:tcBorders>
            <w:vAlign w:val="center"/>
          </w:tcPr>
          <w:p w:rsidR="000A203C" w:rsidRPr="0091691E" w:rsidRDefault="000A203C" w:rsidP="00182A9D">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A203C" w:rsidRPr="000A203C" w:rsidRDefault="00EB447A" w:rsidP="00182A9D">
            <w:pPr>
              <w:rPr>
                <w:color w:val="C0504D" w:themeColor="accent2"/>
                <w:spacing w:val="5"/>
              </w:rPr>
            </w:pPr>
            <w:hyperlink r:id="rId26" w:history="1">
              <w:r w:rsidR="000A203C" w:rsidRPr="0098147C">
                <w:rPr>
                  <w:rStyle w:val="Hyperlink"/>
                </w:rPr>
                <w:t>http://onlinelibrary.wiley.com/doi/10.1111/imj.12438/</w:t>
              </w:r>
              <w:r w:rsidR="000A203C" w:rsidRPr="000A203C">
                <w:rPr>
                  <w:rStyle w:val="Hyperlink"/>
                </w:rPr>
                <w:t>abstract</w:t>
              </w:r>
            </w:hyperlink>
            <w:r w:rsidR="000A203C">
              <w:rPr>
                <w:rStyle w:val="IntenseReference"/>
                <w:b w:val="0"/>
                <w:bCs w:val="0"/>
                <w:i w:val="0"/>
                <w:smallCaps w:val="0"/>
              </w:rPr>
              <w:t xml:space="preserve"> </w:t>
            </w:r>
          </w:p>
        </w:tc>
      </w:tr>
      <w:tr w:rsidR="000A203C" w:rsidRPr="0091691E" w:rsidTr="00182A9D">
        <w:tc>
          <w:tcPr>
            <w:tcW w:w="1080" w:type="dxa"/>
            <w:tcBorders>
              <w:top w:val="single" w:sz="4" w:space="0" w:color="auto"/>
              <w:left w:val="single" w:sz="4" w:space="0" w:color="auto"/>
              <w:bottom w:val="single" w:sz="4" w:space="0" w:color="auto"/>
              <w:right w:val="single" w:sz="4" w:space="0" w:color="auto"/>
            </w:tcBorders>
            <w:vAlign w:val="center"/>
          </w:tcPr>
          <w:p w:rsidR="000A203C" w:rsidRPr="0091691E" w:rsidRDefault="000A203C" w:rsidP="00182A9D">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A203C" w:rsidRPr="00BE1C9C" w:rsidRDefault="000A203C" w:rsidP="00BE1C9C">
            <w:pPr>
              <w:rPr>
                <w:lang w:val="en-AU"/>
              </w:rPr>
            </w:pPr>
            <w:r w:rsidRPr="00BE1C9C">
              <w:rPr>
                <w:lang w:val="en-AU"/>
              </w:rPr>
              <w:t xml:space="preserve">The burden of disease from degenerative conditions of the knee joint is </w:t>
            </w:r>
            <w:r w:rsidR="00BE1C9C" w:rsidRPr="00BE1C9C">
              <w:rPr>
                <w:lang w:val="en-AU"/>
              </w:rPr>
              <w:t xml:space="preserve">apparently </w:t>
            </w:r>
            <w:r w:rsidRPr="00BE1C9C">
              <w:rPr>
                <w:lang w:val="en-AU"/>
              </w:rPr>
              <w:t xml:space="preserve">growing. Various treatment options exist, ranging from conservative management to surgical procedures. Arthroscopic debridement and </w:t>
            </w:r>
            <w:proofErr w:type="spellStart"/>
            <w:r w:rsidRPr="00BE1C9C">
              <w:rPr>
                <w:lang w:val="en-AU"/>
              </w:rPr>
              <w:t>chondroplasty</w:t>
            </w:r>
            <w:proofErr w:type="spellEnd"/>
            <w:r w:rsidRPr="00BE1C9C">
              <w:rPr>
                <w:lang w:val="en-AU"/>
              </w:rPr>
              <w:t xml:space="preserve"> of the knee joint are commonly used to manage these conditions. However, evidence suggests limited clinical benefit compared to conservative management in these patients. Arthroscopy is an invasive surgical procedure requiring </w:t>
            </w:r>
            <w:proofErr w:type="spellStart"/>
            <w:r w:rsidRPr="00BE1C9C">
              <w:rPr>
                <w:lang w:val="en-AU"/>
              </w:rPr>
              <w:t>anaesthesia</w:t>
            </w:r>
            <w:proofErr w:type="spellEnd"/>
            <w:r w:rsidRPr="00BE1C9C">
              <w:rPr>
                <w:lang w:val="en-AU"/>
              </w:rPr>
              <w:t>. Compared to the conservative options, it entails higher levels of risk and is more costly. Investigating variation in the frequency and rates of these procedures is therefore of considerable interest.</w:t>
            </w:r>
          </w:p>
          <w:p w:rsidR="000A203C" w:rsidRPr="00BE1C9C" w:rsidRDefault="000A203C" w:rsidP="00BE1C9C">
            <w:pPr>
              <w:rPr>
                <w:lang w:val="en-AU"/>
              </w:rPr>
            </w:pPr>
            <w:r w:rsidRPr="00BE1C9C">
              <w:rPr>
                <w:lang w:val="en-AU"/>
              </w:rPr>
              <w:t>Using Victorian hospital admission data for 2008-09, this study examined variation in standardised rates of knee arthroscopy between populations living in the eight Victorian</w:t>
            </w:r>
            <w:r w:rsidR="00BE1C9C">
              <w:rPr>
                <w:lang w:val="en-AU"/>
              </w:rPr>
              <w:t xml:space="preserve"> Health Service Regions (HSRs).</w:t>
            </w:r>
          </w:p>
          <w:p w:rsidR="000A203C" w:rsidRPr="00BE1C9C" w:rsidRDefault="000A203C" w:rsidP="00BE1C9C">
            <w:pPr>
              <w:rPr>
                <w:lang w:val="en-AU"/>
              </w:rPr>
            </w:pPr>
            <w:r w:rsidRPr="00BE1C9C">
              <w:rPr>
                <w:lang w:val="en-AU"/>
              </w:rPr>
              <w:t xml:space="preserve">A </w:t>
            </w:r>
            <w:r w:rsidRPr="00BE1C9C">
              <w:rPr>
                <w:b/>
                <w:lang w:val="en-AU"/>
              </w:rPr>
              <w:t>2.5-fold difference</w:t>
            </w:r>
            <w:r w:rsidRPr="00BE1C9C">
              <w:rPr>
                <w:lang w:val="en-AU"/>
              </w:rPr>
              <w:t xml:space="preserve"> between the highest and lowest HSR rates was observed. The difference was </w:t>
            </w:r>
            <w:r w:rsidRPr="00BE1C9C">
              <w:rPr>
                <w:b/>
                <w:lang w:val="en-AU"/>
              </w:rPr>
              <w:t>3.5-fold</w:t>
            </w:r>
            <w:r w:rsidRPr="00BE1C9C">
              <w:rPr>
                <w:lang w:val="en-AU"/>
              </w:rPr>
              <w:t xml:space="preserve"> for procedures with a diagnosis of </w:t>
            </w:r>
            <w:r w:rsidRPr="00BE1C9C">
              <w:rPr>
                <w:b/>
                <w:lang w:val="en-AU"/>
              </w:rPr>
              <w:t>osteoarthritis</w:t>
            </w:r>
            <w:r w:rsidRPr="00BE1C9C">
              <w:rPr>
                <w:lang w:val="en-AU"/>
              </w:rPr>
              <w:t>. Significantly higher rates were observed for non-metropolitan populations. The majority of admissions (</w:t>
            </w:r>
            <w:r w:rsidRPr="00BE1C9C">
              <w:rPr>
                <w:b/>
                <w:lang w:val="en-AU"/>
              </w:rPr>
              <w:t>73%)</w:t>
            </w:r>
            <w:r w:rsidRPr="00BE1C9C">
              <w:rPr>
                <w:lang w:val="en-AU"/>
              </w:rPr>
              <w:t xml:space="preserve"> were in </w:t>
            </w:r>
            <w:r w:rsidRPr="00BE1C9C">
              <w:rPr>
                <w:b/>
                <w:lang w:val="en-AU"/>
              </w:rPr>
              <w:t>private</w:t>
            </w:r>
            <w:r w:rsidRPr="00BE1C9C">
              <w:rPr>
                <w:lang w:val="en-AU"/>
              </w:rPr>
              <w:t xml:space="preserve"> </w:t>
            </w:r>
            <w:r w:rsidRPr="00BE1C9C">
              <w:rPr>
                <w:b/>
                <w:lang w:val="en-AU"/>
              </w:rPr>
              <w:t>hospitals</w:t>
            </w:r>
            <w:r w:rsidRPr="00BE1C9C">
              <w:rPr>
                <w:lang w:val="en-AU"/>
              </w:rPr>
              <w:t xml:space="preserve"> (NB the study lists several limitations, which should be considere</w:t>
            </w:r>
            <w:r w:rsidR="00BE1C9C">
              <w:rPr>
                <w:lang w:val="en-AU"/>
              </w:rPr>
              <w:t>d but are not described here).</w:t>
            </w:r>
          </w:p>
          <w:p w:rsidR="000A203C" w:rsidRPr="00BE1C9C" w:rsidRDefault="000A203C" w:rsidP="00BE1C9C">
            <w:pPr>
              <w:rPr>
                <w:lang w:val="en-AU"/>
              </w:rPr>
            </w:pPr>
            <w:r w:rsidRPr="00BE1C9C">
              <w:rPr>
                <w:lang w:val="en-AU"/>
              </w:rPr>
              <w:t xml:space="preserve">The Commission, in partnership with the AIHW, recently published a discussion paper titled </w:t>
            </w:r>
            <w:hyperlink r:id="rId27" w:history="1">
              <w:r w:rsidRPr="00BE1C9C">
                <w:rPr>
                  <w:i/>
                  <w:lang w:val="en-AU"/>
                </w:rPr>
                <w:t>Exploring Healthcare Variation</w:t>
              </w:r>
            </w:hyperlink>
            <w:r w:rsidRPr="00BE1C9C">
              <w:rPr>
                <w:i/>
                <w:lang w:val="en-AU"/>
              </w:rPr>
              <w:t>.</w:t>
            </w:r>
            <w:r w:rsidRPr="00BE1C9C">
              <w:rPr>
                <w:lang w:val="en-AU"/>
              </w:rPr>
              <w:t xml:space="preserve"> This examined variation in admission rates for a set of procedures, including knee arthroscopy, between populations living in Medicare Local catchments. National hospital morbidity data for 2010-11 were used.</w:t>
            </w:r>
            <w:r w:rsidR="00BE1C9C">
              <w:rPr>
                <w:lang w:val="en-AU"/>
              </w:rPr>
              <w:t xml:space="preserve"> </w:t>
            </w:r>
          </w:p>
          <w:p w:rsidR="000A203C" w:rsidRPr="00BE1C9C" w:rsidRDefault="000A203C" w:rsidP="00BE1C9C">
            <w:pPr>
              <w:rPr>
                <w:lang w:val="en-AU"/>
              </w:rPr>
            </w:pPr>
            <w:r w:rsidRPr="00BE1C9C">
              <w:rPr>
                <w:lang w:val="en-AU"/>
              </w:rPr>
              <w:t xml:space="preserve">A </w:t>
            </w:r>
            <w:r w:rsidRPr="00BE1C9C">
              <w:rPr>
                <w:b/>
                <w:lang w:val="en-AU"/>
              </w:rPr>
              <w:t>3.1-fold difference</w:t>
            </w:r>
            <w:r w:rsidRPr="00BE1C9C">
              <w:rPr>
                <w:lang w:val="en-AU"/>
              </w:rPr>
              <w:t xml:space="preserve"> in standardised admission rates for knee arthroscopy was observed among </w:t>
            </w:r>
            <w:r w:rsidRPr="00BE1C9C">
              <w:rPr>
                <w:b/>
                <w:lang w:val="en-AU"/>
              </w:rPr>
              <w:t>Australian Medicare Local</w:t>
            </w:r>
            <w:r w:rsidRPr="00BE1C9C">
              <w:rPr>
                <w:lang w:val="en-AU"/>
              </w:rPr>
              <w:t xml:space="preserve"> </w:t>
            </w:r>
            <w:r w:rsidRPr="00BE1C9C">
              <w:rPr>
                <w:b/>
                <w:lang w:val="en-AU"/>
              </w:rPr>
              <w:t>populations</w:t>
            </w:r>
            <w:r w:rsidRPr="00BE1C9C">
              <w:rPr>
                <w:lang w:val="en-AU"/>
              </w:rPr>
              <w:t xml:space="preserve">. The difference was </w:t>
            </w:r>
            <w:r w:rsidRPr="00BE1C9C">
              <w:rPr>
                <w:b/>
                <w:lang w:val="en-AU"/>
              </w:rPr>
              <w:t xml:space="preserve">2.6-fold </w:t>
            </w:r>
            <w:r w:rsidRPr="00BE1C9C">
              <w:rPr>
                <w:lang w:val="en-AU"/>
              </w:rPr>
              <w:t xml:space="preserve">for </w:t>
            </w:r>
            <w:r w:rsidRPr="00BE1C9C">
              <w:rPr>
                <w:b/>
                <w:lang w:val="en-AU"/>
              </w:rPr>
              <w:t>Victorian</w:t>
            </w:r>
            <w:r w:rsidRPr="00BE1C9C">
              <w:rPr>
                <w:lang w:val="en-AU"/>
              </w:rPr>
              <w:t xml:space="preserve"> populations (similar to the Victorian study). Non-metropolitan populations in Victoria had considerably higher rates. No such pattern was observed nationally. All five South Australian Medicare Locals were among the eight regions with the highest rates. The majority of admissions </w:t>
            </w:r>
            <w:r w:rsidRPr="00BE1C9C">
              <w:rPr>
                <w:b/>
                <w:lang w:val="en-AU"/>
              </w:rPr>
              <w:t>(80%)</w:t>
            </w:r>
            <w:r w:rsidRPr="00BE1C9C">
              <w:rPr>
                <w:lang w:val="en-AU"/>
              </w:rPr>
              <w:t xml:space="preserve"> were in </w:t>
            </w:r>
            <w:r w:rsidRPr="00BE1C9C">
              <w:rPr>
                <w:b/>
                <w:lang w:val="en-AU"/>
              </w:rPr>
              <w:t>private</w:t>
            </w:r>
            <w:r w:rsidRPr="00BE1C9C">
              <w:rPr>
                <w:lang w:val="en-AU"/>
              </w:rPr>
              <w:t xml:space="preserve"> </w:t>
            </w:r>
            <w:r w:rsidRPr="00BE1C9C">
              <w:rPr>
                <w:b/>
                <w:lang w:val="en-AU"/>
              </w:rPr>
              <w:t>hospitals</w:t>
            </w:r>
            <w:r w:rsidRPr="00BE1C9C">
              <w:rPr>
                <w:lang w:val="en-AU"/>
              </w:rPr>
              <w:t xml:space="preserve">. The results were not stratified by other diagnoses such as osteoarthritis. </w:t>
            </w:r>
          </w:p>
          <w:p w:rsidR="000A203C" w:rsidRPr="00BE1C9C" w:rsidRDefault="000A203C" w:rsidP="00BE1C9C">
            <w:pPr>
              <w:rPr>
                <w:lang w:val="en-AU"/>
              </w:rPr>
            </w:pPr>
            <w:r w:rsidRPr="00BE1C9C">
              <w:rPr>
                <w:lang w:val="en-AU"/>
              </w:rPr>
              <w:t xml:space="preserve">The comparison of this study with the discussion paper highlights the benefit of examining geographic healthcare variation at local as well as national level. The Commission is currently developing an </w:t>
            </w:r>
            <w:r w:rsidRPr="00BE1C9C">
              <w:rPr>
                <w:i/>
                <w:lang w:val="en-AU"/>
              </w:rPr>
              <w:t>Australian Atlas of Healthcare Variation</w:t>
            </w:r>
            <w:r w:rsidRPr="00BE1C9C">
              <w:rPr>
                <w:lang w:val="en-AU"/>
              </w:rPr>
              <w:t>. The Atlas will investigate a broader range of conditions, treatments and interventions across all healthcare settings. Submissions on the discussion paper will inform this work, and are still being accepted</w:t>
            </w:r>
            <w:r w:rsidR="00BE1C9C">
              <w:rPr>
                <w:lang w:val="en-AU"/>
              </w:rPr>
              <w:t xml:space="preserve"> by </w:t>
            </w:r>
            <w:bookmarkStart w:id="1" w:name="_GoBack"/>
            <w:bookmarkEnd w:id="1"/>
            <w:r w:rsidR="00BE1C9C" w:rsidRPr="00BE1C9C">
              <w:rPr>
                <w:lang w:val="en-AU"/>
              </w:rPr>
              <w:t>email to medicalpracticevariation@safetyandquality.gov.au or by post to Healthcare variation, GPO Box 5480, Sydney NSW 2001</w:t>
            </w:r>
          </w:p>
        </w:tc>
      </w:tr>
    </w:tbl>
    <w:p w:rsidR="00CA1AE2" w:rsidRDefault="00CA1AE2" w:rsidP="00DB5A06">
      <w:pPr>
        <w:keepNext/>
        <w:rPr>
          <w:i/>
          <w:lang w:val="en-AU"/>
        </w:rPr>
      </w:pPr>
    </w:p>
    <w:p w:rsidR="00DB5A06" w:rsidRPr="0091691E" w:rsidRDefault="00DB5A06" w:rsidP="00DB5A06">
      <w:pPr>
        <w:keepNext/>
        <w:rPr>
          <w:lang w:val="en-AU"/>
        </w:rPr>
      </w:pPr>
      <w:r w:rsidRPr="0091691E">
        <w:rPr>
          <w:i/>
          <w:lang w:val="en-AU"/>
        </w:rPr>
        <w:t xml:space="preserve">BMJ Quality and Safety </w:t>
      </w:r>
      <w:r w:rsidRPr="0091691E">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B5A06" w:rsidRPr="0091691E"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91691E" w:rsidRDefault="00DB5A06" w:rsidP="00E90086">
            <w:pPr>
              <w:rPr>
                <w:lang w:val="en-AU"/>
              </w:rPr>
            </w:pPr>
            <w:r w:rsidRPr="0091691E">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91691E" w:rsidRDefault="00EB447A" w:rsidP="00E90086">
            <w:pPr>
              <w:rPr>
                <w:lang w:val="en-AU"/>
              </w:rPr>
            </w:pPr>
            <w:hyperlink r:id="rId28" w:history="1">
              <w:r w:rsidR="00DB5A06" w:rsidRPr="0091691E">
                <w:rPr>
                  <w:rStyle w:val="Hyperlink"/>
                  <w:lang w:val="en-AU"/>
                </w:rPr>
                <w:t>http://qualitysafety.bmj.com/content/early/recent</w:t>
              </w:r>
            </w:hyperlink>
          </w:p>
        </w:tc>
      </w:tr>
      <w:tr w:rsidR="00DB5A06" w:rsidRPr="0091691E"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91691E" w:rsidRDefault="00DB5A06" w:rsidP="00E90086">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91691E" w:rsidRDefault="00DB5A06" w:rsidP="00E90086">
            <w:pPr>
              <w:rPr>
                <w:lang w:val="en-AU"/>
              </w:rPr>
            </w:pPr>
            <w:r w:rsidRPr="0091691E">
              <w:rPr>
                <w:i/>
                <w:lang w:val="en-AU"/>
              </w:rPr>
              <w:t>BMJ Quality and Safety</w:t>
            </w:r>
            <w:r w:rsidRPr="0091691E">
              <w:rPr>
                <w:lang w:val="en-AU"/>
              </w:rPr>
              <w:t xml:space="preserve"> has published a number of ‘online first’ articles, including:</w:t>
            </w:r>
          </w:p>
          <w:p w:rsidR="00FA4467" w:rsidRDefault="003802A9" w:rsidP="003802A9">
            <w:pPr>
              <w:pStyle w:val="ListParagraph"/>
              <w:numPr>
                <w:ilvl w:val="0"/>
                <w:numId w:val="14"/>
              </w:numPr>
              <w:rPr>
                <w:lang w:val="en-AU"/>
              </w:rPr>
            </w:pPr>
            <w:r w:rsidRPr="003802A9">
              <w:rPr>
                <w:b/>
                <w:lang w:val="en-AU"/>
              </w:rPr>
              <w:t>Positive deviance</w:t>
            </w:r>
            <w:r w:rsidRPr="003802A9">
              <w:rPr>
                <w:lang w:val="en-AU"/>
              </w:rPr>
              <w:t xml:space="preserve">: a different approach to achieving patient safety </w:t>
            </w:r>
            <w:r>
              <w:rPr>
                <w:lang w:val="en-AU"/>
              </w:rPr>
              <w:t>(</w:t>
            </w:r>
            <w:r w:rsidRPr="003802A9">
              <w:rPr>
                <w:lang w:val="en-AU"/>
              </w:rPr>
              <w:t>Rebecca Lawton, Natalie Taylor, Robyn Clay-Williams, Jeffrey Braithwaite</w:t>
            </w:r>
            <w:r>
              <w:rPr>
                <w:lang w:val="en-AU"/>
              </w:rPr>
              <w:t>)</w:t>
            </w:r>
          </w:p>
          <w:p w:rsidR="00D14D22" w:rsidRDefault="00D14D22" w:rsidP="00D14D22">
            <w:pPr>
              <w:pStyle w:val="ListParagraph"/>
              <w:numPr>
                <w:ilvl w:val="0"/>
                <w:numId w:val="14"/>
              </w:numPr>
              <w:rPr>
                <w:lang w:val="en-AU"/>
              </w:rPr>
            </w:pPr>
            <w:r w:rsidRPr="00D14D22">
              <w:rPr>
                <w:lang w:val="en-AU"/>
              </w:rPr>
              <w:lastRenderedPageBreak/>
              <w:t xml:space="preserve">A combined </w:t>
            </w:r>
            <w:r w:rsidRPr="00D14D22">
              <w:rPr>
                <w:b/>
                <w:lang w:val="en-AU"/>
              </w:rPr>
              <w:t>teamwork training and work standardisation intervention in operating theatres</w:t>
            </w:r>
            <w:r w:rsidRPr="00D14D22">
              <w:rPr>
                <w:lang w:val="en-AU"/>
              </w:rPr>
              <w:t xml:space="preserve">: controlled interrupted time series study </w:t>
            </w:r>
            <w:r>
              <w:rPr>
                <w:lang w:val="en-AU"/>
              </w:rPr>
              <w:t>(</w:t>
            </w:r>
            <w:r w:rsidRPr="00D14D22">
              <w:rPr>
                <w:lang w:val="en-AU"/>
              </w:rPr>
              <w:t xml:space="preserve">Lauren Morgan, Sharon P Pickering, Mohammed </w:t>
            </w:r>
            <w:proofErr w:type="spellStart"/>
            <w:r w:rsidRPr="00D14D22">
              <w:rPr>
                <w:lang w:val="en-AU"/>
              </w:rPr>
              <w:t>Hadi</w:t>
            </w:r>
            <w:proofErr w:type="spellEnd"/>
            <w:r w:rsidRPr="00D14D22">
              <w:rPr>
                <w:lang w:val="en-AU"/>
              </w:rPr>
              <w:t xml:space="preserve">, Eleanor Robertson, Steve New, D Griffin, G Collins, O </w:t>
            </w:r>
            <w:proofErr w:type="spellStart"/>
            <w:r w:rsidRPr="00D14D22">
              <w:rPr>
                <w:lang w:val="en-AU"/>
              </w:rPr>
              <w:t>Rivero</w:t>
            </w:r>
            <w:proofErr w:type="spellEnd"/>
            <w:r w:rsidRPr="00D14D22">
              <w:rPr>
                <w:lang w:val="en-AU"/>
              </w:rPr>
              <w:t>-Arias, K Catchpole, P McCulloch</w:t>
            </w:r>
            <w:r>
              <w:rPr>
                <w:lang w:val="en-AU"/>
              </w:rPr>
              <w:t>)</w:t>
            </w:r>
          </w:p>
          <w:p w:rsidR="00D61363" w:rsidRPr="0091691E" w:rsidRDefault="00D61363" w:rsidP="00D61363">
            <w:pPr>
              <w:pStyle w:val="ListParagraph"/>
              <w:numPr>
                <w:ilvl w:val="0"/>
                <w:numId w:val="14"/>
              </w:numPr>
              <w:rPr>
                <w:lang w:val="en-AU"/>
              </w:rPr>
            </w:pPr>
            <w:r w:rsidRPr="00D61363">
              <w:rPr>
                <w:b/>
                <w:lang w:val="en-AU"/>
              </w:rPr>
              <w:t>Why Lean doesn't work</w:t>
            </w:r>
            <w:r w:rsidRPr="00D61363">
              <w:rPr>
                <w:lang w:val="en-AU"/>
              </w:rPr>
              <w:t xml:space="preserve"> for everyone </w:t>
            </w:r>
            <w:r>
              <w:rPr>
                <w:lang w:val="en-AU"/>
              </w:rPr>
              <w:t>(</w:t>
            </w:r>
            <w:r w:rsidRPr="00D61363">
              <w:rPr>
                <w:lang w:val="en-AU"/>
              </w:rPr>
              <w:t xml:space="preserve">Gary S Kaplan, Sarah H Patterson, Joan M </w:t>
            </w:r>
            <w:proofErr w:type="spellStart"/>
            <w:r w:rsidRPr="00D61363">
              <w:rPr>
                <w:lang w:val="en-AU"/>
              </w:rPr>
              <w:t>Ching</w:t>
            </w:r>
            <w:proofErr w:type="spellEnd"/>
            <w:r w:rsidRPr="00D61363">
              <w:rPr>
                <w:lang w:val="en-AU"/>
              </w:rPr>
              <w:t>, C Craig Blackmore</w:t>
            </w:r>
            <w:r>
              <w:rPr>
                <w:lang w:val="en-AU"/>
              </w:rPr>
              <w:t>)</w:t>
            </w:r>
          </w:p>
        </w:tc>
      </w:tr>
    </w:tbl>
    <w:p w:rsidR="00DB5A06" w:rsidRPr="0091691E" w:rsidRDefault="00DB5A06" w:rsidP="0080436C">
      <w:pPr>
        <w:keepNext/>
        <w:keepLines/>
        <w:autoSpaceDE w:val="0"/>
        <w:autoSpaceDN w:val="0"/>
        <w:adjustRightInd w:val="0"/>
        <w:rPr>
          <w:lang w:val="en-AU"/>
        </w:rPr>
      </w:pPr>
    </w:p>
    <w:p w:rsidR="008C040D" w:rsidRPr="0091691E" w:rsidRDefault="008C040D" w:rsidP="008C040D">
      <w:pPr>
        <w:keepNext/>
        <w:autoSpaceDE w:val="0"/>
        <w:autoSpaceDN w:val="0"/>
        <w:adjustRightInd w:val="0"/>
        <w:rPr>
          <w:lang w:val="en-AU"/>
        </w:rPr>
      </w:pPr>
      <w:r w:rsidRPr="0091691E">
        <w:rPr>
          <w:i/>
          <w:lang w:val="en-AU"/>
        </w:rPr>
        <w:t>International Journal for Quality in Health Care</w:t>
      </w:r>
      <w:r w:rsidRPr="0091691E">
        <w:rPr>
          <w:lang w:val="en-AU"/>
        </w:rPr>
        <w:t xml:space="preserve"> 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C040D" w:rsidRPr="0091691E" w:rsidTr="00EB4A39">
        <w:tc>
          <w:tcPr>
            <w:tcW w:w="1080" w:type="dxa"/>
            <w:tcBorders>
              <w:top w:val="single" w:sz="4" w:space="0" w:color="auto"/>
              <w:left w:val="single" w:sz="4" w:space="0" w:color="auto"/>
              <w:bottom w:val="single" w:sz="4" w:space="0" w:color="auto"/>
              <w:right w:val="single" w:sz="4" w:space="0" w:color="auto"/>
            </w:tcBorders>
            <w:vAlign w:val="center"/>
          </w:tcPr>
          <w:p w:rsidR="008C040D" w:rsidRPr="0091691E" w:rsidRDefault="008C040D" w:rsidP="00EB4A39">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C040D" w:rsidRPr="0091691E" w:rsidRDefault="00EB447A" w:rsidP="00EB4A39">
            <w:pPr>
              <w:rPr>
                <w:lang w:val="en-AU"/>
              </w:rPr>
            </w:pPr>
            <w:hyperlink r:id="rId29" w:history="1">
              <w:r w:rsidR="008C040D" w:rsidRPr="0091691E">
                <w:rPr>
                  <w:rStyle w:val="Hyperlink"/>
                  <w:lang w:val="en-AU"/>
                </w:rPr>
                <w:t>http://intqhc.oxfordjournals.org/content/early/recent?papetoc</w:t>
              </w:r>
            </w:hyperlink>
          </w:p>
        </w:tc>
      </w:tr>
      <w:tr w:rsidR="008C040D" w:rsidRPr="0091691E" w:rsidTr="00EB4A39">
        <w:tc>
          <w:tcPr>
            <w:tcW w:w="1080" w:type="dxa"/>
            <w:tcBorders>
              <w:top w:val="single" w:sz="4" w:space="0" w:color="auto"/>
              <w:left w:val="single" w:sz="4" w:space="0" w:color="auto"/>
              <w:bottom w:val="single" w:sz="4" w:space="0" w:color="auto"/>
              <w:right w:val="single" w:sz="4" w:space="0" w:color="auto"/>
            </w:tcBorders>
            <w:vAlign w:val="center"/>
          </w:tcPr>
          <w:p w:rsidR="008C040D" w:rsidRPr="0091691E" w:rsidRDefault="008C040D" w:rsidP="00EB4A39">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C040D" w:rsidRPr="0091691E" w:rsidRDefault="008C040D" w:rsidP="00EB4A39">
            <w:pPr>
              <w:rPr>
                <w:lang w:val="en-AU"/>
              </w:rPr>
            </w:pPr>
            <w:r w:rsidRPr="0091691E">
              <w:rPr>
                <w:i/>
                <w:lang w:val="en-AU"/>
              </w:rPr>
              <w:t>International Journal for Quality in Health Care</w:t>
            </w:r>
            <w:r w:rsidRPr="0091691E">
              <w:rPr>
                <w:lang w:val="en-AU"/>
              </w:rPr>
              <w:t xml:space="preserve"> has published a number of ‘online first’ articles, including:</w:t>
            </w:r>
          </w:p>
          <w:p w:rsidR="008C040D" w:rsidRPr="0091691E" w:rsidRDefault="00CA1AE2" w:rsidP="00CA1AE2">
            <w:pPr>
              <w:pStyle w:val="ListParagraph"/>
              <w:numPr>
                <w:ilvl w:val="0"/>
                <w:numId w:val="15"/>
              </w:numPr>
              <w:rPr>
                <w:lang w:val="en-AU"/>
              </w:rPr>
            </w:pPr>
            <w:r w:rsidRPr="00CA1AE2">
              <w:rPr>
                <w:lang w:val="en-AU"/>
              </w:rPr>
              <w:t xml:space="preserve">Achieving a </w:t>
            </w:r>
            <w:r w:rsidRPr="00CA1AE2">
              <w:rPr>
                <w:b/>
                <w:lang w:val="en-AU"/>
              </w:rPr>
              <w:t>climate for patient safety</w:t>
            </w:r>
            <w:r w:rsidRPr="00CA1AE2">
              <w:rPr>
                <w:lang w:val="en-AU"/>
              </w:rPr>
              <w:t xml:space="preserve"> by focusing on relationships</w:t>
            </w:r>
            <w:r w:rsidRPr="00CA1AE2">
              <w:rPr>
                <w:lang w:val="en-AU"/>
              </w:rPr>
              <w:t xml:space="preserve"> (</w:t>
            </w:r>
            <w:proofErr w:type="spellStart"/>
            <w:r w:rsidRPr="00CA1AE2">
              <w:rPr>
                <w:lang w:val="en-AU"/>
              </w:rPr>
              <w:t>Milisa</w:t>
            </w:r>
            <w:proofErr w:type="spellEnd"/>
            <w:r w:rsidRPr="00CA1AE2">
              <w:rPr>
                <w:lang w:val="en-AU"/>
              </w:rPr>
              <w:t xml:space="preserve"> </w:t>
            </w:r>
            <w:proofErr w:type="spellStart"/>
            <w:r w:rsidRPr="00CA1AE2">
              <w:rPr>
                <w:lang w:val="en-AU"/>
              </w:rPr>
              <w:t>Manojlovich</w:t>
            </w:r>
            <w:proofErr w:type="spellEnd"/>
            <w:r w:rsidRPr="00CA1AE2">
              <w:rPr>
                <w:lang w:val="en-AU"/>
              </w:rPr>
              <w:t xml:space="preserve">, M Kerr, B Davies, J Squires, R </w:t>
            </w:r>
            <w:proofErr w:type="spellStart"/>
            <w:r w:rsidRPr="00CA1AE2">
              <w:rPr>
                <w:lang w:val="en-AU"/>
              </w:rPr>
              <w:t>Mallick</w:t>
            </w:r>
            <w:proofErr w:type="spellEnd"/>
            <w:r w:rsidRPr="00CA1AE2">
              <w:rPr>
                <w:lang w:val="en-AU"/>
              </w:rPr>
              <w:t>, and G L Rodger</w:t>
            </w:r>
            <w:r>
              <w:rPr>
                <w:lang w:val="en-AU"/>
              </w:rPr>
              <w:t>)</w:t>
            </w:r>
          </w:p>
        </w:tc>
      </w:tr>
    </w:tbl>
    <w:p w:rsidR="008C040D" w:rsidRPr="0091691E" w:rsidRDefault="008C040D" w:rsidP="008C040D">
      <w:pPr>
        <w:rPr>
          <w:i/>
          <w:lang w:val="en-AU"/>
        </w:rPr>
      </w:pPr>
    </w:p>
    <w:p w:rsidR="00DB5A06" w:rsidRPr="0091691E" w:rsidRDefault="00DB5A06" w:rsidP="008C040D">
      <w:pPr>
        <w:rPr>
          <w:i/>
          <w:lang w:val="en-AU"/>
        </w:rPr>
      </w:pPr>
    </w:p>
    <w:p w:rsidR="00D80193" w:rsidRPr="0091691E" w:rsidRDefault="00DB5A06" w:rsidP="0029518F">
      <w:pPr>
        <w:rPr>
          <w:b/>
          <w:lang w:val="en-AU"/>
        </w:rPr>
      </w:pPr>
      <w:r w:rsidRPr="0091691E">
        <w:rPr>
          <w:b/>
          <w:lang w:val="en-AU"/>
        </w:rPr>
        <w:t>Online resources</w:t>
      </w:r>
    </w:p>
    <w:p w:rsidR="00DB5A06" w:rsidRPr="0091691E" w:rsidRDefault="00DB5A06" w:rsidP="0029518F">
      <w:pPr>
        <w:rPr>
          <w:lang w:val="en-AU"/>
        </w:rPr>
      </w:pPr>
    </w:p>
    <w:p w:rsidR="00DB5A06" w:rsidRPr="00AB6033" w:rsidRDefault="00AB6033" w:rsidP="0029518F">
      <w:pPr>
        <w:rPr>
          <w:i/>
          <w:lang w:val="en-AU"/>
        </w:rPr>
      </w:pPr>
      <w:r w:rsidRPr="00AB6033">
        <w:rPr>
          <w:i/>
          <w:lang w:val="en-AU"/>
        </w:rPr>
        <w:t>[UK] Generic patient pathway quality standards</w:t>
      </w:r>
    </w:p>
    <w:p w:rsidR="00AB6033" w:rsidRDefault="00EB447A" w:rsidP="0029518F">
      <w:pPr>
        <w:rPr>
          <w:lang w:val="en-AU"/>
        </w:rPr>
      </w:pPr>
      <w:hyperlink r:id="rId30" w:history="1">
        <w:r w:rsidR="00AB6033" w:rsidRPr="00000982">
          <w:rPr>
            <w:rStyle w:val="Hyperlink"/>
            <w:lang w:val="en-AU"/>
          </w:rPr>
          <w:t>http://www.wmqrs.nhs.uk/download/511/Generic-pathway-QSs-V1-20140702_1405520731.pdf</w:t>
        </w:r>
      </w:hyperlink>
      <w:r w:rsidR="00AB6033">
        <w:rPr>
          <w:lang w:val="en-AU"/>
        </w:rPr>
        <w:t xml:space="preserve"> </w:t>
      </w:r>
    </w:p>
    <w:p w:rsidR="00AB6033" w:rsidRDefault="00AB6033" w:rsidP="00AB6033">
      <w:pPr>
        <w:rPr>
          <w:lang w:val="en-AU"/>
        </w:rPr>
      </w:pPr>
      <w:r>
        <w:rPr>
          <w:lang w:val="en-AU"/>
        </w:rPr>
        <w:t xml:space="preserve">The West Midlands Quality Review Service has developed these standards as part of their work in supporting regional </w:t>
      </w:r>
      <w:r w:rsidRPr="00AB6033">
        <w:rPr>
          <w:lang w:val="en-AU"/>
        </w:rPr>
        <w:t>NHS organisations in improving the quality of services. They are generic standards and are not specific to any patient pathway or type of service. They are, however, common Standards as shown by the development of evidence-based quality standards for a wide range of services.</w:t>
      </w:r>
    </w:p>
    <w:p w:rsidR="00AB6033" w:rsidRDefault="00AB6033" w:rsidP="00AB6033">
      <w:pPr>
        <w:rPr>
          <w:lang w:val="en-AU"/>
        </w:rPr>
      </w:pPr>
    </w:p>
    <w:p w:rsidR="00AB6033" w:rsidRPr="00AB6033" w:rsidRDefault="00AB6033" w:rsidP="00AB6033">
      <w:pPr>
        <w:rPr>
          <w:i/>
          <w:lang w:val="en-AU"/>
        </w:rPr>
      </w:pPr>
      <w:r w:rsidRPr="00AB6033">
        <w:rPr>
          <w:i/>
          <w:lang w:val="en-AU"/>
        </w:rPr>
        <w:t>[UK] Quality standards: care of adu</w:t>
      </w:r>
      <w:r>
        <w:rPr>
          <w:i/>
          <w:lang w:val="en-AU"/>
        </w:rPr>
        <w:t>lts with acquired brain injury</w:t>
      </w:r>
    </w:p>
    <w:p w:rsidR="00AB6033" w:rsidRDefault="00EB447A" w:rsidP="00AB6033">
      <w:pPr>
        <w:rPr>
          <w:lang w:val="en-AU"/>
        </w:rPr>
      </w:pPr>
      <w:hyperlink r:id="rId31" w:history="1">
        <w:r w:rsidR="00AB6033" w:rsidRPr="00000982">
          <w:rPr>
            <w:rStyle w:val="Hyperlink"/>
            <w:lang w:val="en-AU"/>
          </w:rPr>
          <w:t>http://www.wmqrs.nhs.uk/download/512/WMQRS-QS-ABI-V1-20140702_1405520806.pdf</w:t>
        </w:r>
      </w:hyperlink>
    </w:p>
    <w:p w:rsidR="00AB6033" w:rsidRDefault="00AB6033" w:rsidP="00AB6033">
      <w:pPr>
        <w:rPr>
          <w:lang w:val="en-AU"/>
        </w:rPr>
      </w:pPr>
      <w:r>
        <w:rPr>
          <w:lang w:val="en-AU"/>
        </w:rPr>
        <w:t xml:space="preserve">The West Midlands Quality Review Service has developed these </w:t>
      </w:r>
      <w:r w:rsidRPr="00AB6033">
        <w:rPr>
          <w:lang w:val="en-AU"/>
        </w:rPr>
        <w:t xml:space="preserve">standards </w:t>
      </w:r>
      <w:r>
        <w:rPr>
          <w:lang w:val="en-AU"/>
        </w:rPr>
        <w:t xml:space="preserve">in order </w:t>
      </w:r>
      <w:r w:rsidRPr="00AB6033">
        <w:rPr>
          <w:lang w:val="en-AU"/>
        </w:rPr>
        <w:t>to improve the quality of services for adults with acquired brain injury</w:t>
      </w:r>
      <w:r>
        <w:rPr>
          <w:lang w:val="en-AU"/>
        </w:rPr>
        <w:t xml:space="preserve">. The standards are </w:t>
      </w:r>
      <w:r w:rsidRPr="00AB6033">
        <w:rPr>
          <w:lang w:val="en-AU"/>
        </w:rPr>
        <w:t xml:space="preserve">suitable for use in self-assessment, monitoring by </w:t>
      </w:r>
      <w:r>
        <w:rPr>
          <w:lang w:val="en-AU"/>
        </w:rPr>
        <w:t>funders/</w:t>
      </w:r>
      <w:r w:rsidRPr="00AB6033">
        <w:rPr>
          <w:lang w:val="en-AU"/>
        </w:rPr>
        <w:t>commissioners and providers, and peer review visits. They describe what services should be aiming to provide and all services should be working towards meeting all applicable quality standards within the next two to five years.</w:t>
      </w:r>
    </w:p>
    <w:p w:rsidR="00C73E4D" w:rsidRDefault="00C73E4D" w:rsidP="00AB6033">
      <w:pPr>
        <w:rPr>
          <w:lang w:val="en-AU"/>
        </w:rPr>
      </w:pPr>
    </w:p>
    <w:p w:rsidR="00C73E4D" w:rsidRPr="00C73E4D" w:rsidRDefault="00C73E4D" w:rsidP="00AB6033">
      <w:pPr>
        <w:rPr>
          <w:i/>
          <w:lang w:val="en-AU"/>
        </w:rPr>
      </w:pPr>
      <w:r w:rsidRPr="00C73E4D">
        <w:rPr>
          <w:i/>
          <w:lang w:val="en-AU"/>
        </w:rPr>
        <w:t>[USA] Applying High Reliability Principles to Infection Prevention and Control in Long Term Care</w:t>
      </w:r>
    </w:p>
    <w:p w:rsidR="00C73E4D" w:rsidRDefault="00EB447A" w:rsidP="00AB6033">
      <w:pPr>
        <w:rPr>
          <w:lang w:val="en-AU"/>
        </w:rPr>
      </w:pPr>
      <w:hyperlink r:id="rId32" w:history="1">
        <w:r w:rsidR="00C73E4D" w:rsidRPr="00274309">
          <w:rPr>
            <w:rStyle w:val="Hyperlink"/>
            <w:lang w:val="en-AU"/>
          </w:rPr>
          <w:t>http://www.jointcommission.org/HRipcLTC.aspx</w:t>
        </w:r>
      </w:hyperlink>
    </w:p>
    <w:p w:rsidR="00C73E4D" w:rsidRPr="00C73E4D" w:rsidRDefault="00C73E4D" w:rsidP="00C73E4D">
      <w:pPr>
        <w:rPr>
          <w:lang w:val="en-AU"/>
        </w:rPr>
      </w:pPr>
      <w:r>
        <w:rPr>
          <w:lang w:val="en-AU"/>
        </w:rPr>
        <w:t xml:space="preserve">The US </w:t>
      </w:r>
      <w:r w:rsidRPr="00C73E4D">
        <w:rPr>
          <w:lang w:val="en-AU"/>
        </w:rPr>
        <w:t xml:space="preserve">Agency for Healthcare Research and Quality (AHRQ) and </w:t>
      </w:r>
      <w:r>
        <w:rPr>
          <w:lang w:val="en-AU"/>
        </w:rPr>
        <w:t>t</w:t>
      </w:r>
      <w:r w:rsidRPr="00C73E4D">
        <w:rPr>
          <w:lang w:val="en-AU"/>
        </w:rPr>
        <w:t xml:space="preserve">he Joint Commission </w:t>
      </w:r>
      <w:proofErr w:type="gramStart"/>
      <w:r w:rsidRPr="00C73E4D">
        <w:rPr>
          <w:lang w:val="en-AU"/>
        </w:rPr>
        <w:t>have</w:t>
      </w:r>
      <w:proofErr w:type="gramEnd"/>
      <w:r w:rsidRPr="00C73E4D">
        <w:rPr>
          <w:lang w:val="en-AU"/>
        </w:rPr>
        <w:t xml:space="preserve"> launched an e-learning module to reduce long term care infections using high reliability industry principles.</w:t>
      </w:r>
    </w:p>
    <w:p w:rsidR="00C73E4D" w:rsidRDefault="00C73E4D" w:rsidP="00C73E4D">
      <w:pPr>
        <w:rPr>
          <w:lang w:val="en-AU"/>
        </w:rPr>
      </w:pPr>
      <w:r w:rsidRPr="00C73E4D">
        <w:rPr>
          <w:lang w:val="en-AU"/>
        </w:rPr>
        <w:t xml:space="preserve">The 50-minute e-learning tool can help assisted living and nursing home </w:t>
      </w:r>
      <w:proofErr w:type="gramStart"/>
      <w:r w:rsidRPr="00C73E4D">
        <w:rPr>
          <w:lang w:val="en-AU"/>
        </w:rPr>
        <w:t>staff prevent</w:t>
      </w:r>
      <w:proofErr w:type="gramEnd"/>
      <w:r w:rsidRPr="00C73E4D">
        <w:rPr>
          <w:lang w:val="en-AU"/>
        </w:rPr>
        <w:t xml:space="preserve"> healthcare-associated infections. The online module teaches long-term care facilities to apply these principles to prevent infections and achieve high safety performance over extended periods of time.</w:t>
      </w:r>
    </w:p>
    <w:p w:rsidR="009D5B0A" w:rsidRDefault="009D5B0A" w:rsidP="0029518F">
      <w:pPr>
        <w:rPr>
          <w:lang w:val="en-AU"/>
        </w:rPr>
      </w:pPr>
    </w:p>
    <w:p w:rsidR="00C73E4D" w:rsidRPr="0091691E" w:rsidRDefault="00C73E4D" w:rsidP="0029518F">
      <w:pPr>
        <w:rPr>
          <w:lang w:val="en-AU"/>
        </w:rPr>
      </w:pPr>
    </w:p>
    <w:p w:rsidR="00B160EF" w:rsidRPr="0091691E" w:rsidRDefault="00B160EF" w:rsidP="00B160EF">
      <w:pPr>
        <w:keepNext/>
        <w:pBdr>
          <w:top w:val="single" w:sz="4" w:space="1" w:color="auto"/>
        </w:pBdr>
        <w:rPr>
          <w:b/>
          <w:lang w:val="en-AU"/>
        </w:rPr>
      </w:pPr>
      <w:r w:rsidRPr="0091691E">
        <w:rPr>
          <w:b/>
          <w:lang w:val="en-AU"/>
        </w:rPr>
        <w:t>Disclaimer</w:t>
      </w:r>
    </w:p>
    <w:p w:rsidR="00E41D2F" w:rsidRPr="0091691E" w:rsidRDefault="00B160EF" w:rsidP="00B160EF">
      <w:pPr>
        <w:rPr>
          <w:lang w:val="en-AU"/>
        </w:rPr>
      </w:pPr>
      <w:r w:rsidRPr="0091691E">
        <w:rPr>
          <w:i/>
          <w:lang w:val="en-AU"/>
        </w:rPr>
        <w:t xml:space="preserve">On the </w:t>
      </w:r>
      <w:r w:rsidR="001A66F9" w:rsidRPr="0091691E">
        <w:rPr>
          <w:i/>
          <w:lang w:val="en-AU"/>
        </w:rPr>
        <w:t>R</w:t>
      </w:r>
      <w:r w:rsidRPr="0091691E">
        <w:rPr>
          <w:i/>
          <w:lang w:val="en-AU"/>
        </w:rPr>
        <w:t>adar</w:t>
      </w:r>
      <w:r w:rsidRPr="0091691E">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1691E" w:rsidSect="005C5ABC">
      <w:footerReference w:type="even" r:id="rId33"/>
      <w:footerReference w:type="default" r:id="rId3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7A" w:rsidRDefault="00EB447A">
      <w:r>
        <w:separator/>
      </w:r>
    </w:p>
  </w:endnote>
  <w:endnote w:type="continuationSeparator" w:id="0">
    <w:p w:rsidR="00EB447A" w:rsidRDefault="00EB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E1C9C">
      <w:rPr>
        <w:rStyle w:val="PageNumber"/>
        <w:noProof/>
      </w:rPr>
      <w:t>6</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B31C8B">
      <w:t xml:space="preserve"> Issue 184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C9C">
      <w:rPr>
        <w:rStyle w:val="PageNumber"/>
        <w:noProof/>
      </w:rPr>
      <w:t>5</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B31C8B">
      <w:t xml:space="preserve"> Issue 184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7A" w:rsidRDefault="00EB447A">
      <w:r>
        <w:separator/>
      </w:r>
    </w:p>
  </w:footnote>
  <w:footnote w:type="continuationSeparator" w:id="0">
    <w:p w:rsidR="00EB447A" w:rsidRDefault="00EB4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390452"/>
    <w:multiLevelType w:val="hybridMultilevel"/>
    <w:tmpl w:val="E612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474E5D"/>
    <w:multiLevelType w:val="hybridMultilevel"/>
    <w:tmpl w:val="8A346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88F07A3"/>
    <w:multiLevelType w:val="hybridMultilevel"/>
    <w:tmpl w:val="E8E06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AD7984"/>
    <w:multiLevelType w:val="hybridMultilevel"/>
    <w:tmpl w:val="0A7A38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nsid w:val="20B91AE2"/>
    <w:multiLevelType w:val="hybridMultilevel"/>
    <w:tmpl w:val="FD0A230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8">
    <w:nsid w:val="22C06B07"/>
    <w:multiLevelType w:val="hybridMultilevel"/>
    <w:tmpl w:val="6E42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4057BCD"/>
    <w:multiLevelType w:val="hybridMultilevel"/>
    <w:tmpl w:val="503A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6D4C4F"/>
    <w:multiLevelType w:val="hybridMultilevel"/>
    <w:tmpl w:val="606C9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7E748CA"/>
    <w:multiLevelType w:val="hybridMultilevel"/>
    <w:tmpl w:val="7B9EC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F172F2"/>
    <w:multiLevelType w:val="hybridMultilevel"/>
    <w:tmpl w:val="E3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B3B792B"/>
    <w:multiLevelType w:val="hybridMultilevel"/>
    <w:tmpl w:val="757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EB6CAD"/>
    <w:multiLevelType w:val="hybridMultilevel"/>
    <w:tmpl w:val="8578F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DC508C"/>
    <w:multiLevelType w:val="hybridMultilevel"/>
    <w:tmpl w:val="95FC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136CA9"/>
    <w:multiLevelType w:val="hybridMultilevel"/>
    <w:tmpl w:val="B6EC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3E6E8E"/>
    <w:multiLevelType w:val="hybridMultilevel"/>
    <w:tmpl w:val="470AC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4"/>
  </w:num>
  <w:num w:numId="15">
    <w:abstractNumId w:val="37"/>
  </w:num>
  <w:num w:numId="16">
    <w:abstractNumId w:val="15"/>
  </w:num>
  <w:num w:numId="17">
    <w:abstractNumId w:val="27"/>
  </w:num>
  <w:num w:numId="18">
    <w:abstractNumId w:val="14"/>
  </w:num>
  <w:num w:numId="19">
    <w:abstractNumId w:val="34"/>
  </w:num>
  <w:num w:numId="20">
    <w:abstractNumId w:val="20"/>
  </w:num>
  <w:num w:numId="21">
    <w:abstractNumId w:val="17"/>
  </w:num>
  <w:num w:numId="22">
    <w:abstractNumId w:val="10"/>
  </w:num>
  <w:num w:numId="23">
    <w:abstractNumId w:val="25"/>
  </w:num>
  <w:num w:numId="24">
    <w:abstractNumId w:val="11"/>
  </w:num>
  <w:num w:numId="25">
    <w:abstractNumId w:val="28"/>
  </w:num>
  <w:num w:numId="26">
    <w:abstractNumId w:val="21"/>
  </w:num>
  <w:num w:numId="27">
    <w:abstractNumId w:val="30"/>
  </w:num>
  <w:num w:numId="28">
    <w:abstractNumId w:val="22"/>
  </w:num>
  <w:num w:numId="29">
    <w:abstractNumId w:val="31"/>
  </w:num>
  <w:num w:numId="30">
    <w:abstractNumId w:val="16"/>
  </w:num>
  <w:num w:numId="31">
    <w:abstractNumId w:val="35"/>
  </w:num>
  <w:num w:numId="32">
    <w:abstractNumId w:val="36"/>
  </w:num>
  <w:num w:numId="33">
    <w:abstractNumId w:val="19"/>
  </w:num>
  <w:num w:numId="34">
    <w:abstractNumId w:val="12"/>
  </w:num>
  <w:num w:numId="35">
    <w:abstractNumId w:val="18"/>
  </w:num>
  <w:num w:numId="36">
    <w:abstractNumId w:val="13"/>
  </w:num>
  <w:num w:numId="37">
    <w:abstractNumId w:val="32"/>
  </w:num>
  <w:num w:numId="38">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4AB"/>
    <w:rsid w:val="000376F5"/>
    <w:rsid w:val="0003783E"/>
    <w:rsid w:val="00040068"/>
    <w:rsid w:val="000404B7"/>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DC3"/>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DA6"/>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797"/>
    <w:rsid w:val="00126FD4"/>
    <w:rsid w:val="00127226"/>
    <w:rsid w:val="001273B5"/>
    <w:rsid w:val="0012775E"/>
    <w:rsid w:val="00127795"/>
    <w:rsid w:val="00127D2C"/>
    <w:rsid w:val="00131221"/>
    <w:rsid w:val="00131BB6"/>
    <w:rsid w:val="00132070"/>
    <w:rsid w:val="001324C0"/>
    <w:rsid w:val="00132A3B"/>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F91"/>
    <w:rsid w:val="00137189"/>
    <w:rsid w:val="0013763E"/>
    <w:rsid w:val="001402DB"/>
    <w:rsid w:val="001404BE"/>
    <w:rsid w:val="00140686"/>
    <w:rsid w:val="0014077E"/>
    <w:rsid w:val="00141F8A"/>
    <w:rsid w:val="001420B4"/>
    <w:rsid w:val="001421C3"/>
    <w:rsid w:val="0014225E"/>
    <w:rsid w:val="0014273B"/>
    <w:rsid w:val="00142754"/>
    <w:rsid w:val="00142AFF"/>
    <w:rsid w:val="00142D0A"/>
    <w:rsid w:val="00142DF4"/>
    <w:rsid w:val="0014372E"/>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E9B"/>
    <w:rsid w:val="001D4846"/>
    <w:rsid w:val="001D48B8"/>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B7A"/>
    <w:rsid w:val="00335CD0"/>
    <w:rsid w:val="00335D2C"/>
    <w:rsid w:val="00335D3E"/>
    <w:rsid w:val="00335D85"/>
    <w:rsid w:val="00335DCD"/>
    <w:rsid w:val="003366DF"/>
    <w:rsid w:val="00337718"/>
    <w:rsid w:val="00337DF2"/>
    <w:rsid w:val="00337FAA"/>
    <w:rsid w:val="00340157"/>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E33"/>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1D8"/>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BC"/>
    <w:rsid w:val="003F12E1"/>
    <w:rsid w:val="003F135E"/>
    <w:rsid w:val="003F17A9"/>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2FB"/>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D31"/>
    <w:rsid w:val="004A0E95"/>
    <w:rsid w:val="004A1534"/>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D39"/>
    <w:rsid w:val="00516D71"/>
    <w:rsid w:val="00516E60"/>
    <w:rsid w:val="005170D2"/>
    <w:rsid w:val="00517355"/>
    <w:rsid w:val="00517495"/>
    <w:rsid w:val="0051777C"/>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E9"/>
    <w:rsid w:val="0054654F"/>
    <w:rsid w:val="00546616"/>
    <w:rsid w:val="005469CA"/>
    <w:rsid w:val="00547555"/>
    <w:rsid w:val="00550081"/>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9D3"/>
    <w:rsid w:val="005749D9"/>
    <w:rsid w:val="00576022"/>
    <w:rsid w:val="005763BF"/>
    <w:rsid w:val="00576742"/>
    <w:rsid w:val="00576AFC"/>
    <w:rsid w:val="00576EB9"/>
    <w:rsid w:val="00577B2C"/>
    <w:rsid w:val="00580B17"/>
    <w:rsid w:val="00580D09"/>
    <w:rsid w:val="00580E03"/>
    <w:rsid w:val="005814DF"/>
    <w:rsid w:val="00581A15"/>
    <w:rsid w:val="00581DE9"/>
    <w:rsid w:val="00581DF6"/>
    <w:rsid w:val="0058216A"/>
    <w:rsid w:val="005824D6"/>
    <w:rsid w:val="00582589"/>
    <w:rsid w:val="005827F5"/>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F0D"/>
    <w:rsid w:val="005A6FA8"/>
    <w:rsid w:val="005A706A"/>
    <w:rsid w:val="005A71F0"/>
    <w:rsid w:val="005A72BA"/>
    <w:rsid w:val="005A7426"/>
    <w:rsid w:val="005A78FA"/>
    <w:rsid w:val="005A7F94"/>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FD9"/>
    <w:rsid w:val="00664520"/>
    <w:rsid w:val="00664541"/>
    <w:rsid w:val="006655A9"/>
    <w:rsid w:val="00665D8A"/>
    <w:rsid w:val="0066628E"/>
    <w:rsid w:val="0066678E"/>
    <w:rsid w:val="00666AE4"/>
    <w:rsid w:val="00666B0B"/>
    <w:rsid w:val="006672B7"/>
    <w:rsid w:val="00667926"/>
    <w:rsid w:val="00667B0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27D"/>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0C1"/>
    <w:rsid w:val="008012AB"/>
    <w:rsid w:val="00801658"/>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45F"/>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526"/>
    <w:rsid w:val="008B7A09"/>
    <w:rsid w:val="008B7BFF"/>
    <w:rsid w:val="008B7D4A"/>
    <w:rsid w:val="008C0208"/>
    <w:rsid w:val="008C0263"/>
    <w:rsid w:val="008C040D"/>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2C7"/>
    <w:rsid w:val="00932843"/>
    <w:rsid w:val="00932B4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6D8"/>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2B4"/>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96D"/>
    <w:rsid w:val="00A82C96"/>
    <w:rsid w:val="00A834EB"/>
    <w:rsid w:val="00A83604"/>
    <w:rsid w:val="00A83A35"/>
    <w:rsid w:val="00A83E18"/>
    <w:rsid w:val="00A83F08"/>
    <w:rsid w:val="00A8405E"/>
    <w:rsid w:val="00A84250"/>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ACE"/>
    <w:rsid w:val="00AB76E9"/>
    <w:rsid w:val="00AB77A4"/>
    <w:rsid w:val="00AB7DFD"/>
    <w:rsid w:val="00AC0084"/>
    <w:rsid w:val="00AC045C"/>
    <w:rsid w:val="00AC0C25"/>
    <w:rsid w:val="00AC1362"/>
    <w:rsid w:val="00AC137D"/>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4D5F"/>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EFB"/>
    <w:rsid w:val="00B100DB"/>
    <w:rsid w:val="00B1016C"/>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15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A12"/>
    <w:rsid w:val="00BF2C0F"/>
    <w:rsid w:val="00BF2C45"/>
    <w:rsid w:val="00BF3B58"/>
    <w:rsid w:val="00BF3CCC"/>
    <w:rsid w:val="00BF3D49"/>
    <w:rsid w:val="00BF3D7B"/>
    <w:rsid w:val="00BF3DCD"/>
    <w:rsid w:val="00BF3F20"/>
    <w:rsid w:val="00BF48FF"/>
    <w:rsid w:val="00BF4D68"/>
    <w:rsid w:val="00BF55C7"/>
    <w:rsid w:val="00BF58E9"/>
    <w:rsid w:val="00BF5AF6"/>
    <w:rsid w:val="00BF5DB9"/>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868"/>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FD3"/>
    <w:rsid w:val="00C372BE"/>
    <w:rsid w:val="00C373D8"/>
    <w:rsid w:val="00C373E0"/>
    <w:rsid w:val="00C37458"/>
    <w:rsid w:val="00C3780D"/>
    <w:rsid w:val="00C379CE"/>
    <w:rsid w:val="00C40100"/>
    <w:rsid w:val="00C405E7"/>
    <w:rsid w:val="00C40824"/>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5EE2"/>
    <w:rsid w:val="00C56182"/>
    <w:rsid w:val="00C561DB"/>
    <w:rsid w:val="00C56E21"/>
    <w:rsid w:val="00C56E71"/>
    <w:rsid w:val="00C57919"/>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155"/>
    <w:rsid w:val="00CB3214"/>
    <w:rsid w:val="00CB3983"/>
    <w:rsid w:val="00CB432B"/>
    <w:rsid w:val="00CB4765"/>
    <w:rsid w:val="00CB4CD1"/>
    <w:rsid w:val="00CB5760"/>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CC8"/>
    <w:rsid w:val="00D14D22"/>
    <w:rsid w:val="00D15927"/>
    <w:rsid w:val="00D15EEA"/>
    <w:rsid w:val="00D1602E"/>
    <w:rsid w:val="00D16155"/>
    <w:rsid w:val="00D164A1"/>
    <w:rsid w:val="00D168E9"/>
    <w:rsid w:val="00D16ADC"/>
    <w:rsid w:val="00D16B3E"/>
    <w:rsid w:val="00D16D3A"/>
    <w:rsid w:val="00D171CC"/>
    <w:rsid w:val="00D17769"/>
    <w:rsid w:val="00D17EF8"/>
    <w:rsid w:val="00D2101C"/>
    <w:rsid w:val="00D21AC0"/>
    <w:rsid w:val="00D21F47"/>
    <w:rsid w:val="00D2206A"/>
    <w:rsid w:val="00D22EFE"/>
    <w:rsid w:val="00D23556"/>
    <w:rsid w:val="00D236EB"/>
    <w:rsid w:val="00D2372E"/>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63"/>
    <w:rsid w:val="00D613EA"/>
    <w:rsid w:val="00D61DCD"/>
    <w:rsid w:val="00D6226C"/>
    <w:rsid w:val="00D62454"/>
    <w:rsid w:val="00D6249C"/>
    <w:rsid w:val="00D6299D"/>
    <w:rsid w:val="00D62A26"/>
    <w:rsid w:val="00D62C3A"/>
    <w:rsid w:val="00D639C6"/>
    <w:rsid w:val="00D63CCB"/>
    <w:rsid w:val="00D6453B"/>
    <w:rsid w:val="00D64608"/>
    <w:rsid w:val="00D666B2"/>
    <w:rsid w:val="00D66BBB"/>
    <w:rsid w:val="00D66F4A"/>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851"/>
    <w:rsid w:val="00D90D32"/>
    <w:rsid w:val="00D90E19"/>
    <w:rsid w:val="00D913F3"/>
    <w:rsid w:val="00D917F0"/>
    <w:rsid w:val="00D91B21"/>
    <w:rsid w:val="00D91D01"/>
    <w:rsid w:val="00D92152"/>
    <w:rsid w:val="00D92B5A"/>
    <w:rsid w:val="00D92FA6"/>
    <w:rsid w:val="00D92FE8"/>
    <w:rsid w:val="00D933B3"/>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A4B"/>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C6A"/>
    <w:rsid w:val="00E467B1"/>
    <w:rsid w:val="00E46A5C"/>
    <w:rsid w:val="00E46C16"/>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59CB"/>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5E1"/>
    <w:rsid w:val="00F3387C"/>
    <w:rsid w:val="00F33AF3"/>
    <w:rsid w:val="00F33FB2"/>
    <w:rsid w:val="00F34131"/>
    <w:rsid w:val="00F34314"/>
    <w:rsid w:val="00F34AE1"/>
    <w:rsid w:val="00F34D09"/>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rfosterintelligence.co.uk/2014/07/15/measurement/" TargetMode="External"/><Relationship Id="rId26" Type="http://schemas.openxmlformats.org/officeDocument/2006/relationships/hyperlink" Target="http://onlinelibrary.wiley.com/doi/10.1111/imj.12438/abstract" TargetMode="External"/><Relationship Id="rId3" Type="http://schemas.openxmlformats.org/officeDocument/2006/relationships/styles" Target="styles.xml"/><Relationship Id="rId21" Type="http://schemas.openxmlformats.org/officeDocument/2006/relationships/hyperlink" Target="http://dx.doi.org/10.1136/bmjqs-2014-003115"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medicalpracticevariation@safetyandquality.gov.au" TargetMode="External"/><Relationship Id="rId25" Type="http://schemas.openxmlformats.org/officeDocument/2006/relationships/hyperlink" Target="http://dx.doi.org/10.1016/S0140-6736(14)60885-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fetyandquality.gov.au/publications/exploring-healthcare-variation-in-australia/" TargetMode="External"/><Relationship Id="rId20" Type="http://schemas.openxmlformats.org/officeDocument/2006/relationships/hyperlink" Target="http://www.safetyandquality.gov.au/our-work/healthcare-associated-infection/" TargetMode="External"/><Relationship Id="rId29" Type="http://schemas.openxmlformats.org/officeDocument/2006/relationships/hyperlink" Target="http://intqhc.oxfordjournals.org/content/early/recent?pape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136/bmjqs-2013-002718" TargetMode="External"/><Relationship Id="rId32" Type="http://schemas.openxmlformats.org/officeDocument/2006/relationships/hyperlink" Target="http://www.jointcommission.org/HRipcLTC.aspx"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377/hlthaff.2013.1303" TargetMode="External"/><Relationship Id="rId28" Type="http://schemas.openxmlformats.org/officeDocument/2006/relationships/hyperlink" Target="http://qualitysafety.bmj.com/content/early/recent" TargetMode="External"/><Relationship Id="rId36" Type="http://schemas.openxmlformats.org/officeDocument/2006/relationships/theme" Target="theme/theme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5694/mja13.00102" TargetMode="External"/><Relationship Id="rId31" Type="http://schemas.openxmlformats.org/officeDocument/2006/relationships/hyperlink" Target="http://www.wmqrs.nhs.uk/download/512/WMQRS-QS-ABI-V1-20140702_1405520806.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image" Target="media/image2.gif"/><Relationship Id="rId27" Type="http://schemas.openxmlformats.org/officeDocument/2006/relationships/hyperlink" Target="http://www.safetyandquality.gov.au/publications/exploring-healthcare-variation-in-australia/" TargetMode="External"/><Relationship Id="rId30" Type="http://schemas.openxmlformats.org/officeDocument/2006/relationships/hyperlink" Target="http://www.wmqrs.nhs.uk/download/511/Generic-pathway-QSs-V1-20140702_1405520731.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2FF65-0F14-46A3-9B2E-59BA71F6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6</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17816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23</cp:revision>
  <cp:lastPrinted>2013-06-06T03:47:00Z</cp:lastPrinted>
  <dcterms:created xsi:type="dcterms:W3CDTF">2014-07-20T23:14:00Z</dcterms:created>
  <dcterms:modified xsi:type="dcterms:W3CDTF">2014-07-26T23:09:00Z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