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bookmarkStart w:id="0" w:name="_GoBack"/>
      <w:bookmarkEnd w:id="0"/>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75DB683" wp14:editId="012F7A0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910180">
        <w:rPr>
          <w:color w:val="000000"/>
          <w:lang w:val="en-AU"/>
        </w:rPr>
        <w:t>6</w:t>
      </w:r>
    </w:p>
    <w:p w:rsidR="000F7901" w:rsidRPr="0095520C" w:rsidRDefault="00910180" w:rsidP="00B160EF">
      <w:pPr>
        <w:rPr>
          <w:lang w:val="en-AU"/>
        </w:rPr>
      </w:pPr>
      <w:r>
        <w:rPr>
          <w:lang w:val="en-AU"/>
        </w:rPr>
        <w:t>20</w:t>
      </w:r>
      <w:r w:rsidR="00590FB6">
        <w:rPr>
          <w:lang w:val="en-AU"/>
        </w:rPr>
        <w:t xml:space="preserve"> Oc</w:t>
      </w:r>
      <w:r w:rsidR="00243193" w:rsidRPr="0095520C">
        <w:rPr>
          <w:lang w:val="en-AU"/>
        </w:rPr>
        <w:t>t</w:t>
      </w:r>
      <w:r w:rsidR="00590FB6">
        <w:rPr>
          <w:lang w:val="en-AU"/>
        </w:rPr>
        <w:t>o</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1"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DD32E9" w:rsidRPr="0095520C" w:rsidRDefault="00DD32E9" w:rsidP="004554DB">
      <w:pPr>
        <w:autoSpaceDE w:val="0"/>
        <w:rPr>
          <w:lang w:val="en-AU"/>
        </w:rPr>
      </w:pP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1"/>
    </w:p>
    <w:p w:rsidR="00F34D09" w:rsidRPr="00005FE8" w:rsidRDefault="00F34D09" w:rsidP="00F34D09">
      <w:pPr>
        <w:rPr>
          <w:shd w:val="clear" w:color="auto" w:fill="FFFFFF"/>
          <w:lang w:val="en-AU"/>
        </w:rPr>
      </w:pPr>
    </w:p>
    <w:p w:rsidR="00C411B7" w:rsidRPr="0000067E" w:rsidRDefault="00C411B7" w:rsidP="00C411B7">
      <w:pPr>
        <w:pStyle w:val="NoSpacing"/>
        <w:rPr>
          <w:b/>
        </w:rPr>
      </w:pPr>
      <w:r w:rsidRPr="0000067E">
        <w:rPr>
          <w:b/>
        </w:rPr>
        <w:t>Sha</w:t>
      </w:r>
      <w:r w:rsidR="00D57545">
        <w:rPr>
          <w:b/>
        </w:rPr>
        <w:t xml:space="preserve">red Decision Making Symposium: </w:t>
      </w:r>
      <w:r w:rsidRPr="0000067E">
        <w:rPr>
          <w:b/>
        </w:rPr>
        <w:t xml:space="preserve">Developing tools and skills for clinical practice </w:t>
      </w:r>
    </w:p>
    <w:p w:rsidR="00C411B7" w:rsidRPr="0000067E" w:rsidRDefault="00683600" w:rsidP="00C411B7">
      <w:pPr>
        <w:pStyle w:val="NoSpacing"/>
        <w:rPr>
          <w:bCs/>
        </w:rPr>
      </w:pPr>
      <w:r>
        <w:t>Webcast/record</w:t>
      </w:r>
      <w:r w:rsidR="00910180">
        <w:t xml:space="preserve">ing of event held on </w:t>
      </w:r>
      <w:r>
        <w:t>16 October 2014.</w:t>
      </w:r>
    </w:p>
    <w:p w:rsidR="00C411B7" w:rsidRPr="006A42A0" w:rsidRDefault="00C411B7" w:rsidP="00C411B7">
      <w:pPr>
        <w:spacing w:line="300" w:lineRule="atLeast"/>
        <w:outlineLvl w:val="2"/>
        <w:rPr>
          <w:bCs/>
        </w:rPr>
      </w:pPr>
    </w:p>
    <w:p w:rsidR="006A42A0" w:rsidRPr="006A42A0" w:rsidRDefault="006A42A0" w:rsidP="00C411B7">
      <w:pPr>
        <w:spacing w:line="300" w:lineRule="atLeast"/>
        <w:outlineLvl w:val="2"/>
        <w:rPr>
          <w:bCs/>
        </w:rPr>
      </w:pPr>
      <w:r w:rsidRPr="006A42A0">
        <w:rPr>
          <w:bCs/>
        </w:rPr>
        <w:t>Shared decision making involves the integration of a patient’s values, goals and concerns with the best available evidence about benefits, risks and uncertainties of treatment, in order to come to appropriate health care decisions.</w:t>
      </w:r>
    </w:p>
    <w:p w:rsidR="006A42A0" w:rsidRPr="006A42A0" w:rsidRDefault="006A42A0" w:rsidP="00C411B7">
      <w:pPr>
        <w:spacing w:line="300" w:lineRule="atLeast"/>
        <w:outlineLvl w:val="2"/>
        <w:rPr>
          <w:bCs/>
        </w:rPr>
      </w:pPr>
    </w:p>
    <w:p w:rsidR="006B35FC" w:rsidRPr="0000067E" w:rsidRDefault="00C411B7" w:rsidP="006B35FC">
      <w:pPr>
        <w:spacing w:line="255" w:lineRule="atLeast"/>
      </w:pPr>
      <w:r w:rsidRPr="0000067E">
        <w:t>Co-hosted by the Australian Commission on Safety and Quality in Health Care and the University of Sydney’s Centre for Medical Psychology and Evidence-Based Decision Making (CeMPED) the symposium include</w:t>
      </w:r>
      <w:r w:rsidR="00683600">
        <w:t>d discussions on</w:t>
      </w:r>
      <w:r w:rsidRPr="0000067E">
        <w:t>:</w:t>
      </w:r>
    </w:p>
    <w:p w:rsidR="006B35FC" w:rsidRPr="0000067E" w:rsidRDefault="00C411B7" w:rsidP="006B35FC">
      <w:pPr>
        <w:pStyle w:val="ListParagraph"/>
        <w:numPr>
          <w:ilvl w:val="0"/>
          <w:numId w:val="22"/>
        </w:numPr>
        <w:spacing w:line="255" w:lineRule="atLeast"/>
      </w:pPr>
      <w:r w:rsidRPr="0000067E">
        <w:t>Tools and skills for effective shared decision makin</w:t>
      </w:r>
      <w:r w:rsidR="006B35FC" w:rsidRPr="0000067E">
        <w:t>g</w:t>
      </w:r>
      <w:r w:rsidRPr="0000067E">
        <w:t xml:space="preserve"> </w:t>
      </w:r>
    </w:p>
    <w:p w:rsidR="00C411B7" w:rsidRPr="0000067E" w:rsidRDefault="00C411B7" w:rsidP="00C411B7">
      <w:pPr>
        <w:pStyle w:val="ListParagraph"/>
        <w:numPr>
          <w:ilvl w:val="0"/>
          <w:numId w:val="20"/>
        </w:numPr>
        <w:spacing w:before="100" w:beforeAutospacing="1" w:after="100" w:afterAutospacing="1" w:line="255" w:lineRule="atLeast"/>
      </w:pPr>
      <w:r w:rsidRPr="0000067E">
        <w:t xml:space="preserve">Current implementation issues for clinical practice </w:t>
      </w:r>
    </w:p>
    <w:p w:rsidR="00C411B7" w:rsidRPr="0000067E" w:rsidRDefault="00C411B7" w:rsidP="00545C51">
      <w:pPr>
        <w:numPr>
          <w:ilvl w:val="0"/>
          <w:numId w:val="20"/>
        </w:numPr>
        <w:spacing w:before="100" w:beforeAutospacing="1" w:after="100" w:afterAutospacing="1" w:line="255" w:lineRule="atLeast"/>
        <w:rPr>
          <w:b/>
        </w:rPr>
      </w:pPr>
      <w:r w:rsidRPr="0000067E">
        <w:t xml:space="preserve">Presentations by International </w:t>
      </w:r>
      <w:r w:rsidR="00BA3885" w:rsidRPr="0000067E">
        <w:t>e</w:t>
      </w:r>
      <w:r w:rsidRPr="0000067E">
        <w:t>xperts</w:t>
      </w:r>
      <w:r w:rsidR="00545C51" w:rsidRPr="0000067E">
        <w:t xml:space="preserve">, </w:t>
      </w:r>
      <w:r w:rsidRPr="0000067E">
        <w:t xml:space="preserve">Australian experts &amp; panel discussion. </w:t>
      </w:r>
    </w:p>
    <w:p w:rsidR="00C411B7" w:rsidRDefault="006A42A0" w:rsidP="00C411B7">
      <w:pPr>
        <w:spacing w:line="255" w:lineRule="atLeast"/>
      </w:pPr>
      <w:r>
        <w:t xml:space="preserve">For </w:t>
      </w:r>
      <w:r w:rsidRPr="006A42A0">
        <w:t xml:space="preserve">information and details about how to access the </w:t>
      </w:r>
      <w:r w:rsidR="00910180">
        <w:t xml:space="preserve">video </w:t>
      </w:r>
      <w:r w:rsidR="00683600">
        <w:t xml:space="preserve">from the webcast </w:t>
      </w:r>
      <w:r>
        <w:t xml:space="preserve">visit </w:t>
      </w:r>
      <w:hyperlink r:id="rId16" w:history="1">
        <w:r w:rsidRPr="007C5E09">
          <w:rPr>
            <w:rStyle w:val="Hyperlink"/>
          </w:rPr>
          <w:t>http://www.safetyandquality.gov.au/our-work/shared-decision-making/shared-decision-making-symposium/</w:t>
        </w:r>
      </w:hyperlink>
      <w:r>
        <w:t xml:space="preserve"> </w:t>
      </w:r>
    </w:p>
    <w:p w:rsidR="006A42A0" w:rsidRDefault="00D57545" w:rsidP="00F87778">
      <w:pPr>
        <w:keepNext/>
        <w:rPr>
          <w:b/>
          <w:lang w:val="en-AU"/>
        </w:rPr>
      </w:pPr>
      <w:r w:rsidRPr="00D57545">
        <w:rPr>
          <w:b/>
          <w:lang w:val="en-AU"/>
        </w:rPr>
        <w:lastRenderedPageBreak/>
        <w:t>National Antimicrobial Prescribing Survey 2014</w:t>
      </w:r>
    </w:p>
    <w:p w:rsidR="00D57545" w:rsidRPr="00D57545" w:rsidRDefault="00493379" w:rsidP="00F87778">
      <w:pPr>
        <w:keepNext/>
        <w:rPr>
          <w:lang w:val="en-AU"/>
        </w:rPr>
      </w:pPr>
      <w:hyperlink r:id="rId17" w:history="1">
        <w:r w:rsidR="00D57545" w:rsidRPr="00D57545">
          <w:rPr>
            <w:rStyle w:val="Hyperlink"/>
            <w:lang w:val="en-AU"/>
          </w:rPr>
          <w:t>http://www.naps.vicniss.org.au/Default.aspx</w:t>
        </w:r>
      </w:hyperlink>
      <w:r w:rsidR="00D57545" w:rsidRPr="00D57545">
        <w:rPr>
          <w:lang w:val="en-AU"/>
        </w:rPr>
        <w:t xml:space="preserve"> </w:t>
      </w:r>
    </w:p>
    <w:p w:rsidR="00EA1F0A" w:rsidRPr="00D57545" w:rsidRDefault="00D57545" w:rsidP="00F87778">
      <w:pPr>
        <w:keepNext/>
        <w:rPr>
          <w:i/>
          <w:lang w:val="en-AU"/>
        </w:rPr>
      </w:pPr>
      <w:r w:rsidRPr="00D57545">
        <w:rPr>
          <w:i/>
          <w:lang w:val="en-AU"/>
        </w:rPr>
        <w:t>Now open</w:t>
      </w:r>
    </w:p>
    <w:p w:rsidR="00D57545" w:rsidRDefault="00D57545" w:rsidP="00F87778">
      <w:pPr>
        <w:keepNext/>
        <w:rPr>
          <w:lang w:val="en-AU"/>
        </w:rPr>
      </w:pPr>
    </w:p>
    <w:p w:rsidR="00D57545" w:rsidRPr="00D57545" w:rsidRDefault="00D57545" w:rsidP="00D57545">
      <w:pPr>
        <w:keepNext/>
        <w:rPr>
          <w:lang w:val="en-AU"/>
        </w:rPr>
      </w:pPr>
      <w:r>
        <w:rPr>
          <w:lang w:val="en-AU"/>
        </w:rPr>
        <w:t xml:space="preserve">Coinciding </w:t>
      </w:r>
      <w:r w:rsidRPr="00D57545">
        <w:rPr>
          <w:lang w:val="en-AU"/>
        </w:rPr>
        <w:t xml:space="preserve">with </w:t>
      </w:r>
      <w:hyperlink r:id="rId18" w:history="1">
        <w:r w:rsidRPr="00D57545">
          <w:rPr>
            <w:rStyle w:val="Hyperlink"/>
            <w:lang w:val="en-AU"/>
          </w:rPr>
          <w:t>Antibiotic Awareness Week</w:t>
        </w:r>
      </w:hyperlink>
      <w:r w:rsidRPr="00D57545">
        <w:rPr>
          <w:lang w:val="en-AU"/>
        </w:rPr>
        <w:t xml:space="preserve"> (17</w:t>
      </w:r>
      <w:r>
        <w:rPr>
          <w:lang w:val="en-AU"/>
        </w:rPr>
        <w:t>–</w:t>
      </w:r>
      <w:r w:rsidRPr="00D57545">
        <w:rPr>
          <w:lang w:val="en-AU"/>
        </w:rPr>
        <w:t xml:space="preserve">23 November), the Melbourne Health National Health and Medical Centre for Antimicrobial Stewardship </w:t>
      </w:r>
      <w:r>
        <w:rPr>
          <w:lang w:val="en-AU"/>
        </w:rPr>
        <w:t xml:space="preserve">is </w:t>
      </w:r>
      <w:r w:rsidRPr="00D57545">
        <w:rPr>
          <w:lang w:val="en-AU"/>
        </w:rPr>
        <w:t xml:space="preserve">coordinating the </w:t>
      </w:r>
      <w:hyperlink r:id="rId19" w:history="1">
        <w:r w:rsidRPr="00D57545">
          <w:rPr>
            <w:rStyle w:val="Hyperlink"/>
            <w:lang w:val="en-AU"/>
          </w:rPr>
          <w:t>National Antimicrobial Prescribing Survey</w:t>
        </w:r>
      </w:hyperlink>
      <w:r w:rsidRPr="00D57545">
        <w:rPr>
          <w:lang w:val="en-AU"/>
        </w:rPr>
        <w:t xml:space="preserve"> (NAPS). Th</w:t>
      </w:r>
      <w:r>
        <w:rPr>
          <w:lang w:val="en-AU"/>
        </w:rPr>
        <w:t>e</w:t>
      </w:r>
      <w:r w:rsidRPr="00D57545">
        <w:rPr>
          <w:lang w:val="en-AU"/>
        </w:rPr>
        <w:t xml:space="preserve"> Survey went live on 10 October.</w:t>
      </w:r>
    </w:p>
    <w:p w:rsidR="00D57545" w:rsidRPr="00D57545" w:rsidRDefault="00D57545" w:rsidP="00D57545">
      <w:pPr>
        <w:keepNext/>
        <w:rPr>
          <w:lang w:val="en-AU"/>
        </w:rPr>
      </w:pPr>
    </w:p>
    <w:p w:rsidR="00D57545" w:rsidRPr="00D57545" w:rsidRDefault="00D57545" w:rsidP="00D57545">
      <w:pPr>
        <w:keepNext/>
        <w:rPr>
          <w:lang w:val="en-AU"/>
        </w:rPr>
      </w:pPr>
      <w:r w:rsidRPr="00D57545">
        <w:rPr>
          <w:lang w:val="en-AU"/>
        </w:rPr>
        <w:t xml:space="preserve">The Survey is supported by the Commission as effective antimicrobial stewardship (AMS) is a key plank of the Commission’s national work to prevent and contain </w:t>
      </w:r>
      <w:r>
        <w:rPr>
          <w:lang w:val="en-AU"/>
        </w:rPr>
        <w:t>antimicrobial resistance (</w:t>
      </w:r>
      <w:r w:rsidRPr="00D57545">
        <w:rPr>
          <w:lang w:val="en-AU"/>
        </w:rPr>
        <w:t>AMR</w:t>
      </w:r>
      <w:r>
        <w:rPr>
          <w:lang w:val="en-AU"/>
        </w:rPr>
        <w:t>)</w:t>
      </w:r>
      <w:r w:rsidRPr="00D57545">
        <w:rPr>
          <w:lang w:val="en-AU"/>
        </w:rPr>
        <w:t xml:space="preserve">. The NAPS results can also be used as evidence to support the AMS criteria of the </w:t>
      </w:r>
      <w:hyperlink r:id="rId20" w:history="1">
        <w:r w:rsidRPr="00D57545">
          <w:rPr>
            <w:rStyle w:val="Hyperlink"/>
            <w:lang w:val="en-AU"/>
          </w:rPr>
          <w:t>National Safety and Quality Health Service (NSQHS) Standard 3: Preventing and Controlling Healthcare Associated Infections</w:t>
        </w:r>
      </w:hyperlink>
      <w:r w:rsidRPr="00D57545">
        <w:rPr>
          <w:lang w:val="en-AU"/>
        </w:rPr>
        <w:t>.</w:t>
      </w:r>
    </w:p>
    <w:p w:rsidR="00D57545" w:rsidRPr="00D57545" w:rsidRDefault="00D57545" w:rsidP="00D57545">
      <w:pPr>
        <w:keepNext/>
        <w:rPr>
          <w:lang w:val="en-AU"/>
        </w:rPr>
      </w:pPr>
    </w:p>
    <w:p w:rsidR="00D57545" w:rsidRPr="00D57545" w:rsidRDefault="00D57545" w:rsidP="00D57545">
      <w:pPr>
        <w:keepNext/>
        <w:rPr>
          <w:lang w:val="en-AU"/>
        </w:rPr>
      </w:pPr>
      <w:r w:rsidRPr="00D57545">
        <w:rPr>
          <w:lang w:val="en-AU"/>
        </w:rPr>
        <w:t xml:space="preserve">The Commission encourages acute health care services of all sizes, public and private, across the country, to participate in the Survey. </w:t>
      </w:r>
      <w:r>
        <w:rPr>
          <w:lang w:val="en-AU"/>
        </w:rPr>
        <w:t xml:space="preserve">For rural sites – </w:t>
      </w:r>
      <w:r w:rsidRPr="00D57545">
        <w:rPr>
          <w:lang w:val="en-AU"/>
        </w:rPr>
        <w:t xml:space="preserve">which may not have specialist infectious diseases advice or an antimicrobial pharmacist </w:t>
      </w:r>
      <w:r>
        <w:rPr>
          <w:lang w:val="en-AU"/>
        </w:rPr>
        <w:t>– s</w:t>
      </w:r>
      <w:r w:rsidRPr="00D57545">
        <w:rPr>
          <w:lang w:val="en-AU"/>
        </w:rPr>
        <w:t xml:space="preserve">pecial assistance </w:t>
      </w:r>
      <w:r>
        <w:rPr>
          <w:lang w:val="en-AU"/>
        </w:rPr>
        <w:t xml:space="preserve">may be </w:t>
      </w:r>
      <w:r w:rsidRPr="00D57545">
        <w:rPr>
          <w:lang w:val="en-AU"/>
        </w:rPr>
        <w:t>provided.</w:t>
      </w:r>
      <w:r>
        <w:rPr>
          <w:lang w:val="en-AU"/>
        </w:rPr>
        <w:t xml:space="preserve"> For details on this assistance, refer to the </w:t>
      </w:r>
      <w:r w:rsidRPr="00D57545">
        <w:rPr>
          <w:i/>
          <w:lang w:val="en-AU"/>
        </w:rPr>
        <w:t>Communique on NAPS 2014 for Rural Health Service Providers</w:t>
      </w:r>
      <w:r>
        <w:rPr>
          <w:lang w:val="en-AU"/>
        </w:rPr>
        <w:t>.</w:t>
      </w:r>
    </w:p>
    <w:p w:rsidR="00D57545" w:rsidRPr="00D57545" w:rsidRDefault="00D57545" w:rsidP="00D57545">
      <w:pPr>
        <w:keepNext/>
        <w:rPr>
          <w:lang w:val="en-AU"/>
        </w:rPr>
      </w:pPr>
    </w:p>
    <w:p w:rsidR="00D57545" w:rsidRPr="00D57545" w:rsidRDefault="00D57545" w:rsidP="00D57545">
      <w:pPr>
        <w:keepNext/>
        <w:rPr>
          <w:lang w:val="en-AU"/>
        </w:rPr>
      </w:pPr>
      <w:r w:rsidRPr="00D57545">
        <w:rPr>
          <w:lang w:val="en-AU"/>
        </w:rPr>
        <w:t>For more information on NAPS, please refer</w:t>
      </w:r>
      <w:r w:rsidR="000E46F2">
        <w:rPr>
          <w:lang w:val="en-AU"/>
        </w:rPr>
        <w:t xml:space="preserve"> to the Commission’s Communique:</w:t>
      </w:r>
    </w:p>
    <w:p w:rsidR="00D57545" w:rsidRPr="00D57545" w:rsidRDefault="00D57545" w:rsidP="00D57545">
      <w:pPr>
        <w:keepNext/>
        <w:rPr>
          <w:lang w:val="en-AU"/>
        </w:rPr>
      </w:pPr>
      <w:r w:rsidRPr="00D57545">
        <w:rPr>
          <w:i/>
          <w:lang w:val="en-AU"/>
        </w:rPr>
        <w:t>Communique on NAPS 2014</w:t>
      </w:r>
      <w:r>
        <w:rPr>
          <w:lang w:val="en-AU"/>
        </w:rPr>
        <w:t xml:space="preserve"> </w:t>
      </w:r>
      <w:hyperlink r:id="rId21" w:history="1">
        <w:r w:rsidRPr="00D57545">
          <w:rPr>
            <w:rStyle w:val="Hyperlink"/>
            <w:lang w:val="en-AU"/>
          </w:rPr>
          <w:t>(PDF 164 KB)</w:t>
        </w:r>
      </w:hyperlink>
      <w:r w:rsidRPr="00D57545">
        <w:rPr>
          <w:lang w:val="en-AU"/>
        </w:rPr>
        <w:t xml:space="preserve"> </w:t>
      </w:r>
      <w:hyperlink r:id="rId22" w:history="1">
        <w:r w:rsidRPr="00D57545">
          <w:rPr>
            <w:rStyle w:val="Hyperlink"/>
            <w:lang w:val="en-AU"/>
          </w:rPr>
          <w:t>(MS Word 186 KB)</w:t>
        </w:r>
      </w:hyperlink>
    </w:p>
    <w:p w:rsidR="00D57545" w:rsidRPr="00D57545" w:rsidRDefault="00D57545" w:rsidP="00D57545">
      <w:pPr>
        <w:keepNext/>
        <w:rPr>
          <w:lang w:val="en-AU"/>
        </w:rPr>
      </w:pPr>
      <w:r w:rsidRPr="00D57545">
        <w:rPr>
          <w:i/>
          <w:lang w:val="en-AU"/>
        </w:rPr>
        <w:t>Communique on NAPS 2014 for Rural Health Service Providers</w:t>
      </w:r>
      <w:r w:rsidRPr="00D57545">
        <w:rPr>
          <w:lang w:val="en-AU"/>
        </w:rPr>
        <w:t xml:space="preserve"> </w:t>
      </w:r>
      <w:hyperlink r:id="rId23" w:history="1">
        <w:r w:rsidRPr="00D57545">
          <w:rPr>
            <w:rStyle w:val="Hyperlink"/>
            <w:lang w:val="en-AU"/>
          </w:rPr>
          <w:t>(PDF 165 KB)</w:t>
        </w:r>
      </w:hyperlink>
      <w:r w:rsidRPr="00D57545">
        <w:rPr>
          <w:lang w:val="en-AU"/>
        </w:rPr>
        <w:t xml:space="preserve"> </w:t>
      </w:r>
      <w:hyperlink r:id="rId24" w:history="1">
        <w:r w:rsidRPr="00D57545">
          <w:rPr>
            <w:rStyle w:val="Hyperlink"/>
            <w:lang w:val="en-AU"/>
          </w:rPr>
          <w:t>(MS Word 186 KB)</w:t>
        </w:r>
      </w:hyperlink>
    </w:p>
    <w:p w:rsidR="00D57545" w:rsidRPr="00D57545" w:rsidRDefault="00D57545" w:rsidP="00D57545">
      <w:pPr>
        <w:keepNext/>
        <w:rPr>
          <w:lang w:val="en-AU"/>
        </w:rPr>
      </w:pPr>
    </w:p>
    <w:p w:rsidR="00D57545" w:rsidRDefault="00D57545" w:rsidP="00D57545">
      <w:pPr>
        <w:keepNext/>
        <w:rPr>
          <w:lang w:val="en-AU"/>
        </w:rPr>
      </w:pPr>
      <w:r w:rsidRPr="00D57545">
        <w:rPr>
          <w:lang w:val="en-AU"/>
        </w:rPr>
        <w:t xml:space="preserve">For information on the Commission’s work on the antimicrobial resistance and antibiotic usage, please visit </w:t>
      </w:r>
      <w:hyperlink r:id="rId25" w:history="1">
        <w:r w:rsidRPr="000706C5">
          <w:rPr>
            <w:rStyle w:val="Hyperlink"/>
            <w:lang w:val="en-AU"/>
          </w:rPr>
          <w:t>http://www.safetyandquality.gov.au/national-priorities/amr-and-au-surveillance-project/</w:t>
        </w:r>
      </w:hyperlink>
    </w:p>
    <w:p w:rsidR="00D57545" w:rsidRDefault="00D57545" w:rsidP="00F87778">
      <w:pPr>
        <w:keepNext/>
        <w:rPr>
          <w:lang w:val="en-AU"/>
        </w:rPr>
      </w:pPr>
    </w:p>
    <w:p w:rsidR="00D57545" w:rsidRDefault="00D57545" w:rsidP="00F87778">
      <w:pPr>
        <w:keepNext/>
        <w:rPr>
          <w:lang w:val="en-AU"/>
        </w:rPr>
      </w:pPr>
    </w:p>
    <w:p w:rsidR="00C372BE" w:rsidRPr="0095520C" w:rsidRDefault="00C372BE" w:rsidP="00F87778">
      <w:pPr>
        <w:keepNext/>
        <w:rPr>
          <w:b/>
          <w:lang w:val="en-AU"/>
        </w:rPr>
      </w:pPr>
      <w:r w:rsidRPr="0095520C">
        <w:rPr>
          <w:b/>
          <w:lang w:val="en-AU"/>
        </w:rPr>
        <w:t>Reports</w:t>
      </w:r>
    </w:p>
    <w:p w:rsidR="00AF36C9" w:rsidRDefault="00AF36C9" w:rsidP="00385E41">
      <w:pPr>
        <w:keepNext/>
        <w:keepLines/>
        <w:autoSpaceDE w:val="0"/>
        <w:autoSpaceDN w:val="0"/>
        <w:adjustRightInd w:val="0"/>
        <w:rPr>
          <w:i/>
          <w:lang w:val="en-AU"/>
        </w:rPr>
      </w:pPr>
    </w:p>
    <w:p w:rsidR="005557A7" w:rsidRDefault="005557A7" w:rsidP="005557A7">
      <w:pPr>
        <w:keepNext/>
        <w:keepLines/>
        <w:autoSpaceDE w:val="0"/>
        <w:autoSpaceDN w:val="0"/>
        <w:adjustRightInd w:val="0"/>
        <w:rPr>
          <w:i/>
          <w:lang w:val="en-AU"/>
        </w:rPr>
      </w:pPr>
      <w:r w:rsidRPr="005557A7">
        <w:rPr>
          <w:i/>
          <w:lang w:val="en-AU"/>
        </w:rPr>
        <w:t>Vital Signs 2014: The State of Safety and Quality in Australian Health Care</w:t>
      </w:r>
    </w:p>
    <w:p w:rsidR="00CA1D15" w:rsidRDefault="00CA1D15" w:rsidP="005557A7">
      <w:pPr>
        <w:keepNext/>
        <w:keepLines/>
        <w:autoSpaceDE w:val="0"/>
        <w:autoSpaceDN w:val="0"/>
        <w:adjustRightInd w:val="0"/>
        <w:rPr>
          <w:lang w:val="en-AU"/>
        </w:rPr>
      </w:pPr>
      <w:r w:rsidRPr="00CA1D15">
        <w:rPr>
          <w:lang w:val="en-AU"/>
        </w:rPr>
        <w:t>Australian Commission on Safety and Quality in Health Care</w:t>
      </w:r>
    </w:p>
    <w:p w:rsidR="00CA1D15" w:rsidRPr="0049493B" w:rsidRDefault="00CA1D15" w:rsidP="005557A7">
      <w:pPr>
        <w:keepNext/>
        <w:keepLines/>
        <w:autoSpaceDE w:val="0"/>
        <w:autoSpaceDN w:val="0"/>
        <w:adjustRightInd w:val="0"/>
        <w:rPr>
          <w:lang w:val="en-AU"/>
        </w:rPr>
      </w:pPr>
      <w:r w:rsidRPr="00CA1D15">
        <w:rPr>
          <w:lang w:val="en-AU"/>
        </w:rPr>
        <w:t>Sydney: ACSQHC; 2014.</w:t>
      </w:r>
    </w:p>
    <w:tbl>
      <w:tblPr>
        <w:tblStyle w:val="TableGrid"/>
        <w:tblW w:w="0" w:type="auto"/>
        <w:tblInd w:w="288" w:type="dxa"/>
        <w:tblLayout w:type="fixed"/>
        <w:tblLook w:val="01E0" w:firstRow="1" w:lastRow="1" w:firstColumn="1" w:lastColumn="1" w:noHBand="0" w:noVBand="0"/>
      </w:tblPr>
      <w:tblGrid>
        <w:gridCol w:w="1080"/>
        <w:gridCol w:w="8280"/>
      </w:tblGrid>
      <w:tr w:rsidR="005557A7" w:rsidRPr="0095520C" w:rsidTr="00E87BFF">
        <w:tc>
          <w:tcPr>
            <w:tcW w:w="1080" w:type="dxa"/>
            <w:tcBorders>
              <w:top w:val="single" w:sz="4" w:space="0" w:color="auto"/>
              <w:left w:val="single" w:sz="4" w:space="0" w:color="auto"/>
              <w:bottom w:val="single" w:sz="4" w:space="0" w:color="auto"/>
              <w:right w:val="single" w:sz="4" w:space="0" w:color="auto"/>
            </w:tcBorders>
            <w:vAlign w:val="center"/>
          </w:tcPr>
          <w:p w:rsidR="005557A7" w:rsidRPr="0095520C" w:rsidRDefault="005557A7" w:rsidP="00E87BF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557A7" w:rsidRPr="0095520C" w:rsidRDefault="00493379" w:rsidP="00E87BFF">
            <w:pPr>
              <w:rPr>
                <w:lang w:val="en-AU"/>
              </w:rPr>
            </w:pPr>
            <w:hyperlink r:id="rId26" w:history="1">
              <w:r w:rsidR="005557A7" w:rsidRPr="00B818AB">
                <w:rPr>
                  <w:rStyle w:val="Hyperlink"/>
                  <w:lang w:val="en-AU"/>
                </w:rPr>
                <w:t>http://www.safetyandquality.gov.au/publications/vital-signs-2014-the-state-of-safety-and-quality-in-australian-health-care/</w:t>
              </w:r>
            </w:hyperlink>
            <w:r w:rsidR="005557A7">
              <w:rPr>
                <w:lang w:val="en-AU"/>
              </w:rPr>
              <w:t xml:space="preserve"> </w:t>
            </w:r>
          </w:p>
        </w:tc>
      </w:tr>
      <w:tr w:rsidR="005557A7" w:rsidRPr="0095520C" w:rsidTr="00E87BFF">
        <w:tc>
          <w:tcPr>
            <w:tcW w:w="1080" w:type="dxa"/>
            <w:tcBorders>
              <w:top w:val="single" w:sz="4" w:space="0" w:color="auto"/>
              <w:left w:val="single" w:sz="4" w:space="0" w:color="auto"/>
              <w:bottom w:val="single" w:sz="4" w:space="0" w:color="auto"/>
              <w:right w:val="single" w:sz="4" w:space="0" w:color="auto"/>
            </w:tcBorders>
            <w:vAlign w:val="center"/>
          </w:tcPr>
          <w:p w:rsidR="005557A7" w:rsidRPr="0095520C" w:rsidRDefault="005557A7" w:rsidP="00E87BF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57A7" w:rsidRPr="005557A7" w:rsidRDefault="005557A7" w:rsidP="005557A7">
            <w:pPr>
              <w:rPr>
                <w:lang w:val="en-AU" w:eastAsia="en-AU"/>
              </w:rPr>
            </w:pPr>
            <w:r w:rsidRPr="005557A7">
              <w:rPr>
                <w:lang w:val="en-AU" w:eastAsia="en-AU"/>
              </w:rPr>
              <w:t xml:space="preserve">Professor Villis Marshall, Chair of the Australian Commission on Safety and Quality in Health Care, </w:t>
            </w:r>
            <w:r>
              <w:rPr>
                <w:lang w:val="en-AU" w:eastAsia="en-AU"/>
              </w:rPr>
              <w:t xml:space="preserve">has launched </w:t>
            </w:r>
            <w:r w:rsidRPr="005557A7">
              <w:rPr>
                <w:i/>
                <w:lang w:val="en-AU" w:eastAsia="en-AU"/>
              </w:rPr>
              <w:t>Vital Signs 2014: The State of Safety and Quality in Australian Health Care</w:t>
            </w:r>
            <w:r>
              <w:rPr>
                <w:lang w:val="en-AU" w:eastAsia="en-AU"/>
              </w:rPr>
              <w:t xml:space="preserve">. The report </w:t>
            </w:r>
            <w:r w:rsidRPr="005557A7">
              <w:rPr>
                <w:lang w:val="en-AU" w:eastAsia="en-AU"/>
              </w:rPr>
              <w:t>provides an overview of a series of key topics in relation to the safety and quality of Australia’s health care system.</w:t>
            </w:r>
          </w:p>
          <w:p w:rsidR="005557A7" w:rsidRPr="005557A7" w:rsidRDefault="005557A7" w:rsidP="005557A7">
            <w:pPr>
              <w:rPr>
                <w:lang w:val="en-AU" w:eastAsia="en-AU"/>
              </w:rPr>
            </w:pPr>
            <w:r w:rsidRPr="005557A7">
              <w:rPr>
                <w:lang w:val="en-AU" w:eastAsia="en-AU"/>
              </w:rPr>
              <w:t>Professor Marshall said “</w:t>
            </w:r>
            <w:r w:rsidRPr="000D4BB0">
              <w:rPr>
                <w:i/>
                <w:lang w:val="en-AU" w:eastAsia="en-AU"/>
              </w:rPr>
              <w:t>Vital Signs 2014</w:t>
            </w:r>
            <w:r w:rsidRPr="005557A7">
              <w:rPr>
                <w:lang w:val="en-AU" w:eastAsia="en-AU"/>
              </w:rPr>
              <w:t xml:space="preserve"> is structured around three important questions that members of the public may ask about their health care. Will my care be safe? Will I get the right care? Will I be a partner in my care?”</w:t>
            </w:r>
          </w:p>
          <w:p w:rsidR="005557A7" w:rsidRPr="00590FB6" w:rsidRDefault="005557A7" w:rsidP="005557A7">
            <w:pPr>
              <w:rPr>
                <w:lang w:val="en-AU" w:eastAsia="en-AU"/>
              </w:rPr>
            </w:pPr>
            <w:r w:rsidRPr="005557A7">
              <w:rPr>
                <w:lang w:val="en-AU" w:eastAsia="en-AU"/>
              </w:rPr>
              <w:t>Each question is considered in its own section using examples of key health issues in Australia, such as healthcare associated infections, dementia and delirium, and health literacy. These sections are followed by two case studies, which focus on the quality of care in some important clinical areas. These case studies present a detailed description and analysis of key quality issues that affect outcomes for patients.</w:t>
            </w:r>
          </w:p>
        </w:tc>
      </w:tr>
    </w:tbl>
    <w:p w:rsidR="005557A7" w:rsidRDefault="005557A7" w:rsidP="005557A7">
      <w:pPr>
        <w:rPr>
          <w:lang w:val="en-AU"/>
        </w:rPr>
      </w:pPr>
    </w:p>
    <w:p w:rsidR="005557A7" w:rsidRPr="005557A7" w:rsidRDefault="005557A7" w:rsidP="00385E41">
      <w:pPr>
        <w:keepNext/>
        <w:keepLines/>
        <w:autoSpaceDE w:val="0"/>
        <w:autoSpaceDN w:val="0"/>
        <w:adjustRightInd w:val="0"/>
        <w:rPr>
          <w:lang w:val="en-AU"/>
        </w:rPr>
      </w:pPr>
    </w:p>
    <w:p w:rsidR="00D36DE3" w:rsidRDefault="00D36DE3" w:rsidP="00D36DE3">
      <w:pPr>
        <w:keepNext/>
        <w:keepLines/>
        <w:autoSpaceDE w:val="0"/>
        <w:autoSpaceDN w:val="0"/>
        <w:adjustRightInd w:val="0"/>
        <w:rPr>
          <w:lang w:val="en-AU"/>
        </w:rPr>
      </w:pPr>
      <w:r w:rsidRPr="00072E6F">
        <w:rPr>
          <w:i/>
          <w:lang w:val="en-AU"/>
        </w:rPr>
        <w:t xml:space="preserve">Variation in the Care of Surgical Conditions: </w:t>
      </w:r>
      <w:r w:rsidRPr="00D36DE3">
        <w:rPr>
          <w:i/>
          <w:lang w:val="en-AU"/>
        </w:rPr>
        <w:t>Diabetes and Peripheral Arterial Disease</w:t>
      </w:r>
      <w:r>
        <w:rPr>
          <w:i/>
          <w:lang w:val="en-AU"/>
        </w:rPr>
        <w:t xml:space="preserve">. </w:t>
      </w:r>
      <w:proofErr w:type="gramStart"/>
      <w:r w:rsidRPr="00D36DE3">
        <w:rPr>
          <w:lang w:val="en-AU"/>
        </w:rPr>
        <w:t>A Dartmouth Atlas of Health Care Series.</w:t>
      </w:r>
      <w:proofErr w:type="gramEnd"/>
    </w:p>
    <w:p w:rsidR="00D36DE3" w:rsidRDefault="00D36DE3" w:rsidP="00D36DE3">
      <w:pPr>
        <w:keepNext/>
        <w:keepLines/>
        <w:autoSpaceDE w:val="0"/>
        <w:autoSpaceDN w:val="0"/>
        <w:adjustRightInd w:val="0"/>
        <w:rPr>
          <w:lang w:val="en-AU"/>
        </w:rPr>
      </w:pPr>
      <w:r w:rsidRPr="00D36DE3">
        <w:rPr>
          <w:lang w:val="en-AU"/>
        </w:rPr>
        <w:t>Goodney PR, Dzebisashvili N, Goodman DC, Bronner KK</w:t>
      </w:r>
    </w:p>
    <w:p w:rsidR="00D36DE3" w:rsidRPr="0095520C" w:rsidRDefault="00D36DE3" w:rsidP="00D36DE3">
      <w:pPr>
        <w:keepNext/>
        <w:keepLines/>
        <w:autoSpaceDE w:val="0"/>
        <w:autoSpaceDN w:val="0"/>
        <w:adjustRightInd w:val="0"/>
        <w:rPr>
          <w:lang w:val="en-AU"/>
        </w:rPr>
      </w:pPr>
      <w:r w:rsidRPr="0066530C">
        <w:rPr>
          <w:lang w:val="en-AU"/>
        </w:rPr>
        <w:t>Hanover, NH: The Dartmouth Institute for Health Policy and Clinical Practice; 2014.</w:t>
      </w:r>
    </w:p>
    <w:tbl>
      <w:tblPr>
        <w:tblStyle w:val="TableGrid"/>
        <w:tblW w:w="0" w:type="auto"/>
        <w:tblInd w:w="288" w:type="dxa"/>
        <w:tblLayout w:type="fixed"/>
        <w:tblLook w:val="01E0" w:firstRow="1" w:lastRow="1" w:firstColumn="1" w:lastColumn="1" w:noHBand="0" w:noVBand="0"/>
      </w:tblPr>
      <w:tblGrid>
        <w:gridCol w:w="1080"/>
        <w:gridCol w:w="8280"/>
      </w:tblGrid>
      <w:tr w:rsidR="00D36DE3" w:rsidRPr="0095520C" w:rsidTr="00C842BF">
        <w:tc>
          <w:tcPr>
            <w:tcW w:w="1080" w:type="dxa"/>
            <w:tcBorders>
              <w:top w:val="single" w:sz="4" w:space="0" w:color="auto"/>
              <w:left w:val="single" w:sz="4" w:space="0" w:color="auto"/>
              <w:bottom w:val="single" w:sz="4" w:space="0" w:color="auto"/>
              <w:right w:val="single" w:sz="4" w:space="0" w:color="auto"/>
            </w:tcBorders>
            <w:vAlign w:val="center"/>
          </w:tcPr>
          <w:p w:rsidR="00D36DE3" w:rsidRPr="0095520C" w:rsidRDefault="00D36DE3" w:rsidP="00C842B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36DE3" w:rsidRPr="0095520C" w:rsidRDefault="00493379" w:rsidP="00C842BF">
            <w:pPr>
              <w:rPr>
                <w:lang w:val="en-AU"/>
              </w:rPr>
            </w:pPr>
            <w:hyperlink r:id="rId27" w:history="1">
              <w:r w:rsidR="00D36DE3" w:rsidRPr="00173974">
                <w:rPr>
                  <w:rStyle w:val="Hyperlink"/>
                  <w:lang w:val="en-AU"/>
                </w:rPr>
                <w:t>http://www.dartmouthatlas.org/downloads/reports/Diabetes_report_10_14_14.pdf</w:t>
              </w:r>
            </w:hyperlink>
          </w:p>
        </w:tc>
      </w:tr>
      <w:tr w:rsidR="00D36DE3" w:rsidRPr="0095520C" w:rsidTr="00C842BF">
        <w:tc>
          <w:tcPr>
            <w:tcW w:w="1080" w:type="dxa"/>
            <w:tcBorders>
              <w:top w:val="single" w:sz="4" w:space="0" w:color="auto"/>
              <w:left w:val="single" w:sz="4" w:space="0" w:color="auto"/>
              <w:bottom w:val="single" w:sz="4" w:space="0" w:color="auto"/>
              <w:right w:val="single" w:sz="4" w:space="0" w:color="auto"/>
            </w:tcBorders>
            <w:vAlign w:val="center"/>
          </w:tcPr>
          <w:p w:rsidR="00D36DE3" w:rsidRDefault="00D36DE3" w:rsidP="00C842BF">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D36DE3" w:rsidRDefault="005862E6" w:rsidP="00C842BF">
            <w:r w:rsidRPr="005862E6">
              <w:t>D14-35785</w:t>
            </w:r>
          </w:p>
        </w:tc>
      </w:tr>
      <w:tr w:rsidR="00D36DE3" w:rsidRPr="0095520C" w:rsidTr="00C842BF">
        <w:tc>
          <w:tcPr>
            <w:tcW w:w="1080" w:type="dxa"/>
            <w:tcBorders>
              <w:top w:val="single" w:sz="4" w:space="0" w:color="auto"/>
              <w:left w:val="single" w:sz="4" w:space="0" w:color="auto"/>
              <w:bottom w:val="single" w:sz="4" w:space="0" w:color="auto"/>
              <w:right w:val="single" w:sz="4" w:space="0" w:color="auto"/>
            </w:tcBorders>
            <w:vAlign w:val="center"/>
          </w:tcPr>
          <w:p w:rsidR="00D36DE3" w:rsidRPr="0095520C" w:rsidRDefault="00D36DE3" w:rsidP="00C842B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6DE3" w:rsidRDefault="00D36DE3" w:rsidP="00C842BF">
            <w:pPr>
              <w:rPr>
                <w:lang w:val="en-AU"/>
              </w:rPr>
            </w:pPr>
            <w:r>
              <w:rPr>
                <w:lang w:val="en-AU"/>
              </w:rPr>
              <w:t xml:space="preserve">This is the third in a series of </w:t>
            </w:r>
            <w:r>
              <w:rPr>
                <w:lang w:val="en-AU" w:eastAsia="en-AU"/>
              </w:rPr>
              <w:t>six reports into surgical variation in the USA (the first two being on obesity and c</w:t>
            </w:r>
            <w:r w:rsidRPr="00D36DE3">
              <w:rPr>
                <w:lang w:val="en-AU" w:eastAsia="en-AU"/>
              </w:rPr>
              <w:t xml:space="preserve">erebral </w:t>
            </w:r>
            <w:r>
              <w:rPr>
                <w:lang w:val="en-AU" w:eastAsia="en-AU"/>
              </w:rPr>
              <w:t>a</w:t>
            </w:r>
            <w:r w:rsidRPr="00D36DE3">
              <w:rPr>
                <w:lang w:val="en-AU" w:eastAsia="en-AU"/>
              </w:rPr>
              <w:t xml:space="preserve">neurysms </w:t>
            </w:r>
            <w:r>
              <w:rPr>
                <w:lang w:val="en-AU" w:eastAsia="en-AU"/>
              </w:rPr>
              <w:t xml:space="preserve">and the future reports will cover </w:t>
            </w:r>
            <w:r w:rsidRPr="00196F9C">
              <w:rPr>
                <w:lang w:val="en-AU" w:eastAsia="en-AU"/>
              </w:rPr>
              <w:t>surgical treatments for spinal stenosis, organ failure (transplantation) and prostate cancer</w:t>
            </w:r>
            <w:r>
              <w:rPr>
                <w:lang w:val="en-AU" w:eastAsia="en-AU"/>
              </w:rPr>
              <w:t>).</w:t>
            </w:r>
          </w:p>
          <w:p w:rsidR="00D36DE3" w:rsidRPr="0095520C" w:rsidRDefault="00D36DE3" w:rsidP="00D36DE3">
            <w:pPr>
              <w:rPr>
                <w:lang w:val="en-AU" w:eastAsia="en-AU"/>
              </w:rPr>
            </w:pPr>
            <w:r>
              <w:rPr>
                <w:lang w:val="en-AU" w:eastAsia="en-AU"/>
              </w:rPr>
              <w:t xml:space="preserve">This report </w:t>
            </w:r>
            <w:r w:rsidRPr="00D36DE3">
              <w:rPr>
                <w:lang w:val="en-AU" w:eastAsia="en-AU"/>
              </w:rPr>
              <w:t>examines the significant</w:t>
            </w:r>
            <w:r>
              <w:rPr>
                <w:lang w:val="en-AU" w:eastAsia="en-AU"/>
              </w:rPr>
              <w:t xml:space="preserve"> </w:t>
            </w:r>
            <w:r w:rsidRPr="00D36DE3">
              <w:rPr>
                <w:lang w:val="en-AU" w:eastAsia="en-AU"/>
              </w:rPr>
              <w:t>racial and regional disparities in the care of patients with</w:t>
            </w:r>
            <w:r>
              <w:rPr>
                <w:lang w:val="en-AU" w:eastAsia="en-AU"/>
              </w:rPr>
              <w:t xml:space="preserve"> </w:t>
            </w:r>
            <w:r w:rsidRPr="00D36DE3">
              <w:rPr>
                <w:lang w:val="en-AU" w:eastAsia="en-AU"/>
              </w:rPr>
              <w:t>diabetes</w:t>
            </w:r>
            <w:r>
              <w:rPr>
                <w:lang w:val="en-AU" w:eastAsia="en-AU"/>
              </w:rPr>
              <w:t xml:space="preserve"> in the USA. The authors report </w:t>
            </w:r>
            <w:r w:rsidRPr="00D36DE3">
              <w:rPr>
                <w:lang w:val="en-AU" w:eastAsia="en-AU"/>
              </w:rPr>
              <w:t>finding that black patients are less likely to get routine</w:t>
            </w:r>
            <w:r>
              <w:rPr>
                <w:lang w:val="en-AU" w:eastAsia="en-AU"/>
              </w:rPr>
              <w:t xml:space="preserve"> </w:t>
            </w:r>
            <w:r w:rsidRPr="00D36DE3">
              <w:rPr>
                <w:lang w:val="en-AU" w:eastAsia="en-AU"/>
              </w:rPr>
              <w:t>preventive care than other patients and three times more likely to</w:t>
            </w:r>
            <w:r>
              <w:rPr>
                <w:lang w:val="en-AU" w:eastAsia="en-AU"/>
              </w:rPr>
              <w:t xml:space="preserve"> </w:t>
            </w:r>
            <w:r w:rsidRPr="00D36DE3">
              <w:rPr>
                <w:lang w:val="en-AU" w:eastAsia="en-AU"/>
              </w:rPr>
              <w:t>lose a leg to amputation.</w:t>
            </w:r>
          </w:p>
        </w:tc>
      </w:tr>
    </w:tbl>
    <w:p w:rsidR="00D36DE3" w:rsidRDefault="00D36DE3" w:rsidP="00D36DE3">
      <w:pPr>
        <w:keepNext/>
        <w:rPr>
          <w:lang w:val="en-AU"/>
        </w:rPr>
      </w:pPr>
    </w:p>
    <w:p w:rsidR="00D36DE3" w:rsidRDefault="00D36DE3" w:rsidP="00D36DE3">
      <w:pPr>
        <w:keepNext/>
        <w:rPr>
          <w:lang w:val="en-AU"/>
        </w:rPr>
      </w:pPr>
      <w:r w:rsidRPr="0095520C">
        <w:rPr>
          <w:lang w:val="en-AU"/>
        </w:rPr>
        <w:t xml:space="preserve">For information on the Commission’s work on </w:t>
      </w:r>
      <w:r>
        <w:rPr>
          <w:lang w:val="en-AU"/>
        </w:rPr>
        <w:t>variation in health care,</w:t>
      </w:r>
      <w:r w:rsidRPr="0095520C">
        <w:rPr>
          <w:lang w:val="en-AU"/>
        </w:rPr>
        <w:t xml:space="preserve"> </w:t>
      </w:r>
      <w:r w:rsidR="00012DDC">
        <w:rPr>
          <w:lang w:val="en-AU"/>
        </w:rPr>
        <w:t>s</w:t>
      </w:r>
      <w:r w:rsidRPr="0095520C">
        <w:rPr>
          <w:lang w:val="en-AU"/>
        </w:rPr>
        <w:t>ee</w:t>
      </w:r>
      <w:r>
        <w:rPr>
          <w:lang w:val="en-AU"/>
        </w:rPr>
        <w:t xml:space="preserve"> </w:t>
      </w:r>
      <w:hyperlink r:id="rId28" w:history="1">
        <w:r w:rsidRPr="00C50B02">
          <w:rPr>
            <w:rStyle w:val="Hyperlink"/>
            <w:lang w:val="en-AU"/>
          </w:rPr>
          <w:t>http://www.safetyandquality.gov.au/our-work/variation-in-health-care/</w:t>
        </w:r>
      </w:hyperlink>
    </w:p>
    <w:p w:rsidR="00D36DE3" w:rsidRDefault="00D36DE3" w:rsidP="00D36DE3">
      <w:pPr>
        <w:keepNext/>
        <w:rPr>
          <w:lang w:val="en-AU"/>
        </w:rPr>
      </w:pPr>
    </w:p>
    <w:p w:rsidR="00A30DF9" w:rsidRPr="0095520C" w:rsidRDefault="00254636" w:rsidP="00771468">
      <w:pPr>
        <w:keepNext/>
        <w:rPr>
          <w:b/>
          <w:lang w:val="en-AU"/>
        </w:rPr>
      </w:pPr>
      <w:r w:rsidRPr="0095520C">
        <w:rPr>
          <w:b/>
          <w:lang w:val="en-AU"/>
        </w:rPr>
        <w:t>Journal articles</w:t>
      </w:r>
    </w:p>
    <w:p w:rsidR="004B37A8" w:rsidRDefault="004B37A8" w:rsidP="00047DE3">
      <w:pPr>
        <w:keepNext/>
        <w:keepLines/>
        <w:autoSpaceDE w:val="0"/>
        <w:autoSpaceDN w:val="0"/>
        <w:adjustRightInd w:val="0"/>
        <w:rPr>
          <w:i/>
          <w:lang w:val="en-AU"/>
        </w:rPr>
      </w:pPr>
    </w:p>
    <w:p w:rsidR="0033796F" w:rsidRPr="0033796F" w:rsidRDefault="0033796F" w:rsidP="0033796F">
      <w:pPr>
        <w:keepNext/>
        <w:keepLines/>
        <w:autoSpaceDE w:val="0"/>
        <w:autoSpaceDN w:val="0"/>
        <w:adjustRightInd w:val="0"/>
        <w:rPr>
          <w:i/>
          <w:lang w:val="en-AU"/>
        </w:rPr>
      </w:pPr>
      <w:r w:rsidRPr="0033796F">
        <w:rPr>
          <w:i/>
          <w:lang w:val="en-AU"/>
        </w:rPr>
        <w:t>The challenges in monitoring and preventing patient safety incidents for people with intellectual disabilities in NHS acute hospitals: evidence from a mixed-methods study</w:t>
      </w:r>
    </w:p>
    <w:p w:rsidR="0033796F" w:rsidRDefault="0033796F" w:rsidP="00910180">
      <w:pPr>
        <w:keepNext/>
        <w:keepLines/>
        <w:autoSpaceDE w:val="0"/>
        <w:autoSpaceDN w:val="0"/>
        <w:adjustRightInd w:val="0"/>
        <w:rPr>
          <w:lang w:val="en-AU"/>
        </w:rPr>
      </w:pPr>
      <w:r w:rsidRPr="0033796F">
        <w:rPr>
          <w:lang w:val="en-AU"/>
        </w:rPr>
        <w:t>Tuffrey-Wijne I, Goulding L, Gordon V, Abraham E, Giatras N, Edwards C, et al.</w:t>
      </w:r>
    </w:p>
    <w:p w:rsidR="00D126AA" w:rsidRPr="0095520C" w:rsidRDefault="0033796F" w:rsidP="00910180">
      <w:pPr>
        <w:keepNext/>
        <w:keepLines/>
        <w:autoSpaceDE w:val="0"/>
        <w:autoSpaceDN w:val="0"/>
        <w:adjustRightInd w:val="0"/>
        <w:rPr>
          <w:lang w:val="en-AU"/>
        </w:rPr>
      </w:pPr>
      <w:proofErr w:type="gramStart"/>
      <w:r w:rsidRPr="0033796F">
        <w:rPr>
          <w:lang w:val="en-AU"/>
        </w:rPr>
        <w:t>BMC Health Services Research.</w:t>
      </w:r>
      <w:proofErr w:type="gramEnd"/>
      <w:r w:rsidRPr="0033796F">
        <w:rPr>
          <w:lang w:val="en-AU"/>
        </w:rPr>
        <w:t xml:space="preserve"> 2014</w:t>
      </w:r>
      <w:proofErr w:type="gramStart"/>
      <w:r w:rsidRPr="0033796F">
        <w:rPr>
          <w:lang w:val="en-AU"/>
        </w:rPr>
        <w:t>;14</w:t>
      </w:r>
      <w:proofErr w:type="gramEnd"/>
      <w:r w:rsidRPr="0033796F">
        <w:rPr>
          <w:lang w:val="en-AU"/>
        </w:rPr>
        <w:t>(1):432.</w:t>
      </w:r>
    </w:p>
    <w:tbl>
      <w:tblPr>
        <w:tblStyle w:val="TableGrid"/>
        <w:tblW w:w="0" w:type="auto"/>
        <w:tblInd w:w="288" w:type="dxa"/>
        <w:tblLayout w:type="fixed"/>
        <w:tblLook w:val="01E0" w:firstRow="1" w:lastRow="1" w:firstColumn="1" w:lastColumn="1" w:noHBand="0" w:noVBand="0"/>
      </w:tblPr>
      <w:tblGrid>
        <w:gridCol w:w="1080"/>
        <w:gridCol w:w="8280"/>
      </w:tblGrid>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0180" w:rsidRPr="0095520C" w:rsidRDefault="0033796F" w:rsidP="0033796F">
            <w:pPr>
              <w:rPr>
                <w:lang w:val="en-AU"/>
              </w:rPr>
            </w:pPr>
            <w:hyperlink r:id="rId29" w:history="1">
              <w:r w:rsidRPr="00A306EB">
                <w:rPr>
                  <w:rStyle w:val="Hyperlink"/>
                  <w:lang w:val="en-AU"/>
                </w:rPr>
                <w:t>http://dx.doi.org/10.1186/1472-6963-14-432</w:t>
              </w:r>
            </w:hyperlink>
          </w:p>
        </w:tc>
      </w:tr>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0180" w:rsidRDefault="0033796F" w:rsidP="0033796F">
            <w:pPr>
              <w:rPr>
                <w:lang w:val="en-AU" w:eastAsia="en-AU"/>
              </w:rPr>
            </w:pPr>
            <w:r>
              <w:rPr>
                <w:lang w:val="en-AU" w:eastAsia="en-AU"/>
              </w:rPr>
              <w:t>The patient safety risks of patients can vary for many reasons. This paper examines some of the patient safety challenges that can arise for one particular vulnerable population, people with intellectual disabilities, in the acute hospital setting.</w:t>
            </w:r>
          </w:p>
          <w:p w:rsidR="00E50C04" w:rsidRPr="00E50C04" w:rsidRDefault="0033796F" w:rsidP="00E50C04">
            <w:pPr>
              <w:rPr>
                <w:lang w:val="en-AU" w:eastAsia="en-AU"/>
              </w:rPr>
            </w:pPr>
            <w:r>
              <w:rPr>
                <w:lang w:val="en-AU" w:eastAsia="en-AU"/>
              </w:rPr>
              <w:t>Based on more than 1000 surveys and interviews, obs</w:t>
            </w:r>
            <w:r w:rsidRPr="0033796F">
              <w:rPr>
                <w:lang w:val="en-AU" w:eastAsia="en-AU"/>
              </w:rPr>
              <w:t>ervation of patients</w:t>
            </w:r>
            <w:r>
              <w:rPr>
                <w:lang w:val="en-AU" w:eastAsia="en-AU"/>
              </w:rPr>
              <w:t xml:space="preserve">, </w:t>
            </w:r>
            <w:r w:rsidRPr="0033796F">
              <w:rPr>
                <w:lang w:val="en-AU" w:eastAsia="en-AU"/>
              </w:rPr>
              <w:t xml:space="preserve">monitoring of incident reports and complaints </w:t>
            </w:r>
            <w:r>
              <w:rPr>
                <w:lang w:val="en-AU" w:eastAsia="en-AU"/>
              </w:rPr>
              <w:t>over a 21-month period in 6 acute NHS trusts</w:t>
            </w:r>
            <w:r w:rsidR="00E50C04">
              <w:rPr>
                <w:lang w:val="en-AU" w:eastAsia="en-AU"/>
              </w:rPr>
              <w:t xml:space="preserve"> the authors found that that safety issues described “</w:t>
            </w:r>
            <w:r w:rsidR="00E50C04" w:rsidRPr="00E50C04">
              <w:rPr>
                <w:lang w:val="en-AU" w:eastAsia="en-AU"/>
              </w:rPr>
              <w:t xml:space="preserve">were mostly related to </w:t>
            </w:r>
            <w:r w:rsidR="00E50C04" w:rsidRPr="00E50C04">
              <w:rPr>
                <w:b/>
                <w:lang w:val="en-AU" w:eastAsia="en-AU"/>
              </w:rPr>
              <w:t>delays</w:t>
            </w:r>
            <w:r w:rsidR="00E50C04" w:rsidRPr="00E50C04">
              <w:rPr>
                <w:lang w:val="en-AU" w:eastAsia="en-AU"/>
              </w:rPr>
              <w:t xml:space="preserve"> and </w:t>
            </w:r>
            <w:r w:rsidR="00E50C04" w:rsidRPr="00E50C04">
              <w:rPr>
                <w:b/>
                <w:lang w:val="en-AU" w:eastAsia="en-AU"/>
              </w:rPr>
              <w:t>omissions of care</w:t>
            </w:r>
            <w:r w:rsidR="00E50C04" w:rsidRPr="00E50C04">
              <w:rPr>
                <w:lang w:val="en-AU" w:eastAsia="en-AU"/>
              </w:rPr>
              <w:t xml:space="preserve">, in particular: inadequate provision of basic </w:t>
            </w:r>
            <w:r w:rsidR="00E50C04" w:rsidRPr="00E50C04">
              <w:rPr>
                <w:b/>
                <w:lang w:val="en-AU" w:eastAsia="en-AU"/>
              </w:rPr>
              <w:t>nursing care</w:t>
            </w:r>
            <w:r w:rsidR="00E50C04" w:rsidRPr="00E50C04">
              <w:rPr>
                <w:lang w:val="en-AU" w:eastAsia="en-AU"/>
              </w:rPr>
              <w:t xml:space="preserve">, </w:t>
            </w:r>
            <w:r w:rsidR="00E50C04" w:rsidRPr="00E50C04">
              <w:rPr>
                <w:b/>
                <w:lang w:val="en-AU" w:eastAsia="en-AU"/>
              </w:rPr>
              <w:t>misdiagnosis</w:t>
            </w:r>
            <w:r w:rsidR="00E50C04" w:rsidRPr="00E50C04">
              <w:rPr>
                <w:lang w:val="en-AU" w:eastAsia="en-AU"/>
              </w:rPr>
              <w:t xml:space="preserve">, </w:t>
            </w:r>
            <w:r w:rsidR="00E50C04" w:rsidRPr="00E50C04">
              <w:rPr>
                <w:b/>
                <w:lang w:val="en-AU" w:eastAsia="en-AU"/>
              </w:rPr>
              <w:t>delayed investigations and treatment</w:t>
            </w:r>
            <w:r w:rsidR="00E50C04" w:rsidRPr="00E50C04">
              <w:rPr>
                <w:lang w:val="en-AU" w:eastAsia="en-AU"/>
              </w:rPr>
              <w:t xml:space="preserve">, and </w:t>
            </w:r>
            <w:r w:rsidR="00E50C04" w:rsidRPr="00E50C04">
              <w:rPr>
                <w:b/>
                <w:lang w:val="en-AU" w:eastAsia="en-AU"/>
              </w:rPr>
              <w:t>non-treatment decisions</w:t>
            </w:r>
            <w:r w:rsidR="00E50C04" w:rsidRPr="00E50C04">
              <w:rPr>
                <w:lang w:val="en-AU" w:eastAsia="en-AU"/>
              </w:rPr>
              <w:t xml:space="preserve"> and Do Not Attempt Cardiopulmonary Resuscitation orders.</w:t>
            </w:r>
          </w:p>
          <w:p w:rsidR="00E50C04" w:rsidRPr="00E50C04" w:rsidRDefault="00E50C04" w:rsidP="00E50C04">
            <w:pPr>
              <w:rPr>
                <w:lang w:val="en-AU" w:eastAsia="en-AU"/>
              </w:rPr>
            </w:pPr>
            <w:r>
              <w:rPr>
                <w:lang w:val="en-AU" w:eastAsia="en-AU"/>
              </w:rPr>
              <w:t>The authors also note that hospital s</w:t>
            </w:r>
            <w:r w:rsidRPr="00E50C04">
              <w:rPr>
                <w:lang w:val="en-AU" w:eastAsia="en-AU"/>
              </w:rPr>
              <w:t xml:space="preserve">taff </w:t>
            </w:r>
            <w:r>
              <w:rPr>
                <w:lang w:val="en-AU" w:eastAsia="en-AU"/>
              </w:rPr>
              <w:t>“</w:t>
            </w:r>
            <w:r w:rsidRPr="00E50C04">
              <w:rPr>
                <w:lang w:val="en-AU" w:eastAsia="en-AU"/>
              </w:rPr>
              <w:t xml:space="preserve">did not always readily identify patient safety issues or report them. Incident reports focused mostly around events causing immediate or potential physical harm, such as falls. Hospitals lacked effective systems for </w:t>
            </w:r>
            <w:r w:rsidRPr="00E50C04">
              <w:rPr>
                <w:b/>
                <w:lang w:val="en-AU" w:eastAsia="en-AU"/>
              </w:rPr>
              <w:t>identifying patients with intellectual disabilities</w:t>
            </w:r>
            <w:r w:rsidRPr="00E50C04">
              <w:rPr>
                <w:lang w:val="en-AU" w:eastAsia="en-AU"/>
              </w:rPr>
              <w:t xml:space="preserve"> within their service, making monitoring safety incidents for this group difficult.</w:t>
            </w:r>
            <w:r>
              <w:rPr>
                <w:lang w:val="en-AU" w:eastAsia="en-AU"/>
              </w:rPr>
              <w:t>”</w:t>
            </w:r>
          </w:p>
          <w:p w:rsidR="00E50C04" w:rsidRPr="00590FB6" w:rsidRDefault="00E50C04" w:rsidP="00E50C04">
            <w:pPr>
              <w:rPr>
                <w:lang w:val="en-AU" w:eastAsia="en-AU"/>
              </w:rPr>
            </w:pPr>
            <w:r>
              <w:rPr>
                <w:lang w:val="en-AU" w:eastAsia="en-AU"/>
              </w:rPr>
              <w:t>They conclude that “</w:t>
            </w:r>
            <w:r w:rsidRPr="00E50C04">
              <w:rPr>
                <w:lang w:val="en-AU" w:eastAsia="en-AU"/>
              </w:rPr>
              <w:t>The events leading to avoidable harm for patients with intellectual disabilities are not always recognised as safety incidents, and may be difficult to attribute as causal to the harm suffered. Acts of omission (failure to give care) are more difficult to recognise, capture and monitor than acts of commission (giving the wrong care). In order to improve patient safety for this group, the reasonable adjustments needed by individual patients should be identified, documented and monitored.</w:t>
            </w:r>
            <w:r>
              <w:rPr>
                <w:lang w:val="en-AU" w:eastAsia="en-AU"/>
              </w:rPr>
              <w:t>”</w:t>
            </w:r>
          </w:p>
        </w:tc>
      </w:tr>
    </w:tbl>
    <w:p w:rsidR="00910180" w:rsidRDefault="00910180" w:rsidP="00910180">
      <w:pPr>
        <w:rPr>
          <w:lang w:val="en-AU"/>
        </w:rPr>
      </w:pPr>
    </w:p>
    <w:p w:rsidR="008544AB" w:rsidRPr="0052333A" w:rsidRDefault="008544AB" w:rsidP="008544AB">
      <w:pPr>
        <w:keepNext/>
        <w:keepLines/>
        <w:autoSpaceDE w:val="0"/>
        <w:autoSpaceDN w:val="0"/>
        <w:adjustRightInd w:val="0"/>
        <w:rPr>
          <w:i/>
          <w:lang w:val="en-AU"/>
        </w:rPr>
      </w:pPr>
      <w:r w:rsidRPr="0052333A">
        <w:rPr>
          <w:i/>
          <w:lang w:val="en-AU"/>
        </w:rPr>
        <w:lastRenderedPageBreak/>
        <w:t>Cost-effectiveness of a quality improvement programme to reduce central line-associated bloodstream infections in intensive care units in the USA</w:t>
      </w:r>
    </w:p>
    <w:p w:rsidR="008544AB" w:rsidRDefault="008544AB" w:rsidP="008544AB">
      <w:pPr>
        <w:keepNext/>
        <w:keepLines/>
        <w:autoSpaceDE w:val="0"/>
        <w:autoSpaceDN w:val="0"/>
        <w:adjustRightInd w:val="0"/>
        <w:rPr>
          <w:lang w:val="en-AU"/>
        </w:rPr>
      </w:pPr>
      <w:r w:rsidRPr="0052333A">
        <w:rPr>
          <w:lang w:val="en-AU"/>
        </w:rPr>
        <w:t>Herzer KR, Niessen L, Constenla DO, Ward WJ, Pronovost PJ</w:t>
      </w:r>
    </w:p>
    <w:p w:rsidR="008544AB" w:rsidRPr="0095520C" w:rsidRDefault="008544AB" w:rsidP="008544AB">
      <w:pPr>
        <w:keepNext/>
        <w:keepLines/>
        <w:autoSpaceDE w:val="0"/>
        <w:autoSpaceDN w:val="0"/>
        <w:adjustRightInd w:val="0"/>
        <w:rPr>
          <w:lang w:val="en-AU"/>
        </w:rPr>
      </w:pPr>
      <w:proofErr w:type="gramStart"/>
      <w:r w:rsidRPr="0052333A">
        <w:rPr>
          <w:lang w:val="en-AU"/>
        </w:rPr>
        <w:t>BMJ Open.</w:t>
      </w:r>
      <w:proofErr w:type="gramEnd"/>
      <w:r w:rsidRPr="0052333A">
        <w:rPr>
          <w:lang w:val="en-AU"/>
        </w:rPr>
        <w:t xml:space="preserve"> 2014 September 1, 2014</w:t>
      </w:r>
      <w:proofErr w:type="gramStart"/>
      <w:r w:rsidRPr="0052333A">
        <w:rPr>
          <w:lang w:val="en-AU"/>
        </w:rPr>
        <w:t>;4</w:t>
      </w:r>
      <w:proofErr w:type="gramEnd"/>
      <w:r w:rsidRPr="0052333A">
        <w:rPr>
          <w:lang w:val="en-AU"/>
        </w:rPr>
        <w:t>(9).</w:t>
      </w:r>
    </w:p>
    <w:tbl>
      <w:tblPr>
        <w:tblStyle w:val="TableGrid"/>
        <w:tblW w:w="0" w:type="auto"/>
        <w:tblInd w:w="288" w:type="dxa"/>
        <w:tblLayout w:type="fixed"/>
        <w:tblLook w:val="01E0" w:firstRow="1" w:lastRow="1" w:firstColumn="1" w:lastColumn="1" w:noHBand="0" w:noVBand="0"/>
      </w:tblPr>
      <w:tblGrid>
        <w:gridCol w:w="1080"/>
        <w:gridCol w:w="8280"/>
      </w:tblGrid>
      <w:tr w:rsidR="008544AB" w:rsidRPr="0095520C" w:rsidTr="00300378">
        <w:tc>
          <w:tcPr>
            <w:tcW w:w="1080" w:type="dxa"/>
            <w:tcBorders>
              <w:top w:val="single" w:sz="4" w:space="0" w:color="auto"/>
              <w:left w:val="single" w:sz="4" w:space="0" w:color="auto"/>
              <w:bottom w:val="single" w:sz="4" w:space="0" w:color="auto"/>
              <w:right w:val="single" w:sz="4" w:space="0" w:color="auto"/>
            </w:tcBorders>
            <w:vAlign w:val="center"/>
          </w:tcPr>
          <w:p w:rsidR="008544AB" w:rsidRPr="0095520C" w:rsidRDefault="008544AB" w:rsidP="00300378">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544AB" w:rsidRPr="0095520C" w:rsidRDefault="008544AB" w:rsidP="00300378">
            <w:pPr>
              <w:rPr>
                <w:lang w:val="en-AU"/>
              </w:rPr>
            </w:pPr>
            <w:hyperlink r:id="rId30" w:history="1">
              <w:r w:rsidRPr="00A306EB">
                <w:rPr>
                  <w:rStyle w:val="Hyperlink"/>
                  <w:lang w:val="en-AU"/>
                </w:rPr>
                <w:t>http://dx.doi.org/10.1136/bmjopen-2014-006065</w:t>
              </w:r>
            </w:hyperlink>
            <w:r>
              <w:rPr>
                <w:lang w:val="en-AU"/>
              </w:rPr>
              <w:t xml:space="preserve"> </w:t>
            </w:r>
          </w:p>
        </w:tc>
      </w:tr>
      <w:tr w:rsidR="008544AB" w:rsidRPr="0095520C" w:rsidTr="00300378">
        <w:tc>
          <w:tcPr>
            <w:tcW w:w="1080" w:type="dxa"/>
            <w:tcBorders>
              <w:top w:val="single" w:sz="4" w:space="0" w:color="auto"/>
              <w:left w:val="single" w:sz="4" w:space="0" w:color="auto"/>
              <w:bottom w:val="single" w:sz="4" w:space="0" w:color="auto"/>
              <w:right w:val="single" w:sz="4" w:space="0" w:color="auto"/>
            </w:tcBorders>
            <w:vAlign w:val="center"/>
          </w:tcPr>
          <w:p w:rsidR="008544AB" w:rsidRPr="0095520C" w:rsidRDefault="008544AB" w:rsidP="00300378">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44AB" w:rsidRDefault="008544AB" w:rsidP="00300378">
            <w:pPr>
              <w:rPr>
                <w:lang w:val="en-AU" w:eastAsia="en-AU"/>
              </w:rPr>
            </w:pPr>
            <w:r>
              <w:rPr>
                <w:lang w:val="en-AU" w:eastAsia="en-AU"/>
              </w:rPr>
              <w:t xml:space="preserve">A not uncommon question </w:t>
            </w:r>
            <w:proofErr w:type="gramStart"/>
            <w:r>
              <w:rPr>
                <w:lang w:val="en-AU" w:eastAsia="en-AU"/>
              </w:rPr>
              <w:t>raised</w:t>
            </w:r>
            <w:proofErr w:type="gramEnd"/>
            <w:r>
              <w:rPr>
                <w:lang w:val="en-AU" w:eastAsia="en-AU"/>
              </w:rPr>
              <w:t xml:space="preserve"> about safety and/or quality interventions are whether they impose an additional cost for a health service or organisation. This may strike some people as a banal question as it might be thought that any reduction or avoidance of unnecessary morbidity or mortality was a good in itself.</w:t>
            </w:r>
          </w:p>
          <w:p w:rsidR="008544AB" w:rsidRDefault="008544AB" w:rsidP="00300378">
            <w:pPr>
              <w:rPr>
                <w:lang w:val="en-AU" w:eastAsia="en-AU"/>
              </w:rPr>
            </w:pPr>
            <w:r>
              <w:rPr>
                <w:lang w:val="en-AU" w:eastAsia="en-AU"/>
              </w:rPr>
              <w:t xml:space="preserve">Notwithstanding this, this paper looks the cost-effectiveness of the otherwise successful ‘Keystone ICU’ project. This project. – </w:t>
            </w:r>
            <w:proofErr w:type="gramStart"/>
            <w:r>
              <w:rPr>
                <w:lang w:val="en-AU" w:eastAsia="en-AU"/>
              </w:rPr>
              <w:t>now</w:t>
            </w:r>
            <w:proofErr w:type="gramEnd"/>
            <w:r>
              <w:rPr>
                <w:lang w:val="en-AU" w:eastAsia="en-AU"/>
              </w:rPr>
              <w:t xml:space="preserve"> replicated in many countries – saw the development of a bundle of interventions that have successfully reduced the incidence of central line-associated bloodstreams infections (CLABSI) in intensive care units (ICUs).</w:t>
            </w:r>
          </w:p>
          <w:p w:rsidR="008544AB" w:rsidRPr="00590FB6" w:rsidRDefault="008544AB" w:rsidP="00300378">
            <w:pPr>
              <w:rPr>
                <w:lang w:val="en-AU" w:eastAsia="en-AU"/>
              </w:rPr>
            </w:pPr>
            <w:r>
              <w:rPr>
                <w:lang w:val="en-AU" w:eastAsia="en-AU"/>
              </w:rPr>
              <w:t>The results of this analysis reveal that the program “</w:t>
            </w:r>
            <w:r w:rsidRPr="0052333A">
              <w:rPr>
                <w:b/>
                <w:lang w:val="en-AU" w:eastAsia="en-AU"/>
              </w:rPr>
              <w:t>reduces bloodstream infections and deaths at no additional cost</w:t>
            </w:r>
            <w:proofErr w:type="gramStart"/>
            <w:r>
              <w:rPr>
                <w:lang w:val="en-AU" w:eastAsia="en-AU"/>
              </w:rPr>
              <w:t>” .</w:t>
            </w:r>
            <w:proofErr w:type="gramEnd"/>
            <w:r>
              <w:rPr>
                <w:lang w:val="en-AU" w:eastAsia="en-AU"/>
              </w:rPr>
              <w:t xml:space="preserve"> Indeed, beyond costing money “the </w:t>
            </w:r>
            <w:r w:rsidRPr="0052333A">
              <w:rPr>
                <w:lang w:val="en-AU" w:eastAsia="en-AU"/>
              </w:rPr>
              <w:t xml:space="preserve">programme's implementation has the </w:t>
            </w:r>
            <w:r w:rsidRPr="0052333A">
              <w:rPr>
                <w:b/>
                <w:lang w:val="en-AU" w:eastAsia="en-AU"/>
              </w:rPr>
              <w:t>potential to substantially reduce morbidity, mortality and economic costs associated with central line-associated bloodstream infections</w:t>
            </w:r>
            <w:r w:rsidRPr="0052333A">
              <w:rPr>
                <w:lang w:val="en-AU" w:eastAsia="en-AU"/>
              </w:rPr>
              <w:t>.</w:t>
            </w:r>
            <w:r>
              <w:rPr>
                <w:lang w:val="en-AU" w:eastAsia="en-AU"/>
              </w:rPr>
              <w:t>”</w:t>
            </w:r>
          </w:p>
        </w:tc>
      </w:tr>
    </w:tbl>
    <w:p w:rsidR="008544AB" w:rsidRDefault="008544AB" w:rsidP="008544AB">
      <w:pPr>
        <w:rPr>
          <w:lang w:val="en-AU"/>
        </w:rPr>
      </w:pPr>
    </w:p>
    <w:p w:rsidR="008544AB" w:rsidRDefault="008544AB" w:rsidP="008544AB">
      <w:pPr>
        <w:keepNext/>
        <w:keepLines/>
        <w:autoSpaceDE w:val="0"/>
        <w:autoSpaceDN w:val="0"/>
        <w:adjustRightInd w:val="0"/>
        <w:rPr>
          <w:lang w:val="en-AU"/>
        </w:rPr>
      </w:pPr>
      <w:r w:rsidRPr="0095520C">
        <w:rPr>
          <w:lang w:val="en-AU"/>
        </w:rPr>
        <w:t xml:space="preserve">For information on the Commission’s work on </w:t>
      </w:r>
      <w:r>
        <w:rPr>
          <w:lang w:val="en-AU"/>
        </w:rPr>
        <w:t>variation in healthcare associated infection,</w:t>
      </w:r>
      <w:r w:rsidRPr="0095520C">
        <w:rPr>
          <w:lang w:val="en-AU"/>
        </w:rPr>
        <w:t xml:space="preserve"> </w:t>
      </w:r>
      <w:r>
        <w:rPr>
          <w:lang w:val="en-AU"/>
        </w:rPr>
        <w:t>s</w:t>
      </w:r>
      <w:r w:rsidRPr="0095520C">
        <w:rPr>
          <w:lang w:val="en-AU"/>
        </w:rPr>
        <w:t>ee</w:t>
      </w:r>
      <w:r>
        <w:rPr>
          <w:lang w:val="en-AU"/>
        </w:rPr>
        <w:t xml:space="preserve"> </w:t>
      </w:r>
      <w:hyperlink r:id="rId31" w:history="1">
        <w:r w:rsidRPr="00A306EB">
          <w:rPr>
            <w:rStyle w:val="Hyperlink"/>
            <w:lang w:val="en-AU"/>
          </w:rPr>
          <w:t>www.safetyandquality.gov.au/our-work/healthcare-associated-infection/</w:t>
        </w:r>
      </w:hyperlink>
      <w:r>
        <w:rPr>
          <w:lang w:val="en-AU"/>
        </w:rPr>
        <w:t xml:space="preserve"> </w:t>
      </w:r>
    </w:p>
    <w:p w:rsidR="008544AB" w:rsidRDefault="008544AB" w:rsidP="008544AB">
      <w:pPr>
        <w:keepNext/>
        <w:keepLines/>
        <w:autoSpaceDE w:val="0"/>
        <w:autoSpaceDN w:val="0"/>
        <w:adjustRightInd w:val="0"/>
        <w:rPr>
          <w:lang w:val="en-AU"/>
        </w:rPr>
      </w:pPr>
    </w:p>
    <w:p w:rsidR="008544AB" w:rsidRDefault="008544AB" w:rsidP="00630534">
      <w:pPr>
        <w:keepNext/>
        <w:rPr>
          <w:i/>
          <w:lang w:val="en-AU"/>
        </w:rPr>
      </w:pPr>
    </w:p>
    <w:p w:rsidR="00630534" w:rsidRPr="0091691E" w:rsidRDefault="00630534" w:rsidP="00630534">
      <w:pPr>
        <w:keepNext/>
        <w:rPr>
          <w:i/>
          <w:lang w:val="en-AU"/>
        </w:rPr>
      </w:pPr>
      <w:r w:rsidRPr="0091691E">
        <w:rPr>
          <w:i/>
          <w:lang w:val="en-AU"/>
        </w:rPr>
        <w:t>BMJ Quality and Safety</w:t>
      </w:r>
    </w:p>
    <w:p w:rsidR="00630534" w:rsidRPr="0091691E" w:rsidRDefault="00630534" w:rsidP="00630534">
      <w:pPr>
        <w:keepNext/>
        <w:rPr>
          <w:lang w:val="en-AU"/>
        </w:rPr>
      </w:pPr>
      <w:r>
        <w:rPr>
          <w:lang w:val="en-AU"/>
        </w:rPr>
        <w:t>November 2014, Vol. 23, Issue 11</w:t>
      </w:r>
    </w:p>
    <w:tbl>
      <w:tblPr>
        <w:tblStyle w:val="TableGrid"/>
        <w:tblW w:w="9360" w:type="dxa"/>
        <w:tblInd w:w="288" w:type="dxa"/>
        <w:tblLayout w:type="fixed"/>
        <w:tblLook w:val="04A0" w:firstRow="1" w:lastRow="0" w:firstColumn="1" w:lastColumn="0" w:noHBand="0" w:noVBand="1"/>
      </w:tblPr>
      <w:tblGrid>
        <w:gridCol w:w="1080"/>
        <w:gridCol w:w="8280"/>
      </w:tblGrid>
      <w:tr w:rsidR="00630534" w:rsidRPr="0091691E" w:rsidTr="00C842BF">
        <w:tc>
          <w:tcPr>
            <w:tcW w:w="1080" w:type="dxa"/>
          </w:tcPr>
          <w:p w:rsidR="00630534" w:rsidRPr="0091691E" w:rsidRDefault="00630534" w:rsidP="00C842BF">
            <w:pPr>
              <w:rPr>
                <w:lang w:val="en-AU"/>
              </w:rPr>
            </w:pPr>
            <w:r w:rsidRPr="0091691E">
              <w:rPr>
                <w:lang w:val="en-AU"/>
              </w:rPr>
              <w:t>URL</w:t>
            </w:r>
          </w:p>
        </w:tc>
        <w:tc>
          <w:tcPr>
            <w:tcW w:w="8280" w:type="dxa"/>
          </w:tcPr>
          <w:p w:rsidR="00630534" w:rsidRPr="0091691E" w:rsidRDefault="00493379" w:rsidP="00630534">
            <w:pPr>
              <w:keepNext/>
              <w:rPr>
                <w:lang w:val="en-AU"/>
              </w:rPr>
            </w:pPr>
            <w:hyperlink r:id="rId32" w:history="1">
              <w:r w:rsidR="00630534" w:rsidRPr="00173974">
                <w:rPr>
                  <w:rStyle w:val="Hyperlink"/>
                  <w:lang w:val="en-AU"/>
                </w:rPr>
                <w:t>http://qualitysafety.bmj.com/content/23/11</w:t>
              </w:r>
            </w:hyperlink>
          </w:p>
        </w:tc>
      </w:tr>
      <w:tr w:rsidR="00630534" w:rsidRPr="0091691E" w:rsidTr="00C842BF">
        <w:tblPrEx>
          <w:tblLook w:val="01E0" w:firstRow="1" w:lastRow="1" w:firstColumn="1" w:lastColumn="1" w:noHBand="0" w:noVBand="0"/>
        </w:tblPrEx>
        <w:tc>
          <w:tcPr>
            <w:tcW w:w="1080" w:type="dxa"/>
            <w:vAlign w:val="center"/>
          </w:tcPr>
          <w:p w:rsidR="00630534" w:rsidRPr="0091691E" w:rsidRDefault="00630534" w:rsidP="00C842BF">
            <w:pPr>
              <w:rPr>
                <w:lang w:val="en-AU"/>
              </w:rPr>
            </w:pPr>
            <w:r w:rsidRPr="0091691E">
              <w:rPr>
                <w:lang w:val="en-AU"/>
              </w:rPr>
              <w:t>Notes</w:t>
            </w:r>
          </w:p>
        </w:tc>
        <w:tc>
          <w:tcPr>
            <w:tcW w:w="8280" w:type="dxa"/>
            <w:vAlign w:val="center"/>
          </w:tcPr>
          <w:p w:rsidR="00630534" w:rsidRPr="0091691E" w:rsidRDefault="00630534" w:rsidP="00C842BF">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CB143A" w:rsidRPr="00CB143A" w:rsidRDefault="00630534" w:rsidP="00CB143A">
            <w:pPr>
              <w:numPr>
                <w:ilvl w:val="0"/>
                <w:numId w:val="25"/>
              </w:numPr>
              <w:rPr>
                <w:lang w:val="en-AU"/>
              </w:rPr>
            </w:pPr>
            <w:r w:rsidRPr="00CB143A">
              <w:rPr>
                <w:lang w:val="en-AU"/>
              </w:rPr>
              <w:t xml:space="preserve">Editorial: </w:t>
            </w:r>
            <w:r w:rsidR="00CB143A" w:rsidRPr="00CB143A">
              <w:rPr>
                <w:b/>
                <w:lang w:val="en-AU"/>
              </w:rPr>
              <w:t>Interruptions and multi-tasking</w:t>
            </w:r>
            <w:r w:rsidR="00CB143A" w:rsidRPr="00CB143A">
              <w:rPr>
                <w:lang w:val="en-AU"/>
              </w:rPr>
              <w:t>: moving the research agenda in new directions (Johanna I Westbrook</w:t>
            </w:r>
            <w:r w:rsidR="00CB143A">
              <w:rPr>
                <w:lang w:val="en-AU"/>
              </w:rPr>
              <w:t>)</w:t>
            </w:r>
          </w:p>
          <w:p w:rsidR="00CB143A" w:rsidRPr="00CB143A" w:rsidRDefault="00CB143A" w:rsidP="00CB143A">
            <w:pPr>
              <w:numPr>
                <w:ilvl w:val="0"/>
                <w:numId w:val="25"/>
              </w:numPr>
              <w:rPr>
                <w:lang w:val="en-AU"/>
              </w:rPr>
            </w:pPr>
            <w:r w:rsidRPr="00CB143A">
              <w:rPr>
                <w:b/>
                <w:lang w:val="en-AU"/>
              </w:rPr>
              <w:t>Positive deviance</w:t>
            </w:r>
            <w:r w:rsidRPr="00CB143A">
              <w:rPr>
                <w:lang w:val="en-AU"/>
              </w:rPr>
              <w:t>: a different approach to achieving patient safety (Rebecca Lawton, Natalie Taylor, Robyn Clay-Williams, J Braithwaite</w:t>
            </w:r>
            <w:r>
              <w:rPr>
                <w:lang w:val="en-AU"/>
              </w:rPr>
              <w:t>)</w:t>
            </w:r>
          </w:p>
          <w:p w:rsidR="00CB143A" w:rsidRPr="00CB143A" w:rsidRDefault="00CB143A" w:rsidP="00CB143A">
            <w:pPr>
              <w:numPr>
                <w:ilvl w:val="0"/>
                <w:numId w:val="25"/>
              </w:numPr>
              <w:rPr>
                <w:lang w:val="en-AU"/>
              </w:rPr>
            </w:pPr>
            <w:r w:rsidRPr="00CB143A">
              <w:rPr>
                <w:lang w:val="en-AU"/>
              </w:rPr>
              <w:t xml:space="preserve">Mitigating errors caused by </w:t>
            </w:r>
            <w:r w:rsidRPr="00CB143A">
              <w:rPr>
                <w:b/>
                <w:lang w:val="en-AU"/>
              </w:rPr>
              <w:t>interruptions during medication verification and administration</w:t>
            </w:r>
            <w:r w:rsidRPr="00CB143A">
              <w:rPr>
                <w:lang w:val="en-AU"/>
              </w:rPr>
              <w:t>: interventions in a simulated ambulatory chemotherapy setting (Varuna Prakash, Christine Koczmara, Pamela Savage, Katherine Trip, Janice Stewart, Tara McCurdie, Joseph A Cafazzo, Patricia Trbovich</w:t>
            </w:r>
            <w:r>
              <w:rPr>
                <w:lang w:val="en-AU"/>
              </w:rPr>
              <w:t>)</w:t>
            </w:r>
          </w:p>
          <w:p w:rsidR="00CB143A" w:rsidRPr="00CB143A" w:rsidRDefault="00CB143A" w:rsidP="00CB143A">
            <w:pPr>
              <w:numPr>
                <w:ilvl w:val="0"/>
                <w:numId w:val="25"/>
              </w:numPr>
              <w:rPr>
                <w:lang w:val="en-AU"/>
              </w:rPr>
            </w:pPr>
            <w:r w:rsidRPr="00CB143A">
              <w:rPr>
                <w:lang w:val="en-AU"/>
              </w:rPr>
              <w:t xml:space="preserve">Clinician perspectives on considering </w:t>
            </w:r>
            <w:r w:rsidRPr="00CB143A">
              <w:rPr>
                <w:b/>
                <w:lang w:val="en-AU"/>
              </w:rPr>
              <w:t>radiation exposure to patients</w:t>
            </w:r>
            <w:r w:rsidRPr="00CB143A">
              <w:rPr>
                <w:lang w:val="en-AU"/>
              </w:rPr>
              <w:t xml:space="preserve"> when ordering imaging tests: a qualitative study (Jenna F Kruger, Alice Hm Chen, Alex Rybkin, Kiren Leeds, Dominick L Frosch, L Elizabeth Goldman</w:t>
            </w:r>
            <w:r>
              <w:rPr>
                <w:lang w:val="en-AU"/>
              </w:rPr>
              <w:t>)</w:t>
            </w:r>
          </w:p>
          <w:p w:rsidR="00CB143A" w:rsidRPr="00CB143A" w:rsidRDefault="00CB143A" w:rsidP="00CB143A">
            <w:pPr>
              <w:numPr>
                <w:ilvl w:val="0"/>
                <w:numId w:val="25"/>
              </w:numPr>
              <w:rPr>
                <w:lang w:val="en-AU"/>
              </w:rPr>
            </w:pPr>
            <w:r w:rsidRPr="00CB143A">
              <w:rPr>
                <w:lang w:val="en-AU"/>
              </w:rPr>
              <w:t xml:space="preserve">Parents’ perspectives on </w:t>
            </w:r>
            <w:r w:rsidRPr="00CB143A">
              <w:rPr>
                <w:b/>
                <w:lang w:val="en-AU"/>
              </w:rPr>
              <w:t>safety in neonatal intensive care</w:t>
            </w:r>
            <w:r w:rsidRPr="00CB143A">
              <w:rPr>
                <w:lang w:val="en-AU"/>
              </w:rPr>
              <w:t>: a mixed-methods study (Audrey Lyndon, Carrie H Jacobson, Kelly M Fagan, Kirsten Wisner, Linda S Franck</w:t>
            </w:r>
            <w:r>
              <w:rPr>
                <w:lang w:val="en-AU"/>
              </w:rPr>
              <w:t>)</w:t>
            </w:r>
          </w:p>
          <w:p w:rsidR="00CB143A" w:rsidRPr="00CB143A" w:rsidRDefault="00CB143A" w:rsidP="00CB143A">
            <w:pPr>
              <w:numPr>
                <w:ilvl w:val="0"/>
                <w:numId w:val="25"/>
              </w:numPr>
              <w:rPr>
                <w:lang w:val="en-AU"/>
              </w:rPr>
            </w:pPr>
            <w:r w:rsidRPr="00CB143A">
              <w:rPr>
                <w:lang w:val="en-AU"/>
              </w:rPr>
              <w:t xml:space="preserve">‘It sounds like a great idea but…’: a qualitative study of </w:t>
            </w:r>
            <w:r w:rsidRPr="00CB143A">
              <w:rPr>
                <w:b/>
                <w:lang w:val="en-AU"/>
              </w:rPr>
              <w:t>GPs’ attitudes</w:t>
            </w:r>
            <w:r w:rsidRPr="00CB143A">
              <w:rPr>
                <w:lang w:val="en-AU"/>
              </w:rPr>
              <w:t xml:space="preserve"> towards the development of a </w:t>
            </w:r>
            <w:r w:rsidRPr="00CB143A">
              <w:rPr>
                <w:b/>
                <w:lang w:val="en-AU"/>
              </w:rPr>
              <w:t>national diabetes register</w:t>
            </w:r>
            <w:r w:rsidRPr="00CB143A">
              <w:rPr>
                <w:lang w:val="en-AU"/>
              </w:rPr>
              <w:t xml:space="preserve"> (Sheena M Mc Hugh, Monica O'Mullane, Ivan J Perry, Colin Bradley</w:t>
            </w:r>
            <w:r>
              <w:rPr>
                <w:lang w:val="en-AU"/>
              </w:rPr>
              <w:t>)</w:t>
            </w:r>
          </w:p>
          <w:p w:rsidR="00CB143A" w:rsidRPr="00CB143A" w:rsidRDefault="00CB143A" w:rsidP="00CB143A">
            <w:pPr>
              <w:numPr>
                <w:ilvl w:val="0"/>
                <w:numId w:val="25"/>
              </w:numPr>
              <w:rPr>
                <w:lang w:val="en-AU"/>
              </w:rPr>
            </w:pPr>
            <w:r w:rsidRPr="00CB143A">
              <w:rPr>
                <w:lang w:val="en-AU"/>
              </w:rPr>
              <w:t xml:space="preserve">Assessing </w:t>
            </w:r>
            <w:r w:rsidRPr="00CB143A">
              <w:rPr>
                <w:b/>
                <w:lang w:val="en-AU"/>
              </w:rPr>
              <w:t>distractors and teamwork during surgery</w:t>
            </w:r>
            <w:r w:rsidRPr="00CB143A">
              <w:rPr>
                <w:lang w:val="en-AU"/>
              </w:rPr>
              <w:t>: developing an event-based method for direct observation (Julia C Seelandt, Franziska Tschan, S Keller, G Beldi, N Jenni, A Kurmann, D Candinas, N K Semmer</w:t>
            </w:r>
            <w:r>
              <w:rPr>
                <w:lang w:val="en-AU"/>
              </w:rPr>
              <w:t>)</w:t>
            </w:r>
          </w:p>
          <w:p w:rsidR="00CB143A" w:rsidRPr="00CB143A" w:rsidRDefault="00CB143A" w:rsidP="00CB143A">
            <w:pPr>
              <w:numPr>
                <w:ilvl w:val="0"/>
                <w:numId w:val="25"/>
              </w:numPr>
              <w:rPr>
                <w:lang w:val="en-AU"/>
              </w:rPr>
            </w:pPr>
            <w:r w:rsidRPr="00CB143A">
              <w:rPr>
                <w:lang w:val="en-AU"/>
              </w:rPr>
              <w:lastRenderedPageBreak/>
              <w:t xml:space="preserve">The morbidity and mortality conference as an </w:t>
            </w:r>
            <w:r w:rsidRPr="00CB143A">
              <w:rPr>
                <w:b/>
                <w:lang w:val="en-AU"/>
              </w:rPr>
              <w:t>adverse event surveillance</w:t>
            </w:r>
            <w:r w:rsidRPr="00CB143A">
              <w:rPr>
                <w:lang w:val="en-AU"/>
              </w:rPr>
              <w:t xml:space="preserve"> tool in a paediatric intensive care unit (Christina L Cifra, Kareen L Jones, Judith Ascenzi, Utpal S Bhalala, M M Bembea, J C Fackler, M R Miller</w:t>
            </w:r>
            <w:r>
              <w:rPr>
                <w:lang w:val="en-AU"/>
              </w:rPr>
              <w:t>)</w:t>
            </w:r>
          </w:p>
          <w:p w:rsidR="00CB143A" w:rsidRPr="00CB143A" w:rsidRDefault="00CB143A" w:rsidP="00CB143A">
            <w:pPr>
              <w:numPr>
                <w:ilvl w:val="0"/>
                <w:numId w:val="25"/>
              </w:numPr>
              <w:rPr>
                <w:lang w:val="en-AU"/>
              </w:rPr>
            </w:pPr>
            <w:r w:rsidRPr="00CB143A">
              <w:rPr>
                <w:lang w:val="en-AU"/>
              </w:rPr>
              <w:t xml:space="preserve">The </w:t>
            </w:r>
            <w:r w:rsidRPr="00CB143A">
              <w:rPr>
                <w:b/>
                <w:lang w:val="en-AU"/>
              </w:rPr>
              <w:t>WHO surgical safety checklist</w:t>
            </w:r>
            <w:r w:rsidRPr="00CB143A">
              <w:rPr>
                <w:lang w:val="en-AU"/>
              </w:rPr>
              <w:t>: survey of patients’ views (S J Russ, S Rout, J Caris, K Moorthy, E Mayer, A Darzi, N Sevdalis, C Vincent</w:t>
            </w:r>
            <w:r>
              <w:rPr>
                <w:lang w:val="en-AU"/>
              </w:rPr>
              <w:t>)</w:t>
            </w:r>
          </w:p>
          <w:p w:rsidR="00CB143A" w:rsidRPr="00CB143A" w:rsidRDefault="00CB143A" w:rsidP="00CB143A">
            <w:pPr>
              <w:numPr>
                <w:ilvl w:val="0"/>
                <w:numId w:val="25"/>
              </w:numPr>
              <w:rPr>
                <w:lang w:val="en-AU"/>
              </w:rPr>
            </w:pPr>
            <w:r w:rsidRPr="00CB143A">
              <w:rPr>
                <w:lang w:val="en-AU"/>
              </w:rPr>
              <w:t xml:space="preserve">Evaluation of hospital factors associated with </w:t>
            </w:r>
            <w:r w:rsidRPr="00CB143A">
              <w:rPr>
                <w:b/>
                <w:lang w:val="en-AU"/>
              </w:rPr>
              <w:t>hospital postoperative venous thromboembolism</w:t>
            </w:r>
            <w:r w:rsidRPr="00CB143A">
              <w:rPr>
                <w:lang w:val="en-AU"/>
              </w:rPr>
              <w:t xml:space="preserve"> imaging utilisation practices (Jeanette W Chung, Mila H Ju, C V Kinnier, E R Haut, D W Baker, K Y Bilimoria</w:t>
            </w:r>
            <w:r>
              <w:rPr>
                <w:lang w:val="en-AU"/>
              </w:rPr>
              <w:t>)</w:t>
            </w:r>
          </w:p>
          <w:p w:rsidR="00630534" w:rsidRPr="0091691E" w:rsidRDefault="00CB143A" w:rsidP="00CB143A">
            <w:pPr>
              <w:numPr>
                <w:ilvl w:val="0"/>
                <w:numId w:val="25"/>
              </w:numPr>
              <w:rPr>
                <w:lang w:val="en-AU"/>
              </w:rPr>
            </w:pPr>
            <w:r w:rsidRPr="00CB143A">
              <w:rPr>
                <w:b/>
                <w:lang w:val="en-AU"/>
              </w:rPr>
              <w:t>Learning from mistakes</w:t>
            </w:r>
            <w:r w:rsidRPr="00CB143A">
              <w:rPr>
                <w:lang w:val="en-AU"/>
              </w:rPr>
              <w:t xml:space="preserve"> in clinical practice guidelines: the case of perioperative β-blockade </w:t>
            </w:r>
            <w:r>
              <w:rPr>
                <w:lang w:val="en-AU"/>
              </w:rPr>
              <w:t>(</w:t>
            </w:r>
            <w:r w:rsidRPr="00CB143A">
              <w:rPr>
                <w:lang w:val="en-AU"/>
              </w:rPr>
              <w:t>Mark D Neuman, Charles L Bosk, L A Fleisher</w:t>
            </w:r>
            <w:r>
              <w:rPr>
                <w:lang w:val="en-AU"/>
              </w:rPr>
              <w:t>)</w:t>
            </w:r>
          </w:p>
        </w:tc>
      </w:tr>
    </w:tbl>
    <w:p w:rsidR="00630534" w:rsidRDefault="00630534" w:rsidP="00C8436A">
      <w:pPr>
        <w:rPr>
          <w:lang w:val="en-AU"/>
        </w:rPr>
      </w:pPr>
    </w:p>
    <w:p w:rsidR="00191212" w:rsidRPr="00737BFB" w:rsidRDefault="00191212" w:rsidP="00191212">
      <w:pPr>
        <w:rPr>
          <w:i/>
          <w:lang w:val="en-AU"/>
        </w:rPr>
      </w:pPr>
      <w:r w:rsidRPr="00737BFB">
        <w:rPr>
          <w:i/>
          <w:lang w:val="en-AU"/>
        </w:rPr>
        <w:t>International Journal for Quality in Health Care</w:t>
      </w:r>
    </w:p>
    <w:p w:rsidR="00191212" w:rsidRPr="00737BFB" w:rsidRDefault="00191212" w:rsidP="00191212">
      <w:pPr>
        <w:keepNext/>
        <w:autoSpaceDE w:val="0"/>
        <w:autoSpaceDN w:val="0"/>
        <w:adjustRightInd w:val="0"/>
        <w:rPr>
          <w:lang w:val="en-AU"/>
        </w:rPr>
      </w:pPr>
      <w:r>
        <w:rPr>
          <w:lang w:val="en-AU"/>
        </w:rPr>
        <w:t>Vol. 26, No. 5, October 2014</w:t>
      </w:r>
    </w:p>
    <w:tbl>
      <w:tblPr>
        <w:tblStyle w:val="TableGrid"/>
        <w:tblW w:w="0" w:type="auto"/>
        <w:tblInd w:w="288" w:type="dxa"/>
        <w:tblLayout w:type="fixed"/>
        <w:tblLook w:val="01E0" w:firstRow="1" w:lastRow="1" w:firstColumn="1" w:lastColumn="1" w:noHBand="0" w:noVBand="0"/>
      </w:tblPr>
      <w:tblGrid>
        <w:gridCol w:w="1080"/>
        <w:gridCol w:w="8280"/>
      </w:tblGrid>
      <w:tr w:rsidR="00191212" w:rsidRPr="00737BFB" w:rsidTr="0048697A">
        <w:tc>
          <w:tcPr>
            <w:tcW w:w="1080" w:type="dxa"/>
            <w:tcBorders>
              <w:top w:val="single" w:sz="4" w:space="0" w:color="auto"/>
              <w:left w:val="single" w:sz="4" w:space="0" w:color="auto"/>
              <w:bottom w:val="single" w:sz="4" w:space="0" w:color="auto"/>
              <w:right w:val="single" w:sz="4" w:space="0" w:color="auto"/>
            </w:tcBorders>
            <w:vAlign w:val="center"/>
          </w:tcPr>
          <w:p w:rsidR="00191212" w:rsidRPr="00737BFB" w:rsidRDefault="00191212" w:rsidP="0048697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91212" w:rsidRPr="00737BFB" w:rsidRDefault="00493379" w:rsidP="00191212">
            <w:pPr>
              <w:rPr>
                <w:lang w:val="en-AU"/>
              </w:rPr>
            </w:pPr>
            <w:hyperlink r:id="rId33" w:history="1">
              <w:r w:rsidR="00191212" w:rsidRPr="000706C5">
                <w:rPr>
                  <w:rStyle w:val="Hyperlink"/>
                  <w:lang w:val="en-AU"/>
                </w:rPr>
                <w:t>http://intqhc.oxfordjournals.org/content/26/5?etoc</w:t>
              </w:r>
            </w:hyperlink>
          </w:p>
        </w:tc>
      </w:tr>
      <w:tr w:rsidR="00191212" w:rsidRPr="00737BFB" w:rsidTr="0048697A">
        <w:tc>
          <w:tcPr>
            <w:tcW w:w="1080" w:type="dxa"/>
            <w:tcBorders>
              <w:top w:val="single" w:sz="4" w:space="0" w:color="auto"/>
              <w:left w:val="single" w:sz="4" w:space="0" w:color="auto"/>
              <w:bottom w:val="single" w:sz="4" w:space="0" w:color="auto"/>
              <w:right w:val="single" w:sz="4" w:space="0" w:color="auto"/>
            </w:tcBorders>
            <w:vAlign w:val="center"/>
          </w:tcPr>
          <w:p w:rsidR="00191212" w:rsidRPr="00737BFB" w:rsidRDefault="00191212" w:rsidP="0048697A">
            <w:pPr>
              <w:rPr>
                <w:lang w:val="en-AU"/>
              </w:rPr>
            </w:pPr>
            <w:r w:rsidRPr="00737BFB">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91212" w:rsidRDefault="00191212" w:rsidP="0048697A">
            <w:pPr>
              <w:rPr>
                <w:lang w:val="en-AU"/>
              </w:rPr>
            </w:pPr>
            <w:r>
              <w:rPr>
                <w:lang w:val="en-AU"/>
              </w:rPr>
              <w:t xml:space="preserve">A new issue of </w:t>
            </w:r>
            <w:r w:rsidRPr="00737BFB">
              <w:rPr>
                <w:i/>
                <w:lang w:val="en-AU"/>
              </w:rPr>
              <w:t>International Journal for Quality in Health Care</w:t>
            </w:r>
            <w:r>
              <w:rPr>
                <w:i/>
                <w:lang w:val="en-AU"/>
              </w:rPr>
              <w:t xml:space="preserve"> </w:t>
            </w:r>
            <w:r w:rsidRPr="004B0E69">
              <w:rPr>
                <w:lang w:val="en-AU"/>
              </w:rPr>
              <w:t>has</w:t>
            </w:r>
            <w:r>
              <w:rPr>
                <w:i/>
                <w:lang w:val="en-AU"/>
              </w:rPr>
              <w:t xml:space="preserve"> </w:t>
            </w:r>
            <w:r>
              <w:rPr>
                <w:lang w:val="en-AU"/>
              </w:rPr>
              <w:t xml:space="preserve">been published. Many of the papers in this issue have been referred to in previous editions of On the Radar (when they released online). Articles in this issue of </w:t>
            </w:r>
            <w:r w:rsidRPr="00737BFB">
              <w:rPr>
                <w:i/>
                <w:lang w:val="en-AU"/>
              </w:rPr>
              <w:t>International Journal for Quality in Health Care</w:t>
            </w:r>
            <w:r>
              <w:rPr>
                <w:lang w:val="en-AU"/>
              </w:rPr>
              <w:t xml:space="preserve"> include:</w:t>
            </w:r>
          </w:p>
          <w:p w:rsidR="00930471" w:rsidRPr="00930471" w:rsidRDefault="00930471" w:rsidP="00930471">
            <w:pPr>
              <w:pStyle w:val="ListParagraph"/>
              <w:numPr>
                <w:ilvl w:val="0"/>
                <w:numId w:val="24"/>
              </w:numPr>
              <w:rPr>
                <w:lang w:val="en-AU"/>
              </w:rPr>
            </w:pPr>
            <w:r w:rsidRPr="00930471">
              <w:rPr>
                <w:lang w:val="en-AU"/>
              </w:rPr>
              <w:t xml:space="preserve">Towards a measurement instrument for </w:t>
            </w:r>
            <w:r w:rsidRPr="00930471">
              <w:rPr>
                <w:b/>
                <w:lang w:val="en-AU"/>
              </w:rPr>
              <w:t>determinants of innovations</w:t>
            </w:r>
            <w:r w:rsidRPr="00930471">
              <w:rPr>
                <w:lang w:val="en-AU"/>
              </w:rPr>
              <w:t xml:space="preserve"> (Margot A H Fleuren, Theo G W M Paulussen, Paula Van Dommelen, and Stef Van Buuren</w:t>
            </w:r>
            <w:r>
              <w:rPr>
                <w:lang w:val="en-AU"/>
              </w:rPr>
              <w:t>)</w:t>
            </w:r>
          </w:p>
          <w:p w:rsidR="00930471" w:rsidRPr="00930471" w:rsidRDefault="00930471" w:rsidP="00930471">
            <w:pPr>
              <w:pStyle w:val="ListParagraph"/>
              <w:numPr>
                <w:ilvl w:val="0"/>
                <w:numId w:val="24"/>
              </w:numPr>
              <w:rPr>
                <w:lang w:val="en-AU"/>
              </w:rPr>
            </w:pPr>
            <w:r w:rsidRPr="00930471">
              <w:rPr>
                <w:lang w:val="en-AU"/>
              </w:rPr>
              <w:t xml:space="preserve">International variation in the definition of </w:t>
            </w:r>
            <w:r w:rsidRPr="00930471">
              <w:rPr>
                <w:b/>
                <w:lang w:val="en-AU"/>
              </w:rPr>
              <w:t xml:space="preserve">‘main condition’ in ICD-coded health data </w:t>
            </w:r>
            <w:r w:rsidRPr="00930471">
              <w:rPr>
                <w:lang w:val="en-AU"/>
              </w:rPr>
              <w:t>(H. Quan, L Moskal, A J Forster, S Brien, R Walker, P S Romano, V Sundararajan, B Burnand, G Henriksson, O Steinum, S Droesler, H A Pincus, and W</w:t>
            </w:r>
            <w:r>
              <w:rPr>
                <w:lang w:val="en-AU"/>
              </w:rPr>
              <w:t xml:space="preserve"> </w:t>
            </w:r>
            <w:r w:rsidRPr="00930471">
              <w:rPr>
                <w:lang w:val="en-AU"/>
              </w:rPr>
              <w:t>A Ghali</w:t>
            </w:r>
            <w:r>
              <w:rPr>
                <w:lang w:val="en-AU"/>
              </w:rPr>
              <w:t>)</w:t>
            </w:r>
          </w:p>
          <w:p w:rsidR="00930471" w:rsidRPr="00930471" w:rsidRDefault="00930471" w:rsidP="00930471">
            <w:pPr>
              <w:pStyle w:val="ListParagraph"/>
              <w:numPr>
                <w:ilvl w:val="0"/>
                <w:numId w:val="24"/>
              </w:numPr>
              <w:rPr>
                <w:lang w:val="en-AU"/>
              </w:rPr>
            </w:pPr>
            <w:r w:rsidRPr="00930471">
              <w:rPr>
                <w:lang w:val="en-AU"/>
              </w:rPr>
              <w:t xml:space="preserve">Editor’s choice: Trends in hospital performance in </w:t>
            </w:r>
            <w:r w:rsidRPr="00930471">
              <w:rPr>
                <w:b/>
                <w:lang w:val="en-AU"/>
              </w:rPr>
              <w:t>acute myocardial infarction care</w:t>
            </w:r>
            <w:r w:rsidRPr="00930471">
              <w:rPr>
                <w:lang w:val="en-AU"/>
              </w:rPr>
              <w:t>: a retrospective longitudinal study in Japan (Naoto Ukawa, Hiroshi Ikai, and Yuichi Imanaka</w:t>
            </w:r>
            <w:r>
              <w:rPr>
                <w:lang w:val="en-AU"/>
              </w:rPr>
              <w:t>)</w:t>
            </w:r>
          </w:p>
          <w:p w:rsidR="00930471" w:rsidRPr="00930471" w:rsidRDefault="00930471" w:rsidP="00930471">
            <w:pPr>
              <w:pStyle w:val="ListParagraph"/>
              <w:numPr>
                <w:ilvl w:val="0"/>
                <w:numId w:val="24"/>
              </w:numPr>
              <w:rPr>
                <w:lang w:val="en-AU"/>
              </w:rPr>
            </w:pPr>
            <w:r w:rsidRPr="00930471">
              <w:rPr>
                <w:lang w:val="en-AU"/>
              </w:rPr>
              <w:t xml:space="preserve">Gender and performance of </w:t>
            </w:r>
            <w:r w:rsidRPr="00930471">
              <w:rPr>
                <w:b/>
                <w:lang w:val="en-AU"/>
              </w:rPr>
              <w:t>community treatment assistants in Tanzania</w:t>
            </w:r>
            <w:r w:rsidRPr="00930471">
              <w:rPr>
                <w:lang w:val="en-AU"/>
              </w:rPr>
              <w:t xml:space="preserve"> (Alexander Jenson, Catherine Gracewello, Harran Mkocha, Debra Roter, Beatriz Munoz, and Sheila West</w:t>
            </w:r>
            <w:r>
              <w:rPr>
                <w:lang w:val="en-AU"/>
              </w:rPr>
              <w:t>)</w:t>
            </w:r>
          </w:p>
          <w:p w:rsidR="00930471" w:rsidRPr="00930471" w:rsidRDefault="00930471" w:rsidP="00930471">
            <w:pPr>
              <w:pStyle w:val="ListParagraph"/>
              <w:numPr>
                <w:ilvl w:val="0"/>
                <w:numId w:val="24"/>
              </w:numPr>
              <w:rPr>
                <w:lang w:val="en-AU"/>
              </w:rPr>
            </w:pPr>
            <w:r w:rsidRPr="00930471">
              <w:rPr>
                <w:lang w:val="en-AU"/>
              </w:rPr>
              <w:t xml:space="preserve"> Association of </w:t>
            </w:r>
            <w:r w:rsidRPr="00930471">
              <w:rPr>
                <w:b/>
                <w:lang w:val="en-AU"/>
              </w:rPr>
              <w:t>weekend continuity of care</w:t>
            </w:r>
            <w:r w:rsidRPr="00930471">
              <w:rPr>
                <w:lang w:val="en-AU"/>
              </w:rPr>
              <w:t xml:space="preserve"> with </w:t>
            </w:r>
            <w:r w:rsidRPr="00930471">
              <w:rPr>
                <w:b/>
                <w:lang w:val="en-AU"/>
              </w:rPr>
              <w:t xml:space="preserve">hospital length of stay </w:t>
            </w:r>
            <w:r w:rsidRPr="00930471">
              <w:rPr>
                <w:lang w:val="en-AU"/>
              </w:rPr>
              <w:t>(Saul Blecker, Daniel Shine, Naeun Park, Keith Goldfeld, R Scott Braithwaite, Martha J Radford, and Marc N Gourevitch</w:t>
            </w:r>
            <w:r>
              <w:rPr>
                <w:lang w:val="en-AU"/>
              </w:rPr>
              <w:t>)</w:t>
            </w:r>
          </w:p>
          <w:p w:rsidR="00930471" w:rsidRPr="00930471" w:rsidRDefault="00930471" w:rsidP="00930471">
            <w:pPr>
              <w:pStyle w:val="ListParagraph"/>
              <w:numPr>
                <w:ilvl w:val="0"/>
                <w:numId w:val="24"/>
              </w:numPr>
              <w:rPr>
                <w:lang w:val="en-AU"/>
              </w:rPr>
            </w:pPr>
            <w:r w:rsidRPr="00930471">
              <w:rPr>
                <w:b/>
                <w:lang w:val="en-AU"/>
              </w:rPr>
              <w:t>Diagnostic error in children</w:t>
            </w:r>
            <w:r w:rsidRPr="00930471">
              <w:rPr>
                <w:lang w:val="en-AU"/>
              </w:rPr>
              <w:t xml:space="preserve"> presenting with acute medical illness to a community hospital (Catherine Warrick, Poonam Patel, Warren Hyer, Graham Neale, Nick Sevdalis, and David Inwald</w:t>
            </w:r>
            <w:r>
              <w:rPr>
                <w:lang w:val="en-AU"/>
              </w:rPr>
              <w:t>)</w:t>
            </w:r>
          </w:p>
          <w:p w:rsidR="00930471" w:rsidRPr="00930471" w:rsidRDefault="00930471" w:rsidP="00930471">
            <w:pPr>
              <w:pStyle w:val="ListParagraph"/>
              <w:numPr>
                <w:ilvl w:val="0"/>
                <w:numId w:val="24"/>
              </w:numPr>
              <w:rPr>
                <w:lang w:val="en-AU"/>
              </w:rPr>
            </w:pPr>
            <w:r w:rsidRPr="00930471">
              <w:rPr>
                <w:lang w:val="en-AU"/>
              </w:rPr>
              <w:t xml:space="preserve">Can </w:t>
            </w:r>
            <w:r w:rsidRPr="00930471">
              <w:rPr>
                <w:b/>
                <w:lang w:val="en-AU"/>
              </w:rPr>
              <w:t>preventable adverse events</w:t>
            </w:r>
            <w:r w:rsidRPr="00930471">
              <w:rPr>
                <w:lang w:val="en-AU"/>
              </w:rPr>
              <w:t xml:space="preserve"> be predicted among </w:t>
            </w:r>
            <w:r w:rsidRPr="00930471">
              <w:rPr>
                <w:b/>
                <w:lang w:val="en-AU"/>
              </w:rPr>
              <w:t>hospitalized older patients</w:t>
            </w:r>
            <w:r w:rsidRPr="00930471">
              <w:rPr>
                <w:lang w:val="en-AU"/>
              </w:rPr>
              <w:t>? The development and validation of a predictive model (L Van De Steeg, M Langelaan, and C Wagner</w:t>
            </w:r>
            <w:r>
              <w:rPr>
                <w:lang w:val="en-AU"/>
              </w:rPr>
              <w:t>)</w:t>
            </w:r>
          </w:p>
          <w:p w:rsidR="00930471" w:rsidRPr="00930471" w:rsidRDefault="00930471" w:rsidP="00930471">
            <w:pPr>
              <w:pStyle w:val="ListParagraph"/>
              <w:numPr>
                <w:ilvl w:val="0"/>
                <w:numId w:val="24"/>
              </w:numPr>
              <w:rPr>
                <w:lang w:val="en-AU"/>
              </w:rPr>
            </w:pPr>
            <w:r w:rsidRPr="00930471">
              <w:rPr>
                <w:lang w:val="en-AU"/>
              </w:rPr>
              <w:t xml:space="preserve">Does adding an appended oncology module to the </w:t>
            </w:r>
            <w:r w:rsidRPr="00930471">
              <w:rPr>
                <w:b/>
                <w:lang w:val="en-AU"/>
              </w:rPr>
              <w:t>Global Trigger Tool</w:t>
            </w:r>
            <w:r w:rsidRPr="00930471">
              <w:rPr>
                <w:lang w:val="en-AU"/>
              </w:rPr>
              <w:t xml:space="preserve"> increase its value? (Thea Otto Mattsson, Janne Lehmann Knudsen, Kim Brixen, and Jørn Herrstedt</w:t>
            </w:r>
            <w:r>
              <w:rPr>
                <w:lang w:val="en-AU"/>
              </w:rPr>
              <w:t>)</w:t>
            </w:r>
          </w:p>
          <w:p w:rsidR="00191212" w:rsidRPr="00BE3C51" w:rsidRDefault="00930471" w:rsidP="00930471">
            <w:pPr>
              <w:pStyle w:val="ListParagraph"/>
              <w:numPr>
                <w:ilvl w:val="0"/>
                <w:numId w:val="24"/>
              </w:numPr>
              <w:rPr>
                <w:lang w:val="en-AU"/>
              </w:rPr>
            </w:pPr>
            <w:r w:rsidRPr="00930471">
              <w:rPr>
                <w:b/>
                <w:lang w:val="en-AU"/>
              </w:rPr>
              <w:t>Integrated care programmes</w:t>
            </w:r>
            <w:r w:rsidRPr="00930471">
              <w:rPr>
                <w:lang w:val="en-AU"/>
              </w:rPr>
              <w:t xml:space="preserve"> for adults with chronic conditions: a meta-review (Nahara Anani Martínez-González, Peter Berchtold, Klara Ullman, André Busato, and Matthias Egger</w:t>
            </w:r>
            <w:r>
              <w:rPr>
                <w:lang w:val="en-AU"/>
              </w:rPr>
              <w:t>)</w:t>
            </w:r>
          </w:p>
        </w:tc>
      </w:tr>
    </w:tbl>
    <w:p w:rsidR="00191212" w:rsidRDefault="00191212" w:rsidP="00C8436A">
      <w:pPr>
        <w:rPr>
          <w:lang w:val="en-AU"/>
        </w:rPr>
      </w:pPr>
    </w:p>
    <w:p w:rsidR="008544AB" w:rsidRDefault="008544AB">
      <w:pPr>
        <w:rPr>
          <w:i/>
          <w:lang w:val="en-AU"/>
        </w:rPr>
      </w:pPr>
      <w:r>
        <w:rPr>
          <w:i/>
          <w:lang w:val="en-AU"/>
        </w:rPr>
        <w:br w:type="page"/>
      </w:r>
    </w:p>
    <w:p w:rsidR="00910180" w:rsidRPr="0095520C" w:rsidRDefault="00910180" w:rsidP="00910180">
      <w:pPr>
        <w:keepNext/>
        <w:rPr>
          <w:lang w:val="en-AU"/>
        </w:rPr>
      </w:pPr>
      <w:r w:rsidRPr="0095520C">
        <w:rPr>
          <w:i/>
          <w:lang w:val="en-AU"/>
        </w:rPr>
        <w:lastRenderedPageBreak/>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10180" w:rsidRPr="0095520C" w:rsidRDefault="00493379" w:rsidP="007737CF">
            <w:pPr>
              <w:rPr>
                <w:lang w:val="en-AU"/>
              </w:rPr>
            </w:pPr>
            <w:hyperlink r:id="rId34" w:history="1">
              <w:r w:rsidR="00910180" w:rsidRPr="0095520C">
                <w:rPr>
                  <w:rStyle w:val="Hyperlink"/>
                  <w:lang w:val="en-AU"/>
                </w:rPr>
                <w:t>http://qualitysafety.bmj.com/content/early/recent</w:t>
              </w:r>
            </w:hyperlink>
          </w:p>
        </w:tc>
      </w:tr>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i/>
                <w:lang w:val="en-AU"/>
              </w:rPr>
              <w:t>BMJ Quality and Safety</w:t>
            </w:r>
            <w:r w:rsidRPr="0095520C">
              <w:rPr>
                <w:lang w:val="en-AU"/>
              </w:rPr>
              <w:t xml:space="preserve"> has published a number of ‘online first’ articles, including:</w:t>
            </w:r>
          </w:p>
          <w:p w:rsidR="00910180" w:rsidRDefault="00910180" w:rsidP="005557A7">
            <w:pPr>
              <w:pStyle w:val="ListParagraph"/>
              <w:numPr>
                <w:ilvl w:val="0"/>
                <w:numId w:val="14"/>
              </w:numPr>
              <w:rPr>
                <w:lang w:val="en-AU"/>
              </w:rPr>
            </w:pPr>
            <w:r w:rsidRPr="00910180">
              <w:rPr>
                <w:b/>
                <w:lang w:val="en-AU"/>
              </w:rPr>
              <w:t>Low value cardiac testing</w:t>
            </w:r>
            <w:r w:rsidRPr="00910180">
              <w:rPr>
                <w:lang w:val="en-AU"/>
              </w:rPr>
              <w:t xml:space="preserve"> and Choosing Wisely </w:t>
            </w:r>
            <w:r>
              <w:rPr>
                <w:lang w:val="en-AU"/>
              </w:rPr>
              <w:t>(</w:t>
            </w:r>
            <w:r w:rsidRPr="00910180">
              <w:rPr>
                <w:lang w:val="en-AU"/>
              </w:rPr>
              <w:t>R Sacha Bhatia, Wendy Levinson, Douglas S Lee</w:t>
            </w:r>
            <w:r>
              <w:rPr>
                <w:lang w:val="en-AU"/>
              </w:rPr>
              <w:t>)</w:t>
            </w:r>
          </w:p>
          <w:p w:rsidR="00DA5A66" w:rsidRPr="0095520C" w:rsidRDefault="00DA5A66" w:rsidP="00DA5A66">
            <w:pPr>
              <w:pStyle w:val="ListParagraph"/>
              <w:numPr>
                <w:ilvl w:val="0"/>
                <w:numId w:val="14"/>
              </w:numPr>
              <w:rPr>
                <w:lang w:val="en-AU"/>
              </w:rPr>
            </w:pPr>
            <w:r w:rsidRPr="00DA5A66">
              <w:rPr>
                <w:b/>
                <w:lang w:val="en-AU"/>
              </w:rPr>
              <w:t>Designing quality improvement initiatives</w:t>
            </w:r>
            <w:r w:rsidRPr="00DA5A66">
              <w:rPr>
                <w:lang w:val="en-AU"/>
              </w:rPr>
              <w:t xml:space="preserve">: the action effect method, a structured approach to identifying and articulating programme theory </w:t>
            </w:r>
            <w:r>
              <w:rPr>
                <w:lang w:val="en-AU"/>
              </w:rPr>
              <w:t>(</w:t>
            </w:r>
            <w:r w:rsidRPr="00DA5A66">
              <w:rPr>
                <w:lang w:val="en-AU"/>
              </w:rPr>
              <w:t>Julie E Reed, Christopher McNicholas, Thomas Woodcock, Laurel Issen, D Bell</w:t>
            </w:r>
            <w:r>
              <w:rPr>
                <w:lang w:val="en-AU"/>
              </w:rPr>
              <w:t>)</w:t>
            </w:r>
          </w:p>
        </w:tc>
      </w:tr>
    </w:tbl>
    <w:p w:rsidR="00910180" w:rsidRDefault="00910180" w:rsidP="00C8436A">
      <w:pPr>
        <w:rPr>
          <w:lang w:val="en-AU"/>
        </w:rPr>
      </w:pPr>
    </w:p>
    <w:p w:rsidR="005557A7" w:rsidRPr="0095520C" w:rsidRDefault="005557A7" w:rsidP="005557A7">
      <w:pPr>
        <w:rPr>
          <w:lang w:val="en-AU"/>
        </w:rPr>
      </w:pPr>
      <w:r w:rsidRPr="00737BFB">
        <w:rPr>
          <w:i/>
          <w:lang w:val="en-AU"/>
        </w:rPr>
        <w:t>International Journal for Quality in Health Care</w:t>
      </w:r>
      <w:r w:rsidRPr="0095520C">
        <w:rPr>
          <w:i/>
          <w:lang w:val="en-AU"/>
        </w:rPr>
        <w:t xml:space="preserve">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557A7" w:rsidRPr="0095520C" w:rsidTr="00E87BFF">
        <w:tc>
          <w:tcPr>
            <w:tcW w:w="1080" w:type="dxa"/>
            <w:tcBorders>
              <w:top w:val="single" w:sz="4" w:space="0" w:color="auto"/>
              <w:left w:val="single" w:sz="4" w:space="0" w:color="auto"/>
              <w:bottom w:val="single" w:sz="4" w:space="0" w:color="auto"/>
              <w:right w:val="single" w:sz="4" w:space="0" w:color="auto"/>
            </w:tcBorders>
            <w:vAlign w:val="center"/>
          </w:tcPr>
          <w:p w:rsidR="005557A7" w:rsidRPr="0095520C" w:rsidRDefault="005557A7" w:rsidP="00E87BFF">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557A7" w:rsidRPr="0095520C" w:rsidRDefault="00493379" w:rsidP="00E87BFF">
            <w:pPr>
              <w:rPr>
                <w:lang w:val="en-AU"/>
              </w:rPr>
            </w:pPr>
            <w:hyperlink r:id="rId35" w:history="1">
              <w:r w:rsidR="005557A7" w:rsidRPr="00B818AB">
                <w:rPr>
                  <w:rStyle w:val="Hyperlink"/>
                  <w:lang w:val="en-AU"/>
                </w:rPr>
                <w:t>http://intqhc.oxfordjournals.org/content/early/recent?papetoc</w:t>
              </w:r>
            </w:hyperlink>
            <w:r w:rsidR="005557A7">
              <w:rPr>
                <w:lang w:val="en-AU"/>
              </w:rPr>
              <w:t xml:space="preserve"> </w:t>
            </w:r>
          </w:p>
        </w:tc>
      </w:tr>
      <w:tr w:rsidR="005557A7" w:rsidRPr="0095520C" w:rsidTr="00E87BFF">
        <w:tc>
          <w:tcPr>
            <w:tcW w:w="1080" w:type="dxa"/>
            <w:tcBorders>
              <w:top w:val="single" w:sz="4" w:space="0" w:color="auto"/>
              <w:left w:val="single" w:sz="4" w:space="0" w:color="auto"/>
              <w:bottom w:val="single" w:sz="4" w:space="0" w:color="auto"/>
              <w:right w:val="single" w:sz="4" w:space="0" w:color="auto"/>
            </w:tcBorders>
            <w:vAlign w:val="center"/>
          </w:tcPr>
          <w:p w:rsidR="005557A7" w:rsidRPr="0095520C" w:rsidRDefault="005557A7" w:rsidP="00E87BF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557A7" w:rsidRPr="0095520C" w:rsidRDefault="005557A7" w:rsidP="00E87BFF">
            <w:pPr>
              <w:rPr>
                <w:lang w:val="en-AU"/>
              </w:rPr>
            </w:pPr>
            <w:r w:rsidRPr="00737BFB">
              <w:rPr>
                <w:i/>
                <w:lang w:val="en-AU"/>
              </w:rPr>
              <w:t>International Journal for Quality in Health Care</w:t>
            </w:r>
            <w:r>
              <w:rPr>
                <w:i/>
                <w:lang w:val="en-AU"/>
              </w:rPr>
              <w:t xml:space="preserve"> </w:t>
            </w:r>
            <w:r w:rsidRPr="0095520C">
              <w:rPr>
                <w:lang w:val="en-AU"/>
              </w:rPr>
              <w:t>has published a number of ‘online first’ articles, including:</w:t>
            </w:r>
          </w:p>
          <w:p w:rsidR="005557A7" w:rsidRPr="0095520C" w:rsidRDefault="005557A7" w:rsidP="005557A7">
            <w:pPr>
              <w:pStyle w:val="ListParagraph"/>
              <w:numPr>
                <w:ilvl w:val="0"/>
                <w:numId w:val="14"/>
              </w:numPr>
              <w:rPr>
                <w:lang w:val="en-AU"/>
              </w:rPr>
            </w:pPr>
            <w:r w:rsidRPr="005557A7">
              <w:rPr>
                <w:lang w:val="en-AU"/>
              </w:rPr>
              <w:t xml:space="preserve">Systematic biases in </w:t>
            </w:r>
            <w:r w:rsidRPr="005557A7">
              <w:rPr>
                <w:b/>
                <w:lang w:val="en-AU"/>
              </w:rPr>
              <w:t>group decision-making</w:t>
            </w:r>
            <w:r w:rsidRPr="005557A7">
              <w:rPr>
                <w:lang w:val="en-AU"/>
              </w:rPr>
              <w:t>: implications for patient safety</w:t>
            </w:r>
            <w:r>
              <w:rPr>
                <w:lang w:val="en-AU"/>
              </w:rPr>
              <w:t xml:space="preserve"> (</w:t>
            </w:r>
            <w:r w:rsidRPr="005557A7">
              <w:rPr>
                <w:lang w:val="en-AU"/>
              </w:rPr>
              <w:t>Russell Mannion and Carl Thompson</w:t>
            </w:r>
            <w:r>
              <w:rPr>
                <w:lang w:val="en-AU"/>
              </w:rPr>
              <w:t>)</w:t>
            </w:r>
          </w:p>
        </w:tc>
      </w:tr>
    </w:tbl>
    <w:p w:rsidR="005557A7" w:rsidRDefault="005557A7" w:rsidP="005557A7">
      <w:pPr>
        <w:rPr>
          <w:lang w:val="en-AU"/>
        </w:rPr>
      </w:pPr>
    </w:p>
    <w:p w:rsidR="00234CA5" w:rsidRDefault="00234CA5">
      <w:pPr>
        <w:rPr>
          <w:b/>
          <w:lang w:val="en-AU"/>
        </w:rPr>
      </w:pPr>
    </w:p>
    <w:p w:rsidR="00590FB6" w:rsidRDefault="00590FB6" w:rsidP="0029518F">
      <w:pPr>
        <w:rPr>
          <w:b/>
          <w:lang w:val="en-AU"/>
        </w:rPr>
      </w:pPr>
      <w:r>
        <w:rPr>
          <w:b/>
          <w:lang w:val="en-AU"/>
        </w:rPr>
        <w:t>Online resources</w:t>
      </w:r>
    </w:p>
    <w:p w:rsidR="00D17785" w:rsidRDefault="00D17785" w:rsidP="0029518F">
      <w:pPr>
        <w:rPr>
          <w:i/>
          <w:lang w:val="en-AU"/>
        </w:rPr>
      </w:pPr>
    </w:p>
    <w:p w:rsidR="00792DA8" w:rsidRDefault="00792DA8" w:rsidP="00792DA8">
      <w:pPr>
        <w:keepNext/>
        <w:rPr>
          <w:i/>
          <w:lang w:val="en-AU"/>
        </w:rPr>
      </w:pPr>
      <w:r>
        <w:rPr>
          <w:i/>
          <w:lang w:val="en-AU"/>
        </w:rPr>
        <w:t>[UK] NICE Evidence Updates</w:t>
      </w:r>
    </w:p>
    <w:p w:rsidR="00792DA8" w:rsidRPr="004075DB" w:rsidRDefault="00493379" w:rsidP="00792DA8">
      <w:pPr>
        <w:keepNext/>
        <w:rPr>
          <w:lang w:val="en-AU"/>
        </w:rPr>
      </w:pPr>
      <w:hyperlink r:id="rId36" w:history="1">
        <w:r w:rsidR="00792DA8" w:rsidRPr="004075DB">
          <w:rPr>
            <w:rStyle w:val="Hyperlink"/>
            <w:lang w:val="en-AU"/>
          </w:rPr>
          <w:t>https://www.evidence.nhs.uk/about-evidence-services/bulletins-and-alerts/evidence-updates</w:t>
        </w:r>
      </w:hyperlink>
      <w:r w:rsidR="00792DA8" w:rsidRPr="004075DB">
        <w:rPr>
          <w:lang w:val="en-AU"/>
        </w:rPr>
        <w:t xml:space="preserve"> </w:t>
      </w:r>
    </w:p>
    <w:p w:rsidR="00792DA8" w:rsidRPr="00D639C6" w:rsidRDefault="00792DA8" w:rsidP="00792DA8">
      <w:pPr>
        <w:keepNext/>
        <w:rPr>
          <w:lang w:val="en-AU"/>
        </w:rPr>
      </w:pPr>
      <w:r>
        <w:rPr>
          <w:lang w:val="en-AU"/>
        </w:rPr>
        <w:t xml:space="preserve">The UK’s National Institute for Health and Care Excellence (NICE) publishes updates on their </w:t>
      </w:r>
      <w:r w:rsidRPr="0086613B">
        <w:rPr>
          <w:lang w:val="en-AU"/>
        </w:rPr>
        <w:t xml:space="preserve">Evidence Updates </w:t>
      </w:r>
      <w:r>
        <w:rPr>
          <w:lang w:val="en-AU"/>
        </w:rPr>
        <w:t xml:space="preserve">site. The latest update is on </w:t>
      </w:r>
      <w:r w:rsidRPr="00D639C6">
        <w:rPr>
          <w:lang w:val="en-AU"/>
        </w:rPr>
        <w:t>‘</w:t>
      </w:r>
      <w:r w:rsidRPr="00792DA8">
        <w:rPr>
          <w:b/>
          <w:lang w:val="en-AU"/>
        </w:rPr>
        <w:t xml:space="preserve">type </w:t>
      </w:r>
      <w:proofErr w:type="gramStart"/>
      <w:r w:rsidRPr="00792DA8">
        <w:rPr>
          <w:b/>
          <w:lang w:val="en-AU"/>
        </w:rPr>
        <w:t>2 diabetes</w:t>
      </w:r>
      <w:r w:rsidRPr="005C156F">
        <w:rPr>
          <w:lang w:val="en-AU"/>
        </w:rPr>
        <w:t>’</w:t>
      </w:r>
      <w:proofErr w:type="gramEnd"/>
      <w:r w:rsidRPr="00D639C6">
        <w:rPr>
          <w:lang w:val="en-AU"/>
        </w:rPr>
        <w:t>.</w:t>
      </w:r>
    </w:p>
    <w:p w:rsidR="00792DA8" w:rsidRPr="00792DA8" w:rsidRDefault="00792DA8" w:rsidP="00792DA8">
      <w:pPr>
        <w:keepNext/>
        <w:rPr>
          <w:lang w:val="en-AU"/>
        </w:rPr>
      </w:pPr>
      <w:r w:rsidRPr="00792DA8">
        <w:rPr>
          <w:lang w:val="en-AU"/>
        </w:rPr>
        <w:t>A new Evidence Update focuses on a summary of selected new evidence relevant to NICE public health guidance PH35 ‘</w:t>
      </w:r>
      <w:r w:rsidRPr="00792DA8">
        <w:rPr>
          <w:b/>
          <w:lang w:val="en-AU"/>
        </w:rPr>
        <w:t>Preventing type 2 diabetes: population and community-level interventions</w:t>
      </w:r>
      <w:r w:rsidRPr="00792DA8">
        <w:rPr>
          <w:lang w:val="en-AU"/>
        </w:rPr>
        <w:t>’ (2011)</w:t>
      </w:r>
    </w:p>
    <w:p w:rsidR="00792DA8" w:rsidRDefault="00493379" w:rsidP="00792DA8">
      <w:pPr>
        <w:keepNext/>
        <w:rPr>
          <w:lang w:val="en-AU"/>
        </w:rPr>
      </w:pPr>
      <w:hyperlink r:id="rId37" w:history="1">
        <w:r w:rsidR="00792DA8" w:rsidRPr="000706C5">
          <w:rPr>
            <w:rStyle w:val="Hyperlink"/>
            <w:lang w:val="en-AU"/>
          </w:rPr>
          <w:t>https://www.evidence.nhs.uk/evidence-update-66</w:t>
        </w:r>
      </w:hyperlink>
    </w:p>
    <w:p w:rsidR="00792DA8" w:rsidRPr="000B341C" w:rsidRDefault="00792DA8" w:rsidP="0029518F">
      <w:pPr>
        <w:rPr>
          <w:i/>
          <w:lang w:val="en-AU"/>
        </w:rPr>
      </w:pPr>
    </w:p>
    <w:p w:rsidR="005B3D19" w:rsidRPr="0095520C" w:rsidRDefault="005B3D19"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79" w:rsidRDefault="00493379">
      <w:r>
        <w:separator/>
      </w:r>
    </w:p>
  </w:endnote>
  <w:endnote w:type="continuationSeparator" w:id="0">
    <w:p w:rsidR="00493379" w:rsidRDefault="0049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D4F5E">
      <w:rPr>
        <w:rStyle w:val="PageNumber"/>
        <w:noProof/>
      </w:rPr>
      <w:t>4</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910180">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4F5E">
      <w:rPr>
        <w:rStyle w:val="PageNumber"/>
        <w:noProof/>
      </w:rPr>
      <w:t>3</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910180">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79" w:rsidRDefault="00493379">
      <w:r>
        <w:separator/>
      </w:r>
    </w:p>
  </w:footnote>
  <w:footnote w:type="continuationSeparator" w:id="0">
    <w:p w:rsidR="00493379" w:rsidRDefault="00493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BF63F5"/>
    <w:multiLevelType w:val="hybridMultilevel"/>
    <w:tmpl w:val="E7404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4C5950"/>
    <w:multiLevelType w:val="hybridMultilevel"/>
    <w:tmpl w:val="3236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5"/>
  </w:num>
  <w:num w:numId="15">
    <w:abstractNumId w:val="24"/>
  </w:num>
  <w:num w:numId="16">
    <w:abstractNumId w:val="16"/>
  </w:num>
  <w:num w:numId="17">
    <w:abstractNumId w:val="13"/>
  </w:num>
  <w:num w:numId="18">
    <w:abstractNumId w:val="11"/>
  </w:num>
  <w:num w:numId="19">
    <w:abstractNumId w:val="19"/>
  </w:num>
  <w:num w:numId="20">
    <w:abstractNumId w:val="12"/>
  </w:num>
  <w:num w:numId="21">
    <w:abstractNumId w:val="21"/>
  </w:num>
  <w:num w:numId="22">
    <w:abstractNumId w:val="23"/>
  </w:num>
  <w:num w:numId="23">
    <w:abstractNumId w:val="17"/>
  </w:num>
  <w:num w:numId="24">
    <w:abstractNumId w:val="10"/>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41C"/>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4BB0"/>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0ADA"/>
    <w:rsid w:val="00141BDF"/>
    <w:rsid w:val="00141F8A"/>
    <w:rsid w:val="001420B4"/>
    <w:rsid w:val="001421C3"/>
    <w:rsid w:val="0014225E"/>
    <w:rsid w:val="0014273B"/>
    <w:rsid w:val="00142754"/>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B21"/>
    <w:rsid w:val="001B0B9E"/>
    <w:rsid w:val="001B0CDD"/>
    <w:rsid w:val="001B1900"/>
    <w:rsid w:val="001B1E1E"/>
    <w:rsid w:val="001B1E8E"/>
    <w:rsid w:val="001B214E"/>
    <w:rsid w:val="001B2236"/>
    <w:rsid w:val="001B2FF5"/>
    <w:rsid w:val="001B3177"/>
    <w:rsid w:val="001B3455"/>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60D"/>
    <w:rsid w:val="0047606C"/>
    <w:rsid w:val="0047663A"/>
    <w:rsid w:val="00477900"/>
    <w:rsid w:val="00477C6C"/>
    <w:rsid w:val="00480137"/>
    <w:rsid w:val="004804DC"/>
    <w:rsid w:val="0048081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671"/>
    <w:rsid w:val="005B2845"/>
    <w:rsid w:val="005B2CA0"/>
    <w:rsid w:val="005B3728"/>
    <w:rsid w:val="005B37B8"/>
    <w:rsid w:val="005B3A94"/>
    <w:rsid w:val="005B3D19"/>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419"/>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E4"/>
    <w:rsid w:val="0080071E"/>
    <w:rsid w:val="0080095E"/>
    <w:rsid w:val="008010C1"/>
    <w:rsid w:val="008012AB"/>
    <w:rsid w:val="00801658"/>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564"/>
    <w:rsid w:val="00824B99"/>
    <w:rsid w:val="0082545F"/>
    <w:rsid w:val="00825A32"/>
    <w:rsid w:val="00825CD1"/>
    <w:rsid w:val="00825D67"/>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2260"/>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7AB5"/>
    <w:rsid w:val="008E7FCE"/>
    <w:rsid w:val="008F0447"/>
    <w:rsid w:val="008F088E"/>
    <w:rsid w:val="008F0892"/>
    <w:rsid w:val="008F10F0"/>
    <w:rsid w:val="008F13D7"/>
    <w:rsid w:val="008F1462"/>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7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55F"/>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A5A"/>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A48"/>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C96"/>
    <w:rsid w:val="00A83027"/>
    <w:rsid w:val="00A834EB"/>
    <w:rsid w:val="00A835F8"/>
    <w:rsid w:val="00A83604"/>
    <w:rsid w:val="00A83A35"/>
    <w:rsid w:val="00A83E18"/>
    <w:rsid w:val="00A83F08"/>
    <w:rsid w:val="00A8405E"/>
    <w:rsid w:val="00A84250"/>
    <w:rsid w:val="00A8443B"/>
    <w:rsid w:val="00A85446"/>
    <w:rsid w:val="00A8569F"/>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85"/>
    <w:rsid w:val="00BA3D04"/>
    <w:rsid w:val="00BA3D42"/>
    <w:rsid w:val="00BA4398"/>
    <w:rsid w:val="00BA4591"/>
    <w:rsid w:val="00BA4860"/>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D5B"/>
    <w:rsid w:val="00BC6EFE"/>
    <w:rsid w:val="00BC71BC"/>
    <w:rsid w:val="00BC73AB"/>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A4F"/>
    <w:rsid w:val="00BF6DCF"/>
    <w:rsid w:val="00BF7553"/>
    <w:rsid w:val="00BF75FB"/>
    <w:rsid w:val="00BF79DA"/>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983"/>
    <w:rsid w:val="00CB432B"/>
    <w:rsid w:val="00CB4765"/>
    <w:rsid w:val="00CB491A"/>
    <w:rsid w:val="00CB4CD1"/>
    <w:rsid w:val="00CB5760"/>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B5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B0097"/>
    <w:rsid w:val="00DB0611"/>
    <w:rsid w:val="00DB0716"/>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DEE"/>
    <w:rsid w:val="00DC5F00"/>
    <w:rsid w:val="00DC624E"/>
    <w:rsid w:val="00DC694C"/>
    <w:rsid w:val="00DC69B9"/>
    <w:rsid w:val="00DC6A4B"/>
    <w:rsid w:val="00DC6EE1"/>
    <w:rsid w:val="00DC70FC"/>
    <w:rsid w:val="00DC7116"/>
    <w:rsid w:val="00DC712C"/>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55A4"/>
    <w:rsid w:val="00E258D9"/>
    <w:rsid w:val="00E2592D"/>
    <w:rsid w:val="00E25D97"/>
    <w:rsid w:val="00E25DBC"/>
    <w:rsid w:val="00E26882"/>
    <w:rsid w:val="00E26945"/>
    <w:rsid w:val="00E26A89"/>
    <w:rsid w:val="00E27475"/>
    <w:rsid w:val="00E27686"/>
    <w:rsid w:val="00E27A45"/>
    <w:rsid w:val="00E27CEE"/>
    <w:rsid w:val="00E3010F"/>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67B1"/>
    <w:rsid w:val="00E46A5C"/>
    <w:rsid w:val="00E46C16"/>
    <w:rsid w:val="00E46D35"/>
    <w:rsid w:val="00E47577"/>
    <w:rsid w:val="00E47C05"/>
    <w:rsid w:val="00E47E6C"/>
    <w:rsid w:val="00E50A86"/>
    <w:rsid w:val="00E50C04"/>
    <w:rsid w:val="00E50E62"/>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5EB4"/>
    <w:rsid w:val="00EB6266"/>
    <w:rsid w:val="00EB6497"/>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CA2"/>
    <w:rsid w:val="00F02EE4"/>
    <w:rsid w:val="00F02EFA"/>
    <w:rsid w:val="00F033F9"/>
    <w:rsid w:val="00F03702"/>
    <w:rsid w:val="00F0370D"/>
    <w:rsid w:val="00F03B0D"/>
    <w:rsid w:val="00F03C06"/>
    <w:rsid w:val="00F03C6B"/>
    <w:rsid w:val="00F0458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3E2"/>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healthcare-associated-infection/antimicrobial-stewardship/antibiotic-awareness-week/" TargetMode="External"/><Relationship Id="rId26" Type="http://schemas.openxmlformats.org/officeDocument/2006/relationships/hyperlink" Target="http://www.safetyandquality.gov.au/publications/vital-signs-2014-the-state-of-safety-and-quality-in-australian-health-care/"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fetyandquality.gov.au/wp-content/uploads/2014/09/National-Antimicrobial-Prescribing-Survey-NAPS-2014.pdf" TargetMode="External"/><Relationship Id="rId34" Type="http://schemas.openxmlformats.org/officeDocument/2006/relationships/hyperlink" Target="http://qualitysafety.bmj.com/content/early/recent"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naps.vicniss.org.au/Default.aspx" TargetMode="External"/><Relationship Id="rId25" Type="http://schemas.openxmlformats.org/officeDocument/2006/relationships/hyperlink" Target="http://www.safetyandquality.gov.au/national-priorities/amr-and-au-surveillance-project/" TargetMode="External"/><Relationship Id="rId33" Type="http://schemas.openxmlformats.org/officeDocument/2006/relationships/hyperlink" Target="http://intqhc.oxfordjournals.org/content/26/5?etoc"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our-work/shared-decision-making/shared-decision-making-symposium/" TargetMode="External"/><Relationship Id="rId20" Type="http://schemas.openxmlformats.org/officeDocument/2006/relationships/hyperlink" Target="http://www.safetyandquality.gov.au/wp-content/uploads/2012/01/NSQHS-Standards-Fact-Sheet-Standard-3.pdf" TargetMode="External"/><Relationship Id="rId29" Type="http://schemas.openxmlformats.org/officeDocument/2006/relationships/hyperlink" Target="http://dx.doi.org/10.1186/1472-6963-14-43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wp-content/uploads/2014/09/Rural-focus-National-Antimicrobial-Prescribing-Survey-NAPS-2014.docx" TargetMode="External"/><Relationship Id="rId32" Type="http://schemas.openxmlformats.org/officeDocument/2006/relationships/hyperlink" Target="http://qualitysafety.bmj.com/content/23/11" TargetMode="External"/><Relationship Id="rId37" Type="http://schemas.openxmlformats.org/officeDocument/2006/relationships/hyperlink" Target="https://www.evidence.nhs.uk/evidence-update-66"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wp-content/uploads/2014/09/Rural-Focus-National-Antimicrobial-Prescribing-Survey-NAPS-2014.pdf" TargetMode="External"/><Relationship Id="rId28" Type="http://schemas.openxmlformats.org/officeDocument/2006/relationships/hyperlink" Target="http://www.safetyandquality.gov.au/our-work/variation-in-health-care/" TargetMode="External"/><Relationship Id="rId36" Type="http://schemas.openxmlformats.org/officeDocument/2006/relationships/hyperlink" Target="https://www.evidence.nhs.uk/about-evidence-services/bulletins-and-alerts/evidence-updates"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naps.vicniss.org.au/Default.aspx" TargetMode="External"/><Relationship Id="rId31" Type="http://schemas.openxmlformats.org/officeDocument/2006/relationships/hyperlink" Target="http://www.safetyandquality.gov.au/our-work/healthcare-associated-infection/"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wp-content/uploads/2014/09/National-Antimicrobial-Prescribing-Survey-NAPS-2014.docx" TargetMode="External"/><Relationship Id="rId27" Type="http://schemas.openxmlformats.org/officeDocument/2006/relationships/hyperlink" Target="http://www.dartmouthatlas.org/downloads/reports/Diabetes_report_10_14_14.pdf" TargetMode="External"/><Relationship Id="rId30" Type="http://schemas.openxmlformats.org/officeDocument/2006/relationships/hyperlink" Target="http://dx.doi.org/10.1136/bmjopen-2014-006065" TargetMode="External"/><Relationship Id="rId35" Type="http://schemas.openxmlformats.org/officeDocument/2006/relationships/hyperlink" Target="http://intqhc.oxfordjournals.org/content/early/recent?pape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AD6E-A9EE-4847-8B23-1C5C43C0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18390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18</cp:revision>
  <cp:lastPrinted>2013-06-06T03:47:00Z</cp:lastPrinted>
  <dcterms:created xsi:type="dcterms:W3CDTF">2014-10-12T21:52:00Z</dcterms:created>
  <dcterms:modified xsi:type="dcterms:W3CDTF">2014-10-17T02:46:00Z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