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F4" w:rsidRDefault="00B24DF4" w:rsidP="009424A5">
      <w:bookmarkStart w:id="0" w:name="_Toc476822632"/>
      <w:bookmarkStart w:id="1" w:name="_Toc476822653"/>
      <w:bookmarkStart w:id="2" w:name="_GoBack"/>
      <w:bookmarkEnd w:id="2"/>
      <w:r w:rsidRPr="008A251F">
        <w:rPr>
          <w:rFonts w:eastAsiaTheme="majorEastAsia"/>
          <w:noProof/>
        </w:rPr>
        <w:drawing>
          <wp:inline distT="0" distB="0" distL="0" distR="0" wp14:anchorId="28C0DD95" wp14:editId="0A016CC8">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BC07E4" w:rsidP="00D03E64">
      <w:pPr>
        <w:pStyle w:val="PublicationDate"/>
        <w:jc w:val="right"/>
      </w:pPr>
    </w:p>
    <w:p w:rsidR="00BC07E4" w:rsidRDefault="00BC07E4" w:rsidP="009424A5">
      <w:pPr>
        <w:pStyle w:val="PublicationDate"/>
      </w:pPr>
    </w:p>
    <w:p w:rsidR="00BC07E4" w:rsidRDefault="00BC07E4" w:rsidP="00BC07E4">
      <w:pPr>
        <w:rPr>
          <w:rFonts w:eastAsiaTheme="majorEastAsia"/>
        </w:rPr>
      </w:pPr>
    </w:p>
    <w:p w:rsidR="00BC07E4" w:rsidRDefault="00BC07E4" w:rsidP="009424A5">
      <w:pPr>
        <w:pStyle w:val="PublicationDate"/>
      </w:pPr>
    </w:p>
    <w:p w:rsidR="00BC07E4" w:rsidRDefault="00BC07E4" w:rsidP="009424A5">
      <w:pPr>
        <w:pStyle w:val="PublicationDate"/>
      </w:pPr>
    </w:p>
    <w:p w:rsidR="000B0274" w:rsidRDefault="00AA75B8" w:rsidP="009424A5">
      <w:pPr>
        <w:pStyle w:val="PublicationDate"/>
      </w:pPr>
      <w:r>
        <w:t>December</w:t>
      </w:r>
      <w:r w:rsidR="00713C7D">
        <w:t xml:space="preserve"> 2018 </w:t>
      </w:r>
    </w:p>
    <w:p w:rsidR="00BC07E4" w:rsidRDefault="00BC07E4" w:rsidP="009424A5">
      <w:pPr>
        <w:pStyle w:val="PublicationDate"/>
      </w:pPr>
    </w:p>
    <w:p w:rsidR="00BC07E4" w:rsidRPr="003C02C5" w:rsidRDefault="00BC07E4" w:rsidP="009424A5">
      <w:pPr>
        <w:pStyle w:val="PublicationDate"/>
      </w:pPr>
    </w:p>
    <w:p w:rsidR="000B0274" w:rsidRPr="0022429D" w:rsidRDefault="0068319E" w:rsidP="009424A5">
      <w:pPr>
        <w:pStyle w:val="Title"/>
      </w:pPr>
      <w:r>
        <w:t>Australian sentinel events list (version 2)</w:t>
      </w:r>
    </w:p>
    <w:p w:rsidR="00BC07E4" w:rsidRPr="00BC07E4" w:rsidRDefault="00BC07E4" w:rsidP="009A007B">
      <w:bookmarkStart w:id="3" w:name="_Toc476823158"/>
      <w:bookmarkStart w:id="4" w:name="_Toc476822854"/>
      <w:bookmarkStart w:id="5" w:name="_Toc476822654"/>
      <w:bookmarkStart w:id="6" w:name="_Toc476822633"/>
      <w:r>
        <w:br w:type="page"/>
      </w:r>
    </w:p>
    <w:bookmarkEnd w:id="6" w:displacedByCustomXml="next"/>
    <w:bookmarkEnd w:id="5" w:displacedByCustomXml="next"/>
    <w:bookmarkEnd w:id="4" w:displacedByCustomXml="next"/>
    <w:bookmarkEnd w:id="3" w:displacedByCustomXml="next"/>
    <w:sdt>
      <w:sdtPr>
        <w:rPr>
          <w:rFonts w:asciiTheme="minorHAnsi" w:eastAsia="Times New Roman" w:hAnsiTheme="minorHAnsi" w:cs="Times New Roman"/>
          <w:b w:val="0"/>
          <w:bCs w:val="0"/>
          <w:color w:val="auto"/>
          <w:sz w:val="22"/>
          <w:szCs w:val="22"/>
          <w:lang w:val="en-AU" w:eastAsia="en-AU"/>
        </w:rPr>
        <w:id w:val="-156238153"/>
        <w:docPartObj>
          <w:docPartGallery w:val="Table of Contents"/>
          <w:docPartUnique/>
        </w:docPartObj>
      </w:sdtPr>
      <w:sdtEndPr>
        <w:rPr>
          <w:noProof/>
        </w:rPr>
      </w:sdtEndPr>
      <w:sdtContent>
        <w:p w:rsidR="00255596" w:rsidRDefault="00255596">
          <w:pPr>
            <w:pStyle w:val="TOCHeading"/>
          </w:pPr>
          <w:r>
            <w:t>Contents</w:t>
          </w:r>
        </w:p>
        <w:p w:rsidR="004D678B" w:rsidRDefault="0022429D">
          <w:pPr>
            <w:pStyle w:val="TOC2"/>
            <w:rPr>
              <w:rFonts w:eastAsiaTheme="minorEastAsia" w:cstheme="minorBidi"/>
              <w:noProof/>
              <w:szCs w:val="22"/>
            </w:rPr>
          </w:pPr>
          <w:r>
            <w:rPr>
              <w:b/>
              <w:bCs/>
            </w:rPr>
            <w:fldChar w:fldCharType="begin"/>
          </w:r>
          <w:r>
            <w:rPr>
              <w:b/>
              <w:bCs/>
            </w:rPr>
            <w:instrText xml:space="preserve"> TOC \o "1-3" \h \z \u </w:instrText>
          </w:r>
          <w:r>
            <w:rPr>
              <w:b/>
              <w:bCs/>
            </w:rPr>
            <w:fldChar w:fldCharType="separate"/>
          </w:r>
          <w:hyperlink w:anchor="_Toc1338073" w:history="1">
            <w:r w:rsidR="004D678B" w:rsidRPr="00E20496">
              <w:rPr>
                <w:rStyle w:val="Hyperlink"/>
                <w:noProof/>
              </w:rPr>
              <w:t>Introduction</w:t>
            </w:r>
            <w:r w:rsidR="004D678B">
              <w:rPr>
                <w:noProof/>
                <w:webHidden/>
              </w:rPr>
              <w:tab/>
            </w:r>
            <w:r w:rsidR="004D678B">
              <w:rPr>
                <w:noProof/>
                <w:webHidden/>
              </w:rPr>
              <w:fldChar w:fldCharType="begin"/>
            </w:r>
            <w:r w:rsidR="004D678B">
              <w:rPr>
                <w:noProof/>
                <w:webHidden/>
              </w:rPr>
              <w:instrText xml:space="preserve"> PAGEREF _Toc1338073 \h </w:instrText>
            </w:r>
            <w:r w:rsidR="004D678B">
              <w:rPr>
                <w:noProof/>
                <w:webHidden/>
              </w:rPr>
            </w:r>
            <w:r w:rsidR="004D678B">
              <w:rPr>
                <w:noProof/>
                <w:webHidden/>
              </w:rPr>
              <w:fldChar w:fldCharType="separate"/>
            </w:r>
            <w:r w:rsidR="004D678B">
              <w:rPr>
                <w:noProof/>
                <w:webHidden/>
              </w:rPr>
              <w:t>3</w:t>
            </w:r>
            <w:r w:rsidR="004D678B">
              <w:rPr>
                <w:noProof/>
                <w:webHidden/>
              </w:rPr>
              <w:fldChar w:fldCharType="end"/>
            </w:r>
          </w:hyperlink>
        </w:p>
        <w:p w:rsidR="004D678B" w:rsidRDefault="00C605BD">
          <w:pPr>
            <w:pStyle w:val="TOC2"/>
            <w:rPr>
              <w:rFonts w:eastAsiaTheme="minorEastAsia" w:cstheme="minorBidi"/>
              <w:noProof/>
              <w:szCs w:val="22"/>
            </w:rPr>
          </w:pPr>
          <w:hyperlink w:anchor="_Toc1338074" w:history="1">
            <w:r w:rsidR="004D678B" w:rsidRPr="00E20496">
              <w:rPr>
                <w:rStyle w:val="Hyperlink"/>
                <w:noProof/>
              </w:rPr>
              <w:t>Background</w:t>
            </w:r>
            <w:r w:rsidR="004D678B">
              <w:rPr>
                <w:noProof/>
                <w:webHidden/>
              </w:rPr>
              <w:tab/>
            </w:r>
            <w:r w:rsidR="004D678B">
              <w:rPr>
                <w:noProof/>
                <w:webHidden/>
              </w:rPr>
              <w:fldChar w:fldCharType="begin"/>
            </w:r>
            <w:r w:rsidR="004D678B">
              <w:rPr>
                <w:noProof/>
                <w:webHidden/>
              </w:rPr>
              <w:instrText xml:space="preserve"> PAGEREF _Toc1338074 \h </w:instrText>
            </w:r>
            <w:r w:rsidR="004D678B">
              <w:rPr>
                <w:noProof/>
                <w:webHidden/>
              </w:rPr>
            </w:r>
            <w:r w:rsidR="004D678B">
              <w:rPr>
                <w:noProof/>
                <w:webHidden/>
              </w:rPr>
              <w:fldChar w:fldCharType="separate"/>
            </w:r>
            <w:r w:rsidR="004D678B">
              <w:rPr>
                <w:noProof/>
                <w:webHidden/>
              </w:rPr>
              <w:t>3</w:t>
            </w:r>
            <w:r w:rsidR="004D678B">
              <w:rPr>
                <w:noProof/>
                <w:webHidden/>
              </w:rPr>
              <w:fldChar w:fldCharType="end"/>
            </w:r>
          </w:hyperlink>
        </w:p>
        <w:p w:rsidR="004D678B" w:rsidRDefault="00C605BD">
          <w:pPr>
            <w:pStyle w:val="TOC2"/>
            <w:rPr>
              <w:rFonts w:eastAsiaTheme="minorEastAsia" w:cstheme="minorBidi"/>
              <w:noProof/>
              <w:szCs w:val="22"/>
            </w:rPr>
          </w:pPr>
          <w:hyperlink w:anchor="_Toc1338075" w:history="1">
            <w:r w:rsidR="004D678B" w:rsidRPr="00E20496">
              <w:rPr>
                <w:rStyle w:val="Hyperlink"/>
                <w:noProof/>
              </w:rPr>
              <w:t>Development of the Australian sentinel events list  (version 2)</w:t>
            </w:r>
            <w:r w:rsidR="004D678B">
              <w:rPr>
                <w:noProof/>
                <w:webHidden/>
              </w:rPr>
              <w:tab/>
            </w:r>
            <w:r w:rsidR="004D678B">
              <w:rPr>
                <w:noProof/>
                <w:webHidden/>
              </w:rPr>
              <w:fldChar w:fldCharType="begin"/>
            </w:r>
            <w:r w:rsidR="004D678B">
              <w:rPr>
                <w:noProof/>
                <w:webHidden/>
              </w:rPr>
              <w:instrText xml:space="preserve"> PAGEREF _Toc1338075 \h </w:instrText>
            </w:r>
            <w:r w:rsidR="004D678B">
              <w:rPr>
                <w:noProof/>
                <w:webHidden/>
              </w:rPr>
            </w:r>
            <w:r w:rsidR="004D678B">
              <w:rPr>
                <w:noProof/>
                <w:webHidden/>
              </w:rPr>
              <w:fldChar w:fldCharType="separate"/>
            </w:r>
            <w:r w:rsidR="004D678B">
              <w:rPr>
                <w:noProof/>
                <w:webHidden/>
              </w:rPr>
              <w:t>4</w:t>
            </w:r>
            <w:r w:rsidR="004D678B">
              <w:rPr>
                <w:noProof/>
                <w:webHidden/>
              </w:rPr>
              <w:fldChar w:fldCharType="end"/>
            </w:r>
          </w:hyperlink>
        </w:p>
        <w:p w:rsidR="004D678B" w:rsidRDefault="00C605BD">
          <w:pPr>
            <w:pStyle w:val="TOC3"/>
            <w:rPr>
              <w:rFonts w:eastAsiaTheme="minorEastAsia" w:cstheme="minorBidi"/>
              <w:iCs w:val="0"/>
              <w:noProof/>
              <w:sz w:val="22"/>
              <w:szCs w:val="22"/>
            </w:rPr>
          </w:pPr>
          <w:hyperlink w:anchor="_Toc1338076" w:history="1">
            <w:r w:rsidR="004D678B" w:rsidRPr="00E20496">
              <w:rPr>
                <w:rStyle w:val="Hyperlink"/>
                <w:noProof/>
              </w:rPr>
              <w:t>Purpose, definition and criteria</w:t>
            </w:r>
            <w:r w:rsidR="004D678B">
              <w:rPr>
                <w:noProof/>
                <w:webHidden/>
              </w:rPr>
              <w:tab/>
            </w:r>
            <w:r w:rsidR="004D678B">
              <w:rPr>
                <w:noProof/>
                <w:webHidden/>
              </w:rPr>
              <w:fldChar w:fldCharType="begin"/>
            </w:r>
            <w:r w:rsidR="004D678B">
              <w:rPr>
                <w:noProof/>
                <w:webHidden/>
              </w:rPr>
              <w:instrText xml:space="preserve"> PAGEREF _Toc1338076 \h </w:instrText>
            </w:r>
            <w:r w:rsidR="004D678B">
              <w:rPr>
                <w:noProof/>
                <w:webHidden/>
              </w:rPr>
            </w:r>
            <w:r w:rsidR="004D678B">
              <w:rPr>
                <w:noProof/>
                <w:webHidden/>
              </w:rPr>
              <w:fldChar w:fldCharType="separate"/>
            </w:r>
            <w:r w:rsidR="004D678B">
              <w:rPr>
                <w:noProof/>
                <w:webHidden/>
              </w:rPr>
              <w:t>4</w:t>
            </w:r>
            <w:r w:rsidR="004D678B">
              <w:rPr>
                <w:noProof/>
                <w:webHidden/>
              </w:rPr>
              <w:fldChar w:fldCharType="end"/>
            </w:r>
          </w:hyperlink>
        </w:p>
        <w:p w:rsidR="004D678B" w:rsidRDefault="00C605BD">
          <w:pPr>
            <w:pStyle w:val="TOC3"/>
            <w:rPr>
              <w:rFonts w:eastAsiaTheme="minorEastAsia" w:cstheme="minorBidi"/>
              <w:iCs w:val="0"/>
              <w:noProof/>
              <w:sz w:val="22"/>
              <w:szCs w:val="22"/>
            </w:rPr>
          </w:pPr>
          <w:hyperlink w:anchor="_Toc1338077" w:history="1">
            <w:r w:rsidR="004D678B" w:rsidRPr="00E20496">
              <w:rPr>
                <w:rStyle w:val="Hyperlink"/>
                <w:noProof/>
              </w:rPr>
              <w:t>Defining serious harm</w:t>
            </w:r>
            <w:r w:rsidR="004D678B">
              <w:rPr>
                <w:noProof/>
                <w:webHidden/>
              </w:rPr>
              <w:tab/>
            </w:r>
            <w:r w:rsidR="004D678B">
              <w:rPr>
                <w:noProof/>
                <w:webHidden/>
              </w:rPr>
              <w:fldChar w:fldCharType="begin"/>
            </w:r>
            <w:r w:rsidR="004D678B">
              <w:rPr>
                <w:noProof/>
                <w:webHidden/>
              </w:rPr>
              <w:instrText xml:space="preserve"> PAGEREF _Toc1338077 \h </w:instrText>
            </w:r>
            <w:r w:rsidR="004D678B">
              <w:rPr>
                <w:noProof/>
                <w:webHidden/>
              </w:rPr>
            </w:r>
            <w:r w:rsidR="004D678B">
              <w:rPr>
                <w:noProof/>
                <w:webHidden/>
              </w:rPr>
              <w:fldChar w:fldCharType="separate"/>
            </w:r>
            <w:r w:rsidR="004D678B">
              <w:rPr>
                <w:noProof/>
                <w:webHidden/>
              </w:rPr>
              <w:t>5</w:t>
            </w:r>
            <w:r w:rsidR="004D678B">
              <w:rPr>
                <w:noProof/>
                <w:webHidden/>
              </w:rPr>
              <w:fldChar w:fldCharType="end"/>
            </w:r>
          </w:hyperlink>
        </w:p>
        <w:p w:rsidR="004D678B" w:rsidRDefault="00C605BD">
          <w:pPr>
            <w:pStyle w:val="TOC3"/>
            <w:rPr>
              <w:rFonts w:eastAsiaTheme="minorEastAsia" w:cstheme="minorBidi"/>
              <w:iCs w:val="0"/>
              <w:noProof/>
              <w:sz w:val="22"/>
              <w:szCs w:val="22"/>
            </w:rPr>
          </w:pPr>
          <w:hyperlink w:anchor="_Toc1338078" w:history="1">
            <w:r w:rsidR="004D678B" w:rsidRPr="00E20496">
              <w:rPr>
                <w:rStyle w:val="Hyperlink"/>
                <w:noProof/>
              </w:rPr>
              <w:t>Preventive barriers</w:t>
            </w:r>
            <w:r w:rsidR="004D678B">
              <w:rPr>
                <w:noProof/>
                <w:webHidden/>
              </w:rPr>
              <w:tab/>
            </w:r>
            <w:r w:rsidR="004D678B">
              <w:rPr>
                <w:noProof/>
                <w:webHidden/>
              </w:rPr>
              <w:fldChar w:fldCharType="begin"/>
            </w:r>
            <w:r w:rsidR="004D678B">
              <w:rPr>
                <w:noProof/>
                <w:webHidden/>
              </w:rPr>
              <w:instrText xml:space="preserve"> PAGEREF _Toc1338078 \h </w:instrText>
            </w:r>
            <w:r w:rsidR="004D678B">
              <w:rPr>
                <w:noProof/>
                <w:webHidden/>
              </w:rPr>
            </w:r>
            <w:r w:rsidR="004D678B">
              <w:rPr>
                <w:noProof/>
                <w:webHidden/>
              </w:rPr>
              <w:fldChar w:fldCharType="separate"/>
            </w:r>
            <w:r w:rsidR="004D678B">
              <w:rPr>
                <w:noProof/>
                <w:webHidden/>
              </w:rPr>
              <w:t>5</w:t>
            </w:r>
            <w:r w:rsidR="004D678B">
              <w:rPr>
                <w:noProof/>
                <w:webHidden/>
              </w:rPr>
              <w:fldChar w:fldCharType="end"/>
            </w:r>
          </w:hyperlink>
        </w:p>
        <w:p w:rsidR="004D678B" w:rsidRDefault="00C605BD">
          <w:pPr>
            <w:pStyle w:val="TOC3"/>
            <w:rPr>
              <w:rFonts w:eastAsiaTheme="minorEastAsia" w:cstheme="minorBidi"/>
              <w:iCs w:val="0"/>
              <w:noProof/>
              <w:sz w:val="22"/>
              <w:szCs w:val="22"/>
            </w:rPr>
          </w:pPr>
          <w:hyperlink w:anchor="_Toc1338079" w:history="1">
            <w:r w:rsidR="004D678B" w:rsidRPr="00E20496">
              <w:rPr>
                <w:rStyle w:val="Hyperlink"/>
                <w:noProof/>
              </w:rPr>
              <w:t>Summary of changes</w:t>
            </w:r>
            <w:r w:rsidR="004D678B">
              <w:rPr>
                <w:noProof/>
                <w:webHidden/>
              </w:rPr>
              <w:tab/>
            </w:r>
            <w:r w:rsidR="004D678B">
              <w:rPr>
                <w:noProof/>
                <w:webHidden/>
              </w:rPr>
              <w:fldChar w:fldCharType="begin"/>
            </w:r>
            <w:r w:rsidR="004D678B">
              <w:rPr>
                <w:noProof/>
                <w:webHidden/>
              </w:rPr>
              <w:instrText xml:space="preserve"> PAGEREF _Toc1338079 \h </w:instrText>
            </w:r>
            <w:r w:rsidR="004D678B">
              <w:rPr>
                <w:noProof/>
                <w:webHidden/>
              </w:rPr>
            </w:r>
            <w:r w:rsidR="004D678B">
              <w:rPr>
                <w:noProof/>
                <w:webHidden/>
              </w:rPr>
              <w:fldChar w:fldCharType="separate"/>
            </w:r>
            <w:r w:rsidR="004D678B">
              <w:rPr>
                <w:noProof/>
                <w:webHidden/>
              </w:rPr>
              <w:t>7</w:t>
            </w:r>
            <w:r w:rsidR="004D678B">
              <w:rPr>
                <w:noProof/>
                <w:webHidden/>
              </w:rPr>
              <w:fldChar w:fldCharType="end"/>
            </w:r>
          </w:hyperlink>
        </w:p>
        <w:p w:rsidR="004D678B" w:rsidRDefault="00C605BD">
          <w:pPr>
            <w:pStyle w:val="TOC2"/>
            <w:rPr>
              <w:rFonts w:eastAsiaTheme="minorEastAsia" w:cstheme="minorBidi"/>
              <w:noProof/>
              <w:szCs w:val="22"/>
            </w:rPr>
          </w:pPr>
          <w:hyperlink w:anchor="_Toc1338080" w:history="1">
            <w:r w:rsidR="004D678B" w:rsidRPr="00E20496">
              <w:rPr>
                <w:rStyle w:val="Hyperlink"/>
                <w:noProof/>
              </w:rPr>
              <w:t>1. Surgery or other invasive procedure performed on the wrong site resulting in serious harm or death</w:t>
            </w:r>
            <w:r w:rsidR="004D678B">
              <w:rPr>
                <w:noProof/>
                <w:webHidden/>
              </w:rPr>
              <w:tab/>
            </w:r>
            <w:r w:rsidR="004D678B">
              <w:rPr>
                <w:noProof/>
                <w:webHidden/>
              </w:rPr>
              <w:fldChar w:fldCharType="begin"/>
            </w:r>
            <w:r w:rsidR="004D678B">
              <w:rPr>
                <w:noProof/>
                <w:webHidden/>
              </w:rPr>
              <w:instrText xml:space="preserve"> PAGEREF _Toc1338080 \h </w:instrText>
            </w:r>
            <w:r w:rsidR="004D678B">
              <w:rPr>
                <w:noProof/>
                <w:webHidden/>
              </w:rPr>
            </w:r>
            <w:r w:rsidR="004D678B">
              <w:rPr>
                <w:noProof/>
                <w:webHidden/>
              </w:rPr>
              <w:fldChar w:fldCharType="separate"/>
            </w:r>
            <w:r w:rsidR="004D678B">
              <w:rPr>
                <w:noProof/>
                <w:webHidden/>
              </w:rPr>
              <w:t>8</w:t>
            </w:r>
            <w:r w:rsidR="004D678B">
              <w:rPr>
                <w:noProof/>
                <w:webHidden/>
              </w:rPr>
              <w:fldChar w:fldCharType="end"/>
            </w:r>
          </w:hyperlink>
        </w:p>
        <w:p w:rsidR="004D678B" w:rsidRDefault="00C605BD">
          <w:pPr>
            <w:pStyle w:val="TOC2"/>
            <w:rPr>
              <w:rFonts w:eastAsiaTheme="minorEastAsia" w:cstheme="minorBidi"/>
              <w:noProof/>
              <w:szCs w:val="22"/>
            </w:rPr>
          </w:pPr>
          <w:hyperlink w:anchor="_Toc1338081" w:history="1">
            <w:r w:rsidR="004D678B" w:rsidRPr="00E20496">
              <w:rPr>
                <w:rStyle w:val="Hyperlink"/>
                <w:noProof/>
              </w:rPr>
              <w:t>2. Surgery or other invasive procedure performed on the wrong patient resulting in serious harm or death</w:t>
            </w:r>
            <w:r w:rsidR="004D678B">
              <w:rPr>
                <w:noProof/>
                <w:webHidden/>
              </w:rPr>
              <w:tab/>
            </w:r>
            <w:r w:rsidR="004D678B">
              <w:rPr>
                <w:noProof/>
                <w:webHidden/>
              </w:rPr>
              <w:fldChar w:fldCharType="begin"/>
            </w:r>
            <w:r w:rsidR="004D678B">
              <w:rPr>
                <w:noProof/>
                <w:webHidden/>
              </w:rPr>
              <w:instrText xml:space="preserve"> PAGEREF _Toc1338081 \h </w:instrText>
            </w:r>
            <w:r w:rsidR="004D678B">
              <w:rPr>
                <w:noProof/>
                <w:webHidden/>
              </w:rPr>
            </w:r>
            <w:r w:rsidR="004D678B">
              <w:rPr>
                <w:noProof/>
                <w:webHidden/>
              </w:rPr>
              <w:fldChar w:fldCharType="separate"/>
            </w:r>
            <w:r w:rsidR="004D678B">
              <w:rPr>
                <w:noProof/>
                <w:webHidden/>
              </w:rPr>
              <w:t>9</w:t>
            </w:r>
            <w:r w:rsidR="004D678B">
              <w:rPr>
                <w:noProof/>
                <w:webHidden/>
              </w:rPr>
              <w:fldChar w:fldCharType="end"/>
            </w:r>
          </w:hyperlink>
        </w:p>
        <w:p w:rsidR="004D678B" w:rsidRDefault="00C605BD">
          <w:pPr>
            <w:pStyle w:val="TOC2"/>
            <w:rPr>
              <w:rFonts w:eastAsiaTheme="minorEastAsia" w:cstheme="minorBidi"/>
              <w:noProof/>
              <w:szCs w:val="22"/>
            </w:rPr>
          </w:pPr>
          <w:hyperlink w:anchor="_Toc1338082" w:history="1">
            <w:r w:rsidR="004D678B" w:rsidRPr="00E20496">
              <w:rPr>
                <w:rStyle w:val="Hyperlink"/>
                <w:noProof/>
              </w:rPr>
              <w:t>3. Wrong surgical or other invasive procedure performed on a patient resulting in serious harm or death</w:t>
            </w:r>
            <w:r w:rsidR="004D678B">
              <w:rPr>
                <w:noProof/>
                <w:webHidden/>
              </w:rPr>
              <w:tab/>
            </w:r>
            <w:r w:rsidR="004D678B">
              <w:rPr>
                <w:noProof/>
                <w:webHidden/>
              </w:rPr>
              <w:fldChar w:fldCharType="begin"/>
            </w:r>
            <w:r w:rsidR="004D678B">
              <w:rPr>
                <w:noProof/>
                <w:webHidden/>
              </w:rPr>
              <w:instrText xml:space="preserve"> PAGEREF _Toc1338082 \h </w:instrText>
            </w:r>
            <w:r w:rsidR="004D678B">
              <w:rPr>
                <w:noProof/>
                <w:webHidden/>
              </w:rPr>
            </w:r>
            <w:r w:rsidR="004D678B">
              <w:rPr>
                <w:noProof/>
                <w:webHidden/>
              </w:rPr>
              <w:fldChar w:fldCharType="separate"/>
            </w:r>
            <w:r w:rsidR="004D678B">
              <w:rPr>
                <w:noProof/>
                <w:webHidden/>
              </w:rPr>
              <w:t>10</w:t>
            </w:r>
            <w:r w:rsidR="004D678B">
              <w:rPr>
                <w:noProof/>
                <w:webHidden/>
              </w:rPr>
              <w:fldChar w:fldCharType="end"/>
            </w:r>
          </w:hyperlink>
        </w:p>
        <w:p w:rsidR="004D678B" w:rsidRDefault="00C605BD">
          <w:pPr>
            <w:pStyle w:val="TOC2"/>
            <w:rPr>
              <w:rFonts w:eastAsiaTheme="minorEastAsia" w:cstheme="minorBidi"/>
              <w:noProof/>
              <w:szCs w:val="22"/>
            </w:rPr>
          </w:pPr>
          <w:hyperlink w:anchor="_Toc1338083" w:history="1">
            <w:r w:rsidR="004D678B" w:rsidRPr="00E20496">
              <w:rPr>
                <w:rStyle w:val="Hyperlink"/>
                <w:noProof/>
              </w:rPr>
              <w:t>4. Unintended retention of a foreign object in a patient after surgery or other invasive procedure resulting in serious harm or death</w:t>
            </w:r>
            <w:r w:rsidR="004D678B">
              <w:rPr>
                <w:noProof/>
                <w:webHidden/>
              </w:rPr>
              <w:tab/>
            </w:r>
            <w:r w:rsidR="004D678B">
              <w:rPr>
                <w:noProof/>
                <w:webHidden/>
              </w:rPr>
              <w:fldChar w:fldCharType="begin"/>
            </w:r>
            <w:r w:rsidR="004D678B">
              <w:rPr>
                <w:noProof/>
                <w:webHidden/>
              </w:rPr>
              <w:instrText xml:space="preserve"> PAGEREF _Toc1338083 \h </w:instrText>
            </w:r>
            <w:r w:rsidR="004D678B">
              <w:rPr>
                <w:noProof/>
                <w:webHidden/>
              </w:rPr>
            </w:r>
            <w:r w:rsidR="004D678B">
              <w:rPr>
                <w:noProof/>
                <w:webHidden/>
              </w:rPr>
              <w:fldChar w:fldCharType="separate"/>
            </w:r>
            <w:r w:rsidR="004D678B">
              <w:rPr>
                <w:noProof/>
                <w:webHidden/>
              </w:rPr>
              <w:t>11</w:t>
            </w:r>
            <w:r w:rsidR="004D678B">
              <w:rPr>
                <w:noProof/>
                <w:webHidden/>
              </w:rPr>
              <w:fldChar w:fldCharType="end"/>
            </w:r>
          </w:hyperlink>
        </w:p>
        <w:p w:rsidR="004D678B" w:rsidRDefault="00C605BD">
          <w:pPr>
            <w:pStyle w:val="TOC2"/>
            <w:rPr>
              <w:rFonts w:eastAsiaTheme="minorEastAsia" w:cstheme="minorBidi"/>
              <w:noProof/>
              <w:szCs w:val="22"/>
            </w:rPr>
          </w:pPr>
          <w:hyperlink w:anchor="_Toc1338084" w:history="1">
            <w:r w:rsidR="004D678B" w:rsidRPr="00E20496">
              <w:rPr>
                <w:rStyle w:val="Hyperlink"/>
                <w:noProof/>
              </w:rPr>
              <w:t>5. Haemolytic blood transfusion reaction resulting from ABO incompatibility resulting in serious harm or death</w:t>
            </w:r>
            <w:r w:rsidR="004D678B">
              <w:rPr>
                <w:noProof/>
                <w:webHidden/>
              </w:rPr>
              <w:tab/>
            </w:r>
            <w:r w:rsidR="004D678B">
              <w:rPr>
                <w:noProof/>
                <w:webHidden/>
              </w:rPr>
              <w:fldChar w:fldCharType="begin"/>
            </w:r>
            <w:r w:rsidR="004D678B">
              <w:rPr>
                <w:noProof/>
                <w:webHidden/>
              </w:rPr>
              <w:instrText xml:space="preserve"> PAGEREF _Toc1338084 \h </w:instrText>
            </w:r>
            <w:r w:rsidR="004D678B">
              <w:rPr>
                <w:noProof/>
                <w:webHidden/>
              </w:rPr>
            </w:r>
            <w:r w:rsidR="004D678B">
              <w:rPr>
                <w:noProof/>
                <w:webHidden/>
              </w:rPr>
              <w:fldChar w:fldCharType="separate"/>
            </w:r>
            <w:r w:rsidR="004D678B">
              <w:rPr>
                <w:noProof/>
                <w:webHidden/>
              </w:rPr>
              <w:t>12</w:t>
            </w:r>
            <w:r w:rsidR="004D678B">
              <w:rPr>
                <w:noProof/>
                <w:webHidden/>
              </w:rPr>
              <w:fldChar w:fldCharType="end"/>
            </w:r>
          </w:hyperlink>
        </w:p>
        <w:p w:rsidR="004D678B" w:rsidRDefault="00C605BD">
          <w:pPr>
            <w:pStyle w:val="TOC2"/>
            <w:rPr>
              <w:rFonts w:eastAsiaTheme="minorEastAsia" w:cstheme="minorBidi"/>
              <w:noProof/>
              <w:szCs w:val="22"/>
            </w:rPr>
          </w:pPr>
          <w:hyperlink w:anchor="_Toc1338085" w:history="1">
            <w:r w:rsidR="004D678B" w:rsidRPr="00E20496">
              <w:rPr>
                <w:rStyle w:val="Hyperlink"/>
                <w:noProof/>
              </w:rPr>
              <w:t>6. Suspected suicide of a patient within an acute psychiatric unit or acute psychiatric ward</w:t>
            </w:r>
            <w:r w:rsidR="004D678B">
              <w:rPr>
                <w:noProof/>
                <w:webHidden/>
              </w:rPr>
              <w:tab/>
            </w:r>
            <w:r w:rsidR="004D678B">
              <w:rPr>
                <w:noProof/>
                <w:webHidden/>
              </w:rPr>
              <w:fldChar w:fldCharType="begin"/>
            </w:r>
            <w:r w:rsidR="004D678B">
              <w:rPr>
                <w:noProof/>
                <w:webHidden/>
              </w:rPr>
              <w:instrText xml:space="preserve"> PAGEREF _Toc1338085 \h </w:instrText>
            </w:r>
            <w:r w:rsidR="004D678B">
              <w:rPr>
                <w:noProof/>
                <w:webHidden/>
              </w:rPr>
            </w:r>
            <w:r w:rsidR="004D678B">
              <w:rPr>
                <w:noProof/>
                <w:webHidden/>
              </w:rPr>
              <w:fldChar w:fldCharType="separate"/>
            </w:r>
            <w:r w:rsidR="004D678B">
              <w:rPr>
                <w:noProof/>
                <w:webHidden/>
              </w:rPr>
              <w:t>13</w:t>
            </w:r>
            <w:r w:rsidR="004D678B">
              <w:rPr>
                <w:noProof/>
                <w:webHidden/>
              </w:rPr>
              <w:fldChar w:fldCharType="end"/>
            </w:r>
          </w:hyperlink>
        </w:p>
        <w:p w:rsidR="004D678B" w:rsidRDefault="00C605BD">
          <w:pPr>
            <w:pStyle w:val="TOC2"/>
            <w:rPr>
              <w:rFonts w:eastAsiaTheme="minorEastAsia" w:cstheme="minorBidi"/>
              <w:noProof/>
              <w:szCs w:val="22"/>
            </w:rPr>
          </w:pPr>
          <w:hyperlink w:anchor="_Toc1338086" w:history="1">
            <w:r w:rsidR="004D678B" w:rsidRPr="00E20496">
              <w:rPr>
                <w:rStyle w:val="Hyperlink"/>
                <w:noProof/>
              </w:rPr>
              <w:t>7. Medication error resulting in serious harm or death</w:t>
            </w:r>
            <w:r w:rsidR="004D678B">
              <w:rPr>
                <w:noProof/>
                <w:webHidden/>
              </w:rPr>
              <w:tab/>
            </w:r>
            <w:r w:rsidR="004D678B">
              <w:rPr>
                <w:noProof/>
                <w:webHidden/>
              </w:rPr>
              <w:fldChar w:fldCharType="begin"/>
            </w:r>
            <w:r w:rsidR="004D678B">
              <w:rPr>
                <w:noProof/>
                <w:webHidden/>
              </w:rPr>
              <w:instrText xml:space="preserve"> PAGEREF _Toc1338086 \h </w:instrText>
            </w:r>
            <w:r w:rsidR="004D678B">
              <w:rPr>
                <w:noProof/>
                <w:webHidden/>
              </w:rPr>
            </w:r>
            <w:r w:rsidR="004D678B">
              <w:rPr>
                <w:noProof/>
                <w:webHidden/>
              </w:rPr>
              <w:fldChar w:fldCharType="separate"/>
            </w:r>
            <w:r w:rsidR="004D678B">
              <w:rPr>
                <w:noProof/>
                <w:webHidden/>
              </w:rPr>
              <w:t>15</w:t>
            </w:r>
            <w:r w:rsidR="004D678B">
              <w:rPr>
                <w:noProof/>
                <w:webHidden/>
              </w:rPr>
              <w:fldChar w:fldCharType="end"/>
            </w:r>
          </w:hyperlink>
        </w:p>
        <w:p w:rsidR="004D678B" w:rsidRDefault="00C605BD">
          <w:pPr>
            <w:pStyle w:val="TOC2"/>
            <w:rPr>
              <w:rFonts w:eastAsiaTheme="minorEastAsia" w:cstheme="minorBidi"/>
              <w:noProof/>
              <w:szCs w:val="22"/>
            </w:rPr>
          </w:pPr>
          <w:hyperlink w:anchor="_Toc1338087" w:history="1">
            <w:r w:rsidR="004D678B" w:rsidRPr="00E20496">
              <w:rPr>
                <w:rStyle w:val="Hyperlink"/>
                <w:noProof/>
              </w:rPr>
              <w:t>8. Use of physical or mechanical restraint resulting in serious harm or death</w:t>
            </w:r>
            <w:r w:rsidR="004D678B">
              <w:rPr>
                <w:noProof/>
                <w:webHidden/>
              </w:rPr>
              <w:tab/>
            </w:r>
            <w:r w:rsidR="004D678B">
              <w:rPr>
                <w:noProof/>
                <w:webHidden/>
              </w:rPr>
              <w:fldChar w:fldCharType="begin"/>
            </w:r>
            <w:r w:rsidR="004D678B">
              <w:rPr>
                <w:noProof/>
                <w:webHidden/>
              </w:rPr>
              <w:instrText xml:space="preserve"> PAGEREF _Toc1338087 \h </w:instrText>
            </w:r>
            <w:r w:rsidR="004D678B">
              <w:rPr>
                <w:noProof/>
                <w:webHidden/>
              </w:rPr>
            </w:r>
            <w:r w:rsidR="004D678B">
              <w:rPr>
                <w:noProof/>
                <w:webHidden/>
              </w:rPr>
              <w:fldChar w:fldCharType="separate"/>
            </w:r>
            <w:r w:rsidR="004D678B">
              <w:rPr>
                <w:noProof/>
                <w:webHidden/>
              </w:rPr>
              <w:t>16</w:t>
            </w:r>
            <w:r w:rsidR="004D678B">
              <w:rPr>
                <w:noProof/>
                <w:webHidden/>
              </w:rPr>
              <w:fldChar w:fldCharType="end"/>
            </w:r>
          </w:hyperlink>
        </w:p>
        <w:p w:rsidR="004D678B" w:rsidRDefault="00C605BD">
          <w:pPr>
            <w:pStyle w:val="TOC2"/>
            <w:rPr>
              <w:rFonts w:eastAsiaTheme="minorEastAsia" w:cstheme="minorBidi"/>
              <w:noProof/>
              <w:szCs w:val="22"/>
            </w:rPr>
          </w:pPr>
          <w:hyperlink w:anchor="_Toc1338088" w:history="1">
            <w:r w:rsidR="004D678B" w:rsidRPr="00E20496">
              <w:rPr>
                <w:rStyle w:val="Hyperlink"/>
                <w:noProof/>
              </w:rPr>
              <w:t>9. Discharge or release of a child to an unauthorised person</w:t>
            </w:r>
            <w:r w:rsidR="004D678B">
              <w:rPr>
                <w:noProof/>
                <w:webHidden/>
              </w:rPr>
              <w:tab/>
            </w:r>
            <w:r w:rsidR="004D678B">
              <w:rPr>
                <w:noProof/>
                <w:webHidden/>
              </w:rPr>
              <w:fldChar w:fldCharType="begin"/>
            </w:r>
            <w:r w:rsidR="004D678B">
              <w:rPr>
                <w:noProof/>
                <w:webHidden/>
              </w:rPr>
              <w:instrText xml:space="preserve"> PAGEREF _Toc1338088 \h </w:instrText>
            </w:r>
            <w:r w:rsidR="004D678B">
              <w:rPr>
                <w:noProof/>
                <w:webHidden/>
              </w:rPr>
            </w:r>
            <w:r w:rsidR="004D678B">
              <w:rPr>
                <w:noProof/>
                <w:webHidden/>
              </w:rPr>
              <w:fldChar w:fldCharType="separate"/>
            </w:r>
            <w:r w:rsidR="004D678B">
              <w:rPr>
                <w:noProof/>
                <w:webHidden/>
              </w:rPr>
              <w:t>17</w:t>
            </w:r>
            <w:r w:rsidR="004D678B">
              <w:rPr>
                <w:noProof/>
                <w:webHidden/>
              </w:rPr>
              <w:fldChar w:fldCharType="end"/>
            </w:r>
          </w:hyperlink>
        </w:p>
        <w:p w:rsidR="004D678B" w:rsidRDefault="00C605BD">
          <w:pPr>
            <w:pStyle w:val="TOC2"/>
            <w:rPr>
              <w:rFonts w:eastAsiaTheme="minorEastAsia" w:cstheme="minorBidi"/>
              <w:noProof/>
              <w:szCs w:val="22"/>
            </w:rPr>
          </w:pPr>
          <w:hyperlink w:anchor="_Toc1338089" w:history="1">
            <w:r w:rsidR="004D678B" w:rsidRPr="00E20496">
              <w:rPr>
                <w:rStyle w:val="Hyperlink"/>
                <w:noProof/>
              </w:rPr>
              <w:t>10. Use of an incorrectly positioned oro- or naso-gastric tube resulting in serious harm or death</w:t>
            </w:r>
            <w:r w:rsidR="004D678B">
              <w:rPr>
                <w:noProof/>
                <w:webHidden/>
              </w:rPr>
              <w:tab/>
            </w:r>
            <w:r w:rsidR="004D678B">
              <w:rPr>
                <w:noProof/>
                <w:webHidden/>
              </w:rPr>
              <w:fldChar w:fldCharType="begin"/>
            </w:r>
            <w:r w:rsidR="004D678B">
              <w:rPr>
                <w:noProof/>
                <w:webHidden/>
              </w:rPr>
              <w:instrText xml:space="preserve"> PAGEREF _Toc1338089 \h </w:instrText>
            </w:r>
            <w:r w:rsidR="004D678B">
              <w:rPr>
                <w:noProof/>
                <w:webHidden/>
              </w:rPr>
            </w:r>
            <w:r w:rsidR="004D678B">
              <w:rPr>
                <w:noProof/>
                <w:webHidden/>
              </w:rPr>
              <w:fldChar w:fldCharType="separate"/>
            </w:r>
            <w:r w:rsidR="004D678B">
              <w:rPr>
                <w:noProof/>
                <w:webHidden/>
              </w:rPr>
              <w:t>18</w:t>
            </w:r>
            <w:r w:rsidR="004D678B">
              <w:rPr>
                <w:noProof/>
                <w:webHidden/>
              </w:rPr>
              <w:fldChar w:fldCharType="end"/>
            </w:r>
          </w:hyperlink>
        </w:p>
        <w:p w:rsidR="004D678B" w:rsidRDefault="00C605BD">
          <w:pPr>
            <w:pStyle w:val="TOC2"/>
            <w:rPr>
              <w:rFonts w:eastAsiaTheme="minorEastAsia" w:cstheme="minorBidi"/>
              <w:noProof/>
              <w:szCs w:val="22"/>
            </w:rPr>
          </w:pPr>
          <w:hyperlink w:anchor="_Toc1338090" w:history="1">
            <w:r w:rsidR="004D678B" w:rsidRPr="00E20496">
              <w:rPr>
                <w:rStyle w:val="Hyperlink"/>
                <w:noProof/>
              </w:rPr>
              <w:t>References</w:t>
            </w:r>
            <w:r w:rsidR="004D678B">
              <w:rPr>
                <w:noProof/>
                <w:webHidden/>
              </w:rPr>
              <w:tab/>
            </w:r>
            <w:r w:rsidR="004D678B">
              <w:rPr>
                <w:noProof/>
                <w:webHidden/>
              </w:rPr>
              <w:fldChar w:fldCharType="begin"/>
            </w:r>
            <w:r w:rsidR="004D678B">
              <w:rPr>
                <w:noProof/>
                <w:webHidden/>
              </w:rPr>
              <w:instrText xml:space="preserve"> PAGEREF _Toc1338090 \h </w:instrText>
            </w:r>
            <w:r w:rsidR="004D678B">
              <w:rPr>
                <w:noProof/>
                <w:webHidden/>
              </w:rPr>
            </w:r>
            <w:r w:rsidR="004D678B">
              <w:rPr>
                <w:noProof/>
                <w:webHidden/>
              </w:rPr>
              <w:fldChar w:fldCharType="separate"/>
            </w:r>
            <w:r w:rsidR="004D678B">
              <w:rPr>
                <w:noProof/>
                <w:webHidden/>
              </w:rPr>
              <w:t>19</w:t>
            </w:r>
            <w:r w:rsidR="004D678B">
              <w:rPr>
                <w:noProof/>
                <w:webHidden/>
              </w:rPr>
              <w:fldChar w:fldCharType="end"/>
            </w:r>
          </w:hyperlink>
        </w:p>
        <w:p w:rsidR="004D678B" w:rsidRDefault="00C605BD">
          <w:pPr>
            <w:pStyle w:val="TOC2"/>
            <w:rPr>
              <w:rFonts w:eastAsiaTheme="minorEastAsia" w:cstheme="minorBidi"/>
              <w:noProof/>
              <w:szCs w:val="22"/>
            </w:rPr>
          </w:pPr>
          <w:hyperlink w:anchor="_Toc1338091" w:history="1">
            <w:r w:rsidR="004D678B" w:rsidRPr="00E20496">
              <w:rPr>
                <w:rStyle w:val="Hyperlink"/>
                <w:noProof/>
              </w:rPr>
              <w:t>Appendix A</w:t>
            </w:r>
            <w:r w:rsidR="004D678B">
              <w:rPr>
                <w:noProof/>
                <w:webHidden/>
              </w:rPr>
              <w:tab/>
            </w:r>
            <w:r w:rsidR="004D678B">
              <w:rPr>
                <w:noProof/>
                <w:webHidden/>
              </w:rPr>
              <w:fldChar w:fldCharType="begin"/>
            </w:r>
            <w:r w:rsidR="004D678B">
              <w:rPr>
                <w:noProof/>
                <w:webHidden/>
              </w:rPr>
              <w:instrText xml:space="preserve"> PAGEREF _Toc1338091 \h </w:instrText>
            </w:r>
            <w:r w:rsidR="004D678B">
              <w:rPr>
                <w:noProof/>
                <w:webHidden/>
              </w:rPr>
            </w:r>
            <w:r w:rsidR="004D678B">
              <w:rPr>
                <w:noProof/>
                <w:webHidden/>
              </w:rPr>
              <w:fldChar w:fldCharType="separate"/>
            </w:r>
            <w:r w:rsidR="004D678B">
              <w:rPr>
                <w:noProof/>
                <w:webHidden/>
              </w:rPr>
              <w:t>21</w:t>
            </w:r>
            <w:r w:rsidR="004D678B">
              <w:rPr>
                <w:noProof/>
                <w:webHidden/>
              </w:rPr>
              <w:fldChar w:fldCharType="end"/>
            </w:r>
          </w:hyperlink>
        </w:p>
        <w:p w:rsidR="00255596" w:rsidRDefault="0022429D">
          <w:pPr>
            <w:rPr>
              <w:noProof/>
            </w:rPr>
          </w:pPr>
          <w:r>
            <w:rPr>
              <w:rFonts w:cstheme="minorHAnsi"/>
              <w:b/>
              <w:bCs/>
              <w:color w:val="1178A2" w:themeColor="text2"/>
              <w:sz w:val="24"/>
              <w:szCs w:val="20"/>
            </w:rPr>
            <w:fldChar w:fldCharType="end"/>
          </w:r>
        </w:p>
      </w:sdtContent>
    </w:sdt>
    <w:p w:rsidR="00110B5A" w:rsidRDefault="00110B5A">
      <w:pPr>
        <w:spacing w:after="80"/>
      </w:pPr>
      <w:r>
        <w:br w:type="page"/>
      </w:r>
    </w:p>
    <w:p w:rsidR="0022429D" w:rsidRDefault="0022429D" w:rsidP="00332963">
      <w:pPr>
        <w:pStyle w:val="Heading2"/>
      </w:pPr>
      <w:bookmarkStart w:id="7" w:name="_Toc1338073"/>
      <w:r>
        <w:lastRenderedPageBreak/>
        <w:t>Introduction</w:t>
      </w:r>
      <w:bookmarkEnd w:id="7"/>
    </w:p>
    <w:p w:rsidR="007C0004" w:rsidRDefault="0022429D" w:rsidP="007C0004">
      <w:pPr>
        <w:jc w:val="both"/>
        <w:rPr>
          <w:rFonts w:cs="Arial"/>
        </w:rPr>
      </w:pPr>
      <w:r>
        <w:t>The</w:t>
      </w:r>
      <w:r w:rsidR="007C0004">
        <w:t xml:space="preserve"> Australian </w:t>
      </w:r>
      <w:r>
        <w:t>Commission</w:t>
      </w:r>
      <w:r w:rsidR="007C0004">
        <w:t xml:space="preserve"> on Safety and Quality in Health Care (the Commission) </w:t>
      </w:r>
      <w:r w:rsidR="00C32D65">
        <w:t xml:space="preserve">conducted a review of </w:t>
      </w:r>
      <w:r w:rsidR="007C0004">
        <w:t xml:space="preserve">the </w:t>
      </w:r>
      <w:r w:rsidR="0068319E">
        <w:t>Australian sentinel events list (version 2)</w:t>
      </w:r>
      <w:r>
        <w:t xml:space="preserve"> (the Review) on behalf of the </w:t>
      </w:r>
      <w:r w:rsidRPr="003F1464">
        <w:rPr>
          <w:rFonts w:cs="Arial"/>
        </w:rPr>
        <w:t>states, territories and the Commonwealth</w:t>
      </w:r>
      <w:r w:rsidR="007C0004">
        <w:rPr>
          <w:rFonts w:cs="Arial"/>
        </w:rPr>
        <w:t xml:space="preserve"> in 201</w:t>
      </w:r>
      <w:r w:rsidR="00853E5C">
        <w:rPr>
          <w:rFonts w:cs="Arial"/>
        </w:rPr>
        <w:t>7.</w:t>
      </w:r>
      <w:r>
        <w:rPr>
          <w:rFonts w:cs="Arial"/>
        </w:rPr>
        <w:t xml:space="preserve"> </w:t>
      </w:r>
    </w:p>
    <w:p w:rsidR="00943DBF" w:rsidRDefault="002A4410" w:rsidP="009D3CA2">
      <w:pPr>
        <w:rPr>
          <w:lang w:val="en-US"/>
        </w:rPr>
      </w:pPr>
      <w:r>
        <w:t xml:space="preserve">Sentinel events are a subset of adverse patient safety events that are wholly preventable and result in serious harm to, or death of, a patient. </w:t>
      </w:r>
      <w:r w:rsidR="00943DBF" w:rsidRPr="00576C85">
        <w:t xml:space="preserve">The purpose of </w:t>
      </w:r>
      <w:r w:rsidR="009D3CA2">
        <w:t xml:space="preserve">sentinel event reporting is </w:t>
      </w:r>
      <w:r w:rsidR="00943DBF" w:rsidRPr="00576C85">
        <w:t xml:space="preserve">to </w:t>
      </w:r>
      <w:r w:rsidR="009D3CA2" w:rsidRPr="00923711">
        <w:t>ensure public accountability and transparency</w:t>
      </w:r>
      <w:r w:rsidR="009D3CA2">
        <w:t xml:space="preserve"> and </w:t>
      </w:r>
      <w:r w:rsidR="009D3CA2" w:rsidRPr="00923711">
        <w:t xml:space="preserve">drive national improvements in </w:t>
      </w:r>
      <w:r w:rsidR="009D3CA2">
        <w:t xml:space="preserve">patient </w:t>
      </w:r>
      <w:r w:rsidR="009D3CA2" w:rsidRPr="00923711">
        <w:t>safety</w:t>
      </w:r>
      <w:r w:rsidR="009D3CA2">
        <w:t xml:space="preserve">. </w:t>
      </w:r>
    </w:p>
    <w:p w:rsidR="009D3CA2" w:rsidRPr="00576C85" w:rsidRDefault="00943DBF" w:rsidP="009D3CA2">
      <w:r w:rsidRPr="00576C85">
        <w:rPr>
          <w:lang w:val="en-US"/>
        </w:rPr>
        <w:t xml:space="preserve">The Productivity Commission states that </w:t>
      </w:r>
      <w:r w:rsidRPr="00576C85">
        <w:t>sentinel events ‘can indicate hospital system and process deficiencies that compromise quality and safety’ and are ‘an indicator of governments’ objective to deliver public hospital services that are safe and of high quality’.</w:t>
      </w:r>
      <w:hyperlink w:anchor="_ENREF_1" w:tooltip="Productivity Commission, 2016 #1" w:history="1">
        <w:r w:rsidR="004644CB">
          <w:fldChar w:fldCharType="begin"/>
        </w:r>
        <w:r w:rsidR="004644CB">
          <w:instrText xml:space="preserve"> ADDIN EN.CITE &lt;EndNote&gt;&lt;Cite&gt;&lt;Author&gt;Productivity Commission&lt;/Author&gt;&lt;Year&gt;2016&lt;/Year&gt;&lt;RecNum&gt;1&lt;/RecNum&gt;&lt;DisplayText&gt;&lt;style face="superscript"&gt;1&lt;/style&gt;&lt;/DisplayText&gt;&lt;record&gt;&lt;rec-number&gt;1&lt;/rec-number&gt;&lt;foreign-keys&gt;&lt;key app="EN" db-id="0zaapr5rxrpdrrepezbv00a69s0etwz0v0te"&gt;1&lt;/key&gt;&lt;/foreign-keys&gt;&lt;ref-type name="Electronic Book Section"&gt;60&lt;/ref-type&gt;&lt;contributors&gt;&lt;authors&gt;&lt;author&gt;Productivity Commission, &lt;/author&gt;&lt;/authors&gt;&lt;/contributors&gt;&lt;titles&gt;&lt;title&gt;Chapter 11: Public hospitals&lt;/title&gt;&lt;secondary-title&gt;Report on Government Services 2016&lt;/secondary-title&gt;&lt;/titles&gt;&lt;dates&gt;&lt;year&gt;2016&lt;/year&gt;&lt;/dates&gt;&lt;pub-location&gt;Melbourne&lt;/pub-location&gt;&lt;publisher&gt;Productivity Commission&lt;/publisher&gt;&lt;urls&gt;&lt;related-urls&gt;&lt;url&gt;http://www.pc.gov.au/research/ongoing/report-on-government-services/2016/health/public-hospitals/rogs-2016-volumee-chapter11.pdf&lt;/url&gt;&lt;/related-urls&gt;&lt;/urls&gt;&lt;access-date&gt;Sep 2017&lt;/access-date&gt;&lt;/record&gt;&lt;/Cite&gt;&lt;/EndNote&gt;</w:instrText>
        </w:r>
        <w:r w:rsidR="004644CB">
          <w:fldChar w:fldCharType="separate"/>
        </w:r>
        <w:r w:rsidR="004644CB" w:rsidRPr="00E22B7C">
          <w:rPr>
            <w:noProof/>
            <w:vertAlign w:val="superscript"/>
          </w:rPr>
          <w:t>1</w:t>
        </w:r>
        <w:r w:rsidR="004644CB">
          <w:fldChar w:fldCharType="end"/>
        </w:r>
      </w:hyperlink>
      <w:r w:rsidR="009D3CA2">
        <w:t xml:space="preserve"> </w:t>
      </w:r>
      <w:r w:rsidR="009D3CA2" w:rsidRPr="00576C85">
        <w:t>According to the Productivity Commission, sentinel events:</w:t>
      </w:r>
    </w:p>
    <w:p w:rsidR="009D3CA2" w:rsidRPr="00576C85" w:rsidRDefault="00C32D65" w:rsidP="009D3CA2">
      <w:pPr>
        <w:numPr>
          <w:ilvl w:val="0"/>
          <w:numId w:val="8"/>
        </w:numPr>
        <w:spacing w:after="0"/>
        <w:jc w:val="both"/>
      </w:pPr>
      <w:r>
        <w:t>O</w:t>
      </w:r>
      <w:r w:rsidR="009D3CA2" w:rsidRPr="00576C85">
        <w:t>ccur relatively infrequently and are independent of a patient’s condition</w:t>
      </w:r>
    </w:p>
    <w:p w:rsidR="009D3CA2" w:rsidRDefault="00C32D65" w:rsidP="009D3CA2">
      <w:pPr>
        <w:numPr>
          <w:ilvl w:val="0"/>
          <w:numId w:val="8"/>
        </w:numPr>
        <w:spacing w:after="0"/>
        <w:jc w:val="both"/>
      </w:pPr>
      <w:r>
        <w:t>H</w:t>
      </w:r>
      <w:r w:rsidR="009D3CA2" w:rsidRPr="00576C85">
        <w:t xml:space="preserve">ave the potential to seriously undermine public confidence in the healthcare system.  </w:t>
      </w:r>
    </w:p>
    <w:p w:rsidR="003E1DFD" w:rsidRDefault="003E1DFD" w:rsidP="003E1DFD">
      <w:pPr>
        <w:spacing w:after="0"/>
        <w:jc w:val="both"/>
      </w:pPr>
    </w:p>
    <w:p w:rsidR="00553C95" w:rsidRDefault="00220532" w:rsidP="00553C95">
      <w:pPr>
        <w:pStyle w:val="Heading2"/>
      </w:pPr>
      <w:bookmarkStart w:id="8" w:name="_Toc1338074"/>
      <w:r>
        <w:t>Background</w:t>
      </w:r>
      <w:bookmarkEnd w:id="8"/>
      <w:r w:rsidR="00553C95">
        <w:t xml:space="preserve"> </w:t>
      </w:r>
    </w:p>
    <w:p w:rsidR="009D3CA2" w:rsidRPr="00576C85" w:rsidRDefault="003E1DFD" w:rsidP="009D3CA2">
      <w:pPr>
        <w:jc w:val="both"/>
        <w:rPr>
          <w:lang w:val="en-US"/>
        </w:rPr>
      </w:pPr>
      <w:r>
        <w:rPr>
          <w:lang w:val="en-US"/>
        </w:rPr>
        <w:t xml:space="preserve">The </w:t>
      </w:r>
      <w:r w:rsidR="0068319E">
        <w:rPr>
          <w:lang w:val="en-US"/>
        </w:rPr>
        <w:t xml:space="preserve">Australian sentinel events list </w:t>
      </w:r>
      <w:r>
        <w:rPr>
          <w:lang w:val="en-US"/>
        </w:rPr>
        <w:t xml:space="preserve">was agreed by Australian health ministers in 2002. </w:t>
      </w:r>
      <w:r w:rsidR="009D3CA2" w:rsidRPr="00576C85">
        <w:rPr>
          <w:lang w:val="en-US"/>
        </w:rPr>
        <w:t>In April 2004, Australian health ministers determined that public hospitals would report sentinel events to the relevant state or territory health department or an agreed third party and that all states and territories would contribute to a national report on the following eight events:</w:t>
      </w:r>
    </w:p>
    <w:p w:rsidR="009D3CA2" w:rsidRPr="00576C85" w:rsidRDefault="009D3CA2" w:rsidP="009D3CA2">
      <w:pPr>
        <w:numPr>
          <w:ilvl w:val="0"/>
          <w:numId w:val="7"/>
        </w:numPr>
        <w:spacing w:after="0"/>
        <w:jc w:val="both"/>
      </w:pPr>
      <w:r w:rsidRPr="00576C85">
        <w:t>Procedures involving the wrong patient or body part resulting in death or major permanent loss of function</w:t>
      </w:r>
      <w:r>
        <w:rPr>
          <w:rStyle w:val="FootnoteReference"/>
        </w:rPr>
        <w:footnoteReference w:id="1"/>
      </w:r>
    </w:p>
    <w:p w:rsidR="009D3CA2" w:rsidRPr="00576C85" w:rsidRDefault="009D3CA2" w:rsidP="009D3CA2">
      <w:pPr>
        <w:numPr>
          <w:ilvl w:val="0"/>
          <w:numId w:val="7"/>
        </w:numPr>
        <w:spacing w:after="0"/>
        <w:jc w:val="both"/>
        <w:rPr>
          <w:i/>
        </w:rPr>
      </w:pPr>
      <w:r w:rsidRPr="00576C85">
        <w:t>Suicide of a patient in an inpatient unit</w:t>
      </w:r>
    </w:p>
    <w:p w:rsidR="009D3CA2" w:rsidRPr="00576C85" w:rsidRDefault="009D3CA2" w:rsidP="009D3CA2">
      <w:pPr>
        <w:numPr>
          <w:ilvl w:val="0"/>
          <w:numId w:val="7"/>
        </w:numPr>
        <w:spacing w:after="0"/>
        <w:jc w:val="both"/>
      </w:pPr>
      <w:r w:rsidRPr="00576C85">
        <w:t>Retained instruments or other material after surgery requiring re-operation or further surgical procedure</w:t>
      </w:r>
    </w:p>
    <w:p w:rsidR="009D3CA2" w:rsidRPr="00576C85" w:rsidRDefault="009D3CA2" w:rsidP="009D3CA2">
      <w:pPr>
        <w:numPr>
          <w:ilvl w:val="0"/>
          <w:numId w:val="7"/>
        </w:numPr>
        <w:spacing w:after="0"/>
        <w:jc w:val="both"/>
      </w:pPr>
      <w:r w:rsidRPr="00576C85">
        <w:t>Intravascular gas embolism resulting in death or neurological damage.</w:t>
      </w:r>
    </w:p>
    <w:p w:rsidR="009D3CA2" w:rsidRPr="00576C85" w:rsidRDefault="009D3CA2" w:rsidP="009D3CA2">
      <w:pPr>
        <w:numPr>
          <w:ilvl w:val="0"/>
          <w:numId w:val="7"/>
        </w:numPr>
        <w:spacing w:after="0"/>
        <w:jc w:val="both"/>
      </w:pPr>
      <w:r w:rsidRPr="00576C85">
        <w:t>Haemolytic blood transfusion reaction resulting from ABO incompatibility</w:t>
      </w:r>
    </w:p>
    <w:p w:rsidR="009D3CA2" w:rsidRPr="00576C85" w:rsidRDefault="009D3CA2" w:rsidP="009D3CA2">
      <w:pPr>
        <w:numPr>
          <w:ilvl w:val="0"/>
          <w:numId w:val="7"/>
        </w:numPr>
        <w:spacing w:after="0"/>
        <w:jc w:val="both"/>
      </w:pPr>
      <w:r w:rsidRPr="00576C85">
        <w:t>Medication error leading to the death of a patient reasonably believed to be due to incorrect administration of drugs</w:t>
      </w:r>
    </w:p>
    <w:p w:rsidR="009D3CA2" w:rsidRPr="00576C85" w:rsidRDefault="009D3CA2" w:rsidP="009D3CA2">
      <w:pPr>
        <w:numPr>
          <w:ilvl w:val="0"/>
          <w:numId w:val="7"/>
        </w:numPr>
        <w:spacing w:after="0"/>
        <w:jc w:val="both"/>
      </w:pPr>
      <w:r w:rsidRPr="00576C85">
        <w:rPr>
          <w:lang w:val="en-US"/>
        </w:rPr>
        <w:t>Maternal death associated with pregnancy, birth and the puerperium</w:t>
      </w:r>
      <w:r>
        <w:rPr>
          <w:rStyle w:val="FootnoteReference"/>
        </w:rPr>
        <w:footnoteReference w:id="2"/>
      </w:r>
    </w:p>
    <w:p w:rsidR="009D3CA2" w:rsidRPr="00576C85" w:rsidRDefault="009D3CA2" w:rsidP="009D3CA2">
      <w:pPr>
        <w:numPr>
          <w:ilvl w:val="0"/>
          <w:numId w:val="7"/>
        </w:numPr>
        <w:spacing w:after="0"/>
        <w:jc w:val="both"/>
      </w:pPr>
      <w:r w:rsidRPr="00576C85">
        <w:t>Infant discharged to the wrong family.</w:t>
      </w:r>
    </w:p>
    <w:p w:rsidR="009D3CA2" w:rsidRDefault="009D3CA2" w:rsidP="009D3CA2">
      <w:pPr>
        <w:jc w:val="both"/>
        <w:rPr>
          <w:lang w:val="en-US"/>
        </w:rPr>
      </w:pPr>
    </w:p>
    <w:p w:rsidR="009D3CA2" w:rsidRDefault="009D3CA2" w:rsidP="009D3CA2">
      <w:pPr>
        <w:jc w:val="both"/>
      </w:pPr>
      <w:r w:rsidRPr="00576C85">
        <w:rPr>
          <w:lang w:val="en-US"/>
        </w:rPr>
        <w:t xml:space="preserve">The </w:t>
      </w:r>
      <w:r>
        <w:rPr>
          <w:lang w:val="en-US"/>
        </w:rPr>
        <w:t>then Australian Council for Safety and Quality in Health Care (now the Commission)</w:t>
      </w:r>
      <w:r w:rsidRPr="00576C85">
        <w:rPr>
          <w:lang w:val="en-US"/>
        </w:rPr>
        <w:t xml:space="preserve"> originally based </w:t>
      </w:r>
      <w:r>
        <w:rPr>
          <w:lang w:val="en-US"/>
        </w:rPr>
        <w:t xml:space="preserve">the </w:t>
      </w:r>
      <w:r w:rsidR="0068319E">
        <w:rPr>
          <w:lang w:val="en-US"/>
        </w:rPr>
        <w:t xml:space="preserve">Australian sentinel events list </w:t>
      </w:r>
      <w:r w:rsidRPr="00576C85">
        <w:rPr>
          <w:lang w:val="en-US"/>
        </w:rPr>
        <w:t xml:space="preserve">on the United States (US) Joint Commission’s sentinel event list, which has </w:t>
      </w:r>
      <w:r w:rsidRPr="00576C85">
        <w:t>evolved over time</w:t>
      </w:r>
      <w:r w:rsidR="00AC2405">
        <w:t>.</w:t>
      </w:r>
      <w:r w:rsidRPr="00576C85">
        <w:rPr>
          <w:vertAlign w:val="superscript"/>
          <w:lang w:val="en-GB"/>
        </w:rPr>
        <w:footnoteReference w:id="3"/>
      </w:r>
      <w:r w:rsidRPr="00576C85">
        <w:t xml:space="preserve"> </w:t>
      </w:r>
    </w:p>
    <w:p w:rsidR="009D3CA2" w:rsidRPr="00576C85" w:rsidRDefault="009D3CA2" w:rsidP="009D3CA2">
      <w:pPr>
        <w:jc w:val="both"/>
        <w:rPr>
          <w:lang w:val="en-US"/>
        </w:rPr>
      </w:pPr>
      <w:r w:rsidRPr="00576C85">
        <w:lastRenderedPageBreak/>
        <w:t xml:space="preserve">It was intended that public reporting against the sentinel events list would provide an opportunity to share learning about these events at the national level to prevent, or reduce the risk of, recurrence of the sentinel events. Public reporting against the sentinel events list was previously included in the Commission’s publication: </w:t>
      </w:r>
      <w:r w:rsidRPr="00576C85">
        <w:rPr>
          <w:i/>
        </w:rPr>
        <w:t>Windows into Safety and Quality in Health Care</w:t>
      </w:r>
      <w:hyperlink w:anchor="_ENREF_3" w:tooltip="Australian Commission on Safety and Quality in Health Care, 2011 #5" w:history="1">
        <w:r w:rsidR="004644CB" w:rsidRPr="00F6102D">
          <w:fldChar w:fldCharType="begin"/>
        </w:r>
        <w:r w:rsidR="004644CB">
          <w:instrText xml:space="preserve"> ADDIN EN.CITE &lt;EndNote&gt;&lt;Cite&gt;&lt;Author&gt;Australian Commission on Safety and Quality in Health Care&lt;/Author&gt;&lt;Year&gt;2011&lt;/Year&gt;&lt;RecNum&gt;5&lt;/RecNum&gt;&lt;DisplayText&gt;&lt;style face="superscript"&gt;3&lt;/style&gt;&lt;/DisplayText&gt;&lt;record&gt;&lt;rec-number&gt;5&lt;/rec-number&gt;&lt;foreign-keys&gt;&lt;key app="EN" db-id="0zaapr5rxrpdrrepezbv00a69s0etwz0v0te"&gt;5&lt;/key&gt;&lt;/foreign-keys&gt;&lt;ref-type name="Electronic Book"&gt;44&lt;/ref-type&gt;&lt;contributors&gt;&lt;authors&gt;&lt;author&gt;Australian Commission on Safety and Quality in Health Care,&lt;/author&gt;&lt;/authors&gt;&lt;/contributors&gt;&lt;titles&gt;&lt;title&gt;Windows into Safety and Quality in Health Care 2011&lt;/title&gt;&lt;/titles&gt;&lt;dates&gt;&lt;year&gt;2011&lt;/year&gt;&lt;pub-dates&gt;&lt;date&gt;Sep 2017&lt;/date&gt;&lt;/pub-dates&gt;&lt;/dates&gt;&lt;pub-location&gt;Sydney&lt;/pub-location&gt;&lt;publisher&gt;ACQHSC&lt;/publisher&gt;&lt;urls&gt;&lt;related-urls&gt;&lt;url&gt;https://www.safetyandquality.gov.au/wp-content/uploads/2011/11/Windows-into-Safety-and-Quality-in-Health-Care-2011.pdf&lt;/url&gt;&lt;/related-urls&gt;&lt;/urls&gt;&lt;/record&gt;&lt;/Cite&gt;&lt;/EndNote&gt;</w:instrText>
        </w:r>
        <w:r w:rsidR="004644CB" w:rsidRPr="00F6102D">
          <w:fldChar w:fldCharType="separate"/>
        </w:r>
        <w:r w:rsidR="004644CB" w:rsidRPr="00F6102D">
          <w:rPr>
            <w:noProof/>
            <w:vertAlign w:val="superscript"/>
          </w:rPr>
          <w:t>3</w:t>
        </w:r>
        <w:r w:rsidR="004644CB" w:rsidRPr="00F6102D">
          <w:fldChar w:fldCharType="end"/>
        </w:r>
      </w:hyperlink>
      <w:r w:rsidRPr="00F6102D">
        <w:t>,</w:t>
      </w:r>
      <w:r w:rsidRPr="00576C85">
        <w:t xml:space="preserve"> which is no longer published. Since 2007, sentinel events have been reported in the Productivity Commission’s </w:t>
      </w:r>
      <w:r w:rsidRPr="00576C85">
        <w:rPr>
          <w:i/>
        </w:rPr>
        <w:t>Report on Government Services</w:t>
      </w:r>
      <w:r w:rsidRPr="00576C85">
        <w:t xml:space="preserve"> (R</w:t>
      </w:r>
      <w:r w:rsidR="00817660">
        <w:t>o</w:t>
      </w:r>
      <w:r w:rsidRPr="00576C85">
        <w:t>GS)</w:t>
      </w:r>
      <w:hyperlink w:anchor="_ENREF_1" w:tooltip="Productivity Commission, 2016 #1" w:history="1">
        <w:r w:rsidR="004644CB">
          <w:fldChar w:fldCharType="begin"/>
        </w:r>
        <w:r w:rsidR="004644CB">
          <w:instrText xml:space="preserve"> ADDIN EN.CITE &lt;EndNote&gt;&lt;Cite&gt;&lt;Author&gt;Productivity Commission&lt;/Author&gt;&lt;Year&gt;2016&lt;/Year&gt;&lt;RecNum&gt;1&lt;/RecNum&gt;&lt;DisplayText&gt;&lt;style face="superscript"&gt;1&lt;/style&gt;&lt;/DisplayText&gt;&lt;record&gt;&lt;rec-number&gt;1&lt;/rec-number&gt;&lt;foreign-keys&gt;&lt;key app="EN" db-id="0zaapr5rxrpdrrepezbv00a69s0etwz0v0te"&gt;1&lt;/key&gt;&lt;/foreign-keys&gt;&lt;ref-type name="Electronic Book Section"&gt;60&lt;/ref-type&gt;&lt;contributors&gt;&lt;authors&gt;&lt;author&gt;Productivity Commission, &lt;/author&gt;&lt;/authors&gt;&lt;/contributors&gt;&lt;titles&gt;&lt;title&gt;Chapter 11: Public hospitals&lt;/title&gt;&lt;secondary-title&gt;Report on Government Services 2016&lt;/secondary-title&gt;&lt;/titles&gt;&lt;dates&gt;&lt;year&gt;2016&lt;/year&gt;&lt;/dates&gt;&lt;pub-location&gt;Melbourne&lt;/pub-location&gt;&lt;publisher&gt;Productivity Commission&lt;/publisher&gt;&lt;urls&gt;&lt;related-urls&gt;&lt;url&gt;http://www.pc.gov.au/research/ongoing/report-on-government-services/2016/health/public-hospitals/rogs-2016-volumee-chapter11.pdf&lt;/url&gt;&lt;/related-urls&gt;&lt;/urls&gt;&lt;access-date&gt;Sep 2017&lt;/access-date&gt;&lt;/record&gt;&lt;/Cite&gt;&lt;/EndNote&gt;</w:instrText>
        </w:r>
        <w:r w:rsidR="004644CB">
          <w:fldChar w:fldCharType="separate"/>
        </w:r>
        <w:r w:rsidR="004644CB" w:rsidRPr="0072512C">
          <w:rPr>
            <w:noProof/>
            <w:vertAlign w:val="superscript"/>
          </w:rPr>
          <w:t>1</w:t>
        </w:r>
        <w:r w:rsidR="004644CB">
          <w:fldChar w:fldCharType="end"/>
        </w:r>
      </w:hyperlink>
      <w:r w:rsidRPr="00576C85">
        <w:t xml:space="preserve"> as</w:t>
      </w:r>
      <w:r w:rsidRPr="00576C85">
        <w:rPr>
          <w:lang w:val="en-US"/>
        </w:rPr>
        <w:t xml:space="preserve"> the total number of </w:t>
      </w:r>
      <w:r w:rsidR="00E26461">
        <w:rPr>
          <w:lang w:val="en-US"/>
        </w:rPr>
        <w:t xml:space="preserve">occurrences of </w:t>
      </w:r>
      <w:r w:rsidRPr="00576C85">
        <w:rPr>
          <w:lang w:val="en-US"/>
        </w:rPr>
        <w:t xml:space="preserve">each sentinel event by jurisdiction. </w:t>
      </w:r>
    </w:p>
    <w:p w:rsidR="00943DBF" w:rsidRDefault="00943DBF" w:rsidP="00943DBF">
      <w:pPr>
        <w:jc w:val="both"/>
      </w:pPr>
      <w:r>
        <w:t>T</w:t>
      </w:r>
      <w:r w:rsidRPr="00576C85">
        <w:t xml:space="preserve">he </w:t>
      </w:r>
      <w:r w:rsidR="0068319E">
        <w:t xml:space="preserve">Australian sentinel events list </w:t>
      </w:r>
      <w:r w:rsidRPr="00576C85">
        <w:t>has not been comprehensively reviewed since its adoption by health ministers in 2002, with the exception of sentinel event 1:</w:t>
      </w:r>
      <w:r w:rsidRPr="00576C85">
        <w:rPr>
          <w:i/>
        </w:rPr>
        <w:t xml:space="preserve"> </w:t>
      </w:r>
      <w:r w:rsidRPr="008F547C">
        <w:t>procedures involving the wrong patient or body part</w:t>
      </w:r>
      <w:r w:rsidRPr="00576C85">
        <w:t xml:space="preserve">, which was redefined in 2009, and sentinel event 7: </w:t>
      </w:r>
      <w:r w:rsidRPr="008F547C">
        <w:t>maternal death</w:t>
      </w:r>
      <w:r w:rsidRPr="00576C85">
        <w:t>, which was redefined in 2014.</w:t>
      </w:r>
    </w:p>
    <w:p w:rsidR="00BA2E46" w:rsidRDefault="00220532" w:rsidP="00BA2E46">
      <w:pPr>
        <w:pStyle w:val="Heading2"/>
      </w:pPr>
      <w:bookmarkStart w:id="9" w:name="_Toc1338075"/>
      <w:r>
        <w:t xml:space="preserve">Development of the </w:t>
      </w:r>
      <w:r w:rsidR="0068319E">
        <w:t xml:space="preserve">Australian sentinel events list </w:t>
      </w:r>
      <w:r>
        <w:br/>
        <w:t>(version 2)</w:t>
      </w:r>
      <w:bookmarkEnd w:id="9"/>
    </w:p>
    <w:p w:rsidR="005747DB" w:rsidRPr="00576C85" w:rsidRDefault="00943DBF" w:rsidP="005747DB">
      <w:pPr>
        <w:jc w:val="both"/>
      </w:pPr>
      <w:r>
        <w:t xml:space="preserve">A Sentinel Events Review Steering Committee (SERSC) comprising a consumer representative and state, territory and Commonwealth patient safety experts </w:t>
      </w:r>
      <w:r w:rsidR="00AD2815">
        <w:t>was</w:t>
      </w:r>
      <w:r>
        <w:t xml:space="preserve"> convened to guide the Review. The SERSC’s membership can be found at </w:t>
      </w:r>
      <w:r w:rsidRPr="00E5345E">
        <w:rPr>
          <w:b/>
        </w:rPr>
        <w:t>Appendix A</w:t>
      </w:r>
      <w:r w:rsidRPr="00E5345E">
        <w:t>.</w:t>
      </w:r>
      <w:r>
        <w:t xml:space="preserve"> </w:t>
      </w:r>
      <w:r w:rsidR="005747DB">
        <w:t xml:space="preserve">The SERSC developed a revised purpose, definition and criteria for inclusion of incidents on the </w:t>
      </w:r>
      <w:r w:rsidR="0068319E">
        <w:t>Australian sentinel events list (version 2)</w:t>
      </w:r>
      <w:r w:rsidR="005747DB">
        <w:t>.</w:t>
      </w:r>
    </w:p>
    <w:p w:rsidR="00943DBF" w:rsidRDefault="00943DBF" w:rsidP="00943DBF">
      <w:pPr>
        <w:jc w:val="both"/>
      </w:pPr>
      <w:r>
        <w:t xml:space="preserve">An environmental scan and literature review, comprising a background report and case studies was commissioned and used in the deliberations of the SERSC. These documents </w:t>
      </w:r>
      <w:r w:rsidR="00AD2815">
        <w:t xml:space="preserve">examined </w:t>
      </w:r>
      <w:r>
        <w:t>how sentinel events or ‘never events’ are used across Australia, the United Kingdom, the United States and Canada. The SERSC used the findings of the environmen</w:t>
      </w:r>
      <w:r w:rsidR="005747DB">
        <w:t>tal scan and literature review and</w:t>
      </w:r>
      <w:r>
        <w:t xml:space="preserve"> assessed each sentinel/never event in those international jurisdictions against the new purpose, definition and criteria to arrive at a draft revised </w:t>
      </w:r>
      <w:r w:rsidR="00904670">
        <w:t>Australian</w:t>
      </w:r>
      <w:r>
        <w:t xml:space="preserve"> sentinel event list for consultation. </w:t>
      </w:r>
    </w:p>
    <w:p w:rsidR="00E015B2" w:rsidRPr="00E015B2" w:rsidRDefault="00E015B2" w:rsidP="00F6102D">
      <w:pPr>
        <w:jc w:val="both"/>
      </w:pPr>
      <w:r>
        <w:t>C</w:t>
      </w:r>
      <w:r w:rsidR="00943DBF" w:rsidRPr="003F4951">
        <w:t xml:space="preserve">onsultation as part of the </w:t>
      </w:r>
      <w:r w:rsidR="00120EA0">
        <w:t>R</w:t>
      </w:r>
      <w:r w:rsidR="00943DBF" w:rsidRPr="003F4951">
        <w:t xml:space="preserve">eview </w:t>
      </w:r>
      <w:r w:rsidR="005747DB" w:rsidRPr="003F4951">
        <w:t>was</w:t>
      </w:r>
      <w:r w:rsidR="00943DBF" w:rsidRPr="003F4951">
        <w:t xml:space="preserve"> undert</w:t>
      </w:r>
      <w:r w:rsidR="005747DB" w:rsidRPr="003F4951">
        <w:t>aken in two stages. The first was targeted</w:t>
      </w:r>
      <w:r w:rsidR="00943DBF" w:rsidRPr="003F4951">
        <w:t xml:space="preserve"> clinica</w:t>
      </w:r>
      <w:r w:rsidR="005747DB" w:rsidRPr="003F4951">
        <w:t>l consultation and the second was</w:t>
      </w:r>
      <w:r w:rsidR="00943DBF" w:rsidRPr="003F4951">
        <w:t xml:space="preserve"> broader public consultation. </w:t>
      </w:r>
      <w:r w:rsidR="003F4951" w:rsidRPr="003F4951">
        <w:t>Clinical advice was used to refine the list by ensuring each proposed sentinel event met the definition and criteria for the list as set out by the SERSC, and by ensuring that the individual sentinel event definitions were appropriate.</w:t>
      </w:r>
      <w:r w:rsidR="003F4951" w:rsidRPr="00E6689B">
        <w:t xml:space="preserve"> </w:t>
      </w:r>
      <w:r w:rsidR="003F4951" w:rsidRPr="002151E8">
        <w:t xml:space="preserve">The Commission </w:t>
      </w:r>
      <w:r w:rsidR="003F4951">
        <w:t xml:space="preserve">then </w:t>
      </w:r>
      <w:r w:rsidR="003F4951" w:rsidRPr="002151E8">
        <w:t xml:space="preserve">undertook public consultation on the draft revised sentinel events list and definitions </w:t>
      </w:r>
      <w:r w:rsidR="00120EA0">
        <w:t>between</w:t>
      </w:r>
      <w:r w:rsidR="00120EA0" w:rsidRPr="002151E8">
        <w:t xml:space="preserve"> </w:t>
      </w:r>
      <w:r w:rsidR="003F4951" w:rsidRPr="002151E8">
        <w:t>9</w:t>
      </w:r>
      <w:r w:rsidR="00120EA0">
        <w:t xml:space="preserve"> June and </w:t>
      </w:r>
      <w:r w:rsidR="003F4951" w:rsidRPr="002151E8">
        <w:t xml:space="preserve">25 June 2017. </w:t>
      </w:r>
      <w:r w:rsidR="003F4951">
        <w:t>P</w:t>
      </w:r>
      <w:r w:rsidR="003F4951" w:rsidRPr="002151E8">
        <w:t>ublic consultation was undertaken via an online survey</w:t>
      </w:r>
      <w:r w:rsidR="003F4951">
        <w:t xml:space="preserve">. </w:t>
      </w:r>
      <w:r w:rsidR="003F4951" w:rsidRPr="002151E8">
        <w:t>A total of 800 healthcare professionals and members of the public participated in the public consultation survey, from every state and territory.</w:t>
      </w:r>
      <w:r w:rsidR="003F4951">
        <w:t xml:space="preserve"> </w:t>
      </w:r>
      <w:r w:rsidR="005747DB" w:rsidRPr="003F4951">
        <w:t>The draft revised list of sentinel events was refined with each round of consultation.</w:t>
      </w:r>
      <w:r w:rsidR="005747DB">
        <w:t xml:space="preserve"> </w:t>
      </w:r>
    </w:p>
    <w:p w:rsidR="0022429D" w:rsidRDefault="0022429D" w:rsidP="007746FA">
      <w:pPr>
        <w:pStyle w:val="Heading3"/>
      </w:pPr>
      <w:bookmarkStart w:id="10" w:name="_Toc1338076"/>
      <w:r>
        <w:t>Purpose, definition and criteria</w:t>
      </w:r>
      <w:bookmarkEnd w:id="10"/>
    </w:p>
    <w:p w:rsidR="00553C95" w:rsidRPr="00943DBF" w:rsidRDefault="00943DBF" w:rsidP="0022429D">
      <w:r w:rsidRPr="00943DBF">
        <w:t xml:space="preserve">The purpose, definition and criteria for a revised </w:t>
      </w:r>
      <w:r w:rsidR="0068319E">
        <w:t>Australian sentinel events list (version 2)</w:t>
      </w:r>
      <w:r w:rsidRPr="00943DBF">
        <w:t xml:space="preserve"> </w:t>
      </w:r>
      <w:r w:rsidR="00E015B2">
        <w:t>were developed by the SERSC and</w:t>
      </w:r>
      <w:r w:rsidR="002C5058">
        <w:t xml:space="preserve"> were used to determine which incidents would be included in</w:t>
      </w:r>
      <w:r w:rsidR="00990682">
        <w:t xml:space="preserve"> the list.</w:t>
      </w:r>
    </w:p>
    <w:p w:rsidR="0022429D" w:rsidRPr="007746FA" w:rsidRDefault="007746FA" w:rsidP="0022429D">
      <w:pPr>
        <w:rPr>
          <w:b/>
        </w:rPr>
      </w:pPr>
      <w:r w:rsidRPr="007746FA">
        <w:rPr>
          <w:b/>
        </w:rPr>
        <w:t>Purpose</w:t>
      </w:r>
    </w:p>
    <w:p w:rsidR="007746FA" w:rsidRDefault="007746FA" w:rsidP="007746FA">
      <w:pPr>
        <w:jc w:val="both"/>
      </w:pPr>
      <w:r w:rsidRPr="00923711">
        <w:t xml:space="preserve">The purpose of the </w:t>
      </w:r>
      <w:r w:rsidR="0068319E">
        <w:t>Australian sentinel events list (version 2)</w:t>
      </w:r>
      <w:r>
        <w:t xml:space="preserve"> is to </w:t>
      </w:r>
      <w:r w:rsidRPr="00923711">
        <w:t>ensure public accountability and transparency</w:t>
      </w:r>
      <w:r>
        <w:t xml:space="preserve"> and </w:t>
      </w:r>
      <w:r w:rsidRPr="00923711">
        <w:t xml:space="preserve">drive national improvements in </w:t>
      </w:r>
      <w:r>
        <w:t xml:space="preserve">patient </w:t>
      </w:r>
      <w:r w:rsidRPr="00923711">
        <w:t>safety</w:t>
      </w:r>
      <w:r>
        <w:t xml:space="preserve">. </w:t>
      </w:r>
    </w:p>
    <w:p w:rsidR="009C3AC4" w:rsidRPr="00A67758" w:rsidRDefault="009C3AC4" w:rsidP="009C3AC4">
      <w:pPr>
        <w:jc w:val="both"/>
      </w:pPr>
      <w:r w:rsidRPr="00A67758">
        <w:t xml:space="preserve">The intent of this document is to define sentinel events that are extremely serious, preventable, and of concern to both the public and health care providers for the purpose of public accountability. Sentinel events have the potential to seriously undermine public </w:t>
      </w:r>
      <w:r w:rsidRPr="00A67758">
        <w:lastRenderedPageBreak/>
        <w:t>confidence in the healthcare system and are a subset of the most serious incidents reported through each jurisdiction’s incident reporting system. The intent is not to measure episodes that do not end in death or ongoing morbidity.</w:t>
      </w:r>
    </w:p>
    <w:p w:rsidR="007746FA" w:rsidRDefault="007746FA" w:rsidP="00F6102D">
      <w:pPr>
        <w:keepNext/>
        <w:jc w:val="both"/>
        <w:rPr>
          <w:b/>
        </w:rPr>
      </w:pPr>
      <w:r>
        <w:rPr>
          <w:b/>
        </w:rPr>
        <w:t>Definition</w:t>
      </w:r>
    </w:p>
    <w:p w:rsidR="007746FA" w:rsidRDefault="00F24616" w:rsidP="0011312B">
      <w:r>
        <w:t>A sentinel event is a p</w:t>
      </w:r>
      <w:r w:rsidR="007746FA" w:rsidRPr="00923711">
        <w:t>articular ty</w:t>
      </w:r>
      <w:r w:rsidR="007746FA">
        <w:t xml:space="preserve">pe of serious incident that is wholly preventable </w:t>
      </w:r>
      <w:r w:rsidR="007746FA" w:rsidRPr="00923711">
        <w:t>and</w:t>
      </w:r>
      <w:r w:rsidR="007746FA">
        <w:t xml:space="preserve"> </w:t>
      </w:r>
      <w:r w:rsidR="007746FA" w:rsidRPr="00923711">
        <w:t xml:space="preserve">has </w:t>
      </w:r>
      <w:r w:rsidR="007746FA">
        <w:t xml:space="preserve">caused serious harm </w:t>
      </w:r>
      <w:r w:rsidR="008D2E70">
        <w:t>to</w:t>
      </w:r>
      <w:r w:rsidR="00990682">
        <w:t>,</w:t>
      </w:r>
      <w:r w:rsidR="008D2E70">
        <w:t xml:space="preserve"> </w:t>
      </w:r>
      <w:r w:rsidR="007746FA">
        <w:t>or death of</w:t>
      </w:r>
      <w:r w:rsidR="00990682">
        <w:t>,</w:t>
      </w:r>
      <w:r w:rsidR="007746FA">
        <w:t xml:space="preserve"> a patient.</w:t>
      </w:r>
    </w:p>
    <w:p w:rsidR="009C3AC4" w:rsidRPr="00A67758" w:rsidRDefault="009C3AC4" w:rsidP="009C3AC4">
      <w:r w:rsidRPr="00A67758">
        <w:t xml:space="preserve">All national sentinel events undergo a full review by the entity governing the organisation where the event occurred in consultation with experts and clinicians to make the final determination. This includes national sentinel events relating to the delivery of a medication, that causes death of a patient or </w:t>
      </w:r>
      <w:r w:rsidR="00AF0AA4" w:rsidRPr="00A67758">
        <w:t>resulted in shortened life expectancy, permanent or long term physical harm or loss of function.</w:t>
      </w:r>
      <w:r w:rsidRPr="00A67758">
        <w:t xml:space="preserve"> </w:t>
      </w:r>
    </w:p>
    <w:p w:rsidR="009C3AC4" w:rsidRPr="00A67758" w:rsidRDefault="009C3AC4" w:rsidP="009C3AC4">
      <w:r w:rsidRPr="00A67758">
        <w:t xml:space="preserve">For example, as a result of the medication error involving the wrong drug, wrong dose, wrong patient, wrong time, wrong rate, wrong preparation, wrong route of administration, or known allergy, the </w:t>
      </w:r>
      <w:r w:rsidR="00AF0AA4" w:rsidRPr="00A67758">
        <w:t>patient dies</w:t>
      </w:r>
      <w:r w:rsidRPr="00A67758">
        <w:t>, or has shortened life expectancy, or has experienced permanent or long term physical harm or loss of function.</w:t>
      </w:r>
    </w:p>
    <w:p w:rsidR="007746FA" w:rsidRDefault="007746FA" w:rsidP="007746FA">
      <w:pPr>
        <w:jc w:val="both"/>
        <w:rPr>
          <w:b/>
        </w:rPr>
      </w:pPr>
      <w:r>
        <w:rPr>
          <w:b/>
        </w:rPr>
        <w:t>Criteria</w:t>
      </w:r>
    </w:p>
    <w:p w:rsidR="007746FA" w:rsidRPr="00923711" w:rsidRDefault="007746FA" w:rsidP="007746FA">
      <w:pPr>
        <w:jc w:val="both"/>
      </w:pPr>
      <w:r w:rsidRPr="00923711">
        <w:t>An incident must also satisfy the following criteria in order to be classified as a sentinel event:</w:t>
      </w:r>
    </w:p>
    <w:p w:rsidR="007746FA" w:rsidRPr="00923711" w:rsidRDefault="00990682" w:rsidP="00E564FB">
      <w:pPr>
        <w:numPr>
          <w:ilvl w:val="0"/>
          <w:numId w:val="9"/>
        </w:numPr>
        <w:spacing w:after="0"/>
        <w:jc w:val="both"/>
      </w:pPr>
      <w:r>
        <w:t>The event s</w:t>
      </w:r>
      <w:r w:rsidR="007746FA" w:rsidRPr="00923711">
        <w:t xml:space="preserve">hould not have occurred where </w:t>
      </w:r>
      <w:r w:rsidR="005C6D47">
        <w:t>preventive</w:t>
      </w:r>
      <w:r w:rsidR="007746FA" w:rsidRPr="00923711">
        <w:t xml:space="preserve"> barriers are available</w:t>
      </w:r>
    </w:p>
    <w:p w:rsidR="0039095A" w:rsidRDefault="00990682" w:rsidP="00E564FB">
      <w:pPr>
        <w:numPr>
          <w:ilvl w:val="0"/>
          <w:numId w:val="9"/>
        </w:numPr>
        <w:spacing w:after="0"/>
        <w:jc w:val="both"/>
      </w:pPr>
      <w:r>
        <w:t>Th</w:t>
      </w:r>
      <w:r w:rsidR="0039095A" w:rsidRPr="00923711">
        <w:t xml:space="preserve">e event is easily recognised and clearly defined </w:t>
      </w:r>
    </w:p>
    <w:p w:rsidR="007746FA" w:rsidRDefault="00990682" w:rsidP="0039095A">
      <w:pPr>
        <w:numPr>
          <w:ilvl w:val="0"/>
          <w:numId w:val="9"/>
        </w:numPr>
        <w:spacing w:after="0"/>
        <w:jc w:val="both"/>
      </w:pPr>
      <w:r>
        <w:t>T</w:t>
      </w:r>
      <w:r w:rsidR="007746FA" w:rsidRPr="00923711">
        <w:t xml:space="preserve">here is evidence the event has occurred in the past. </w:t>
      </w:r>
    </w:p>
    <w:p w:rsidR="007746FA" w:rsidRDefault="00220532" w:rsidP="007746FA">
      <w:pPr>
        <w:pStyle w:val="Heading3"/>
      </w:pPr>
      <w:bookmarkStart w:id="11" w:name="_Toc1338077"/>
      <w:r>
        <w:t>Defining s</w:t>
      </w:r>
      <w:r w:rsidR="007746FA">
        <w:t>erious harm</w:t>
      </w:r>
      <w:bookmarkEnd w:id="11"/>
      <w:r w:rsidR="007746FA">
        <w:t xml:space="preserve"> </w:t>
      </w:r>
    </w:p>
    <w:p w:rsidR="008C37A0" w:rsidRPr="008C37A0" w:rsidRDefault="008C37A0" w:rsidP="008C37A0">
      <w:pPr>
        <w:jc w:val="both"/>
      </w:pPr>
      <w:r w:rsidRPr="008C37A0">
        <w:t>Serious harm is indicated where a</w:t>
      </w:r>
      <w:r w:rsidRPr="008C37A0">
        <w:rPr>
          <w:rFonts w:ascii="Arial" w:eastAsia="Lucida Grande" w:hAnsi="Arial" w:cs="Arial"/>
          <w:lang w:eastAsia="ja-JP"/>
        </w:rPr>
        <w:t>s a result of the incident the patient:</w:t>
      </w:r>
    </w:p>
    <w:p w:rsidR="008C37A0" w:rsidRPr="008C37A0" w:rsidRDefault="008C37A0" w:rsidP="008C37A0">
      <w:pPr>
        <w:pStyle w:val="ListParagraph"/>
        <w:numPr>
          <w:ilvl w:val="0"/>
          <w:numId w:val="37"/>
        </w:numPr>
        <w:spacing w:line="276" w:lineRule="auto"/>
        <w:rPr>
          <w:rFonts w:ascii="Arial" w:eastAsia="Lucida Grande" w:hAnsi="Arial" w:cs="Arial"/>
          <w:lang w:eastAsia="ja-JP"/>
        </w:rPr>
      </w:pPr>
      <w:r w:rsidRPr="008C37A0">
        <w:rPr>
          <w:rFonts w:ascii="Arial" w:eastAsia="Lucida Grande" w:hAnsi="Arial" w:cs="Arial"/>
          <w:lang w:eastAsia="ja-JP"/>
        </w:rPr>
        <w:t>requires life-saving surgical or medical intervention</w:t>
      </w:r>
      <w:r w:rsidR="00E75329">
        <w:rPr>
          <w:rFonts w:ascii="Arial" w:eastAsia="Lucida Grande" w:hAnsi="Arial" w:cs="Arial"/>
          <w:lang w:eastAsia="ja-JP"/>
        </w:rPr>
        <w:t>,</w:t>
      </w:r>
      <w:r w:rsidRPr="008C37A0">
        <w:rPr>
          <w:rFonts w:ascii="Arial" w:eastAsia="Lucida Grande" w:hAnsi="Arial" w:cs="Arial"/>
          <w:lang w:eastAsia="ja-JP"/>
        </w:rPr>
        <w:t xml:space="preserve"> or </w:t>
      </w:r>
    </w:p>
    <w:p w:rsidR="008C37A0" w:rsidRPr="008C37A0" w:rsidRDefault="008C37A0" w:rsidP="008C37A0">
      <w:pPr>
        <w:pStyle w:val="ListParagraph"/>
        <w:numPr>
          <w:ilvl w:val="0"/>
          <w:numId w:val="37"/>
        </w:numPr>
        <w:spacing w:line="276" w:lineRule="auto"/>
        <w:rPr>
          <w:rFonts w:ascii="Arial" w:eastAsia="Lucida Grande" w:hAnsi="Arial" w:cs="Arial"/>
          <w:lang w:eastAsia="ja-JP"/>
        </w:rPr>
      </w:pPr>
      <w:r w:rsidRPr="008C37A0">
        <w:rPr>
          <w:rFonts w:ascii="Arial" w:eastAsia="Lucida Grande" w:hAnsi="Arial" w:cs="Arial"/>
          <w:lang w:eastAsia="ja-JP"/>
        </w:rPr>
        <w:t>has shortened life expectancy</w:t>
      </w:r>
      <w:r w:rsidR="00E75329">
        <w:rPr>
          <w:rFonts w:ascii="Arial" w:eastAsia="Lucida Grande" w:hAnsi="Arial" w:cs="Arial"/>
          <w:lang w:eastAsia="ja-JP"/>
        </w:rPr>
        <w:t xml:space="preserve">, </w:t>
      </w:r>
      <w:r w:rsidRPr="008C37A0">
        <w:rPr>
          <w:rFonts w:ascii="Arial" w:eastAsia="Lucida Grande" w:hAnsi="Arial" w:cs="Arial"/>
          <w:lang w:eastAsia="ja-JP"/>
        </w:rPr>
        <w:t xml:space="preserve">or </w:t>
      </w:r>
    </w:p>
    <w:p w:rsidR="008C37A0" w:rsidRPr="008C37A0" w:rsidRDefault="008C37A0" w:rsidP="008C37A0">
      <w:pPr>
        <w:pStyle w:val="ListParagraph"/>
        <w:numPr>
          <w:ilvl w:val="0"/>
          <w:numId w:val="37"/>
        </w:numPr>
        <w:spacing w:line="276" w:lineRule="auto"/>
        <w:rPr>
          <w:rFonts w:ascii="Arial" w:eastAsia="Lucida Grande" w:hAnsi="Arial" w:cs="Arial"/>
          <w:lang w:eastAsia="ja-JP"/>
        </w:rPr>
      </w:pPr>
      <w:r w:rsidRPr="008C37A0">
        <w:rPr>
          <w:rFonts w:ascii="Arial" w:eastAsia="Lucida Grande" w:hAnsi="Arial" w:cs="Arial"/>
          <w:lang w:eastAsia="ja-JP"/>
        </w:rPr>
        <w:t>has experienced permanent or long-term physical harm</w:t>
      </w:r>
      <w:r w:rsidR="00E75329">
        <w:rPr>
          <w:rFonts w:ascii="Arial" w:eastAsia="Lucida Grande" w:hAnsi="Arial" w:cs="Arial"/>
          <w:lang w:eastAsia="ja-JP"/>
        </w:rPr>
        <w:t>,</w:t>
      </w:r>
      <w:r w:rsidR="00E75329" w:rsidRPr="008C37A0">
        <w:rPr>
          <w:rFonts w:ascii="Arial" w:eastAsia="Lucida Grande" w:hAnsi="Arial" w:cs="Arial"/>
          <w:lang w:eastAsia="ja-JP"/>
        </w:rPr>
        <w:t xml:space="preserve"> </w:t>
      </w:r>
      <w:r w:rsidRPr="008C37A0">
        <w:rPr>
          <w:rFonts w:ascii="Arial" w:eastAsia="Lucida Grande" w:hAnsi="Arial" w:cs="Arial"/>
          <w:lang w:eastAsia="ja-JP"/>
        </w:rPr>
        <w:t>or</w:t>
      </w:r>
    </w:p>
    <w:p w:rsidR="008C37A0" w:rsidRDefault="008C37A0" w:rsidP="008C37A0">
      <w:pPr>
        <w:pStyle w:val="ListParagraph"/>
        <w:numPr>
          <w:ilvl w:val="0"/>
          <w:numId w:val="37"/>
        </w:numPr>
        <w:spacing w:line="276" w:lineRule="auto"/>
        <w:rPr>
          <w:rFonts w:ascii="Arial" w:eastAsia="Lucida Grande" w:hAnsi="Arial" w:cs="Arial"/>
          <w:lang w:eastAsia="ja-JP"/>
        </w:rPr>
      </w:pPr>
      <w:r w:rsidRPr="008C37A0">
        <w:rPr>
          <w:rFonts w:ascii="Arial" w:eastAsia="Lucida Grande" w:hAnsi="Arial" w:cs="Arial"/>
          <w:lang w:eastAsia="ja-JP"/>
        </w:rPr>
        <w:t>has experienced permanent or long</w:t>
      </w:r>
      <w:r w:rsidR="001513F9">
        <w:rPr>
          <w:rFonts w:ascii="Arial" w:eastAsia="Lucida Grande" w:hAnsi="Arial" w:cs="Arial"/>
          <w:lang w:eastAsia="ja-JP"/>
        </w:rPr>
        <w:t>-</w:t>
      </w:r>
      <w:r w:rsidRPr="008C37A0">
        <w:rPr>
          <w:rFonts w:ascii="Arial" w:eastAsia="Lucida Grande" w:hAnsi="Arial" w:cs="Arial"/>
          <w:lang w:eastAsia="ja-JP"/>
        </w:rPr>
        <w:t>term loss of function.</w:t>
      </w:r>
    </w:p>
    <w:p w:rsidR="008C37A0" w:rsidRDefault="008C37A0" w:rsidP="008C37A0">
      <w:pPr>
        <w:rPr>
          <w:b/>
          <w:sz w:val="20"/>
        </w:rPr>
      </w:pPr>
      <w:r>
        <w:rPr>
          <w:b/>
          <w:sz w:val="20"/>
        </w:rPr>
        <w:t>Psychological harm</w:t>
      </w:r>
    </w:p>
    <w:p w:rsidR="008C37A0" w:rsidRPr="008C37A0" w:rsidRDefault="008C37A0" w:rsidP="0011312B">
      <w:pPr>
        <w:rPr>
          <w:b/>
          <w:sz w:val="20"/>
        </w:rPr>
      </w:pPr>
      <w:r w:rsidRPr="008C37A0">
        <w:rPr>
          <w:rFonts w:eastAsia="Lucida Grande"/>
          <w:lang w:eastAsia="ja-JP"/>
        </w:rPr>
        <w:t xml:space="preserve">Psychological harm is recognised as an important </w:t>
      </w:r>
      <w:r w:rsidR="009F3C8F">
        <w:rPr>
          <w:rFonts w:eastAsia="Lucida Grande"/>
          <w:lang w:eastAsia="ja-JP"/>
        </w:rPr>
        <w:t>harm.</w:t>
      </w:r>
      <w:r w:rsidRPr="008C37A0">
        <w:rPr>
          <w:rFonts w:eastAsia="Lucida Grande"/>
          <w:lang w:eastAsia="ja-JP"/>
        </w:rPr>
        <w:t xml:space="preserve"> </w:t>
      </w:r>
      <w:r w:rsidR="009F3C8F">
        <w:rPr>
          <w:rFonts w:eastAsia="Lucida Grande"/>
          <w:lang w:eastAsia="ja-JP"/>
        </w:rPr>
        <w:t>I</w:t>
      </w:r>
      <w:r w:rsidRPr="008C37A0">
        <w:rPr>
          <w:rFonts w:eastAsia="Lucida Grande"/>
          <w:lang w:eastAsia="ja-JP"/>
        </w:rPr>
        <w:t xml:space="preserve">n the context of </w:t>
      </w:r>
      <w:r w:rsidR="009F3C8F">
        <w:rPr>
          <w:rFonts w:eastAsia="Lucida Grande"/>
          <w:lang w:eastAsia="ja-JP"/>
        </w:rPr>
        <w:t xml:space="preserve">the </w:t>
      </w:r>
      <w:r w:rsidRPr="008C37A0">
        <w:rPr>
          <w:rFonts w:eastAsia="Lucida Grande"/>
          <w:lang w:eastAsia="ja-JP"/>
        </w:rPr>
        <w:t>sentinel events list</w:t>
      </w:r>
      <w:r>
        <w:rPr>
          <w:rFonts w:eastAsia="Lucida Grande"/>
          <w:lang w:eastAsia="ja-JP"/>
        </w:rPr>
        <w:t>,</w:t>
      </w:r>
      <w:r w:rsidRPr="008C37A0">
        <w:rPr>
          <w:rFonts w:eastAsia="Lucida Grande"/>
          <w:lang w:eastAsia="ja-JP"/>
        </w:rPr>
        <w:t xml:space="preserve"> </w:t>
      </w:r>
      <w:r>
        <w:rPr>
          <w:rFonts w:eastAsia="Lucida Grande"/>
          <w:lang w:eastAsia="ja-JP"/>
        </w:rPr>
        <w:t xml:space="preserve">psychological harm has not been included in the definition of serious harm </w:t>
      </w:r>
      <w:r w:rsidR="009F3C8F">
        <w:rPr>
          <w:rFonts w:eastAsia="Lucida Grande"/>
          <w:lang w:eastAsia="ja-JP"/>
        </w:rPr>
        <w:t>given</w:t>
      </w:r>
      <w:r>
        <w:rPr>
          <w:rFonts w:eastAsia="Lucida Grande"/>
          <w:lang w:eastAsia="ja-JP"/>
        </w:rPr>
        <w:t xml:space="preserve"> the inability to measure psychological harm in the way that </w:t>
      </w:r>
      <w:r w:rsidR="005C6D47">
        <w:rPr>
          <w:rFonts w:eastAsia="Lucida Grande"/>
          <w:lang w:eastAsia="ja-JP"/>
        </w:rPr>
        <w:t xml:space="preserve">physical </w:t>
      </w:r>
      <w:r>
        <w:rPr>
          <w:rFonts w:eastAsia="Lucida Grande"/>
          <w:lang w:eastAsia="ja-JP"/>
        </w:rPr>
        <w:t>harm</w:t>
      </w:r>
      <w:r w:rsidR="00220532">
        <w:rPr>
          <w:rFonts w:eastAsia="Lucida Grande"/>
          <w:lang w:eastAsia="ja-JP"/>
        </w:rPr>
        <w:t xml:space="preserve"> can be measured</w:t>
      </w:r>
      <w:r>
        <w:rPr>
          <w:rFonts w:eastAsia="Lucida Grande"/>
          <w:lang w:eastAsia="ja-JP"/>
        </w:rPr>
        <w:t xml:space="preserve">. </w:t>
      </w:r>
    </w:p>
    <w:p w:rsidR="007746FA" w:rsidRDefault="005C6D47" w:rsidP="007746FA">
      <w:pPr>
        <w:pStyle w:val="Heading3"/>
      </w:pPr>
      <w:bookmarkStart w:id="12" w:name="_Toc1338078"/>
      <w:r>
        <w:t>Preventive</w:t>
      </w:r>
      <w:r w:rsidR="007746FA">
        <w:t xml:space="preserve"> barriers</w:t>
      </w:r>
      <w:bookmarkEnd w:id="12"/>
    </w:p>
    <w:p w:rsidR="007746FA" w:rsidRPr="00F24616" w:rsidRDefault="00F24616" w:rsidP="0011312B">
      <w:r w:rsidRPr="00F24616">
        <w:t>S</w:t>
      </w:r>
      <w:r w:rsidR="007746FA" w:rsidRPr="00F24616">
        <w:t xml:space="preserve">entinel events will be considered ‘wholly preventable’ in the context of </w:t>
      </w:r>
      <w:r w:rsidR="005C6D47">
        <w:t>preventive</w:t>
      </w:r>
      <w:r w:rsidR="007746FA" w:rsidRPr="00F24616">
        <w:t xml:space="preserve"> barriers being available to </w:t>
      </w:r>
      <w:r w:rsidRPr="00F24616">
        <w:t>facilitate</w:t>
      </w:r>
      <w:r w:rsidR="007746FA" w:rsidRPr="00F24616">
        <w:t xml:space="preserve"> </w:t>
      </w:r>
      <w:r w:rsidRPr="00F24616">
        <w:t>prevention</w:t>
      </w:r>
      <w:r w:rsidR="007746FA" w:rsidRPr="00F24616">
        <w:t xml:space="preserve">. </w:t>
      </w:r>
    </w:p>
    <w:p w:rsidR="007746FA" w:rsidRPr="00F24616" w:rsidRDefault="005C6D47" w:rsidP="0011312B">
      <w:r>
        <w:t>Preventive</w:t>
      </w:r>
      <w:r w:rsidR="007746FA" w:rsidRPr="00F24616">
        <w:t xml:space="preserve"> barriers </w:t>
      </w:r>
      <w:r w:rsidR="00762F51">
        <w:t xml:space="preserve">may </w:t>
      </w:r>
      <w:r w:rsidR="007746FA" w:rsidRPr="00F24616">
        <w:t>include</w:t>
      </w:r>
      <w:r w:rsidR="00E26461">
        <w:t>:</w:t>
      </w:r>
      <w:r w:rsidR="00762F51">
        <w:t xml:space="preserve"> the National Safety and Quality Health Service (NSQHS) Standards</w:t>
      </w:r>
      <w:r w:rsidR="00853E5C">
        <w:t xml:space="preserve"> (second edition)</w:t>
      </w:r>
      <w:r w:rsidR="00553E1A" w:rsidRPr="00553E1A">
        <w:rPr>
          <w:vertAlign w:val="superscript"/>
        </w:rPr>
        <w:t>4</w:t>
      </w:r>
      <w:r w:rsidR="00762F51">
        <w:t xml:space="preserve"> such as </w:t>
      </w:r>
      <w:r w:rsidR="00E26461">
        <w:t xml:space="preserve">NSQHS </w:t>
      </w:r>
      <w:r w:rsidR="00762F51">
        <w:t>Standard 1</w:t>
      </w:r>
      <w:r w:rsidR="00E26461">
        <w:t>:</w:t>
      </w:r>
      <w:r w:rsidR="00762F51">
        <w:t xml:space="preserve"> </w:t>
      </w:r>
      <w:r w:rsidR="00762F51" w:rsidRPr="00F6102D">
        <w:t>Governance for Safety and Quality in Health Service Organisations</w:t>
      </w:r>
      <w:r w:rsidR="00F24616" w:rsidRPr="00E26461">
        <w:t xml:space="preserve"> </w:t>
      </w:r>
      <w:r w:rsidR="00762F51">
        <w:t xml:space="preserve">and </w:t>
      </w:r>
      <w:r w:rsidR="00E26461">
        <w:t xml:space="preserve">NSQHS </w:t>
      </w:r>
      <w:r w:rsidR="00762F51">
        <w:t>Standard 2</w:t>
      </w:r>
      <w:r w:rsidR="00E26461">
        <w:t>:</w:t>
      </w:r>
      <w:r w:rsidR="00762F51">
        <w:t xml:space="preserve"> </w:t>
      </w:r>
      <w:r w:rsidR="00762F51" w:rsidRPr="00F6102D">
        <w:t>Partnering with Consumers</w:t>
      </w:r>
      <w:r w:rsidR="00E26461" w:rsidRPr="00F6102D">
        <w:t>;</w:t>
      </w:r>
      <w:r w:rsidR="00762F51">
        <w:rPr>
          <w:i/>
        </w:rPr>
        <w:t xml:space="preserve"> </w:t>
      </w:r>
      <w:r w:rsidR="00F24616" w:rsidRPr="00F24616">
        <w:t>policy documents or clinical protocol</w:t>
      </w:r>
      <w:r w:rsidR="0039095A">
        <w:t>s</w:t>
      </w:r>
      <w:r w:rsidR="00E26461">
        <w:t xml:space="preserve">; </w:t>
      </w:r>
      <w:r w:rsidR="00F24616" w:rsidRPr="00F24616">
        <w:t xml:space="preserve">or </w:t>
      </w:r>
      <w:r w:rsidR="007746FA" w:rsidRPr="00F24616">
        <w:t xml:space="preserve">documents providing safety guidance, safety recommendations or both on how the event can be prevented. </w:t>
      </w:r>
    </w:p>
    <w:p w:rsidR="0072512C" w:rsidRDefault="007746FA" w:rsidP="0011312B">
      <w:r w:rsidRPr="00E9250E">
        <w:lastRenderedPageBreak/>
        <w:t xml:space="preserve">The </w:t>
      </w:r>
      <w:r w:rsidR="005C6D47">
        <w:t>preventive</w:t>
      </w:r>
      <w:r w:rsidRPr="00E9250E">
        <w:t xml:space="preserve"> barriers listed in this paper are not exhaustive</w:t>
      </w:r>
      <w:r w:rsidR="00E9250E" w:rsidRPr="00E9250E">
        <w:t xml:space="preserve"> and represent </w:t>
      </w:r>
      <w:r w:rsidR="00E6689B" w:rsidRPr="00E9250E">
        <w:t xml:space="preserve">only </w:t>
      </w:r>
      <w:r w:rsidR="00C97270">
        <w:t>example</w:t>
      </w:r>
      <w:r w:rsidR="00E26461">
        <w:t>s</w:t>
      </w:r>
      <w:r w:rsidR="00C97270">
        <w:t xml:space="preserve"> of</w:t>
      </w:r>
      <w:r w:rsidR="00E9250E" w:rsidRPr="00E9250E">
        <w:t xml:space="preserve"> barriers available at the national level. </w:t>
      </w:r>
      <w:r w:rsidR="0039095A">
        <w:t>A</w:t>
      </w:r>
      <w:r w:rsidRPr="00E9250E">
        <w:t>n increase in the number</w:t>
      </w:r>
      <w:r w:rsidR="00E26461">
        <w:t xml:space="preserve"> of occurrences</w:t>
      </w:r>
      <w:r w:rsidRPr="00E9250E">
        <w:t xml:space="preserve"> of a particular sentinel event may be an indicator that </w:t>
      </w:r>
      <w:r w:rsidR="005C6D47">
        <w:t>preventive</w:t>
      </w:r>
      <w:r w:rsidRPr="00E9250E">
        <w:t xml:space="preserve"> barriers need to be strengthened or better implemented.</w:t>
      </w:r>
      <w:r>
        <w:t xml:space="preserve"> </w:t>
      </w:r>
    </w:p>
    <w:p w:rsidR="0072512C" w:rsidRDefault="0072512C">
      <w:pPr>
        <w:spacing w:after="80"/>
      </w:pPr>
      <w:r>
        <w:br w:type="page"/>
      </w:r>
    </w:p>
    <w:p w:rsidR="00007C96" w:rsidRDefault="00007C96" w:rsidP="00007C96">
      <w:pPr>
        <w:pStyle w:val="Heading3"/>
      </w:pPr>
      <w:bookmarkStart w:id="13" w:name="_Toc1338079"/>
      <w:r>
        <w:lastRenderedPageBreak/>
        <w:t>Summary of changes</w:t>
      </w:r>
      <w:bookmarkEnd w:id="13"/>
    </w:p>
    <w:p w:rsidR="00C97270" w:rsidRPr="00C97270" w:rsidRDefault="00007C96" w:rsidP="0011312B">
      <w:r>
        <w:t xml:space="preserve">A summary of the revised list compared to the original </w:t>
      </w:r>
      <w:r w:rsidR="00904670">
        <w:t>Australian</w:t>
      </w:r>
      <w:r>
        <w:t xml:space="preserve"> list of sentinel events, determined by </w:t>
      </w:r>
      <w:r w:rsidR="0072512C">
        <w:t>h</w:t>
      </w:r>
      <w:r>
        <w:t xml:space="preserve">ealth </w:t>
      </w:r>
      <w:r w:rsidR="0072512C">
        <w:t>m</w:t>
      </w:r>
      <w:r>
        <w:t xml:space="preserve">inisters in 2002, </w:t>
      </w:r>
      <w:r w:rsidR="00C97270">
        <w:t xml:space="preserve">is provided </w:t>
      </w:r>
      <w:r w:rsidR="00E26461">
        <w:t>in Table 1</w:t>
      </w:r>
      <w:r>
        <w:t xml:space="preserve">. </w:t>
      </w:r>
    </w:p>
    <w:p w:rsidR="00E26461" w:rsidRDefault="00E26461" w:rsidP="00F6102D">
      <w:pPr>
        <w:pStyle w:val="Caption"/>
        <w:keepNext/>
      </w:pPr>
      <w:r>
        <w:t xml:space="preserve">Table </w:t>
      </w:r>
      <w:fldSimple w:instr=" SEQ Table \* ARABIC ">
        <w:r w:rsidR="00097AE7">
          <w:rPr>
            <w:noProof/>
          </w:rPr>
          <w:t>1</w:t>
        </w:r>
      </w:fldSimple>
      <w:r>
        <w:t>: Comparison of 2017 sentinel events list and original 2002 sentinel events list</w:t>
      </w:r>
    </w:p>
    <w:tbl>
      <w:tblPr>
        <w:tblStyle w:val="TableGrid"/>
        <w:tblW w:w="9164" w:type="dxa"/>
        <w:tblLook w:val="04A0" w:firstRow="1" w:lastRow="0" w:firstColumn="1" w:lastColumn="0" w:noHBand="0" w:noVBand="1"/>
      </w:tblPr>
      <w:tblGrid>
        <w:gridCol w:w="4582"/>
        <w:gridCol w:w="4582"/>
      </w:tblGrid>
      <w:tr w:rsidR="001513F9" w:rsidRPr="00AD4773" w:rsidTr="001513F9">
        <w:trPr>
          <w:cnfStyle w:val="100000000000" w:firstRow="1" w:lastRow="0" w:firstColumn="0" w:lastColumn="0" w:oddVBand="0" w:evenVBand="0" w:oddHBand="0" w:evenHBand="0" w:firstRowFirstColumn="0" w:firstRowLastColumn="0" w:lastRowFirstColumn="0" w:lastRowLastColumn="0"/>
          <w:trHeight w:val="642"/>
        </w:trPr>
        <w:tc>
          <w:tcPr>
            <w:tcW w:w="4582" w:type="dxa"/>
            <w:shd w:val="clear" w:color="auto" w:fill="D9D9D9" w:themeFill="background1" w:themeFillShade="D9"/>
          </w:tcPr>
          <w:p w:rsidR="001513F9" w:rsidRPr="00007C96" w:rsidRDefault="001513F9" w:rsidP="00904670">
            <w:pPr>
              <w:spacing w:line="288" w:lineRule="auto"/>
              <w:rPr>
                <w:rFonts w:asciiTheme="minorHAnsi" w:hAnsiTheme="minorHAnsi"/>
              </w:rPr>
            </w:pPr>
            <w:r w:rsidRPr="00007C96">
              <w:rPr>
                <w:rFonts w:asciiTheme="minorHAnsi" w:hAnsiTheme="minorHAnsi"/>
              </w:rPr>
              <w:t xml:space="preserve">Revised </w:t>
            </w:r>
            <w:r w:rsidR="0068319E">
              <w:rPr>
                <w:rFonts w:asciiTheme="minorHAnsi" w:hAnsiTheme="minorHAnsi"/>
              </w:rPr>
              <w:t>Australian sentinel events list (version 2)</w:t>
            </w:r>
            <w:r w:rsidRPr="00007C96">
              <w:rPr>
                <w:rFonts w:asciiTheme="minorHAnsi" w:hAnsiTheme="minorHAnsi"/>
              </w:rPr>
              <w:t xml:space="preserve"> (2017)</w:t>
            </w:r>
          </w:p>
        </w:tc>
        <w:tc>
          <w:tcPr>
            <w:tcW w:w="4582" w:type="dxa"/>
            <w:shd w:val="clear" w:color="auto" w:fill="D9D9D9" w:themeFill="background1" w:themeFillShade="D9"/>
          </w:tcPr>
          <w:p w:rsidR="001513F9" w:rsidRPr="00007C96" w:rsidRDefault="001513F9" w:rsidP="005A5AE9">
            <w:pPr>
              <w:tabs>
                <w:tab w:val="left" w:pos="248"/>
                <w:tab w:val="center" w:pos="2073"/>
              </w:tabs>
              <w:rPr>
                <w:rFonts w:asciiTheme="minorHAnsi" w:hAnsiTheme="minorHAnsi"/>
              </w:rPr>
            </w:pPr>
            <w:r w:rsidRPr="00007C96">
              <w:rPr>
                <w:rFonts w:asciiTheme="minorHAnsi" w:hAnsiTheme="minorHAnsi"/>
              </w:rPr>
              <w:t xml:space="preserve">Original </w:t>
            </w:r>
            <w:r w:rsidR="0068319E">
              <w:rPr>
                <w:rFonts w:asciiTheme="minorHAnsi" w:hAnsiTheme="minorHAnsi"/>
              </w:rPr>
              <w:t xml:space="preserve">Australian sentinel events list </w:t>
            </w:r>
            <w:r w:rsidRPr="00007C96">
              <w:rPr>
                <w:rFonts w:asciiTheme="minorHAnsi" w:hAnsiTheme="minorHAnsi"/>
              </w:rPr>
              <w:t>(2002)</w:t>
            </w:r>
          </w:p>
        </w:tc>
      </w:tr>
      <w:tr w:rsidR="001513F9" w:rsidRPr="00AD4773" w:rsidTr="001513F9">
        <w:trPr>
          <w:trHeight w:val="1098"/>
        </w:trPr>
        <w:tc>
          <w:tcPr>
            <w:tcW w:w="4582" w:type="dxa"/>
          </w:tcPr>
          <w:p w:rsidR="001513F9" w:rsidRPr="00007C96" w:rsidRDefault="001513F9" w:rsidP="00FF4348">
            <w:pPr>
              <w:pStyle w:val="ListParagraph"/>
              <w:numPr>
                <w:ilvl w:val="0"/>
                <w:numId w:val="35"/>
              </w:numPr>
              <w:spacing w:line="288" w:lineRule="auto"/>
            </w:pPr>
            <w:r w:rsidRPr="00007C96">
              <w:t>Surgery or other invasive procedure performed on the wrong site resulting in serious harm or death</w:t>
            </w:r>
          </w:p>
        </w:tc>
        <w:tc>
          <w:tcPr>
            <w:tcW w:w="4582" w:type="dxa"/>
          </w:tcPr>
          <w:p w:rsidR="001513F9" w:rsidRDefault="001513F9" w:rsidP="00943DBF">
            <w:pPr>
              <w:numPr>
                <w:ilvl w:val="0"/>
                <w:numId w:val="38"/>
              </w:numPr>
              <w:spacing w:after="0"/>
              <w:rPr>
                <w:rFonts w:asciiTheme="minorHAnsi" w:hAnsiTheme="minorHAnsi"/>
              </w:rPr>
            </w:pPr>
            <w:r w:rsidRPr="00AD4773">
              <w:rPr>
                <w:rFonts w:asciiTheme="minorHAnsi" w:hAnsiTheme="minorHAnsi"/>
              </w:rPr>
              <w:t>Procedures involving the wrong patient or body part resulting in death or major permanent loss of function</w:t>
            </w:r>
          </w:p>
          <w:p w:rsidR="001513F9" w:rsidRPr="005A7BC5" w:rsidRDefault="001513F9" w:rsidP="009F3C8F">
            <w:pPr>
              <w:spacing w:after="0"/>
              <w:ind w:left="360"/>
              <w:rPr>
                <w:rFonts w:asciiTheme="minorHAnsi" w:hAnsiTheme="minorHAnsi"/>
                <w:b/>
              </w:rPr>
            </w:pPr>
            <w:r w:rsidRPr="009F3C8F">
              <w:rPr>
                <w:rFonts w:asciiTheme="minorHAnsi" w:hAnsiTheme="minorHAnsi"/>
                <w:b/>
                <w:color w:val="FFC000"/>
              </w:rPr>
              <w:t>[Split into three]</w:t>
            </w:r>
          </w:p>
        </w:tc>
      </w:tr>
      <w:tr w:rsidR="001513F9" w:rsidRPr="00AD4773" w:rsidTr="001513F9">
        <w:trPr>
          <w:trHeight w:val="1098"/>
        </w:trPr>
        <w:tc>
          <w:tcPr>
            <w:tcW w:w="4582" w:type="dxa"/>
          </w:tcPr>
          <w:p w:rsidR="001513F9" w:rsidRPr="00007C96" w:rsidRDefault="001513F9" w:rsidP="00FF4348">
            <w:pPr>
              <w:pStyle w:val="ListParagraph"/>
              <w:numPr>
                <w:ilvl w:val="0"/>
                <w:numId w:val="35"/>
              </w:numPr>
              <w:spacing w:line="288" w:lineRule="auto"/>
            </w:pPr>
            <w:r w:rsidRPr="00007C96">
              <w:t>Surgery or other invasive procedure performed on the wrong patient resulting in serious harm or death</w:t>
            </w:r>
          </w:p>
        </w:tc>
        <w:tc>
          <w:tcPr>
            <w:tcW w:w="4582" w:type="dxa"/>
          </w:tcPr>
          <w:p w:rsidR="001513F9" w:rsidRPr="005044D7" w:rsidRDefault="001513F9" w:rsidP="00943DBF">
            <w:pPr>
              <w:numPr>
                <w:ilvl w:val="0"/>
                <w:numId w:val="38"/>
              </w:numPr>
              <w:spacing w:after="0"/>
              <w:rPr>
                <w:rFonts w:asciiTheme="minorHAnsi" w:hAnsiTheme="minorHAnsi"/>
              </w:rPr>
            </w:pPr>
            <w:r w:rsidRPr="005044D7">
              <w:rPr>
                <w:rFonts w:asciiTheme="minorHAnsi" w:hAnsiTheme="minorHAnsi"/>
              </w:rPr>
              <w:t>Suicide of a patient in an inpatient unit</w:t>
            </w:r>
          </w:p>
        </w:tc>
      </w:tr>
      <w:tr w:rsidR="001513F9" w:rsidRPr="00AD4773" w:rsidTr="001513F9">
        <w:trPr>
          <w:trHeight w:val="1098"/>
        </w:trPr>
        <w:tc>
          <w:tcPr>
            <w:tcW w:w="4582" w:type="dxa"/>
          </w:tcPr>
          <w:p w:rsidR="001513F9" w:rsidRPr="00007C96" w:rsidRDefault="001513F9" w:rsidP="00FF4348">
            <w:pPr>
              <w:pStyle w:val="ListParagraph"/>
              <w:numPr>
                <w:ilvl w:val="0"/>
                <w:numId w:val="35"/>
              </w:numPr>
              <w:spacing w:line="288" w:lineRule="auto"/>
            </w:pPr>
            <w:r w:rsidRPr="00007C96">
              <w:t>Wrong surgical or other invasive procedure performed on a patient resulting in serious harm or death</w:t>
            </w:r>
          </w:p>
        </w:tc>
        <w:tc>
          <w:tcPr>
            <w:tcW w:w="4582" w:type="dxa"/>
          </w:tcPr>
          <w:p w:rsidR="001513F9" w:rsidRPr="00AD4773" w:rsidRDefault="001513F9" w:rsidP="00943DBF">
            <w:pPr>
              <w:numPr>
                <w:ilvl w:val="0"/>
                <w:numId w:val="38"/>
              </w:numPr>
              <w:spacing w:after="0"/>
              <w:rPr>
                <w:rFonts w:asciiTheme="minorHAnsi" w:hAnsiTheme="minorHAnsi"/>
              </w:rPr>
            </w:pPr>
            <w:r w:rsidRPr="00AD4773">
              <w:rPr>
                <w:rFonts w:asciiTheme="minorHAnsi" w:hAnsiTheme="minorHAnsi"/>
              </w:rPr>
              <w:t>Retained instruments or other material after surgery requiring re-operation or further surgical procedure</w:t>
            </w:r>
          </w:p>
        </w:tc>
      </w:tr>
      <w:tr w:rsidR="001513F9" w:rsidRPr="00AD4773" w:rsidTr="00555875">
        <w:trPr>
          <w:trHeight w:val="1141"/>
        </w:trPr>
        <w:tc>
          <w:tcPr>
            <w:tcW w:w="4582" w:type="dxa"/>
          </w:tcPr>
          <w:p w:rsidR="001513F9" w:rsidRPr="00007C96" w:rsidRDefault="001513F9" w:rsidP="005A7BC5">
            <w:pPr>
              <w:pStyle w:val="ListParagraph"/>
              <w:numPr>
                <w:ilvl w:val="0"/>
                <w:numId w:val="35"/>
              </w:numPr>
              <w:spacing w:line="288" w:lineRule="auto"/>
            </w:pPr>
            <w:r w:rsidRPr="00007C96">
              <w:t>Unintended retention of a foreign object in a patient after surgery or other invasive procedure resulting in serious harm or death</w:t>
            </w:r>
          </w:p>
        </w:tc>
        <w:tc>
          <w:tcPr>
            <w:tcW w:w="4582" w:type="dxa"/>
          </w:tcPr>
          <w:p w:rsidR="001513F9" w:rsidRDefault="001513F9" w:rsidP="00943DBF">
            <w:pPr>
              <w:numPr>
                <w:ilvl w:val="0"/>
                <w:numId w:val="38"/>
              </w:numPr>
              <w:spacing w:after="0"/>
              <w:rPr>
                <w:rFonts w:asciiTheme="minorHAnsi" w:hAnsiTheme="minorHAnsi"/>
              </w:rPr>
            </w:pPr>
            <w:r w:rsidRPr="00AD4773">
              <w:rPr>
                <w:rFonts w:asciiTheme="minorHAnsi" w:hAnsiTheme="minorHAnsi"/>
              </w:rPr>
              <w:t>Intravascular gas embolism resulting in death or neurological damage</w:t>
            </w:r>
          </w:p>
          <w:p w:rsidR="001513F9" w:rsidRPr="005A7BC5" w:rsidRDefault="001513F9" w:rsidP="009F3C8F">
            <w:pPr>
              <w:spacing w:after="0"/>
              <w:ind w:left="360"/>
              <w:rPr>
                <w:rFonts w:asciiTheme="minorHAnsi" w:hAnsiTheme="minorHAnsi"/>
              </w:rPr>
            </w:pPr>
            <w:r w:rsidRPr="009F3C8F">
              <w:rPr>
                <w:rFonts w:asciiTheme="minorHAnsi" w:hAnsiTheme="minorHAnsi"/>
                <w:b/>
                <w:color w:val="FF0000"/>
              </w:rPr>
              <w:t>[Removed]</w:t>
            </w:r>
          </w:p>
        </w:tc>
      </w:tr>
      <w:tr w:rsidR="001513F9" w:rsidRPr="00AD4773" w:rsidTr="001513F9">
        <w:trPr>
          <w:trHeight w:val="1098"/>
        </w:trPr>
        <w:tc>
          <w:tcPr>
            <w:tcW w:w="4582" w:type="dxa"/>
          </w:tcPr>
          <w:p w:rsidR="001513F9" w:rsidRPr="00007C96" w:rsidRDefault="001513F9" w:rsidP="005A7BC5">
            <w:pPr>
              <w:pStyle w:val="ListParagraph"/>
              <w:numPr>
                <w:ilvl w:val="0"/>
                <w:numId w:val="35"/>
              </w:numPr>
              <w:spacing w:line="288" w:lineRule="auto"/>
            </w:pPr>
            <w:r w:rsidRPr="00007C96">
              <w:t>Haemolytic blood transfusion reaction resulting from ABO incompatibility resulting in serious harm or death</w:t>
            </w:r>
          </w:p>
        </w:tc>
        <w:tc>
          <w:tcPr>
            <w:tcW w:w="4582" w:type="dxa"/>
          </w:tcPr>
          <w:p w:rsidR="001513F9" w:rsidRPr="00AD4773" w:rsidRDefault="001513F9" w:rsidP="00943DBF">
            <w:pPr>
              <w:numPr>
                <w:ilvl w:val="0"/>
                <w:numId w:val="38"/>
              </w:numPr>
              <w:spacing w:after="0"/>
              <w:rPr>
                <w:rFonts w:asciiTheme="minorHAnsi" w:hAnsiTheme="minorHAnsi"/>
              </w:rPr>
            </w:pPr>
            <w:r w:rsidRPr="00AD4773">
              <w:rPr>
                <w:rFonts w:asciiTheme="minorHAnsi" w:hAnsiTheme="minorHAnsi"/>
              </w:rPr>
              <w:t>Haemolytic blood transfusion reaction resulting from ABO incompatibility</w:t>
            </w:r>
          </w:p>
        </w:tc>
      </w:tr>
      <w:tr w:rsidR="001513F9" w:rsidRPr="00AD4773" w:rsidTr="001513F9">
        <w:trPr>
          <w:trHeight w:val="864"/>
        </w:trPr>
        <w:tc>
          <w:tcPr>
            <w:tcW w:w="4582" w:type="dxa"/>
          </w:tcPr>
          <w:p w:rsidR="001513F9" w:rsidRPr="00E6689B" w:rsidRDefault="00DF6E78" w:rsidP="00DF6E78">
            <w:pPr>
              <w:pStyle w:val="ListParagraph"/>
              <w:numPr>
                <w:ilvl w:val="0"/>
                <w:numId w:val="35"/>
              </w:numPr>
            </w:pPr>
            <w:r w:rsidRPr="00E6689B">
              <w:t>Suspected suicide of a patient in a</w:t>
            </w:r>
            <w:r w:rsidR="001F6C26">
              <w:t>n acute</w:t>
            </w:r>
            <w:r w:rsidRPr="00E6689B">
              <w:t xml:space="preserve"> psychiatric unit or </w:t>
            </w:r>
            <w:r w:rsidR="001F6C26">
              <w:t xml:space="preserve">acute </w:t>
            </w:r>
            <w:r w:rsidRPr="00E6689B">
              <w:t xml:space="preserve">psychiatric ward </w:t>
            </w:r>
          </w:p>
        </w:tc>
        <w:tc>
          <w:tcPr>
            <w:tcW w:w="4582" w:type="dxa"/>
          </w:tcPr>
          <w:p w:rsidR="001513F9" w:rsidRPr="00AD4773" w:rsidRDefault="001513F9" w:rsidP="00943DBF">
            <w:pPr>
              <w:numPr>
                <w:ilvl w:val="0"/>
                <w:numId w:val="38"/>
              </w:numPr>
              <w:spacing w:after="0"/>
              <w:rPr>
                <w:rFonts w:asciiTheme="minorHAnsi" w:hAnsiTheme="minorHAnsi"/>
              </w:rPr>
            </w:pPr>
            <w:r w:rsidRPr="00AD4773">
              <w:rPr>
                <w:rFonts w:asciiTheme="minorHAnsi" w:hAnsiTheme="minorHAnsi"/>
              </w:rPr>
              <w:t>Medication error leading to the death of a patient reasonably believed to be due to incorrect administration of drugs</w:t>
            </w:r>
          </w:p>
        </w:tc>
      </w:tr>
      <w:tr w:rsidR="001513F9" w:rsidRPr="00AD4773" w:rsidTr="001513F9">
        <w:trPr>
          <w:trHeight w:val="877"/>
        </w:trPr>
        <w:tc>
          <w:tcPr>
            <w:tcW w:w="4582" w:type="dxa"/>
          </w:tcPr>
          <w:p w:rsidR="00943DBF" w:rsidRPr="005A7BC5" w:rsidRDefault="00943DBF" w:rsidP="00943DBF">
            <w:pPr>
              <w:pStyle w:val="ListParagraph"/>
              <w:numPr>
                <w:ilvl w:val="0"/>
                <w:numId w:val="35"/>
              </w:numPr>
              <w:spacing w:line="288" w:lineRule="auto"/>
              <w:rPr>
                <w:b/>
              </w:rPr>
            </w:pPr>
            <w:r w:rsidRPr="00007C96">
              <w:t xml:space="preserve">Medication error resulting in </w:t>
            </w:r>
            <w:r>
              <w:t>serious harm or death</w:t>
            </w:r>
            <w:r w:rsidRPr="00007C96">
              <w:t xml:space="preserve"> </w:t>
            </w:r>
          </w:p>
          <w:p w:rsidR="001513F9" w:rsidRPr="005A7BC5" w:rsidRDefault="001513F9" w:rsidP="005A7BC5">
            <w:pPr>
              <w:pStyle w:val="ListParagraph"/>
              <w:spacing w:line="288" w:lineRule="auto"/>
              <w:ind w:left="360"/>
              <w:rPr>
                <w:b/>
              </w:rPr>
            </w:pPr>
          </w:p>
        </w:tc>
        <w:tc>
          <w:tcPr>
            <w:tcW w:w="4582" w:type="dxa"/>
          </w:tcPr>
          <w:p w:rsidR="001513F9" w:rsidRPr="005A7BC5" w:rsidRDefault="001513F9" w:rsidP="00943DBF">
            <w:pPr>
              <w:numPr>
                <w:ilvl w:val="0"/>
                <w:numId w:val="38"/>
              </w:numPr>
              <w:spacing w:after="0"/>
              <w:rPr>
                <w:rFonts w:asciiTheme="minorHAnsi" w:hAnsiTheme="minorHAnsi"/>
              </w:rPr>
            </w:pPr>
            <w:r w:rsidRPr="00AD4773">
              <w:rPr>
                <w:rFonts w:asciiTheme="minorHAnsi" w:hAnsiTheme="minorHAnsi"/>
                <w:lang w:val="en-US"/>
              </w:rPr>
              <w:t>Maternal death associated with pregnancy, birth and the puerperium</w:t>
            </w:r>
          </w:p>
          <w:p w:rsidR="001513F9" w:rsidRPr="00AD4773" w:rsidRDefault="001513F9" w:rsidP="009F3C8F">
            <w:pPr>
              <w:spacing w:after="0"/>
              <w:ind w:left="360"/>
              <w:rPr>
                <w:rFonts w:asciiTheme="minorHAnsi" w:hAnsiTheme="minorHAnsi"/>
              </w:rPr>
            </w:pPr>
            <w:r w:rsidRPr="009F3C8F">
              <w:rPr>
                <w:rFonts w:asciiTheme="minorHAnsi" w:hAnsiTheme="minorHAnsi"/>
                <w:b/>
                <w:color w:val="FF0000"/>
              </w:rPr>
              <w:t>[Removed]</w:t>
            </w:r>
          </w:p>
        </w:tc>
      </w:tr>
      <w:tr w:rsidR="001513F9" w:rsidRPr="00AD4773" w:rsidTr="009F3C8F">
        <w:trPr>
          <w:trHeight w:val="642"/>
        </w:trPr>
        <w:tc>
          <w:tcPr>
            <w:tcW w:w="4582" w:type="dxa"/>
            <w:tcBorders>
              <w:bottom w:val="single" w:sz="4" w:space="0" w:color="auto"/>
            </w:tcBorders>
          </w:tcPr>
          <w:p w:rsidR="00943DBF" w:rsidRDefault="00943DBF" w:rsidP="00943DBF">
            <w:pPr>
              <w:pStyle w:val="ListParagraph"/>
              <w:numPr>
                <w:ilvl w:val="0"/>
                <w:numId w:val="35"/>
              </w:numPr>
              <w:spacing w:line="288" w:lineRule="auto"/>
            </w:pPr>
            <w:r w:rsidRPr="00007C96">
              <w:t>Use of physical or mechanical restraint re</w:t>
            </w:r>
            <w:r>
              <w:t xml:space="preserve">sulting in serious harm or death </w:t>
            </w:r>
          </w:p>
          <w:p w:rsidR="001513F9" w:rsidRPr="00007C96" w:rsidRDefault="00943DBF" w:rsidP="00943DBF">
            <w:pPr>
              <w:pStyle w:val="ListParagraph"/>
              <w:spacing w:line="288" w:lineRule="auto"/>
              <w:ind w:left="360"/>
            </w:pPr>
            <w:r w:rsidRPr="009F3C8F">
              <w:rPr>
                <w:b/>
                <w:color w:val="00B050"/>
              </w:rPr>
              <w:t>[New]</w:t>
            </w:r>
          </w:p>
        </w:tc>
        <w:tc>
          <w:tcPr>
            <w:tcW w:w="4582" w:type="dxa"/>
            <w:tcBorders>
              <w:bottom w:val="single" w:sz="4" w:space="0" w:color="auto"/>
            </w:tcBorders>
          </w:tcPr>
          <w:p w:rsidR="001513F9" w:rsidRPr="00AD4773" w:rsidRDefault="001513F9" w:rsidP="00943DBF">
            <w:pPr>
              <w:numPr>
                <w:ilvl w:val="0"/>
                <w:numId w:val="38"/>
              </w:numPr>
              <w:spacing w:after="0"/>
              <w:rPr>
                <w:rFonts w:asciiTheme="minorHAnsi" w:hAnsiTheme="minorHAnsi"/>
              </w:rPr>
            </w:pPr>
            <w:r w:rsidRPr="00AD4773">
              <w:rPr>
                <w:rFonts w:asciiTheme="minorHAnsi" w:hAnsiTheme="minorHAnsi"/>
              </w:rPr>
              <w:t>Infant discharged to the wrong family</w:t>
            </w:r>
          </w:p>
        </w:tc>
      </w:tr>
      <w:tr w:rsidR="009F3C8F" w:rsidRPr="00AD4773" w:rsidTr="00555875">
        <w:trPr>
          <w:trHeight w:val="655"/>
        </w:trPr>
        <w:tc>
          <w:tcPr>
            <w:tcW w:w="4582" w:type="dxa"/>
            <w:tcBorders>
              <w:bottom w:val="single" w:sz="4" w:space="0" w:color="auto"/>
            </w:tcBorders>
          </w:tcPr>
          <w:p w:rsidR="009F3C8F" w:rsidRDefault="009F3C8F" w:rsidP="00FF4348">
            <w:pPr>
              <w:pStyle w:val="ListParagraph"/>
              <w:numPr>
                <w:ilvl w:val="0"/>
                <w:numId w:val="35"/>
              </w:numPr>
              <w:spacing w:line="288" w:lineRule="auto"/>
            </w:pPr>
            <w:r w:rsidRPr="00007C96">
              <w:t>Discharge or release of an infant or child to an unauthorised person</w:t>
            </w:r>
          </w:p>
          <w:p w:rsidR="00555875" w:rsidRPr="00007C96" w:rsidRDefault="00555875" w:rsidP="00555875">
            <w:pPr>
              <w:pStyle w:val="ListParagraph"/>
              <w:spacing w:line="288" w:lineRule="auto"/>
              <w:ind w:left="360"/>
            </w:pPr>
          </w:p>
        </w:tc>
        <w:tc>
          <w:tcPr>
            <w:tcW w:w="4582" w:type="dxa"/>
            <w:vMerge w:val="restart"/>
            <w:tcBorders>
              <w:bottom w:val="nil"/>
              <w:right w:val="nil"/>
            </w:tcBorders>
          </w:tcPr>
          <w:p w:rsidR="009F3C8F" w:rsidRPr="00007C96" w:rsidRDefault="009F3C8F" w:rsidP="009F3C8F">
            <w:pPr>
              <w:tabs>
                <w:tab w:val="left" w:pos="248"/>
                <w:tab w:val="center" w:pos="2073"/>
              </w:tabs>
              <w:rPr>
                <w:rFonts w:asciiTheme="minorHAnsi" w:hAnsiTheme="minorHAnsi"/>
              </w:rPr>
            </w:pPr>
          </w:p>
        </w:tc>
      </w:tr>
      <w:tr w:rsidR="009F3C8F" w:rsidRPr="00AD4773" w:rsidTr="009F3C8F">
        <w:trPr>
          <w:trHeight w:val="132"/>
        </w:trPr>
        <w:tc>
          <w:tcPr>
            <w:tcW w:w="4582" w:type="dxa"/>
            <w:tcBorders>
              <w:bottom w:val="single" w:sz="4" w:space="0" w:color="auto"/>
            </w:tcBorders>
          </w:tcPr>
          <w:p w:rsidR="009F3C8F" w:rsidRPr="00943DBF" w:rsidRDefault="009F3C8F" w:rsidP="00943DBF">
            <w:pPr>
              <w:pStyle w:val="ListParagraph"/>
              <w:numPr>
                <w:ilvl w:val="0"/>
                <w:numId w:val="35"/>
              </w:numPr>
              <w:spacing w:line="288" w:lineRule="auto"/>
            </w:pPr>
            <w:r w:rsidRPr="00007C96">
              <w:t>Use of an incorrectly positioned oro- or naso- gastric tube resulting in serious harm or death</w:t>
            </w:r>
            <w:r w:rsidR="00943DBF">
              <w:t xml:space="preserve"> </w:t>
            </w:r>
            <w:r w:rsidRPr="00943DBF">
              <w:rPr>
                <w:b/>
                <w:color w:val="00B050"/>
              </w:rPr>
              <w:t>[New]</w:t>
            </w:r>
          </w:p>
        </w:tc>
        <w:tc>
          <w:tcPr>
            <w:tcW w:w="4582" w:type="dxa"/>
            <w:vMerge/>
            <w:tcBorders>
              <w:bottom w:val="nil"/>
              <w:right w:val="nil"/>
            </w:tcBorders>
          </w:tcPr>
          <w:p w:rsidR="009F3C8F" w:rsidRPr="005A7BC5" w:rsidRDefault="009F3C8F" w:rsidP="009F3C8F">
            <w:pPr>
              <w:spacing w:after="0"/>
              <w:ind w:left="360"/>
              <w:rPr>
                <w:rFonts w:asciiTheme="minorHAnsi" w:hAnsiTheme="minorHAnsi"/>
                <w:b/>
              </w:rPr>
            </w:pPr>
          </w:p>
        </w:tc>
      </w:tr>
    </w:tbl>
    <w:p w:rsidR="00C54684" w:rsidRDefault="00566E3B" w:rsidP="006965B2">
      <w:pPr>
        <w:pStyle w:val="Heading2"/>
        <w:numPr>
          <w:ilvl w:val="0"/>
          <w:numId w:val="36"/>
        </w:numPr>
        <w:pBdr>
          <w:bottom w:val="single" w:sz="12" w:space="9" w:color="auto"/>
        </w:pBdr>
      </w:pPr>
      <w:bookmarkStart w:id="14" w:name="_Toc1338080"/>
      <w:r w:rsidRPr="00566E3B">
        <w:lastRenderedPageBreak/>
        <w:t>Surgery or other invasive procedure performed on the wrong site resulting in serious harm or death</w:t>
      </w:r>
      <w:bookmarkEnd w:id="14"/>
    </w:p>
    <w:tbl>
      <w:tblPr>
        <w:tblStyle w:val="TableGrid"/>
        <w:tblW w:w="9075" w:type="dxa"/>
        <w:tblLook w:val="04A0" w:firstRow="1" w:lastRow="0" w:firstColumn="1" w:lastColumn="0" w:noHBand="0" w:noVBand="1"/>
      </w:tblPr>
      <w:tblGrid>
        <w:gridCol w:w="9075"/>
      </w:tblGrid>
      <w:tr w:rsidR="00A44546" w:rsidTr="005A7193">
        <w:trPr>
          <w:cnfStyle w:val="100000000000" w:firstRow="1" w:lastRow="0" w:firstColumn="0" w:lastColumn="0" w:oddVBand="0" w:evenVBand="0" w:oddHBand="0" w:evenHBand="0" w:firstRowFirstColumn="0" w:firstRowLastColumn="0" w:lastRowFirstColumn="0" w:lastRowLastColumn="0"/>
          <w:trHeight w:hRule="exact" w:val="348"/>
        </w:trPr>
        <w:tc>
          <w:tcPr>
            <w:tcW w:w="9075" w:type="dxa"/>
            <w:tcBorders>
              <w:top w:val="nil"/>
              <w:left w:val="nil"/>
              <w:bottom w:val="nil"/>
              <w:right w:val="nil"/>
            </w:tcBorders>
            <w:shd w:val="clear" w:color="auto" w:fill="EEECE1" w:themeFill="background2"/>
          </w:tcPr>
          <w:p w:rsidR="00A44546" w:rsidRPr="00A44546" w:rsidRDefault="00A44546" w:rsidP="00A44546">
            <w:pPr>
              <w:jc w:val="left"/>
            </w:pPr>
            <w:r w:rsidRPr="00A44546">
              <w:rPr>
                <w:sz w:val="22"/>
              </w:rPr>
              <w:t>Category: surgical or other procedures</w:t>
            </w:r>
          </w:p>
        </w:tc>
      </w:tr>
    </w:tbl>
    <w:p w:rsidR="005A7193" w:rsidRDefault="005A7193" w:rsidP="00266A4E">
      <w:pPr>
        <w:rPr>
          <w:rFonts w:eastAsia="Calibri" w:cs="Arial"/>
          <w:b/>
          <w:szCs w:val="18"/>
        </w:rPr>
      </w:pPr>
    </w:p>
    <w:p w:rsidR="00266A4E" w:rsidRPr="00F44DF2" w:rsidRDefault="00A77607" w:rsidP="00266A4E">
      <w:pPr>
        <w:rPr>
          <w:b/>
        </w:rPr>
      </w:pPr>
      <w:r>
        <w:rPr>
          <w:rFonts w:eastAsia="Calibri" w:cs="Arial"/>
          <w:b/>
          <w:szCs w:val="18"/>
        </w:rPr>
        <w:t>Sentinel event</w:t>
      </w:r>
    </w:p>
    <w:p w:rsidR="00D01752" w:rsidRDefault="00F44DF2" w:rsidP="00266A4E">
      <w:pPr>
        <w:rPr>
          <w:rFonts w:cs="Arial"/>
          <w:szCs w:val="24"/>
          <w:lang w:eastAsia="en-US"/>
        </w:rPr>
      </w:pPr>
      <w:r>
        <w:rPr>
          <w:lang w:eastAsia="en-US"/>
        </w:rPr>
        <w:t>S</w:t>
      </w:r>
      <w:r w:rsidR="00266A4E" w:rsidRPr="00810AF6">
        <w:rPr>
          <w:lang w:eastAsia="en-US"/>
        </w:rPr>
        <w:t>urgery or other invasive procedure performed on the wrong site</w:t>
      </w:r>
      <w:r w:rsidR="00266A4E">
        <w:rPr>
          <w:lang w:eastAsia="en-US"/>
        </w:rPr>
        <w:t xml:space="preserve"> resulting in serious harm or death</w:t>
      </w:r>
    </w:p>
    <w:p w:rsidR="00266A4E" w:rsidRDefault="00F44DF2" w:rsidP="00266A4E">
      <w:pPr>
        <w:contextualSpacing/>
        <w:rPr>
          <w:rFonts w:cs="Arial"/>
          <w:b/>
          <w:szCs w:val="24"/>
          <w:lang w:eastAsia="en-US"/>
        </w:rPr>
      </w:pPr>
      <w:r>
        <w:rPr>
          <w:rFonts w:cs="Arial"/>
          <w:b/>
          <w:szCs w:val="24"/>
          <w:lang w:eastAsia="en-US"/>
        </w:rPr>
        <w:t>I</w:t>
      </w:r>
      <w:r w:rsidR="00266A4E">
        <w:rPr>
          <w:rFonts w:cs="Arial"/>
          <w:b/>
          <w:szCs w:val="24"/>
          <w:lang w:eastAsia="en-US"/>
        </w:rPr>
        <w:t>nclusions/exclusions</w:t>
      </w:r>
    </w:p>
    <w:p w:rsidR="00266A4E" w:rsidRDefault="00266A4E" w:rsidP="00266A4E">
      <w:pPr>
        <w:contextualSpacing/>
        <w:rPr>
          <w:rFonts w:cs="Arial"/>
          <w:b/>
          <w:szCs w:val="24"/>
          <w:lang w:eastAsia="en-US"/>
        </w:rPr>
      </w:pPr>
    </w:p>
    <w:p w:rsidR="00266A4E" w:rsidRDefault="00266A4E" w:rsidP="00266A4E">
      <w:pPr>
        <w:contextualSpacing/>
        <w:rPr>
          <w:rFonts w:cs="Arial"/>
          <w:szCs w:val="24"/>
          <w:lang w:eastAsia="en-US"/>
        </w:rPr>
      </w:pPr>
      <w:r>
        <w:rPr>
          <w:rFonts w:cs="Arial"/>
          <w:szCs w:val="24"/>
          <w:lang w:eastAsia="en-US"/>
        </w:rPr>
        <w:t>Nil</w:t>
      </w:r>
    </w:p>
    <w:p w:rsidR="00266A4E" w:rsidRDefault="00266A4E" w:rsidP="00266A4E">
      <w:pPr>
        <w:contextualSpacing/>
        <w:rPr>
          <w:rFonts w:cs="Arial"/>
          <w:szCs w:val="24"/>
          <w:lang w:eastAsia="en-US"/>
        </w:rPr>
      </w:pPr>
    </w:p>
    <w:p w:rsidR="00266A4E" w:rsidRDefault="00266A4E" w:rsidP="00266A4E">
      <w:pPr>
        <w:contextualSpacing/>
        <w:rPr>
          <w:rFonts w:cs="Arial"/>
          <w:b/>
          <w:szCs w:val="24"/>
          <w:lang w:eastAsia="en-US"/>
        </w:rPr>
      </w:pPr>
      <w:r>
        <w:rPr>
          <w:rFonts w:cs="Arial"/>
          <w:b/>
          <w:szCs w:val="24"/>
          <w:lang w:eastAsia="en-US"/>
        </w:rPr>
        <w:t>Setting</w:t>
      </w:r>
    </w:p>
    <w:p w:rsidR="00266A4E" w:rsidRDefault="00266A4E" w:rsidP="00266A4E">
      <w:pPr>
        <w:contextualSpacing/>
        <w:rPr>
          <w:rFonts w:cs="Arial"/>
          <w:b/>
          <w:szCs w:val="24"/>
          <w:lang w:eastAsia="en-US"/>
        </w:rPr>
      </w:pPr>
    </w:p>
    <w:p w:rsidR="00266A4E" w:rsidRDefault="00F44DF2" w:rsidP="00266A4E">
      <w:pPr>
        <w:contextualSpacing/>
        <w:rPr>
          <w:rFonts w:cs="Arial"/>
          <w:szCs w:val="24"/>
          <w:lang w:eastAsia="en-US"/>
        </w:rPr>
      </w:pPr>
      <w:r>
        <w:rPr>
          <w:rFonts w:cs="Arial"/>
          <w:szCs w:val="24"/>
          <w:lang w:eastAsia="en-US"/>
        </w:rPr>
        <w:t>All</w:t>
      </w:r>
      <w:r w:rsidR="00266A4E" w:rsidRPr="00F44DF2">
        <w:rPr>
          <w:rFonts w:cs="Arial"/>
          <w:szCs w:val="24"/>
          <w:lang w:eastAsia="en-US"/>
        </w:rPr>
        <w:t xml:space="preserve"> </w:t>
      </w:r>
      <w:r w:rsidR="004922D4" w:rsidRPr="00F44DF2">
        <w:rPr>
          <w:rFonts w:cs="Arial"/>
          <w:szCs w:val="24"/>
          <w:lang w:eastAsia="en-US"/>
        </w:rPr>
        <w:t>hospitals</w:t>
      </w:r>
    </w:p>
    <w:p w:rsidR="00C648C3" w:rsidRDefault="00C648C3" w:rsidP="00266A4E">
      <w:pPr>
        <w:contextualSpacing/>
        <w:rPr>
          <w:rFonts w:cs="Arial"/>
          <w:szCs w:val="24"/>
          <w:lang w:eastAsia="en-US"/>
        </w:rPr>
      </w:pPr>
    </w:p>
    <w:p w:rsidR="00C648C3" w:rsidRPr="00C648C3" w:rsidRDefault="00C648C3" w:rsidP="00266A4E">
      <w:pPr>
        <w:contextualSpacing/>
        <w:rPr>
          <w:rFonts w:cs="Arial"/>
          <w:b/>
          <w:szCs w:val="24"/>
          <w:lang w:eastAsia="en-US"/>
        </w:rPr>
      </w:pPr>
      <w:r w:rsidRPr="00C648C3">
        <w:rPr>
          <w:rFonts w:cs="Arial"/>
          <w:b/>
          <w:szCs w:val="24"/>
          <w:lang w:eastAsia="en-US"/>
        </w:rPr>
        <w:t>Definitions</w:t>
      </w:r>
    </w:p>
    <w:p w:rsidR="00C648C3" w:rsidRDefault="00C648C3" w:rsidP="00266A4E">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Invasive procedure</w:t>
      </w:r>
      <w:r>
        <w:rPr>
          <w:rFonts w:cs="Arial"/>
          <w:szCs w:val="24"/>
          <w:lang w:eastAsia="en-US"/>
        </w:rPr>
        <w:tab/>
        <w:t>A</w:t>
      </w:r>
      <w:r w:rsidRPr="00C648C3">
        <w:rPr>
          <w:rFonts w:cs="Arial"/>
          <w:szCs w:val="24"/>
          <w:lang w:eastAsia="en-US"/>
        </w:rPr>
        <w:t xml:space="preserve"> medical procedure that enters the body, usually by cutting or puncturing the skin or by inserting a needle, tube, device or scope into the body.</w:t>
      </w:r>
    </w:p>
    <w:p w:rsidR="00C648C3" w:rsidRDefault="00C648C3" w:rsidP="00266A4E">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C648C3" w:rsidRDefault="00C648C3" w:rsidP="00C648C3">
      <w:pPr>
        <w:contextualSpacing/>
        <w:rPr>
          <w:rFonts w:cs="Arial"/>
          <w:szCs w:val="24"/>
          <w:lang w:eastAsia="en-US"/>
        </w:rPr>
      </w:pPr>
    </w:p>
    <w:p w:rsidR="00C648C3" w:rsidRDefault="00C648C3" w:rsidP="00266A4E">
      <w:pPr>
        <w:contextualSpacing/>
        <w:rPr>
          <w:rFonts w:cs="Arial"/>
          <w:szCs w:val="24"/>
          <w:lang w:eastAsia="en-US"/>
        </w:rPr>
      </w:pPr>
    </w:p>
    <w:p w:rsidR="004922D4" w:rsidRDefault="00F44DF2" w:rsidP="00266A4E">
      <w:pPr>
        <w:contextualSpacing/>
        <w:rPr>
          <w:rFonts w:cs="Arial"/>
          <w:b/>
          <w:szCs w:val="24"/>
          <w:lang w:eastAsia="en-US"/>
        </w:rPr>
      </w:pPr>
      <w:r>
        <w:rPr>
          <w:rFonts w:cs="Arial"/>
          <w:b/>
          <w:szCs w:val="24"/>
          <w:lang w:eastAsia="en-US"/>
        </w:rPr>
        <w:t>Examples of n</w:t>
      </w:r>
      <w:r w:rsidR="004922D4">
        <w:rPr>
          <w:rFonts w:cs="Arial"/>
          <w:b/>
          <w:szCs w:val="24"/>
          <w:lang w:eastAsia="en-US"/>
        </w:rPr>
        <w:t xml:space="preserve">ational </w:t>
      </w:r>
      <w:r w:rsidR="005C6D47">
        <w:rPr>
          <w:rFonts w:cs="Arial"/>
          <w:b/>
          <w:szCs w:val="24"/>
          <w:lang w:eastAsia="en-US"/>
        </w:rPr>
        <w:t>preventive</w:t>
      </w:r>
      <w:r w:rsidR="004922D4">
        <w:rPr>
          <w:rFonts w:cs="Arial"/>
          <w:b/>
          <w:szCs w:val="24"/>
          <w:lang w:eastAsia="en-US"/>
        </w:rPr>
        <w:t xml:space="preserve"> barriers</w:t>
      </w:r>
    </w:p>
    <w:p w:rsidR="005C1EE4" w:rsidRPr="00D00B08" w:rsidRDefault="005C1EE4" w:rsidP="00E11507">
      <w:pPr>
        <w:pStyle w:val="ListParagraph"/>
        <w:numPr>
          <w:ilvl w:val="0"/>
          <w:numId w:val="13"/>
        </w:numPr>
        <w:spacing w:before="60" w:after="60"/>
        <w:ind w:left="318" w:hanging="318"/>
        <w:contextualSpacing w:val="0"/>
        <w:rPr>
          <w:rFonts w:cs="Arial"/>
        </w:rPr>
      </w:pPr>
      <w:r w:rsidRPr="005D5CDD">
        <w:rPr>
          <w:rFonts w:ascii="Arial" w:hAnsi="Arial" w:cs="Arial"/>
        </w:rPr>
        <w:t>NSQHS Standard</w:t>
      </w:r>
      <w:r w:rsidR="009447E1">
        <w:rPr>
          <w:rFonts w:ascii="Arial" w:hAnsi="Arial" w:cs="Arial"/>
        </w:rPr>
        <w:t>s</w:t>
      </w:r>
      <w:r w:rsidRPr="005D5CDD">
        <w:rPr>
          <w:rFonts w:ascii="Arial" w:hAnsi="Arial" w:cs="Arial"/>
        </w:rPr>
        <w:t>(</w:t>
      </w:r>
      <w:r w:rsidR="00853E5C">
        <w:rPr>
          <w:rFonts w:ascii="Arial" w:hAnsi="Arial" w:cs="Arial"/>
        </w:rPr>
        <w:t>2</w:t>
      </w:r>
      <w:r w:rsidR="00F328D5">
        <w:rPr>
          <w:rFonts w:ascii="Arial" w:hAnsi="Arial" w:cs="Arial"/>
        </w:rPr>
        <w:t>nd</w:t>
      </w:r>
      <w:r w:rsidR="00853E5C" w:rsidRPr="00E11507">
        <w:rPr>
          <w:rFonts w:ascii="Arial" w:hAnsi="Arial" w:cs="Arial"/>
        </w:rPr>
        <w:t xml:space="preserve"> ed.</w:t>
      </w:r>
      <w:r w:rsidRPr="00E11507">
        <w:rPr>
          <w:rFonts w:ascii="Arial" w:hAnsi="Arial" w:cs="Arial"/>
        </w:rPr>
        <w:t>)</w:t>
      </w:r>
      <w:hyperlink w:anchor="_ENREF_6" w:tooltip="Australian Commission on Safety and Quality in Health Care, 2017 #4" w:history="1">
        <w:r w:rsidR="00FA129B" w:rsidRPr="00FA129B">
          <w:rPr>
            <w:rFonts w:cs="Arial"/>
            <w:vertAlign w:val="superscript"/>
          </w:rPr>
          <w:t>4</w:t>
        </w:r>
      </w:hyperlink>
      <w:r w:rsidR="00312553">
        <w:rPr>
          <w:rFonts w:ascii="Arial" w:hAnsi="Arial" w:cs="Arial"/>
          <w:vertAlign w:val="superscript"/>
        </w:rPr>
        <w:t xml:space="preserve"> </w:t>
      </w:r>
      <w:r w:rsidR="00312553">
        <w:rPr>
          <w:rFonts w:ascii="Arial" w:hAnsi="Arial" w:cs="Arial"/>
        </w:rPr>
        <w:t>-</w:t>
      </w:r>
      <w:r w:rsidRPr="00E11507">
        <w:rPr>
          <w:rFonts w:ascii="Arial" w:hAnsi="Arial" w:cs="Arial"/>
        </w:rPr>
        <w:t xml:space="preserve"> Communicating for Safety Standard</w:t>
      </w:r>
      <w:r w:rsidR="007B234E" w:rsidRPr="00E11507">
        <w:rPr>
          <w:rFonts w:ascii="Arial" w:hAnsi="Arial" w:cs="Arial"/>
        </w:rPr>
        <w:t>:</w:t>
      </w:r>
      <w:r w:rsidRPr="00E11507">
        <w:rPr>
          <w:rFonts w:ascii="Arial" w:hAnsi="Arial" w:cs="Arial"/>
        </w:rPr>
        <w:t xml:space="preserve"> Correct identification and procedure matching</w:t>
      </w:r>
    </w:p>
    <w:p w:rsidR="00D00B08" w:rsidRDefault="00C605BD" w:rsidP="00D00B08">
      <w:pPr>
        <w:pStyle w:val="ListParagraph"/>
        <w:spacing w:before="60" w:after="60"/>
        <w:ind w:left="318"/>
        <w:contextualSpacing w:val="0"/>
        <w:rPr>
          <w:rFonts w:cs="Arial"/>
        </w:rPr>
      </w:pPr>
      <w:hyperlink r:id="rId10" w:history="1">
        <w:r w:rsidR="00FA129B" w:rsidRPr="009B104B">
          <w:rPr>
            <w:rStyle w:val="Hyperlink"/>
            <w:rFonts w:cs="Arial"/>
          </w:rPr>
          <w:t>https://www.safetyandquality.gov.au/wp-content/uploads/2017/12/National-Safety-and-Quality-Health-Service-Standards-second-edition.pdf</w:t>
        </w:r>
      </w:hyperlink>
    </w:p>
    <w:p w:rsidR="00FA129B" w:rsidRPr="00F6102D" w:rsidRDefault="00FA129B" w:rsidP="00D00B08">
      <w:pPr>
        <w:pStyle w:val="ListParagraph"/>
        <w:spacing w:before="60" w:after="60"/>
        <w:ind w:left="318"/>
        <w:contextualSpacing w:val="0"/>
        <w:rPr>
          <w:rFonts w:cs="Arial"/>
        </w:rPr>
      </w:pPr>
    </w:p>
    <w:p w:rsidR="00F44DF2" w:rsidRDefault="00F44DF2">
      <w:pPr>
        <w:spacing w:after="80"/>
        <w:rPr>
          <w:rFonts w:cs="Arial"/>
          <w:b/>
          <w:iCs/>
          <w:color w:val="1178A2"/>
          <w:kern w:val="28"/>
          <w:sz w:val="32"/>
          <w:szCs w:val="28"/>
        </w:rPr>
      </w:pPr>
      <w:r>
        <w:br w:type="page"/>
      </w:r>
    </w:p>
    <w:p w:rsidR="008D576D" w:rsidRPr="00F44DF2" w:rsidRDefault="005B761C" w:rsidP="006965B2">
      <w:pPr>
        <w:pStyle w:val="Heading2"/>
        <w:numPr>
          <w:ilvl w:val="0"/>
          <w:numId w:val="36"/>
        </w:numPr>
        <w:pBdr>
          <w:bottom w:val="single" w:sz="12" w:space="9" w:color="auto"/>
        </w:pBdr>
      </w:pPr>
      <w:bookmarkStart w:id="15" w:name="_Toc1338081"/>
      <w:r w:rsidRPr="00F44DF2">
        <w:lastRenderedPageBreak/>
        <w:t>Surgery or other invasive procedure performed on the wrong patient resulting in serious harm or death</w:t>
      </w:r>
      <w:bookmarkEnd w:id="15"/>
    </w:p>
    <w:tbl>
      <w:tblPr>
        <w:tblStyle w:val="TableGrid"/>
        <w:tblW w:w="9178" w:type="dxa"/>
        <w:tblLook w:val="04A0" w:firstRow="1" w:lastRow="0" w:firstColumn="1" w:lastColumn="0" w:noHBand="0" w:noVBand="1"/>
      </w:tblPr>
      <w:tblGrid>
        <w:gridCol w:w="9178"/>
      </w:tblGrid>
      <w:tr w:rsidR="00A44546" w:rsidTr="00A556DB">
        <w:trPr>
          <w:cnfStyle w:val="100000000000" w:firstRow="1" w:lastRow="0" w:firstColumn="0" w:lastColumn="0" w:oddVBand="0" w:evenVBand="0" w:oddHBand="0" w:evenHBand="0" w:firstRowFirstColumn="0" w:firstRowLastColumn="0" w:lastRowFirstColumn="0" w:lastRowLastColumn="0"/>
          <w:trHeight w:hRule="exact" w:val="391"/>
        </w:trPr>
        <w:tc>
          <w:tcPr>
            <w:tcW w:w="9178" w:type="dxa"/>
            <w:tcBorders>
              <w:top w:val="nil"/>
              <w:left w:val="nil"/>
              <w:bottom w:val="nil"/>
              <w:right w:val="nil"/>
            </w:tcBorders>
            <w:shd w:val="clear" w:color="auto" w:fill="EEECE1" w:themeFill="background2"/>
          </w:tcPr>
          <w:p w:rsidR="00A44546" w:rsidRDefault="00A44546" w:rsidP="009263A2">
            <w:pPr>
              <w:jc w:val="left"/>
              <w:rPr>
                <w:sz w:val="22"/>
              </w:rPr>
            </w:pPr>
            <w:r w:rsidRPr="00A44546">
              <w:rPr>
                <w:sz w:val="22"/>
              </w:rPr>
              <w:t>Category: surgical or other procedures</w:t>
            </w:r>
          </w:p>
          <w:p w:rsidR="005E6CC3" w:rsidRPr="00A44546" w:rsidRDefault="005E6CC3" w:rsidP="009263A2">
            <w:pPr>
              <w:jc w:val="left"/>
            </w:pPr>
          </w:p>
        </w:tc>
      </w:tr>
    </w:tbl>
    <w:p w:rsidR="006965B2" w:rsidRDefault="006965B2" w:rsidP="005B761C">
      <w:pPr>
        <w:rPr>
          <w:rFonts w:eastAsia="Calibri" w:cs="Arial"/>
          <w:b/>
          <w:szCs w:val="18"/>
        </w:rPr>
      </w:pPr>
    </w:p>
    <w:p w:rsidR="005B761C" w:rsidRPr="00266A4E" w:rsidRDefault="00A77607" w:rsidP="005B761C">
      <w:pPr>
        <w:rPr>
          <w:b/>
        </w:rPr>
      </w:pPr>
      <w:r>
        <w:rPr>
          <w:rFonts w:eastAsia="Calibri" w:cs="Arial"/>
          <w:b/>
          <w:szCs w:val="18"/>
        </w:rPr>
        <w:t xml:space="preserve">Sentinel event </w:t>
      </w:r>
    </w:p>
    <w:p w:rsidR="005B761C" w:rsidRPr="00F44DF2" w:rsidRDefault="00F44DF2" w:rsidP="0011312B">
      <w:pPr>
        <w:rPr>
          <w:lang w:eastAsia="en-US"/>
        </w:rPr>
      </w:pPr>
      <w:r>
        <w:rPr>
          <w:lang w:eastAsia="en-US"/>
        </w:rPr>
        <w:t>S</w:t>
      </w:r>
      <w:r w:rsidR="005B761C" w:rsidRPr="00F44DF2">
        <w:rPr>
          <w:lang w:eastAsia="en-US"/>
        </w:rPr>
        <w:t>urgery or other invasive procedure performed on the wrong patient resulting in serious harm or death</w:t>
      </w:r>
    </w:p>
    <w:p w:rsidR="005B761C" w:rsidRDefault="00F44DF2" w:rsidP="005B761C">
      <w:pPr>
        <w:contextualSpacing/>
        <w:rPr>
          <w:rFonts w:cs="Arial"/>
          <w:b/>
          <w:szCs w:val="24"/>
          <w:lang w:eastAsia="en-US"/>
        </w:rPr>
      </w:pPr>
      <w:r>
        <w:rPr>
          <w:rFonts w:cs="Arial"/>
          <w:b/>
          <w:szCs w:val="24"/>
          <w:lang w:eastAsia="en-US"/>
        </w:rPr>
        <w:t>I</w:t>
      </w:r>
      <w:r w:rsidR="005B761C">
        <w:rPr>
          <w:rFonts w:cs="Arial"/>
          <w:b/>
          <w:szCs w:val="24"/>
          <w:lang w:eastAsia="en-US"/>
        </w:rPr>
        <w:t>nclusions/exclusions</w:t>
      </w:r>
    </w:p>
    <w:p w:rsidR="005B761C" w:rsidRDefault="005B761C" w:rsidP="005B761C">
      <w:pPr>
        <w:contextualSpacing/>
        <w:rPr>
          <w:rFonts w:cs="Arial"/>
          <w:b/>
          <w:szCs w:val="24"/>
          <w:lang w:eastAsia="en-US"/>
        </w:rPr>
      </w:pPr>
    </w:p>
    <w:p w:rsidR="005B761C" w:rsidRDefault="00B42B6F" w:rsidP="005B761C">
      <w:pPr>
        <w:contextualSpacing/>
        <w:rPr>
          <w:rFonts w:cs="Arial"/>
          <w:szCs w:val="24"/>
          <w:lang w:eastAsia="en-US"/>
        </w:rPr>
      </w:pPr>
      <w:r>
        <w:rPr>
          <w:rFonts w:cs="Arial"/>
          <w:szCs w:val="24"/>
          <w:lang w:eastAsia="en-US"/>
        </w:rPr>
        <w:t>Nil</w:t>
      </w:r>
    </w:p>
    <w:p w:rsidR="005B761C" w:rsidRDefault="005B761C" w:rsidP="005B761C">
      <w:pPr>
        <w:contextualSpacing/>
        <w:rPr>
          <w:rFonts w:cs="Arial"/>
          <w:szCs w:val="24"/>
          <w:lang w:eastAsia="en-US"/>
        </w:rPr>
      </w:pPr>
    </w:p>
    <w:p w:rsidR="005B761C" w:rsidRDefault="005B761C" w:rsidP="005B761C">
      <w:pPr>
        <w:contextualSpacing/>
        <w:rPr>
          <w:rFonts w:cs="Arial"/>
          <w:b/>
          <w:szCs w:val="24"/>
          <w:lang w:eastAsia="en-US"/>
        </w:rPr>
      </w:pPr>
      <w:r>
        <w:rPr>
          <w:rFonts w:cs="Arial"/>
          <w:b/>
          <w:szCs w:val="24"/>
          <w:lang w:eastAsia="en-US"/>
        </w:rPr>
        <w:t>Setting</w:t>
      </w:r>
    </w:p>
    <w:p w:rsidR="005B761C" w:rsidRDefault="005B761C" w:rsidP="005B761C">
      <w:pPr>
        <w:contextualSpacing/>
        <w:rPr>
          <w:rFonts w:cs="Arial"/>
          <w:b/>
          <w:szCs w:val="24"/>
          <w:lang w:eastAsia="en-US"/>
        </w:rPr>
      </w:pPr>
    </w:p>
    <w:p w:rsidR="005B761C" w:rsidRDefault="005B761C" w:rsidP="005B761C">
      <w:pPr>
        <w:contextualSpacing/>
        <w:rPr>
          <w:rFonts w:cs="Arial"/>
          <w:szCs w:val="24"/>
          <w:lang w:eastAsia="en-US"/>
        </w:rPr>
      </w:pPr>
      <w:r w:rsidRPr="00F44DF2">
        <w:rPr>
          <w:rFonts w:cs="Arial"/>
          <w:szCs w:val="24"/>
          <w:lang w:eastAsia="en-US"/>
        </w:rPr>
        <w:t>All hospitals</w:t>
      </w:r>
    </w:p>
    <w:p w:rsidR="00C648C3" w:rsidRDefault="00C648C3" w:rsidP="005B761C">
      <w:pPr>
        <w:contextualSpacing/>
        <w:rPr>
          <w:rFonts w:cs="Arial"/>
          <w:szCs w:val="24"/>
          <w:lang w:eastAsia="en-US"/>
        </w:rPr>
      </w:pPr>
    </w:p>
    <w:p w:rsidR="00C648C3" w:rsidRPr="00C648C3" w:rsidRDefault="00C648C3" w:rsidP="00C648C3">
      <w:pPr>
        <w:contextualSpacing/>
        <w:rPr>
          <w:rFonts w:cs="Arial"/>
          <w:b/>
          <w:szCs w:val="24"/>
          <w:lang w:eastAsia="en-US"/>
        </w:rPr>
      </w:pPr>
      <w:r w:rsidRPr="00C648C3">
        <w:rPr>
          <w:rFonts w:cs="Arial"/>
          <w:b/>
          <w:szCs w:val="24"/>
          <w:lang w:eastAsia="en-US"/>
        </w:rPr>
        <w:t>Definitions</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Invasive procedure</w:t>
      </w:r>
      <w:r>
        <w:rPr>
          <w:rFonts w:cs="Arial"/>
          <w:szCs w:val="24"/>
          <w:lang w:eastAsia="en-US"/>
        </w:rPr>
        <w:tab/>
      </w:r>
      <w:r w:rsidRPr="0011312B">
        <w:t>A medical procedure that enters the body, usually by cutting or puncturing the skin or by inserting a needle, tube, device or scope into the body.</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11312B">
        <w:t>As a result of the incident the patient requires life-saving surgical/medical intervention, or has shortened life expectancy, or has experienced permanent or long term physical harm or loss of function.</w:t>
      </w:r>
    </w:p>
    <w:p w:rsidR="00C12CA0" w:rsidRDefault="00C12CA0" w:rsidP="005B761C">
      <w:pPr>
        <w:contextualSpacing/>
        <w:rPr>
          <w:rFonts w:cs="Arial"/>
          <w:szCs w:val="24"/>
          <w:lang w:eastAsia="en-US"/>
        </w:rPr>
      </w:pPr>
    </w:p>
    <w:p w:rsidR="005B761C" w:rsidRDefault="005B761C" w:rsidP="005B761C">
      <w:pPr>
        <w:contextualSpacing/>
        <w:rPr>
          <w:rFonts w:cs="Arial"/>
          <w:szCs w:val="24"/>
          <w:lang w:eastAsia="en-US"/>
        </w:rPr>
      </w:pPr>
    </w:p>
    <w:p w:rsidR="005B761C" w:rsidRDefault="00F44DF2" w:rsidP="005B761C">
      <w:pPr>
        <w:contextualSpacing/>
        <w:rPr>
          <w:rFonts w:cs="Arial"/>
          <w:b/>
          <w:szCs w:val="24"/>
          <w:lang w:eastAsia="en-US"/>
        </w:rPr>
      </w:pPr>
      <w:r>
        <w:rPr>
          <w:rFonts w:cs="Arial"/>
          <w:b/>
          <w:szCs w:val="24"/>
          <w:lang w:eastAsia="en-US"/>
        </w:rPr>
        <w:t>Examples of n</w:t>
      </w:r>
      <w:r w:rsidR="005B761C">
        <w:rPr>
          <w:rFonts w:cs="Arial"/>
          <w:b/>
          <w:szCs w:val="24"/>
          <w:lang w:eastAsia="en-US"/>
        </w:rPr>
        <w:t xml:space="preserve">ational </w:t>
      </w:r>
      <w:r w:rsidR="005C6D47">
        <w:rPr>
          <w:rFonts w:cs="Arial"/>
          <w:b/>
          <w:szCs w:val="24"/>
          <w:lang w:eastAsia="en-US"/>
        </w:rPr>
        <w:t>preventive</w:t>
      </w:r>
      <w:r w:rsidR="005B761C">
        <w:rPr>
          <w:rFonts w:cs="Arial"/>
          <w:b/>
          <w:szCs w:val="24"/>
          <w:lang w:eastAsia="en-US"/>
        </w:rPr>
        <w:t xml:space="preserve"> barriers</w:t>
      </w:r>
    </w:p>
    <w:p w:rsidR="00143712" w:rsidRPr="009164A8" w:rsidRDefault="00143712" w:rsidP="00312553">
      <w:pPr>
        <w:pStyle w:val="ListParagraph"/>
        <w:spacing w:before="60" w:after="60"/>
        <w:ind w:left="318"/>
        <w:contextualSpacing w:val="0"/>
        <w:rPr>
          <w:color w:val="0000FF" w:themeColor="hyperlink"/>
          <w:sz w:val="16"/>
          <w:szCs w:val="16"/>
          <w:u w:val="single"/>
        </w:rPr>
      </w:pPr>
    </w:p>
    <w:p w:rsidR="00312553" w:rsidRPr="00312553" w:rsidRDefault="007B234E" w:rsidP="00312553">
      <w:pPr>
        <w:pStyle w:val="ListParagraph"/>
        <w:numPr>
          <w:ilvl w:val="0"/>
          <w:numId w:val="13"/>
        </w:numPr>
        <w:spacing w:before="60" w:after="60"/>
        <w:ind w:left="318" w:hanging="318"/>
        <w:contextualSpacing w:val="0"/>
        <w:rPr>
          <w:rFonts w:cs="Arial"/>
        </w:rPr>
      </w:pPr>
      <w:r w:rsidRPr="00312553">
        <w:rPr>
          <w:rFonts w:ascii="Arial" w:hAnsi="Arial" w:cs="Arial"/>
        </w:rPr>
        <w:t>NSQHS Standard</w:t>
      </w:r>
      <w:r w:rsidR="006C4B4D" w:rsidRPr="00312553">
        <w:rPr>
          <w:rFonts w:ascii="Arial" w:hAnsi="Arial" w:cs="Arial"/>
        </w:rPr>
        <w:t xml:space="preserve"> (2</w:t>
      </w:r>
      <w:r w:rsidR="006C4B4D" w:rsidRPr="00312553">
        <w:rPr>
          <w:rFonts w:ascii="Arial" w:hAnsi="Arial" w:cs="Arial"/>
          <w:vertAlign w:val="superscript"/>
        </w:rPr>
        <w:t>nd</w:t>
      </w:r>
      <w:r w:rsidR="006C4B4D" w:rsidRPr="00312553">
        <w:rPr>
          <w:rFonts w:ascii="Arial" w:hAnsi="Arial" w:cs="Arial"/>
        </w:rPr>
        <w:t xml:space="preserve"> ed</w:t>
      </w:r>
      <w:r w:rsidR="00664D8C">
        <w:rPr>
          <w:rFonts w:ascii="Arial" w:hAnsi="Arial" w:cs="Arial"/>
        </w:rPr>
        <w:t>.</w:t>
      </w:r>
      <w:r w:rsidR="006C4B4D" w:rsidRPr="00312553">
        <w:rPr>
          <w:rFonts w:ascii="Arial" w:hAnsi="Arial" w:cs="Arial"/>
        </w:rPr>
        <w:t>)</w:t>
      </w:r>
      <w:r w:rsidR="00397928" w:rsidRPr="00397928">
        <w:rPr>
          <w:rFonts w:ascii="Arial" w:hAnsi="Arial" w:cs="Arial"/>
          <w:vertAlign w:val="superscript"/>
        </w:rPr>
        <w:t>4</w:t>
      </w:r>
      <w:r w:rsidR="00397928">
        <w:rPr>
          <w:rFonts w:ascii="Arial" w:hAnsi="Arial" w:cs="Arial"/>
        </w:rPr>
        <w:t xml:space="preserve"> </w:t>
      </w:r>
      <w:r w:rsidRPr="00312553">
        <w:rPr>
          <w:rFonts w:ascii="Arial" w:hAnsi="Arial" w:cs="Arial"/>
        </w:rPr>
        <w:t>– Communicating for Safety Standard: Correct identification and procedure matching</w:t>
      </w:r>
    </w:p>
    <w:p w:rsidR="00B64560" w:rsidRDefault="00C605BD" w:rsidP="00312553">
      <w:pPr>
        <w:pStyle w:val="ListParagraph"/>
        <w:spacing w:before="60" w:after="60"/>
        <w:ind w:left="318"/>
        <w:contextualSpacing w:val="0"/>
      </w:pPr>
      <w:hyperlink r:id="rId11" w:history="1">
        <w:r w:rsidR="00B64560" w:rsidRPr="009B104B">
          <w:rPr>
            <w:rStyle w:val="Hyperlink"/>
          </w:rPr>
          <w:t>https://www.safetyandquality.gov.au/wp-content/uploads/2017/11/National-Safety-and-Quality-Health-Service-Standards-second-edition.pdf</w:t>
        </w:r>
      </w:hyperlink>
    </w:p>
    <w:p w:rsidR="007B234E" w:rsidRPr="00312553" w:rsidRDefault="007B234E" w:rsidP="00F6102D">
      <w:pPr>
        <w:pStyle w:val="ListParagraph"/>
        <w:ind w:left="360"/>
      </w:pPr>
    </w:p>
    <w:p w:rsidR="005B761C" w:rsidRPr="00312553" w:rsidRDefault="005B761C" w:rsidP="00E564FB">
      <w:pPr>
        <w:pStyle w:val="ListParagraph"/>
        <w:numPr>
          <w:ilvl w:val="0"/>
          <w:numId w:val="13"/>
        </w:numPr>
        <w:spacing w:before="60" w:after="60"/>
        <w:ind w:left="318" w:hanging="318"/>
        <w:contextualSpacing w:val="0"/>
        <w:rPr>
          <w:rFonts w:cs="Arial"/>
        </w:rPr>
      </w:pPr>
      <w:r w:rsidRPr="00312553">
        <w:rPr>
          <w:rFonts w:cs="Arial"/>
        </w:rPr>
        <w:t>Nationally agreed use of the WHO Surgical Safety Checklist</w:t>
      </w:r>
      <w:r w:rsidR="00397928" w:rsidRPr="00397928">
        <w:rPr>
          <w:rFonts w:cs="Arial"/>
          <w:vertAlign w:val="superscript"/>
        </w:rPr>
        <w:t>5</w:t>
      </w:r>
    </w:p>
    <w:p w:rsidR="00AE4565" w:rsidRDefault="00C605BD" w:rsidP="00B42B6F">
      <w:pPr>
        <w:ind w:left="318"/>
        <w:contextualSpacing/>
        <w:rPr>
          <w:rFonts w:cs="Arial"/>
          <w:lang w:eastAsia="en-US"/>
        </w:rPr>
      </w:pPr>
      <w:hyperlink r:id="rId12" w:history="1">
        <w:r w:rsidR="00B64560" w:rsidRPr="009B104B">
          <w:rPr>
            <w:rStyle w:val="Hyperlink"/>
            <w:rFonts w:cs="Arial"/>
            <w:lang w:eastAsia="en-US"/>
          </w:rPr>
          <w:t>https://www.safetyandquality.gov.au/our-work/patient-identification/patient-procedure-matching-protocols/surgical-safety-checklist/</w:t>
        </w:r>
      </w:hyperlink>
    </w:p>
    <w:p w:rsidR="00B64560" w:rsidRPr="00312553" w:rsidRDefault="00B64560" w:rsidP="00B42B6F">
      <w:pPr>
        <w:ind w:left="318"/>
        <w:contextualSpacing/>
        <w:rPr>
          <w:rFonts w:cs="Arial"/>
          <w:lang w:eastAsia="en-US"/>
        </w:rPr>
      </w:pPr>
    </w:p>
    <w:p w:rsidR="00D01752" w:rsidRDefault="00D01752">
      <w:pPr>
        <w:spacing w:after="80"/>
        <w:rPr>
          <w:rFonts w:cs="Arial"/>
          <w:b/>
          <w:iCs/>
          <w:color w:val="1178A2"/>
          <w:kern w:val="28"/>
          <w:sz w:val="32"/>
          <w:szCs w:val="28"/>
        </w:rPr>
      </w:pPr>
      <w:r>
        <w:br w:type="page"/>
      </w:r>
    </w:p>
    <w:p w:rsidR="005B761C" w:rsidRDefault="005B761C" w:rsidP="006965B2">
      <w:pPr>
        <w:pStyle w:val="Heading2"/>
        <w:numPr>
          <w:ilvl w:val="0"/>
          <w:numId w:val="36"/>
        </w:numPr>
        <w:pBdr>
          <w:bottom w:val="single" w:sz="12" w:space="9" w:color="auto"/>
        </w:pBdr>
      </w:pPr>
      <w:bookmarkStart w:id="16" w:name="_Toc1338082"/>
      <w:r w:rsidRPr="00F44DF2">
        <w:lastRenderedPageBreak/>
        <w:t>Wrong surgical or other invasive procedure performed on a patient resulting in serious harm or death</w:t>
      </w:r>
      <w:bookmarkEnd w:id="16"/>
    </w:p>
    <w:tbl>
      <w:tblPr>
        <w:tblStyle w:val="TableGrid"/>
        <w:tblW w:w="9144" w:type="dxa"/>
        <w:tblLook w:val="04A0" w:firstRow="1" w:lastRow="0" w:firstColumn="1" w:lastColumn="0" w:noHBand="0" w:noVBand="1"/>
      </w:tblPr>
      <w:tblGrid>
        <w:gridCol w:w="9144"/>
      </w:tblGrid>
      <w:tr w:rsidR="00A44546" w:rsidTr="00A556DB">
        <w:trPr>
          <w:cnfStyle w:val="100000000000" w:firstRow="1" w:lastRow="0" w:firstColumn="0" w:lastColumn="0" w:oddVBand="0" w:evenVBand="0" w:oddHBand="0" w:evenHBand="0" w:firstRowFirstColumn="0" w:firstRowLastColumn="0" w:lastRowFirstColumn="0" w:lastRowLastColumn="0"/>
          <w:trHeight w:hRule="exact" w:val="344"/>
        </w:trPr>
        <w:tc>
          <w:tcPr>
            <w:tcW w:w="9144" w:type="dxa"/>
            <w:tcBorders>
              <w:top w:val="nil"/>
              <w:left w:val="nil"/>
              <w:bottom w:val="nil"/>
              <w:right w:val="nil"/>
            </w:tcBorders>
            <w:shd w:val="clear" w:color="auto" w:fill="EEECE1" w:themeFill="background2"/>
          </w:tcPr>
          <w:p w:rsidR="00A44546" w:rsidRPr="00A44546" w:rsidRDefault="00A44546" w:rsidP="009263A2">
            <w:pPr>
              <w:jc w:val="left"/>
            </w:pPr>
            <w:r w:rsidRPr="00A44546">
              <w:rPr>
                <w:sz w:val="22"/>
              </w:rPr>
              <w:t>Category: surgical or other procedures</w:t>
            </w:r>
          </w:p>
        </w:tc>
      </w:tr>
    </w:tbl>
    <w:p w:rsidR="008D576D" w:rsidRDefault="008D576D" w:rsidP="005B761C">
      <w:pPr>
        <w:rPr>
          <w:b/>
        </w:rPr>
      </w:pPr>
    </w:p>
    <w:p w:rsidR="005B761C" w:rsidRPr="00266A4E" w:rsidRDefault="00A77607" w:rsidP="005B761C">
      <w:pPr>
        <w:rPr>
          <w:b/>
        </w:rPr>
      </w:pPr>
      <w:r>
        <w:rPr>
          <w:rFonts w:eastAsia="Calibri" w:cs="Arial"/>
          <w:b/>
          <w:szCs w:val="18"/>
        </w:rPr>
        <w:t>Sentinel event</w:t>
      </w:r>
    </w:p>
    <w:p w:rsidR="005B761C" w:rsidRDefault="00F44DF2" w:rsidP="0011312B">
      <w:pPr>
        <w:rPr>
          <w:lang w:eastAsia="en-US"/>
        </w:rPr>
      </w:pPr>
      <w:r>
        <w:rPr>
          <w:lang w:eastAsia="en-US"/>
        </w:rPr>
        <w:t>W</w:t>
      </w:r>
      <w:r w:rsidR="005B761C" w:rsidRPr="005B761C">
        <w:rPr>
          <w:lang w:eastAsia="en-US"/>
        </w:rPr>
        <w:t>rong surgical or other invasive procedure performed on a patient resulting in serious harm or death</w:t>
      </w:r>
    </w:p>
    <w:p w:rsidR="008D576D" w:rsidRDefault="00F44DF2" w:rsidP="008D576D">
      <w:pPr>
        <w:contextualSpacing/>
        <w:rPr>
          <w:rFonts w:cs="Arial"/>
          <w:b/>
          <w:szCs w:val="24"/>
          <w:lang w:eastAsia="en-US"/>
        </w:rPr>
      </w:pPr>
      <w:r>
        <w:rPr>
          <w:rFonts w:cs="Arial"/>
          <w:b/>
          <w:szCs w:val="24"/>
          <w:lang w:eastAsia="en-US"/>
        </w:rPr>
        <w:t>I</w:t>
      </w:r>
      <w:r w:rsidR="005B761C">
        <w:rPr>
          <w:rFonts w:cs="Arial"/>
          <w:b/>
          <w:szCs w:val="24"/>
          <w:lang w:eastAsia="en-US"/>
        </w:rPr>
        <w:t>nclusions/exclusions</w:t>
      </w:r>
    </w:p>
    <w:p w:rsidR="008D576D" w:rsidRDefault="008D576D" w:rsidP="008D576D">
      <w:pPr>
        <w:contextualSpacing/>
        <w:rPr>
          <w:rFonts w:cs="Arial"/>
          <w:b/>
          <w:szCs w:val="24"/>
          <w:lang w:eastAsia="en-US"/>
        </w:rPr>
      </w:pPr>
    </w:p>
    <w:p w:rsidR="008D576D" w:rsidRDefault="00E172C0" w:rsidP="008D576D">
      <w:pPr>
        <w:contextualSpacing/>
        <w:rPr>
          <w:rFonts w:cs="Arial"/>
          <w:b/>
          <w:szCs w:val="24"/>
          <w:lang w:eastAsia="en-US"/>
        </w:rPr>
      </w:pPr>
      <w:r w:rsidRPr="008D576D">
        <w:rPr>
          <w:rFonts w:cs="Arial"/>
          <w:szCs w:val="24"/>
          <w:lang w:eastAsia="en-US"/>
        </w:rPr>
        <w:t>Excluding surgeries or other invasive procedures resulting from incorrect diagnoses</w:t>
      </w:r>
    </w:p>
    <w:p w:rsidR="008D576D" w:rsidRDefault="008D576D" w:rsidP="008D576D">
      <w:pPr>
        <w:contextualSpacing/>
        <w:rPr>
          <w:rFonts w:cs="Arial"/>
          <w:b/>
          <w:szCs w:val="24"/>
          <w:lang w:eastAsia="en-US"/>
        </w:rPr>
      </w:pPr>
    </w:p>
    <w:p w:rsidR="005B761C" w:rsidRPr="008D576D" w:rsidRDefault="00E172C0" w:rsidP="008D576D">
      <w:pPr>
        <w:contextualSpacing/>
        <w:rPr>
          <w:rFonts w:cs="Arial"/>
          <w:b/>
          <w:szCs w:val="24"/>
          <w:lang w:eastAsia="en-US"/>
        </w:rPr>
      </w:pPr>
      <w:r w:rsidRPr="008D576D">
        <w:rPr>
          <w:rFonts w:cs="Arial"/>
          <w:szCs w:val="24"/>
          <w:lang w:eastAsia="en-US"/>
        </w:rPr>
        <w:t>Excluding surgeries or other invasive procedures altered to adjust for unex</w:t>
      </w:r>
      <w:r w:rsidR="0051230C" w:rsidRPr="008D576D">
        <w:rPr>
          <w:rFonts w:cs="Arial"/>
          <w:szCs w:val="24"/>
          <w:lang w:eastAsia="en-US"/>
        </w:rPr>
        <w:t>pected anatomical abnormalities</w:t>
      </w:r>
    </w:p>
    <w:p w:rsidR="008D576D" w:rsidRDefault="008D576D" w:rsidP="005B761C">
      <w:pPr>
        <w:contextualSpacing/>
        <w:rPr>
          <w:rFonts w:cs="Arial"/>
          <w:b/>
          <w:szCs w:val="24"/>
          <w:lang w:eastAsia="en-US"/>
        </w:rPr>
      </w:pPr>
    </w:p>
    <w:p w:rsidR="005B761C" w:rsidRDefault="005B761C" w:rsidP="005B761C">
      <w:pPr>
        <w:contextualSpacing/>
        <w:rPr>
          <w:rFonts w:cs="Arial"/>
          <w:b/>
          <w:szCs w:val="24"/>
          <w:lang w:eastAsia="en-US"/>
        </w:rPr>
      </w:pPr>
      <w:r>
        <w:rPr>
          <w:rFonts w:cs="Arial"/>
          <w:b/>
          <w:szCs w:val="24"/>
          <w:lang w:eastAsia="en-US"/>
        </w:rPr>
        <w:t>Setting</w:t>
      </w:r>
    </w:p>
    <w:p w:rsidR="005B761C" w:rsidRDefault="005B761C" w:rsidP="005B761C">
      <w:pPr>
        <w:contextualSpacing/>
        <w:rPr>
          <w:rFonts w:cs="Arial"/>
          <w:b/>
          <w:szCs w:val="24"/>
          <w:lang w:eastAsia="en-US"/>
        </w:rPr>
      </w:pPr>
    </w:p>
    <w:p w:rsidR="005B761C" w:rsidRDefault="005B761C" w:rsidP="005B761C">
      <w:pPr>
        <w:contextualSpacing/>
        <w:rPr>
          <w:rFonts w:cs="Arial"/>
          <w:szCs w:val="24"/>
          <w:lang w:eastAsia="en-US"/>
        </w:rPr>
      </w:pPr>
      <w:r w:rsidRPr="00F44DF2">
        <w:rPr>
          <w:rFonts w:cs="Arial"/>
          <w:szCs w:val="24"/>
          <w:lang w:eastAsia="en-US"/>
        </w:rPr>
        <w:t>All hospitals</w:t>
      </w:r>
    </w:p>
    <w:p w:rsidR="00C648C3" w:rsidRDefault="00C648C3" w:rsidP="00C648C3">
      <w:pPr>
        <w:contextualSpacing/>
        <w:rPr>
          <w:rFonts w:cs="Arial"/>
          <w:b/>
          <w:szCs w:val="24"/>
          <w:lang w:eastAsia="en-US"/>
        </w:rPr>
      </w:pPr>
    </w:p>
    <w:p w:rsidR="00C648C3" w:rsidRPr="00C648C3" w:rsidRDefault="00C648C3" w:rsidP="00C648C3">
      <w:pPr>
        <w:contextualSpacing/>
        <w:rPr>
          <w:rFonts w:cs="Arial"/>
          <w:b/>
          <w:szCs w:val="24"/>
          <w:lang w:eastAsia="en-US"/>
        </w:rPr>
      </w:pPr>
      <w:r w:rsidRPr="00C648C3">
        <w:rPr>
          <w:rFonts w:cs="Arial"/>
          <w:b/>
          <w:szCs w:val="24"/>
          <w:lang w:eastAsia="en-US"/>
        </w:rPr>
        <w:t>Definitions</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Invasive procedure</w:t>
      </w:r>
      <w:r>
        <w:rPr>
          <w:rFonts w:cs="Arial"/>
          <w:szCs w:val="24"/>
          <w:lang w:eastAsia="en-US"/>
        </w:rPr>
        <w:tab/>
        <w:t>A</w:t>
      </w:r>
      <w:r w:rsidRPr="00C648C3">
        <w:rPr>
          <w:rFonts w:cs="Arial"/>
          <w:szCs w:val="24"/>
          <w:lang w:eastAsia="en-US"/>
        </w:rPr>
        <w:t xml:space="preserve"> medical procedure that enters the body, usually by cutting or puncturing the skin or by inserting a needle, tube, device or scope into the body.</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5B761C" w:rsidRDefault="005B761C" w:rsidP="005B761C">
      <w:pPr>
        <w:contextualSpacing/>
        <w:rPr>
          <w:rFonts w:cs="Arial"/>
          <w:szCs w:val="24"/>
          <w:lang w:eastAsia="en-US"/>
        </w:rPr>
      </w:pPr>
    </w:p>
    <w:p w:rsidR="00C12CA0" w:rsidRDefault="00C12CA0" w:rsidP="005B761C">
      <w:pPr>
        <w:contextualSpacing/>
        <w:rPr>
          <w:rFonts w:cs="Arial"/>
          <w:szCs w:val="24"/>
          <w:lang w:eastAsia="en-US"/>
        </w:rPr>
      </w:pPr>
    </w:p>
    <w:p w:rsidR="005B761C" w:rsidRDefault="00F44DF2" w:rsidP="005B761C">
      <w:pPr>
        <w:contextualSpacing/>
        <w:rPr>
          <w:rFonts w:cs="Arial"/>
          <w:b/>
          <w:szCs w:val="24"/>
          <w:lang w:eastAsia="en-US"/>
        </w:rPr>
      </w:pPr>
      <w:r>
        <w:rPr>
          <w:rFonts w:cs="Arial"/>
          <w:b/>
          <w:szCs w:val="24"/>
          <w:lang w:eastAsia="en-US"/>
        </w:rPr>
        <w:t>Examples of n</w:t>
      </w:r>
      <w:r w:rsidR="005B761C">
        <w:rPr>
          <w:rFonts w:cs="Arial"/>
          <w:b/>
          <w:szCs w:val="24"/>
          <w:lang w:eastAsia="en-US"/>
        </w:rPr>
        <w:t xml:space="preserve">ational </w:t>
      </w:r>
      <w:r w:rsidR="005C6D47">
        <w:rPr>
          <w:rFonts w:cs="Arial"/>
          <w:b/>
          <w:szCs w:val="24"/>
          <w:lang w:eastAsia="en-US"/>
        </w:rPr>
        <w:t>preventive</w:t>
      </w:r>
      <w:r w:rsidR="005B761C">
        <w:rPr>
          <w:rFonts w:cs="Arial"/>
          <w:b/>
          <w:szCs w:val="24"/>
          <w:lang w:eastAsia="en-US"/>
        </w:rPr>
        <w:t xml:space="preserve"> barriers</w:t>
      </w:r>
    </w:p>
    <w:p w:rsidR="00E71010" w:rsidRDefault="00E71010" w:rsidP="00E71010">
      <w:pPr>
        <w:rPr>
          <w:rFonts w:ascii="Arial" w:hAnsi="Arial" w:cs="Arial"/>
        </w:rPr>
      </w:pPr>
    </w:p>
    <w:p w:rsidR="004A663A" w:rsidRPr="00E71010" w:rsidRDefault="00266A26" w:rsidP="00E71010">
      <w:pPr>
        <w:pStyle w:val="ListParagraph"/>
        <w:numPr>
          <w:ilvl w:val="0"/>
          <w:numId w:val="13"/>
        </w:numPr>
        <w:ind w:left="426" w:hanging="426"/>
      </w:pPr>
      <w:r w:rsidRPr="00E71010">
        <w:rPr>
          <w:rFonts w:ascii="Arial" w:hAnsi="Arial" w:cs="Arial"/>
        </w:rPr>
        <w:t>NSQHS Standard</w:t>
      </w:r>
      <w:r w:rsidR="004A663A" w:rsidRPr="00E71010">
        <w:rPr>
          <w:rFonts w:ascii="Arial" w:hAnsi="Arial" w:cs="Arial"/>
        </w:rPr>
        <w:t xml:space="preserve"> </w:t>
      </w:r>
      <w:r w:rsidRPr="00E71010">
        <w:rPr>
          <w:rFonts w:ascii="Arial" w:hAnsi="Arial" w:cs="Arial"/>
        </w:rPr>
        <w:t xml:space="preserve"> (2</w:t>
      </w:r>
      <w:r w:rsidRPr="00E71010">
        <w:rPr>
          <w:rFonts w:ascii="Arial" w:hAnsi="Arial" w:cs="Arial"/>
          <w:vertAlign w:val="superscript"/>
        </w:rPr>
        <w:t>nd</w:t>
      </w:r>
      <w:r w:rsidRPr="00E71010">
        <w:rPr>
          <w:rFonts w:ascii="Arial" w:hAnsi="Arial" w:cs="Arial"/>
        </w:rPr>
        <w:t xml:space="preserve"> ed.)</w:t>
      </w:r>
      <w:hyperlink w:anchor="_ENREF_6" w:tooltip="Australian Commission on Safety and Quality in Health Care, 2017 #4" w:history="1">
        <w:r w:rsidR="00FD0BAB" w:rsidRPr="00FD0BAB">
          <w:rPr>
            <w:rFonts w:cs="Arial"/>
            <w:vertAlign w:val="superscript"/>
          </w:rPr>
          <w:t>4</w:t>
        </w:r>
      </w:hyperlink>
      <w:r w:rsidR="00A557EA" w:rsidRPr="00E71010">
        <w:rPr>
          <w:rFonts w:ascii="Arial" w:hAnsi="Arial" w:cs="Arial"/>
        </w:rPr>
        <w:t xml:space="preserve"> - </w:t>
      </w:r>
      <w:r w:rsidRPr="00E71010">
        <w:rPr>
          <w:rFonts w:ascii="Arial" w:hAnsi="Arial" w:cs="Arial"/>
        </w:rPr>
        <w:t>Communicating for Safety Standard: Correct identification and procedure matching</w:t>
      </w:r>
    </w:p>
    <w:p w:rsidR="00E71010" w:rsidRDefault="00C605BD" w:rsidP="00E71010">
      <w:pPr>
        <w:pStyle w:val="ListParagraph"/>
        <w:ind w:left="426"/>
      </w:pPr>
      <w:hyperlink r:id="rId13" w:history="1">
        <w:r w:rsidR="00E71010" w:rsidRPr="009B104B">
          <w:rPr>
            <w:rStyle w:val="Hyperlink"/>
          </w:rPr>
          <w:t>https://www.safetyandquality.gov.au/wp-content/uploads/2017/12/National-Safety-and-Quality-Health-Service-Standards-second-edition.pdf</w:t>
        </w:r>
      </w:hyperlink>
    </w:p>
    <w:p w:rsidR="006C4B4D" w:rsidRPr="00F6102D" w:rsidRDefault="006C4B4D" w:rsidP="00266A26">
      <w:pPr>
        <w:pStyle w:val="ListParagraph"/>
        <w:ind w:left="360"/>
        <w:rPr>
          <w:sz w:val="12"/>
          <w:szCs w:val="12"/>
        </w:rPr>
      </w:pPr>
    </w:p>
    <w:p w:rsidR="00266A26" w:rsidRPr="00312553" w:rsidRDefault="00266A26" w:rsidP="00266A26">
      <w:pPr>
        <w:pStyle w:val="ListParagraph"/>
        <w:numPr>
          <w:ilvl w:val="0"/>
          <w:numId w:val="13"/>
        </w:numPr>
        <w:spacing w:before="60" w:after="60"/>
        <w:ind w:left="318" w:hanging="318"/>
        <w:contextualSpacing w:val="0"/>
        <w:rPr>
          <w:rFonts w:cs="Arial"/>
        </w:rPr>
      </w:pPr>
      <w:r w:rsidRPr="00312553">
        <w:rPr>
          <w:rFonts w:cs="Arial"/>
        </w:rPr>
        <w:t>Nationally agreed use of the WHO Surgical Safety Checklist</w:t>
      </w:r>
      <w:hyperlink w:anchor="_ENREF_7" w:tooltip="Australian Commission on Safety and Quality in Health Care,  #7" w:history="1">
        <w:r w:rsidR="00FD0BAB" w:rsidRPr="00FD0BAB">
          <w:rPr>
            <w:rFonts w:cs="Arial"/>
            <w:vertAlign w:val="superscript"/>
          </w:rPr>
          <w:t>5</w:t>
        </w:r>
      </w:hyperlink>
    </w:p>
    <w:p w:rsidR="00266A26" w:rsidRDefault="00C605BD" w:rsidP="00F6102D">
      <w:pPr>
        <w:ind w:left="318"/>
        <w:contextualSpacing/>
        <w:rPr>
          <w:rStyle w:val="Hyperlink"/>
          <w:rFonts w:eastAsiaTheme="majorEastAsia" w:cs="Arial"/>
        </w:rPr>
      </w:pPr>
      <w:hyperlink r:id="rId14" w:history="1">
        <w:r w:rsidR="00266A26" w:rsidRPr="00312553">
          <w:rPr>
            <w:rStyle w:val="Hyperlink"/>
            <w:rFonts w:eastAsiaTheme="majorEastAsia" w:cs="Arial"/>
          </w:rPr>
          <w:t>https://www.safetyandquality.gov.au/our-work/patient-identification/patient-procedure-matching-protocols/surgical-safety-checklist/</w:t>
        </w:r>
      </w:hyperlink>
    </w:p>
    <w:p w:rsidR="00E71010" w:rsidRDefault="00E71010" w:rsidP="00F6102D">
      <w:pPr>
        <w:ind w:left="318"/>
        <w:contextualSpacing/>
        <w:rPr>
          <w:rStyle w:val="Hyperlink"/>
          <w:rFonts w:eastAsiaTheme="majorEastAsia" w:cs="Arial"/>
        </w:rPr>
      </w:pPr>
    </w:p>
    <w:p w:rsidR="00E71010" w:rsidRPr="00312553" w:rsidRDefault="00E71010" w:rsidP="00F6102D">
      <w:pPr>
        <w:ind w:left="318"/>
        <w:contextualSpacing/>
        <w:rPr>
          <w:rFonts w:cs="Arial"/>
          <w:lang w:eastAsia="en-US"/>
        </w:rPr>
      </w:pPr>
    </w:p>
    <w:p w:rsidR="005B761C" w:rsidRDefault="005B761C" w:rsidP="006965B2">
      <w:pPr>
        <w:pStyle w:val="Heading2"/>
        <w:numPr>
          <w:ilvl w:val="0"/>
          <w:numId w:val="36"/>
        </w:numPr>
        <w:pBdr>
          <w:bottom w:val="single" w:sz="12" w:space="9" w:color="auto"/>
        </w:pBdr>
      </w:pPr>
      <w:bookmarkStart w:id="17" w:name="_Toc1338083"/>
      <w:r w:rsidRPr="00E06276">
        <w:lastRenderedPageBreak/>
        <w:t>Unintended retention of a foreign object in a patient after surg</w:t>
      </w:r>
      <w:r>
        <w:t>ery or other invasive procedure resulting in serious harm or death</w:t>
      </w:r>
      <w:bookmarkEnd w:id="17"/>
    </w:p>
    <w:tbl>
      <w:tblPr>
        <w:tblStyle w:val="TableGrid"/>
        <w:tblW w:w="9132" w:type="dxa"/>
        <w:tblLook w:val="04A0" w:firstRow="1" w:lastRow="0" w:firstColumn="1" w:lastColumn="0" w:noHBand="0" w:noVBand="1"/>
      </w:tblPr>
      <w:tblGrid>
        <w:gridCol w:w="9132"/>
      </w:tblGrid>
      <w:tr w:rsidR="00A44546" w:rsidTr="00B3293B">
        <w:trPr>
          <w:cnfStyle w:val="100000000000" w:firstRow="1" w:lastRow="0" w:firstColumn="0" w:lastColumn="0" w:oddVBand="0" w:evenVBand="0" w:oddHBand="0" w:evenHBand="0" w:firstRowFirstColumn="0" w:firstRowLastColumn="0" w:lastRowFirstColumn="0" w:lastRowLastColumn="0"/>
          <w:trHeight w:hRule="exact" w:val="319"/>
        </w:trPr>
        <w:tc>
          <w:tcPr>
            <w:tcW w:w="9132" w:type="dxa"/>
            <w:tcBorders>
              <w:top w:val="nil"/>
              <w:left w:val="nil"/>
              <w:bottom w:val="nil"/>
              <w:right w:val="nil"/>
            </w:tcBorders>
            <w:shd w:val="clear" w:color="auto" w:fill="EEECE1" w:themeFill="background2"/>
          </w:tcPr>
          <w:p w:rsidR="00A44546" w:rsidRPr="00A44546" w:rsidRDefault="00A44546" w:rsidP="009263A2">
            <w:pPr>
              <w:jc w:val="left"/>
            </w:pPr>
            <w:r w:rsidRPr="00A44546">
              <w:rPr>
                <w:sz w:val="22"/>
              </w:rPr>
              <w:t>Category: surgical or other procedures</w:t>
            </w:r>
          </w:p>
        </w:tc>
      </w:tr>
    </w:tbl>
    <w:p w:rsidR="00D01752" w:rsidRDefault="00D01752" w:rsidP="005B761C">
      <w:pPr>
        <w:rPr>
          <w:b/>
        </w:rPr>
      </w:pPr>
    </w:p>
    <w:p w:rsidR="005B761C" w:rsidRPr="00266A4E" w:rsidRDefault="00A77607" w:rsidP="005B761C">
      <w:pPr>
        <w:rPr>
          <w:b/>
        </w:rPr>
      </w:pPr>
      <w:r>
        <w:rPr>
          <w:rFonts w:eastAsia="Calibri" w:cs="Arial"/>
          <w:b/>
          <w:szCs w:val="18"/>
        </w:rPr>
        <w:t>Sentinel event</w:t>
      </w:r>
    </w:p>
    <w:p w:rsidR="005B761C" w:rsidRDefault="005B761C" w:rsidP="0011312B">
      <w:pPr>
        <w:rPr>
          <w:lang w:eastAsia="en-US"/>
        </w:rPr>
      </w:pPr>
      <w:r w:rsidRPr="005B761C">
        <w:rPr>
          <w:lang w:eastAsia="en-US"/>
        </w:rPr>
        <w:t>Unintended retention of a foreign object in a patient after surgery or other invasive procedure res</w:t>
      </w:r>
      <w:r w:rsidR="0051230C">
        <w:rPr>
          <w:lang w:eastAsia="en-US"/>
        </w:rPr>
        <w:t>ulting in serious harm or death</w:t>
      </w:r>
      <w:r w:rsidRPr="005B761C">
        <w:rPr>
          <w:lang w:eastAsia="en-US"/>
        </w:rPr>
        <w:t xml:space="preserve"> </w:t>
      </w:r>
    </w:p>
    <w:p w:rsidR="005B761C" w:rsidRDefault="001E23CF" w:rsidP="005B761C">
      <w:pPr>
        <w:contextualSpacing/>
        <w:rPr>
          <w:rFonts w:cs="Arial"/>
          <w:b/>
          <w:szCs w:val="24"/>
          <w:lang w:eastAsia="en-US"/>
        </w:rPr>
      </w:pPr>
      <w:r>
        <w:rPr>
          <w:rFonts w:cs="Arial"/>
          <w:b/>
          <w:szCs w:val="24"/>
          <w:lang w:eastAsia="en-US"/>
        </w:rPr>
        <w:t>I</w:t>
      </w:r>
      <w:r w:rsidR="005B761C">
        <w:rPr>
          <w:rFonts w:cs="Arial"/>
          <w:b/>
          <w:szCs w:val="24"/>
          <w:lang w:eastAsia="en-US"/>
        </w:rPr>
        <w:t>nclusions/exclusions</w:t>
      </w:r>
    </w:p>
    <w:p w:rsidR="005B761C" w:rsidRDefault="005B761C" w:rsidP="005B761C">
      <w:pPr>
        <w:contextualSpacing/>
        <w:rPr>
          <w:rFonts w:cs="Arial"/>
          <w:b/>
          <w:szCs w:val="24"/>
          <w:lang w:eastAsia="en-US"/>
        </w:rPr>
      </w:pPr>
    </w:p>
    <w:p w:rsidR="005B761C" w:rsidRDefault="00A96D35" w:rsidP="0011312B">
      <w:pPr>
        <w:rPr>
          <w:rFonts w:cs="Arial"/>
          <w:szCs w:val="24"/>
          <w:lang w:eastAsia="en-US"/>
        </w:rPr>
      </w:pPr>
      <w:r>
        <w:rPr>
          <w:rFonts w:eastAsia="Lucida Grande"/>
          <w:lang w:eastAsia="ja-JP"/>
        </w:rPr>
        <w:t xml:space="preserve">Excluding </w:t>
      </w:r>
      <w:r w:rsidRPr="00A96D35">
        <w:rPr>
          <w:rFonts w:eastAsia="Lucida Grande"/>
          <w:lang w:eastAsia="ja-JP"/>
        </w:rPr>
        <w:t>where any relevant objects are found to be missing prior to the completion of the surgical intervention and may be within the patient, but where further action to locate and/or retrieve would be more damaging</w:t>
      </w:r>
      <w:r w:rsidR="0011312B">
        <w:rPr>
          <w:rFonts w:eastAsia="Lucida Grande"/>
          <w:lang w:eastAsia="ja-JP"/>
        </w:rPr>
        <w:t xml:space="preserve"> than retention</w:t>
      </w:r>
      <w:r w:rsidRPr="00A96D35">
        <w:rPr>
          <w:rFonts w:eastAsia="Lucida Grande"/>
          <w:lang w:eastAsia="ja-JP"/>
        </w:rPr>
        <w:t>, or impossible. This must be documented in the patient’s chart and the patient informed.</w:t>
      </w:r>
    </w:p>
    <w:p w:rsidR="005B761C" w:rsidRDefault="005B761C" w:rsidP="005B761C">
      <w:pPr>
        <w:contextualSpacing/>
        <w:rPr>
          <w:rFonts w:cs="Arial"/>
          <w:b/>
          <w:szCs w:val="24"/>
          <w:lang w:eastAsia="en-US"/>
        </w:rPr>
      </w:pPr>
      <w:r>
        <w:rPr>
          <w:rFonts w:cs="Arial"/>
          <w:b/>
          <w:szCs w:val="24"/>
          <w:lang w:eastAsia="en-US"/>
        </w:rPr>
        <w:t>Setting</w:t>
      </w:r>
    </w:p>
    <w:p w:rsidR="005B761C" w:rsidRDefault="005B761C" w:rsidP="005B761C">
      <w:pPr>
        <w:contextualSpacing/>
        <w:rPr>
          <w:rFonts w:cs="Arial"/>
          <w:b/>
          <w:szCs w:val="24"/>
          <w:lang w:eastAsia="en-US"/>
        </w:rPr>
      </w:pPr>
    </w:p>
    <w:p w:rsidR="005B761C" w:rsidRDefault="005B761C" w:rsidP="005B761C">
      <w:pPr>
        <w:contextualSpacing/>
        <w:rPr>
          <w:rFonts w:cs="Arial"/>
          <w:szCs w:val="24"/>
          <w:lang w:eastAsia="en-US"/>
        </w:rPr>
      </w:pPr>
      <w:r w:rsidRPr="001E23CF">
        <w:rPr>
          <w:rFonts w:cs="Arial"/>
          <w:szCs w:val="24"/>
          <w:lang w:eastAsia="en-US"/>
        </w:rPr>
        <w:t>All hospitals</w:t>
      </w:r>
    </w:p>
    <w:p w:rsidR="005B761C" w:rsidRDefault="005B761C" w:rsidP="005B761C">
      <w:pPr>
        <w:contextualSpacing/>
        <w:rPr>
          <w:rFonts w:cs="Arial"/>
          <w:szCs w:val="24"/>
          <w:lang w:eastAsia="en-US"/>
        </w:rPr>
      </w:pPr>
    </w:p>
    <w:p w:rsidR="00C648C3" w:rsidRPr="00C648C3" w:rsidRDefault="00C648C3" w:rsidP="00C648C3">
      <w:pPr>
        <w:contextualSpacing/>
        <w:rPr>
          <w:rFonts w:cs="Arial"/>
          <w:b/>
          <w:szCs w:val="24"/>
          <w:lang w:eastAsia="en-US"/>
        </w:rPr>
      </w:pPr>
      <w:r w:rsidRPr="00C648C3">
        <w:rPr>
          <w:rFonts w:cs="Arial"/>
          <w:b/>
          <w:szCs w:val="24"/>
          <w:lang w:eastAsia="en-US"/>
        </w:rPr>
        <w:t>Definitions</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Unintended</w:t>
      </w:r>
      <w:r>
        <w:rPr>
          <w:rFonts w:cs="Arial"/>
          <w:szCs w:val="24"/>
          <w:lang w:eastAsia="en-US"/>
        </w:rPr>
        <w:tab/>
      </w:r>
      <w:r w:rsidR="003A0841">
        <w:rPr>
          <w:rFonts w:cs="Arial"/>
          <w:szCs w:val="24"/>
          <w:lang w:eastAsia="en-US"/>
        </w:rPr>
        <w:t>I</w:t>
      </w:r>
      <w:r w:rsidR="009F3C8F">
        <w:rPr>
          <w:rFonts w:cs="Arial"/>
          <w:szCs w:val="24"/>
          <w:lang w:eastAsia="en-US"/>
        </w:rPr>
        <w:t xml:space="preserve">ncidents where any relevant objects retained in a patient after surgery or other invasive procedure </w:t>
      </w:r>
      <w:r w:rsidR="003A0841">
        <w:rPr>
          <w:rFonts w:cs="Arial"/>
          <w:szCs w:val="24"/>
          <w:lang w:eastAsia="en-US"/>
        </w:rPr>
        <w:t xml:space="preserve">were not intentionally retained. </w:t>
      </w:r>
      <w:r w:rsidR="00472D54">
        <w:rPr>
          <w:rFonts w:cs="Arial"/>
          <w:szCs w:val="24"/>
          <w:lang w:eastAsia="en-US"/>
        </w:rPr>
        <w:t xml:space="preserve">A foreign object may be intentionally </w:t>
      </w:r>
      <w:r w:rsidR="00E1240E">
        <w:rPr>
          <w:rFonts w:cs="Arial"/>
          <w:szCs w:val="24"/>
          <w:lang w:eastAsia="en-US"/>
        </w:rPr>
        <w:t xml:space="preserve">left in the patient </w:t>
      </w:r>
      <w:r w:rsidR="003A0841">
        <w:rPr>
          <w:rFonts w:cs="Arial"/>
          <w:szCs w:val="24"/>
          <w:lang w:eastAsia="en-US"/>
        </w:rPr>
        <w:t xml:space="preserve">where </w:t>
      </w:r>
      <w:r w:rsidR="003A0841" w:rsidRPr="00A96D35">
        <w:rPr>
          <w:rFonts w:ascii="Arial" w:eastAsia="Lucida Grande" w:hAnsi="Arial" w:cs="Arial"/>
          <w:lang w:eastAsia="ja-JP"/>
        </w:rPr>
        <w:t xml:space="preserve">further action to locate and/or retrieve </w:t>
      </w:r>
      <w:r w:rsidR="00E1240E">
        <w:rPr>
          <w:rFonts w:ascii="Arial" w:eastAsia="Lucida Grande" w:hAnsi="Arial" w:cs="Arial"/>
          <w:lang w:eastAsia="ja-JP"/>
        </w:rPr>
        <w:t xml:space="preserve">the object </w:t>
      </w:r>
      <w:r w:rsidR="003A0841" w:rsidRPr="00A96D35">
        <w:rPr>
          <w:rFonts w:ascii="Arial" w:eastAsia="Lucida Grande" w:hAnsi="Arial" w:cs="Arial"/>
          <w:lang w:eastAsia="ja-JP"/>
        </w:rPr>
        <w:t xml:space="preserve">would be more damaging </w:t>
      </w:r>
      <w:r w:rsidR="0011312B">
        <w:rPr>
          <w:rFonts w:ascii="Arial" w:eastAsia="Lucida Grande" w:hAnsi="Arial" w:cs="Arial"/>
          <w:lang w:eastAsia="ja-JP"/>
        </w:rPr>
        <w:t xml:space="preserve">than retention </w:t>
      </w:r>
      <w:r w:rsidR="003A0841" w:rsidRPr="00A96D35">
        <w:rPr>
          <w:rFonts w:ascii="Arial" w:eastAsia="Lucida Grande" w:hAnsi="Arial" w:cs="Arial"/>
          <w:lang w:eastAsia="ja-JP"/>
        </w:rPr>
        <w:t>or impossible</w:t>
      </w:r>
      <w:r w:rsidR="00E1240E">
        <w:rPr>
          <w:rFonts w:ascii="Arial" w:eastAsia="Lucida Grande" w:hAnsi="Arial" w:cs="Arial"/>
          <w:lang w:eastAsia="ja-JP"/>
        </w:rPr>
        <w:t>, for example where the patient is not yet clinically stable</w:t>
      </w:r>
      <w:r w:rsidR="003A0841" w:rsidRPr="00A96D35">
        <w:rPr>
          <w:rFonts w:ascii="Arial" w:eastAsia="Lucida Grande" w:hAnsi="Arial" w:cs="Arial"/>
          <w:lang w:eastAsia="ja-JP"/>
        </w:rPr>
        <w:t>.</w:t>
      </w:r>
    </w:p>
    <w:p w:rsidR="00C648C3" w:rsidRDefault="00C648C3" w:rsidP="00C648C3">
      <w:pPr>
        <w:ind w:left="2160" w:hanging="2160"/>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Invasive procedure</w:t>
      </w:r>
      <w:r>
        <w:rPr>
          <w:rFonts w:cs="Arial"/>
          <w:szCs w:val="24"/>
          <w:lang w:eastAsia="en-US"/>
        </w:rPr>
        <w:tab/>
        <w:t>A</w:t>
      </w:r>
      <w:r w:rsidRPr="00C648C3">
        <w:rPr>
          <w:rFonts w:cs="Arial"/>
          <w:szCs w:val="24"/>
          <w:lang w:eastAsia="en-US"/>
        </w:rPr>
        <w:t xml:space="preserve"> medical procedure that enters the body, usually by cutting or puncturing the skin or by inserting a needle, tube, device or scope into the body.</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C648C3" w:rsidRDefault="00C648C3" w:rsidP="005B761C">
      <w:pPr>
        <w:contextualSpacing/>
        <w:rPr>
          <w:rFonts w:cs="Arial"/>
          <w:b/>
          <w:szCs w:val="24"/>
          <w:lang w:eastAsia="en-US"/>
        </w:rPr>
      </w:pPr>
    </w:p>
    <w:p w:rsidR="00C12CA0" w:rsidRDefault="00C12CA0" w:rsidP="005B761C">
      <w:pPr>
        <w:contextualSpacing/>
        <w:rPr>
          <w:rFonts w:cs="Arial"/>
          <w:b/>
          <w:szCs w:val="24"/>
          <w:lang w:eastAsia="en-US"/>
        </w:rPr>
      </w:pPr>
    </w:p>
    <w:p w:rsidR="005B761C" w:rsidRDefault="001E23CF" w:rsidP="005B761C">
      <w:pPr>
        <w:contextualSpacing/>
        <w:rPr>
          <w:rFonts w:cs="Arial"/>
          <w:b/>
          <w:szCs w:val="24"/>
          <w:lang w:eastAsia="en-US"/>
        </w:rPr>
      </w:pPr>
      <w:r>
        <w:rPr>
          <w:rFonts w:cs="Arial"/>
          <w:b/>
          <w:szCs w:val="24"/>
          <w:lang w:eastAsia="en-US"/>
        </w:rPr>
        <w:t>Examples of n</w:t>
      </w:r>
      <w:r w:rsidR="005B761C">
        <w:rPr>
          <w:rFonts w:cs="Arial"/>
          <w:b/>
          <w:szCs w:val="24"/>
          <w:lang w:eastAsia="en-US"/>
        </w:rPr>
        <w:t xml:space="preserve">ational </w:t>
      </w:r>
      <w:r w:rsidR="005C6D47">
        <w:rPr>
          <w:rFonts w:cs="Arial"/>
          <w:b/>
          <w:szCs w:val="24"/>
          <w:lang w:eastAsia="en-US"/>
        </w:rPr>
        <w:t>preventive</w:t>
      </w:r>
      <w:r w:rsidR="005B761C">
        <w:rPr>
          <w:rFonts w:cs="Arial"/>
          <w:b/>
          <w:szCs w:val="24"/>
          <w:lang w:eastAsia="en-US"/>
        </w:rPr>
        <w:t xml:space="preserve"> barriers</w:t>
      </w:r>
    </w:p>
    <w:p w:rsidR="006C4B4D" w:rsidRDefault="006C4B4D" w:rsidP="006C4B4D">
      <w:pPr>
        <w:pStyle w:val="ListParagraph"/>
        <w:spacing w:before="60" w:after="60"/>
        <w:ind w:left="318"/>
        <w:contextualSpacing w:val="0"/>
        <w:rPr>
          <w:rFonts w:cs="Arial"/>
        </w:rPr>
      </w:pPr>
    </w:p>
    <w:p w:rsidR="005B761C" w:rsidRPr="00E15C92" w:rsidRDefault="005B761C" w:rsidP="00E564FB">
      <w:pPr>
        <w:pStyle w:val="ListParagraph"/>
        <w:numPr>
          <w:ilvl w:val="0"/>
          <w:numId w:val="13"/>
        </w:numPr>
        <w:spacing w:before="60" w:after="60"/>
        <w:ind w:left="318" w:hanging="318"/>
        <w:contextualSpacing w:val="0"/>
        <w:rPr>
          <w:rFonts w:cs="Arial"/>
        </w:rPr>
      </w:pPr>
      <w:r w:rsidRPr="00E15C92">
        <w:rPr>
          <w:rFonts w:cs="Arial"/>
        </w:rPr>
        <w:t>Nationally agreed use of the WHO Surgical Safety Checklist</w:t>
      </w:r>
      <w:hyperlink w:anchor="_ENREF_7" w:tooltip="Australian Commission on Safety and Quality in Health Care,  #7" w:history="1">
        <w:r w:rsidR="00A214D0" w:rsidRPr="00A214D0">
          <w:rPr>
            <w:rFonts w:cs="Arial"/>
            <w:vertAlign w:val="superscript"/>
          </w:rPr>
          <w:t>5</w:t>
        </w:r>
      </w:hyperlink>
    </w:p>
    <w:p w:rsidR="005B761C" w:rsidRDefault="00C605BD" w:rsidP="005959C8">
      <w:pPr>
        <w:ind w:left="318"/>
        <w:contextualSpacing/>
        <w:rPr>
          <w:rFonts w:cs="Arial"/>
          <w:szCs w:val="24"/>
          <w:lang w:eastAsia="en-US"/>
        </w:rPr>
      </w:pPr>
      <w:hyperlink r:id="rId15" w:history="1">
        <w:r w:rsidR="005959C8" w:rsidRPr="009B104B">
          <w:rPr>
            <w:rStyle w:val="Hyperlink"/>
            <w:rFonts w:cs="Arial"/>
            <w:szCs w:val="24"/>
            <w:lang w:eastAsia="en-US"/>
          </w:rPr>
          <w:t>https://www.safetyandquality.gov.au/our-work/patient-identification/patient-procedure-matching-protocols/surgical-safety-checklist/</w:t>
        </w:r>
      </w:hyperlink>
    </w:p>
    <w:p w:rsidR="005959C8" w:rsidRDefault="005959C8" w:rsidP="005959C8">
      <w:pPr>
        <w:ind w:left="318"/>
        <w:contextualSpacing/>
        <w:rPr>
          <w:rFonts w:cs="Arial"/>
          <w:szCs w:val="24"/>
          <w:lang w:eastAsia="en-US"/>
        </w:rPr>
      </w:pPr>
    </w:p>
    <w:p w:rsidR="005B761C" w:rsidRPr="005B761C" w:rsidRDefault="005B761C" w:rsidP="005B761C">
      <w:pPr>
        <w:contextualSpacing/>
        <w:rPr>
          <w:rFonts w:cs="Arial"/>
          <w:szCs w:val="24"/>
          <w:lang w:eastAsia="en-US"/>
        </w:rPr>
      </w:pPr>
    </w:p>
    <w:p w:rsidR="005B761C" w:rsidRDefault="005B761C" w:rsidP="005B761C">
      <w:pPr>
        <w:tabs>
          <w:tab w:val="left" w:pos="3761"/>
        </w:tabs>
      </w:pPr>
    </w:p>
    <w:p w:rsidR="00E564FB" w:rsidRDefault="00E564FB">
      <w:pPr>
        <w:spacing w:after="80"/>
        <w:rPr>
          <w:rFonts w:cs="Arial"/>
          <w:b/>
          <w:iCs/>
          <w:color w:val="1178A2"/>
          <w:kern w:val="28"/>
          <w:sz w:val="32"/>
          <w:szCs w:val="28"/>
        </w:rPr>
      </w:pPr>
      <w:r>
        <w:br w:type="page"/>
      </w:r>
    </w:p>
    <w:p w:rsidR="00255CDB" w:rsidRDefault="00255CDB" w:rsidP="006965B2">
      <w:pPr>
        <w:pStyle w:val="Heading2"/>
        <w:numPr>
          <w:ilvl w:val="0"/>
          <w:numId w:val="36"/>
        </w:numPr>
        <w:pBdr>
          <w:bottom w:val="single" w:sz="12" w:space="9" w:color="auto"/>
        </w:pBdr>
      </w:pPr>
      <w:bookmarkStart w:id="18" w:name="_Toc1338084"/>
      <w:r w:rsidRPr="00441F86">
        <w:lastRenderedPageBreak/>
        <w:t>Haemolytic blood transfusion reaction resulting from ABO incompatibility</w:t>
      </w:r>
      <w:r>
        <w:t xml:space="preserve"> resulting in serious harm or death</w:t>
      </w:r>
      <w:bookmarkEnd w:id="18"/>
    </w:p>
    <w:tbl>
      <w:tblPr>
        <w:tblStyle w:val="TableGrid"/>
        <w:tblW w:w="9109" w:type="dxa"/>
        <w:tblLook w:val="04A0" w:firstRow="1" w:lastRow="0" w:firstColumn="1" w:lastColumn="0" w:noHBand="0" w:noVBand="1"/>
      </w:tblPr>
      <w:tblGrid>
        <w:gridCol w:w="9109"/>
      </w:tblGrid>
      <w:tr w:rsidR="00A44546" w:rsidTr="00E40EB0">
        <w:trPr>
          <w:cnfStyle w:val="100000000000" w:firstRow="1" w:lastRow="0" w:firstColumn="0" w:lastColumn="0" w:oddVBand="0" w:evenVBand="0" w:oddHBand="0" w:evenHBand="0" w:firstRowFirstColumn="0" w:firstRowLastColumn="0" w:lastRowFirstColumn="0" w:lastRowLastColumn="0"/>
          <w:trHeight w:hRule="exact" w:val="345"/>
        </w:trPr>
        <w:tc>
          <w:tcPr>
            <w:tcW w:w="9109" w:type="dxa"/>
            <w:tcBorders>
              <w:top w:val="nil"/>
              <w:left w:val="nil"/>
              <w:bottom w:val="nil"/>
              <w:right w:val="nil"/>
            </w:tcBorders>
            <w:shd w:val="clear" w:color="auto" w:fill="EEECE1" w:themeFill="background2"/>
          </w:tcPr>
          <w:p w:rsidR="00A44546" w:rsidRPr="00A44546" w:rsidRDefault="00A44546" w:rsidP="009263A2">
            <w:pPr>
              <w:jc w:val="left"/>
            </w:pPr>
            <w:r w:rsidRPr="00A44546">
              <w:rPr>
                <w:sz w:val="22"/>
              </w:rPr>
              <w:t>Category: surgical or other procedures</w:t>
            </w:r>
          </w:p>
        </w:tc>
      </w:tr>
    </w:tbl>
    <w:p w:rsidR="008D576D" w:rsidRDefault="008D576D" w:rsidP="00255CDB">
      <w:pPr>
        <w:rPr>
          <w:b/>
        </w:rPr>
      </w:pPr>
    </w:p>
    <w:p w:rsidR="00255CDB" w:rsidRPr="00266A4E" w:rsidRDefault="00A77607" w:rsidP="00255CDB">
      <w:pPr>
        <w:rPr>
          <w:b/>
        </w:rPr>
      </w:pPr>
      <w:r>
        <w:rPr>
          <w:rFonts w:eastAsia="Calibri" w:cs="Arial"/>
          <w:b/>
          <w:szCs w:val="18"/>
        </w:rPr>
        <w:t>Sentinel event</w:t>
      </w:r>
    </w:p>
    <w:p w:rsidR="00255CDB" w:rsidRDefault="00255CDB" w:rsidP="0011312B">
      <w:pPr>
        <w:rPr>
          <w:lang w:eastAsia="en-US"/>
        </w:rPr>
      </w:pPr>
      <w:r w:rsidRPr="00255CDB">
        <w:rPr>
          <w:lang w:eastAsia="en-US"/>
        </w:rPr>
        <w:t>Haemolytic blood transfusion reaction resulting from ABO incompatibility res</w:t>
      </w:r>
      <w:r w:rsidR="0051230C">
        <w:rPr>
          <w:lang w:eastAsia="en-US"/>
        </w:rPr>
        <w:t>ulting in serious harm or death</w:t>
      </w:r>
    </w:p>
    <w:p w:rsidR="00255CDB" w:rsidRDefault="001E23CF" w:rsidP="00255CDB">
      <w:pPr>
        <w:contextualSpacing/>
        <w:rPr>
          <w:rFonts w:cs="Arial"/>
          <w:b/>
          <w:szCs w:val="24"/>
          <w:lang w:eastAsia="en-US"/>
        </w:rPr>
      </w:pPr>
      <w:r>
        <w:rPr>
          <w:rFonts w:cs="Arial"/>
          <w:b/>
          <w:szCs w:val="24"/>
          <w:lang w:eastAsia="en-US"/>
        </w:rPr>
        <w:t>I</w:t>
      </w:r>
      <w:r w:rsidR="00255CDB">
        <w:rPr>
          <w:rFonts w:cs="Arial"/>
          <w:b/>
          <w:szCs w:val="24"/>
          <w:lang w:eastAsia="en-US"/>
        </w:rPr>
        <w:t>nclusions/exclusions</w:t>
      </w:r>
    </w:p>
    <w:p w:rsidR="00E564FB" w:rsidRDefault="00E564FB" w:rsidP="00E564FB">
      <w:pPr>
        <w:spacing w:after="0"/>
        <w:rPr>
          <w:rFonts w:cs="Arial"/>
          <w:b/>
          <w:szCs w:val="24"/>
          <w:lang w:eastAsia="en-US"/>
        </w:rPr>
      </w:pPr>
    </w:p>
    <w:p w:rsidR="00E564FB" w:rsidRPr="00E564FB" w:rsidRDefault="00E564FB" w:rsidP="00E564FB">
      <w:pPr>
        <w:spacing w:after="0"/>
        <w:rPr>
          <w:rFonts w:ascii="Arial" w:hAnsi="Arial" w:cs="Arial"/>
          <w:color w:val="FFC000"/>
        </w:rPr>
      </w:pPr>
      <w:r w:rsidRPr="00E564FB">
        <w:rPr>
          <w:rFonts w:cs="Arial"/>
          <w:szCs w:val="24"/>
          <w:lang w:eastAsia="en-US"/>
        </w:rPr>
        <w:t>E</w:t>
      </w:r>
      <w:r w:rsidRPr="00E564FB">
        <w:rPr>
          <w:rFonts w:ascii="Arial" w:hAnsi="Arial" w:cs="Arial"/>
        </w:rPr>
        <w:t xml:space="preserve">xcluding where ABO incompatible blood components are deliberately transfused </w:t>
      </w:r>
      <w:r w:rsidR="008D576D">
        <w:rPr>
          <w:rFonts w:ascii="Arial" w:hAnsi="Arial" w:cs="Arial"/>
        </w:rPr>
        <w:t xml:space="preserve">in line with local protocols. </w:t>
      </w:r>
    </w:p>
    <w:p w:rsidR="00255CDB" w:rsidRDefault="00255CDB" w:rsidP="00255CDB">
      <w:pPr>
        <w:contextualSpacing/>
        <w:rPr>
          <w:rFonts w:cs="Arial"/>
          <w:szCs w:val="24"/>
          <w:lang w:eastAsia="en-US"/>
        </w:rPr>
      </w:pPr>
    </w:p>
    <w:p w:rsidR="00255CDB" w:rsidRDefault="00255CDB" w:rsidP="00255CDB">
      <w:pPr>
        <w:contextualSpacing/>
        <w:rPr>
          <w:rFonts w:cs="Arial"/>
          <w:b/>
          <w:szCs w:val="24"/>
          <w:lang w:eastAsia="en-US"/>
        </w:rPr>
      </w:pPr>
      <w:r>
        <w:rPr>
          <w:rFonts w:cs="Arial"/>
          <w:b/>
          <w:szCs w:val="24"/>
          <w:lang w:eastAsia="en-US"/>
        </w:rPr>
        <w:t>Setting</w:t>
      </w:r>
    </w:p>
    <w:p w:rsidR="00255CDB" w:rsidRDefault="00255CDB" w:rsidP="00255CDB">
      <w:pPr>
        <w:contextualSpacing/>
        <w:rPr>
          <w:rFonts w:cs="Arial"/>
          <w:b/>
          <w:szCs w:val="24"/>
          <w:lang w:eastAsia="en-US"/>
        </w:rPr>
      </w:pPr>
    </w:p>
    <w:p w:rsidR="00255CDB" w:rsidRDefault="00255CDB" w:rsidP="00255CDB">
      <w:pPr>
        <w:contextualSpacing/>
        <w:rPr>
          <w:rFonts w:cs="Arial"/>
          <w:szCs w:val="24"/>
          <w:lang w:eastAsia="en-US"/>
        </w:rPr>
      </w:pPr>
      <w:r w:rsidRPr="001E23CF">
        <w:rPr>
          <w:rFonts w:cs="Arial"/>
          <w:szCs w:val="24"/>
          <w:lang w:eastAsia="en-US"/>
        </w:rPr>
        <w:t>All hospitals</w:t>
      </w:r>
    </w:p>
    <w:p w:rsidR="00255CDB" w:rsidRDefault="00255CDB" w:rsidP="00255CDB">
      <w:pPr>
        <w:contextualSpacing/>
        <w:rPr>
          <w:rFonts w:cs="Arial"/>
          <w:szCs w:val="24"/>
          <w:lang w:eastAsia="en-US"/>
        </w:rPr>
      </w:pPr>
    </w:p>
    <w:p w:rsidR="00C648C3" w:rsidRPr="00C648C3" w:rsidRDefault="00C648C3" w:rsidP="00C648C3">
      <w:pPr>
        <w:contextualSpacing/>
        <w:rPr>
          <w:rFonts w:cs="Arial"/>
          <w:b/>
          <w:szCs w:val="24"/>
          <w:lang w:eastAsia="en-US"/>
        </w:rPr>
      </w:pPr>
      <w:r w:rsidRPr="00C648C3">
        <w:rPr>
          <w:rFonts w:cs="Arial"/>
          <w:b/>
          <w:szCs w:val="24"/>
          <w:lang w:eastAsia="en-US"/>
        </w:rPr>
        <w:t>Definitions</w:t>
      </w:r>
    </w:p>
    <w:p w:rsidR="00C648C3" w:rsidRDefault="00C648C3" w:rsidP="00C648C3">
      <w:pPr>
        <w:contextualSpacing/>
        <w:rPr>
          <w:rFonts w:cs="Arial"/>
          <w:szCs w:val="24"/>
          <w:lang w:eastAsia="en-US"/>
        </w:rPr>
      </w:pPr>
    </w:p>
    <w:p w:rsidR="00C648C3" w:rsidRDefault="00C648C3" w:rsidP="0011312B">
      <w:pPr>
        <w:rPr>
          <w:lang w:eastAsia="en-US"/>
        </w:rPr>
      </w:pPr>
      <w:r>
        <w:rPr>
          <w:lang w:eastAsia="en-US"/>
        </w:rPr>
        <w:t xml:space="preserve">Serious harm </w:t>
      </w:r>
      <w:r>
        <w:rPr>
          <w:lang w:eastAsia="en-US"/>
        </w:rPr>
        <w:tab/>
      </w:r>
      <w:r w:rsidRPr="00C648C3">
        <w:rPr>
          <w:lang w:eastAsia="en-US"/>
        </w:rPr>
        <w:t>As a result of the incident the patient requires life-saving surgical/medical intervention, or has shortened life expectancy, or has experienced permanent or long term phy</w:t>
      </w:r>
      <w:r>
        <w:rPr>
          <w:lang w:eastAsia="en-US"/>
        </w:rPr>
        <w:t>sical harm or loss of function.</w:t>
      </w:r>
    </w:p>
    <w:p w:rsidR="00C648C3" w:rsidRDefault="00C648C3" w:rsidP="00255CDB">
      <w:pPr>
        <w:contextualSpacing/>
        <w:rPr>
          <w:rFonts w:cs="Arial"/>
          <w:szCs w:val="24"/>
          <w:lang w:eastAsia="en-US"/>
        </w:rPr>
      </w:pPr>
    </w:p>
    <w:p w:rsidR="00255CDB" w:rsidRDefault="001E23CF" w:rsidP="00255CDB">
      <w:pPr>
        <w:contextualSpacing/>
        <w:rPr>
          <w:rFonts w:cs="Arial"/>
          <w:b/>
          <w:szCs w:val="24"/>
          <w:lang w:eastAsia="en-US"/>
        </w:rPr>
      </w:pPr>
      <w:r>
        <w:rPr>
          <w:rFonts w:cs="Arial"/>
          <w:b/>
          <w:szCs w:val="24"/>
          <w:lang w:eastAsia="en-US"/>
        </w:rPr>
        <w:t>Examples of n</w:t>
      </w:r>
      <w:r w:rsidR="00255CDB">
        <w:rPr>
          <w:rFonts w:cs="Arial"/>
          <w:b/>
          <w:szCs w:val="24"/>
          <w:lang w:eastAsia="en-US"/>
        </w:rPr>
        <w:t xml:space="preserve">ational </w:t>
      </w:r>
      <w:r w:rsidR="005C6D47">
        <w:rPr>
          <w:rFonts w:cs="Arial"/>
          <w:b/>
          <w:szCs w:val="24"/>
          <w:lang w:eastAsia="en-US"/>
        </w:rPr>
        <w:t>preventive</w:t>
      </w:r>
      <w:r w:rsidR="00255CDB">
        <w:rPr>
          <w:rFonts w:cs="Arial"/>
          <w:b/>
          <w:szCs w:val="24"/>
          <w:lang w:eastAsia="en-US"/>
        </w:rPr>
        <w:t xml:space="preserve"> barriers</w:t>
      </w:r>
    </w:p>
    <w:p w:rsidR="00EC5D54" w:rsidRPr="0011312B" w:rsidRDefault="00F6102D" w:rsidP="0011312B">
      <w:pPr>
        <w:pStyle w:val="ListParagraph"/>
        <w:numPr>
          <w:ilvl w:val="0"/>
          <w:numId w:val="16"/>
        </w:numPr>
        <w:spacing w:before="60" w:after="60"/>
        <w:ind w:left="459" w:hanging="459"/>
        <w:rPr>
          <w:rFonts w:cs="Arial"/>
        </w:rPr>
      </w:pPr>
      <w:r w:rsidRPr="0011312B">
        <w:rPr>
          <w:rFonts w:cs="Arial"/>
        </w:rPr>
        <w:t>NSQHS Standard</w:t>
      </w:r>
      <w:r w:rsidR="00002688">
        <w:rPr>
          <w:rFonts w:cs="Arial"/>
        </w:rPr>
        <w:t>s</w:t>
      </w:r>
      <w:r w:rsidR="00E00C1D">
        <w:rPr>
          <w:rFonts w:cs="Arial"/>
        </w:rPr>
        <w:t>(2</w:t>
      </w:r>
      <w:r w:rsidR="00E00C1D" w:rsidRPr="00E11507">
        <w:rPr>
          <w:rFonts w:cs="Arial"/>
          <w:vertAlign w:val="superscript"/>
        </w:rPr>
        <w:t>nd</w:t>
      </w:r>
      <w:r w:rsidR="00E00C1D">
        <w:rPr>
          <w:rFonts w:cs="Arial"/>
        </w:rPr>
        <w:t xml:space="preserve"> ed.)</w:t>
      </w:r>
      <w:hyperlink w:anchor="_ENREF_6" w:tooltip="Australian Commission on Safety and Quality in Health Care, 2017 #4" w:history="1">
        <w:r w:rsidR="00A214D0">
          <w:rPr>
            <w:rFonts w:cs="Arial"/>
            <w:vertAlign w:val="superscript"/>
          </w:rPr>
          <w:t>4</w:t>
        </w:r>
      </w:hyperlink>
      <w:r w:rsidR="00A557EA">
        <w:rPr>
          <w:rFonts w:cs="Arial"/>
          <w:vertAlign w:val="superscript"/>
        </w:rPr>
        <w:t xml:space="preserve"> </w:t>
      </w:r>
      <w:r w:rsidR="00A557EA">
        <w:rPr>
          <w:rFonts w:cs="Arial"/>
        </w:rPr>
        <w:t xml:space="preserve">- </w:t>
      </w:r>
      <w:r w:rsidRPr="0011312B">
        <w:rPr>
          <w:rFonts w:cs="Arial"/>
          <w:vertAlign w:val="superscript"/>
        </w:rPr>
        <w:t xml:space="preserve"> </w:t>
      </w:r>
      <w:r w:rsidR="00BE3AF3" w:rsidRPr="0011312B">
        <w:rPr>
          <w:rFonts w:cs="Arial"/>
        </w:rPr>
        <w:t xml:space="preserve">Blood Management Standard </w:t>
      </w:r>
    </w:p>
    <w:p w:rsidR="004A663A" w:rsidRDefault="00C605BD" w:rsidP="0011312B">
      <w:pPr>
        <w:ind w:left="459"/>
      </w:pPr>
      <w:hyperlink r:id="rId16" w:history="1">
        <w:r w:rsidR="00FF328D" w:rsidRPr="009B104B">
          <w:rPr>
            <w:rStyle w:val="Hyperlink"/>
          </w:rPr>
          <w:t>https://www.safetyandquality.gov.au/wp-content/uploads/2017/11/National-Safety-and-Quality-Health-Service-Standards-second-edition.pdf</w:t>
        </w:r>
      </w:hyperlink>
    </w:p>
    <w:p w:rsidR="00F6102D" w:rsidRPr="00FF328D" w:rsidRDefault="00255CDB" w:rsidP="0011312B">
      <w:pPr>
        <w:pStyle w:val="ListParagraph"/>
        <w:numPr>
          <w:ilvl w:val="0"/>
          <w:numId w:val="46"/>
        </w:numPr>
        <w:ind w:left="459" w:hanging="459"/>
        <w:rPr>
          <w:rFonts w:cs="Arial"/>
        </w:rPr>
      </w:pPr>
      <w:r w:rsidRPr="0011312B">
        <w:rPr>
          <w:rFonts w:cs="Arial"/>
        </w:rPr>
        <w:t>National Blood Authority – Patient Blood Management Guidelines</w:t>
      </w:r>
      <w:hyperlink w:anchor="_ENREF_9" w:tooltip="National Blood Authority Australia,  #9" w:history="1">
        <w:r w:rsidR="00AC2FE5">
          <w:rPr>
            <w:rFonts w:cs="Arial"/>
            <w:vertAlign w:val="superscript"/>
          </w:rPr>
          <w:t>7</w:t>
        </w:r>
      </w:hyperlink>
    </w:p>
    <w:p w:rsidR="00FF328D" w:rsidRDefault="00C605BD" w:rsidP="00FF328D">
      <w:pPr>
        <w:pStyle w:val="ListParagraph"/>
        <w:ind w:left="459"/>
        <w:rPr>
          <w:rFonts w:cs="Arial"/>
        </w:rPr>
      </w:pPr>
      <w:hyperlink r:id="rId17" w:history="1">
        <w:r w:rsidR="00FF328D" w:rsidRPr="009B104B">
          <w:rPr>
            <w:rStyle w:val="Hyperlink"/>
            <w:rFonts w:cs="Arial"/>
          </w:rPr>
          <w:t>https://www.blood.gov.au/pbm-guidelines</w:t>
        </w:r>
      </w:hyperlink>
    </w:p>
    <w:p w:rsidR="00FF328D" w:rsidRPr="00FF328D" w:rsidRDefault="00FF328D" w:rsidP="00FF328D">
      <w:pPr>
        <w:pStyle w:val="ListParagraph"/>
        <w:ind w:left="459"/>
        <w:rPr>
          <w:rFonts w:cs="Arial"/>
        </w:rPr>
      </w:pPr>
    </w:p>
    <w:p w:rsidR="00255CDB" w:rsidRPr="00255CDB" w:rsidRDefault="00255CDB" w:rsidP="00E564FB">
      <w:pPr>
        <w:pStyle w:val="ListParagraph"/>
        <w:numPr>
          <w:ilvl w:val="0"/>
          <w:numId w:val="16"/>
        </w:numPr>
        <w:spacing w:before="60" w:after="60"/>
        <w:ind w:left="459" w:hanging="459"/>
        <w:contextualSpacing w:val="0"/>
        <w:rPr>
          <w:rFonts w:cs="Arial"/>
        </w:rPr>
      </w:pPr>
      <w:r w:rsidRPr="00C83EC5">
        <w:rPr>
          <w:rFonts w:cs="Arial"/>
        </w:rPr>
        <w:t>Blood</w:t>
      </w:r>
      <w:r w:rsidR="00EC5D54">
        <w:rPr>
          <w:rFonts w:cs="Arial"/>
        </w:rPr>
        <w:t>S</w:t>
      </w:r>
      <w:r w:rsidRPr="00C83EC5">
        <w:rPr>
          <w:rFonts w:cs="Arial"/>
        </w:rPr>
        <w:t>afe – National e-learning program</w:t>
      </w:r>
      <w:hyperlink w:anchor="_ENREF_10" w:tooltip="BloodSafe,  #10" w:history="1">
        <w:r w:rsidR="00AC2FE5" w:rsidRPr="00AC2FE5">
          <w:rPr>
            <w:rFonts w:cs="Arial"/>
            <w:vertAlign w:val="superscript"/>
          </w:rPr>
          <w:t>8</w:t>
        </w:r>
      </w:hyperlink>
      <w:r w:rsidRPr="00AC2FE5">
        <w:rPr>
          <w:vertAlign w:val="superscript"/>
        </w:rPr>
        <w:t xml:space="preserve"> </w:t>
      </w:r>
    </w:p>
    <w:p w:rsidR="00FF328D" w:rsidRDefault="00C605BD" w:rsidP="00927D75">
      <w:pPr>
        <w:pStyle w:val="ListParagraph"/>
        <w:spacing w:before="60" w:after="60"/>
        <w:ind w:left="459"/>
        <w:contextualSpacing w:val="0"/>
      </w:pPr>
      <w:hyperlink r:id="rId18" w:history="1">
        <w:r w:rsidR="00FF328D" w:rsidRPr="009B104B">
          <w:rPr>
            <w:rStyle w:val="Hyperlink"/>
          </w:rPr>
          <w:t>https://bloodsafelearning.org.au/resource-centre/links-and-resources/state-and-territory-contacts/</w:t>
        </w:r>
      </w:hyperlink>
    </w:p>
    <w:p w:rsidR="00927D75" w:rsidRDefault="00927D75" w:rsidP="00927D75">
      <w:pPr>
        <w:pStyle w:val="ListParagraph"/>
        <w:spacing w:before="60" w:after="60"/>
        <w:ind w:left="459"/>
        <w:contextualSpacing w:val="0"/>
      </w:pPr>
    </w:p>
    <w:p w:rsidR="00255CDB" w:rsidRPr="00255CDB" w:rsidRDefault="00255CDB" w:rsidP="001F22C7">
      <w:pPr>
        <w:pStyle w:val="ListParagraph"/>
        <w:numPr>
          <w:ilvl w:val="0"/>
          <w:numId w:val="16"/>
        </w:numPr>
        <w:spacing w:after="0"/>
        <w:ind w:left="459" w:hanging="459"/>
        <w:contextualSpacing w:val="0"/>
        <w:rPr>
          <w:rStyle w:val="Hyperlink"/>
          <w:rFonts w:cs="Arial"/>
          <w:color w:val="auto"/>
          <w:u w:val="none"/>
        </w:rPr>
      </w:pPr>
      <w:r w:rsidRPr="00255CDB">
        <w:rPr>
          <w:rFonts w:cs="Arial"/>
        </w:rPr>
        <w:t>Australian Red Cross, Flippin’ Blood (2012) resources for safe transfusion</w:t>
      </w:r>
      <w:hyperlink w:anchor="_ENREF_11" w:tooltip="BloodSafe, 2012 #11" w:history="1">
        <w:r w:rsidR="00AC2FE5" w:rsidRPr="00AC2FE5">
          <w:rPr>
            <w:rFonts w:cs="Arial"/>
            <w:vertAlign w:val="superscript"/>
          </w:rPr>
          <w:t>9</w:t>
        </w:r>
      </w:hyperlink>
      <w:r w:rsidRPr="00AC2FE5">
        <w:rPr>
          <w:rFonts w:cs="Arial"/>
          <w:vertAlign w:val="superscript"/>
        </w:rPr>
        <w:t xml:space="preserve"> </w:t>
      </w:r>
    </w:p>
    <w:p w:rsidR="00255CDB" w:rsidRDefault="00C605BD" w:rsidP="001F22C7">
      <w:pPr>
        <w:pStyle w:val="ListParagraph"/>
        <w:spacing w:after="0"/>
        <w:ind w:left="459"/>
        <w:contextualSpacing w:val="0"/>
        <w:rPr>
          <w:rFonts w:cs="Arial"/>
        </w:rPr>
      </w:pPr>
      <w:hyperlink r:id="rId19" w:history="1">
        <w:r w:rsidR="00FF328D" w:rsidRPr="009B104B">
          <w:rPr>
            <w:rStyle w:val="Hyperlink"/>
            <w:rFonts w:cs="Arial"/>
          </w:rPr>
          <w:t>http://resources.transfusion.com.au/cdm/ref/collection/p16691coll1/id/20</w:t>
        </w:r>
      </w:hyperlink>
    </w:p>
    <w:p w:rsidR="00FF328D" w:rsidRPr="00255CDB" w:rsidRDefault="00FF328D" w:rsidP="00255CDB">
      <w:pPr>
        <w:pStyle w:val="ListParagraph"/>
        <w:spacing w:before="60" w:after="60"/>
        <w:ind w:left="459"/>
        <w:contextualSpacing w:val="0"/>
        <w:rPr>
          <w:rFonts w:cs="Arial"/>
        </w:rPr>
      </w:pPr>
    </w:p>
    <w:p w:rsidR="00255CDB" w:rsidRPr="005B761C" w:rsidRDefault="00255CDB" w:rsidP="00255CDB">
      <w:pPr>
        <w:contextualSpacing/>
        <w:rPr>
          <w:rFonts w:cs="Arial"/>
          <w:szCs w:val="24"/>
          <w:lang w:eastAsia="en-US"/>
        </w:rPr>
      </w:pPr>
    </w:p>
    <w:p w:rsidR="00255CDB" w:rsidRDefault="00255CDB" w:rsidP="00255CDB">
      <w:pPr>
        <w:tabs>
          <w:tab w:val="left" w:pos="3761"/>
        </w:tabs>
      </w:pPr>
    </w:p>
    <w:p w:rsidR="0051119A" w:rsidRDefault="0051119A">
      <w:pPr>
        <w:spacing w:after="80"/>
        <w:rPr>
          <w:rFonts w:cs="Arial"/>
          <w:b/>
          <w:iCs/>
          <w:color w:val="1178A2"/>
          <w:kern w:val="28"/>
          <w:sz w:val="32"/>
          <w:szCs w:val="28"/>
        </w:rPr>
      </w:pPr>
      <w:r>
        <w:br w:type="page"/>
      </w:r>
    </w:p>
    <w:p w:rsidR="00B53E6B" w:rsidRPr="00E6689B" w:rsidRDefault="00166DF2" w:rsidP="006965B2">
      <w:pPr>
        <w:pStyle w:val="Heading2"/>
        <w:numPr>
          <w:ilvl w:val="0"/>
          <w:numId w:val="36"/>
        </w:numPr>
        <w:pBdr>
          <w:bottom w:val="single" w:sz="12" w:space="9" w:color="auto"/>
        </w:pBdr>
      </w:pPr>
      <w:bookmarkStart w:id="19" w:name="_Toc1338085"/>
      <w:r w:rsidRPr="00E6689B">
        <w:lastRenderedPageBreak/>
        <w:t>Suspected</w:t>
      </w:r>
      <w:r w:rsidR="009164A8" w:rsidRPr="00E6689B">
        <w:t xml:space="preserve"> suicide of </w:t>
      </w:r>
      <w:r w:rsidRPr="00E6689B">
        <w:t xml:space="preserve">a patient </w:t>
      </w:r>
      <w:r w:rsidR="000C49DB">
        <w:t>with</w:t>
      </w:r>
      <w:r w:rsidRPr="00E6689B">
        <w:t>in a</w:t>
      </w:r>
      <w:r w:rsidR="001F6C26">
        <w:t>n acute</w:t>
      </w:r>
      <w:r w:rsidRPr="00E6689B">
        <w:t xml:space="preserve"> psychiatric unit or </w:t>
      </w:r>
      <w:r w:rsidR="001F6C26">
        <w:t xml:space="preserve">acute </w:t>
      </w:r>
      <w:r w:rsidRPr="00E6689B">
        <w:t>psychiatric ward</w:t>
      </w:r>
      <w:bookmarkEnd w:id="19"/>
      <w:r w:rsidRPr="00E6689B">
        <w:t xml:space="preserve"> </w:t>
      </w:r>
    </w:p>
    <w:tbl>
      <w:tblPr>
        <w:tblStyle w:val="TableGrid"/>
        <w:tblW w:w="9121" w:type="dxa"/>
        <w:tblLook w:val="04A0" w:firstRow="1" w:lastRow="0" w:firstColumn="1" w:lastColumn="0" w:noHBand="0" w:noVBand="1"/>
      </w:tblPr>
      <w:tblGrid>
        <w:gridCol w:w="9121"/>
      </w:tblGrid>
      <w:tr w:rsidR="00A44546" w:rsidRPr="00E6689B" w:rsidTr="009D2E03">
        <w:trPr>
          <w:cnfStyle w:val="100000000000" w:firstRow="1" w:lastRow="0" w:firstColumn="0" w:lastColumn="0" w:oddVBand="0" w:evenVBand="0" w:oddHBand="0" w:evenHBand="0" w:firstRowFirstColumn="0" w:firstRowLastColumn="0" w:lastRowFirstColumn="0" w:lastRowLastColumn="0"/>
          <w:trHeight w:hRule="exact" w:val="363"/>
        </w:trPr>
        <w:tc>
          <w:tcPr>
            <w:tcW w:w="9121" w:type="dxa"/>
            <w:tcBorders>
              <w:top w:val="nil"/>
              <w:left w:val="nil"/>
              <w:bottom w:val="nil"/>
              <w:right w:val="nil"/>
            </w:tcBorders>
            <w:shd w:val="clear" w:color="auto" w:fill="EEECE1" w:themeFill="background2"/>
          </w:tcPr>
          <w:p w:rsidR="00A44546" w:rsidRPr="00E6689B" w:rsidRDefault="00A44546" w:rsidP="00A44546">
            <w:pPr>
              <w:jc w:val="left"/>
            </w:pPr>
            <w:r w:rsidRPr="00E6689B">
              <w:rPr>
                <w:sz w:val="22"/>
              </w:rPr>
              <w:t>Category: mental health</w:t>
            </w:r>
          </w:p>
        </w:tc>
      </w:tr>
    </w:tbl>
    <w:p w:rsidR="00166DF2" w:rsidRPr="00E6689B" w:rsidRDefault="00166DF2" w:rsidP="00B53E6B">
      <w:pPr>
        <w:rPr>
          <w:rFonts w:eastAsia="Calibri" w:cs="Arial"/>
          <w:b/>
          <w:szCs w:val="18"/>
        </w:rPr>
      </w:pPr>
    </w:p>
    <w:p w:rsidR="00B53E6B" w:rsidRPr="00E6689B" w:rsidRDefault="00166DF2" w:rsidP="00B53E6B">
      <w:pPr>
        <w:rPr>
          <w:b/>
        </w:rPr>
      </w:pPr>
      <w:r w:rsidRPr="00E6689B">
        <w:rPr>
          <w:rFonts w:eastAsia="Calibri" w:cs="Arial"/>
          <w:b/>
          <w:szCs w:val="18"/>
        </w:rPr>
        <w:t>Sentinel event</w:t>
      </w:r>
    </w:p>
    <w:p w:rsidR="00E6689B" w:rsidRDefault="00166DF2" w:rsidP="00F6102D">
      <w:pPr>
        <w:rPr>
          <w:rFonts w:cs="Arial"/>
          <w:b/>
          <w:szCs w:val="24"/>
          <w:lang w:eastAsia="en-US"/>
        </w:rPr>
      </w:pPr>
      <w:r w:rsidRPr="00E6689B">
        <w:rPr>
          <w:lang w:eastAsia="en-US"/>
        </w:rPr>
        <w:t xml:space="preserve">Suspected suicide of a patient </w:t>
      </w:r>
      <w:r w:rsidR="000C49DB">
        <w:rPr>
          <w:lang w:eastAsia="en-US"/>
        </w:rPr>
        <w:t>with</w:t>
      </w:r>
      <w:r w:rsidRPr="00E6689B">
        <w:rPr>
          <w:lang w:eastAsia="en-US"/>
        </w:rPr>
        <w:t>in a</w:t>
      </w:r>
      <w:r w:rsidR="00481F01">
        <w:rPr>
          <w:lang w:eastAsia="en-US"/>
        </w:rPr>
        <w:t>n acute</w:t>
      </w:r>
      <w:r w:rsidRPr="00E6689B">
        <w:rPr>
          <w:lang w:eastAsia="en-US"/>
        </w:rPr>
        <w:t xml:space="preserve"> psychiatric unit or </w:t>
      </w:r>
      <w:r w:rsidR="00481F01">
        <w:rPr>
          <w:lang w:eastAsia="en-US"/>
        </w:rPr>
        <w:t xml:space="preserve">acute </w:t>
      </w:r>
      <w:r w:rsidRPr="00E6689B">
        <w:rPr>
          <w:lang w:eastAsia="en-US"/>
        </w:rPr>
        <w:t>psychiatric ward</w:t>
      </w:r>
    </w:p>
    <w:p w:rsidR="00B53E6B" w:rsidRPr="00E6689B" w:rsidRDefault="001E23CF" w:rsidP="00B53E6B">
      <w:pPr>
        <w:contextualSpacing/>
        <w:rPr>
          <w:rFonts w:cs="Arial"/>
          <w:b/>
          <w:szCs w:val="24"/>
          <w:lang w:eastAsia="en-US"/>
        </w:rPr>
      </w:pPr>
      <w:r w:rsidRPr="00E6689B">
        <w:rPr>
          <w:rFonts w:cs="Arial"/>
          <w:b/>
          <w:szCs w:val="24"/>
          <w:lang w:eastAsia="en-US"/>
        </w:rPr>
        <w:t>I</w:t>
      </w:r>
      <w:r w:rsidR="00B53E6B" w:rsidRPr="00E6689B">
        <w:rPr>
          <w:rFonts w:cs="Arial"/>
          <w:b/>
          <w:szCs w:val="24"/>
          <w:lang w:eastAsia="en-US"/>
        </w:rPr>
        <w:t>nclusions/exclusions</w:t>
      </w:r>
    </w:p>
    <w:p w:rsidR="00B53E6B" w:rsidRPr="00E6689B" w:rsidRDefault="00B53E6B" w:rsidP="00B53E6B">
      <w:pPr>
        <w:contextualSpacing/>
        <w:rPr>
          <w:rFonts w:cs="Arial"/>
          <w:b/>
          <w:szCs w:val="24"/>
          <w:lang w:eastAsia="en-US"/>
        </w:rPr>
      </w:pPr>
    </w:p>
    <w:p w:rsidR="000C49DB" w:rsidRPr="00E6689B" w:rsidRDefault="00481F01" w:rsidP="00B53E6B">
      <w:pPr>
        <w:contextualSpacing/>
        <w:rPr>
          <w:rFonts w:cs="Arial"/>
          <w:szCs w:val="24"/>
          <w:lang w:eastAsia="en-US"/>
        </w:rPr>
      </w:pPr>
      <w:r>
        <w:rPr>
          <w:rFonts w:cs="Arial"/>
          <w:szCs w:val="24"/>
          <w:lang w:eastAsia="en-US"/>
        </w:rPr>
        <w:t>Excludes sub-acute care and rehabilitation</w:t>
      </w:r>
    </w:p>
    <w:p w:rsidR="00B53E6B" w:rsidRPr="00E6689B" w:rsidRDefault="00B53E6B" w:rsidP="00B53E6B">
      <w:pPr>
        <w:contextualSpacing/>
        <w:rPr>
          <w:rFonts w:cs="Arial"/>
          <w:szCs w:val="24"/>
          <w:lang w:eastAsia="en-US"/>
        </w:rPr>
      </w:pPr>
    </w:p>
    <w:p w:rsidR="00B53E6B" w:rsidRPr="00E6689B" w:rsidRDefault="00B53E6B" w:rsidP="00B53E6B">
      <w:pPr>
        <w:contextualSpacing/>
        <w:rPr>
          <w:rFonts w:cs="Arial"/>
          <w:b/>
          <w:szCs w:val="24"/>
          <w:lang w:eastAsia="en-US"/>
        </w:rPr>
      </w:pPr>
      <w:r w:rsidRPr="00E6689B">
        <w:rPr>
          <w:rFonts w:cs="Arial"/>
          <w:b/>
          <w:szCs w:val="24"/>
          <w:lang w:eastAsia="en-US"/>
        </w:rPr>
        <w:t>Setting</w:t>
      </w:r>
    </w:p>
    <w:p w:rsidR="00B53E6B" w:rsidRPr="00E6689B" w:rsidRDefault="00B53E6B" w:rsidP="00B53E6B">
      <w:pPr>
        <w:contextualSpacing/>
        <w:rPr>
          <w:rFonts w:cs="Arial"/>
          <w:b/>
          <w:szCs w:val="24"/>
          <w:lang w:eastAsia="en-US"/>
        </w:rPr>
      </w:pPr>
    </w:p>
    <w:p w:rsidR="009164A8" w:rsidRPr="00E6689B" w:rsidRDefault="000360C9" w:rsidP="00B53E6B">
      <w:pPr>
        <w:contextualSpacing/>
        <w:rPr>
          <w:rFonts w:cs="Arial"/>
          <w:szCs w:val="24"/>
          <w:lang w:eastAsia="en-US"/>
        </w:rPr>
      </w:pPr>
      <w:r w:rsidRPr="00E6689B">
        <w:rPr>
          <w:rFonts w:cs="Arial"/>
          <w:szCs w:val="24"/>
          <w:lang w:eastAsia="en-US"/>
        </w:rPr>
        <w:t xml:space="preserve">All </w:t>
      </w:r>
      <w:r w:rsidR="009164A8" w:rsidRPr="00E6689B">
        <w:rPr>
          <w:rFonts w:cs="Arial"/>
          <w:szCs w:val="24"/>
          <w:lang w:eastAsia="en-US"/>
        </w:rPr>
        <w:t>hospitals</w:t>
      </w:r>
    </w:p>
    <w:p w:rsidR="00C648C3" w:rsidRPr="00E6689B" w:rsidRDefault="00C648C3" w:rsidP="00C648C3">
      <w:pPr>
        <w:contextualSpacing/>
        <w:rPr>
          <w:rFonts w:cs="Arial"/>
          <w:szCs w:val="24"/>
          <w:lang w:eastAsia="en-US"/>
        </w:rPr>
      </w:pPr>
    </w:p>
    <w:p w:rsidR="00166DF2" w:rsidRPr="00E6689B" w:rsidRDefault="00166DF2" w:rsidP="00166DF2">
      <w:pPr>
        <w:contextualSpacing/>
        <w:rPr>
          <w:rFonts w:cs="Arial"/>
          <w:b/>
          <w:szCs w:val="24"/>
          <w:lang w:eastAsia="en-US"/>
        </w:rPr>
      </w:pPr>
      <w:r w:rsidRPr="00E6689B">
        <w:rPr>
          <w:rFonts w:cs="Arial"/>
          <w:b/>
          <w:szCs w:val="24"/>
          <w:lang w:eastAsia="en-US"/>
        </w:rPr>
        <w:t>Definitions</w:t>
      </w:r>
    </w:p>
    <w:p w:rsidR="00166DF2" w:rsidRPr="00E6689B" w:rsidRDefault="00166DF2" w:rsidP="00166DF2">
      <w:pPr>
        <w:contextualSpacing/>
        <w:rPr>
          <w:rFonts w:cs="Arial"/>
          <w:b/>
          <w:szCs w:val="24"/>
          <w:lang w:eastAsia="en-US"/>
        </w:rPr>
      </w:pPr>
    </w:p>
    <w:p w:rsidR="00E1240E" w:rsidRDefault="00E1240E" w:rsidP="00166DF2">
      <w:pPr>
        <w:ind w:left="3600" w:hanging="3600"/>
        <w:contextualSpacing/>
        <w:rPr>
          <w:rFonts w:cs="Arial"/>
          <w:szCs w:val="24"/>
          <w:lang w:eastAsia="en-US"/>
        </w:rPr>
      </w:pPr>
      <w:r>
        <w:rPr>
          <w:rFonts w:cs="Arial"/>
          <w:szCs w:val="24"/>
          <w:lang w:eastAsia="en-US"/>
        </w:rPr>
        <w:t>Acute p</w:t>
      </w:r>
      <w:r w:rsidR="00166DF2" w:rsidRPr="00E6689B">
        <w:rPr>
          <w:rFonts w:cs="Arial"/>
          <w:szCs w:val="24"/>
          <w:lang w:eastAsia="en-US"/>
        </w:rPr>
        <w:t xml:space="preserve">sychiatric unit </w:t>
      </w:r>
      <w:r>
        <w:rPr>
          <w:rFonts w:cs="Arial"/>
          <w:szCs w:val="24"/>
          <w:lang w:eastAsia="en-US"/>
        </w:rPr>
        <w:t>or acute</w:t>
      </w:r>
      <w:r w:rsidR="00166DF2" w:rsidRPr="00E6689B">
        <w:rPr>
          <w:rFonts w:cs="Arial"/>
          <w:szCs w:val="24"/>
          <w:lang w:eastAsia="en-US"/>
        </w:rPr>
        <w:t xml:space="preserve"> psychiatric ward</w:t>
      </w:r>
      <w:r w:rsidR="00166DF2" w:rsidRPr="00E6689B">
        <w:rPr>
          <w:rFonts w:cs="Arial"/>
          <w:szCs w:val="24"/>
          <w:lang w:eastAsia="en-US"/>
        </w:rPr>
        <w:tab/>
      </w:r>
    </w:p>
    <w:p w:rsidR="00E1240E" w:rsidRDefault="00E1240E" w:rsidP="00166DF2">
      <w:pPr>
        <w:ind w:left="3600" w:hanging="3600"/>
        <w:contextualSpacing/>
        <w:rPr>
          <w:rFonts w:cs="Arial"/>
          <w:szCs w:val="24"/>
          <w:lang w:eastAsia="en-US"/>
        </w:rPr>
      </w:pPr>
    </w:p>
    <w:p w:rsidR="00166DF2" w:rsidRDefault="00166DF2" w:rsidP="00F6102D">
      <w:pPr>
        <w:ind w:left="2127"/>
        <w:contextualSpacing/>
        <w:rPr>
          <w:rFonts w:cs="Arial"/>
          <w:szCs w:val="24"/>
          <w:lang w:eastAsia="en-US"/>
        </w:rPr>
      </w:pPr>
      <w:r w:rsidRPr="00E6689B">
        <w:rPr>
          <w:rFonts w:cs="Arial"/>
          <w:szCs w:val="24"/>
          <w:lang w:eastAsia="en-US"/>
        </w:rPr>
        <w:t xml:space="preserve">A specialised unit or ward that is dedicated to the treatment and care of admitted patients with mental </w:t>
      </w:r>
      <w:r w:rsidR="008030AD">
        <w:rPr>
          <w:rFonts w:cs="Arial"/>
          <w:szCs w:val="24"/>
          <w:lang w:eastAsia="en-US"/>
        </w:rPr>
        <w:t>illness or</w:t>
      </w:r>
      <w:r w:rsidRPr="00E6689B">
        <w:rPr>
          <w:rFonts w:cs="Arial"/>
          <w:szCs w:val="24"/>
          <w:lang w:eastAsia="en-US"/>
        </w:rPr>
        <w:t xml:space="preserve"> </w:t>
      </w:r>
      <w:r w:rsidR="008030AD">
        <w:rPr>
          <w:rFonts w:cs="Arial"/>
          <w:szCs w:val="24"/>
          <w:lang w:eastAsia="en-US"/>
        </w:rPr>
        <w:t xml:space="preserve">mental </w:t>
      </w:r>
      <w:r w:rsidRPr="00E6689B">
        <w:rPr>
          <w:rFonts w:cs="Arial"/>
          <w:szCs w:val="24"/>
          <w:lang w:eastAsia="en-US"/>
        </w:rPr>
        <w:t xml:space="preserve">disorder. This includes specialist psychiatric units or psychiatric wards within emergency departments. </w:t>
      </w:r>
    </w:p>
    <w:p w:rsidR="00E1240E" w:rsidRDefault="00E1240E" w:rsidP="00F6102D">
      <w:pPr>
        <w:ind w:left="3600"/>
        <w:contextualSpacing/>
        <w:rPr>
          <w:rFonts w:cs="Arial"/>
          <w:szCs w:val="24"/>
          <w:lang w:eastAsia="en-US"/>
        </w:rPr>
      </w:pPr>
    </w:p>
    <w:p w:rsidR="00E1240E" w:rsidRDefault="00C12CA0" w:rsidP="00F6102D">
      <w:pPr>
        <w:ind w:left="2127"/>
        <w:contextualSpacing/>
        <w:rPr>
          <w:rFonts w:cs="Arial"/>
          <w:szCs w:val="24"/>
          <w:lang w:eastAsia="en-US"/>
        </w:rPr>
      </w:pPr>
      <w:r>
        <w:rPr>
          <w:rFonts w:cs="Arial"/>
          <w:szCs w:val="24"/>
          <w:lang w:eastAsia="en-US"/>
        </w:rPr>
        <w:t>F</w:t>
      </w:r>
      <w:r w:rsidR="00E1240E">
        <w:rPr>
          <w:rFonts w:cs="Arial"/>
          <w:szCs w:val="24"/>
          <w:lang w:eastAsia="en-US"/>
        </w:rPr>
        <w:t>or the purposes of this sentinel event ‘acute psychiatric unit’ and ‘acute psychiatric ward’ refer to psychiatric units and wards where all three of the following criteria apply:</w:t>
      </w:r>
    </w:p>
    <w:p w:rsidR="00A23139" w:rsidRPr="00E6689B" w:rsidRDefault="00A23139" w:rsidP="00F6102D">
      <w:pPr>
        <w:pStyle w:val="ListParagraph"/>
        <w:numPr>
          <w:ilvl w:val="0"/>
          <w:numId w:val="40"/>
        </w:numPr>
        <w:rPr>
          <w:lang w:eastAsia="en-US"/>
        </w:rPr>
      </w:pPr>
      <w:r w:rsidRPr="00E6689B">
        <w:rPr>
          <w:lang w:eastAsia="en-US"/>
        </w:rPr>
        <w:t>The psychiatric unit or psychiatric ward is specifically designed with fixtures and fittings that minimise the opportunity for pat</w:t>
      </w:r>
      <w:r>
        <w:rPr>
          <w:lang w:eastAsia="en-US"/>
        </w:rPr>
        <w:t xml:space="preserve">ient </w:t>
      </w:r>
      <w:r w:rsidR="00E1240E">
        <w:rPr>
          <w:lang w:eastAsia="en-US"/>
        </w:rPr>
        <w:t>suicide</w:t>
      </w:r>
    </w:p>
    <w:p w:rsidR="00E1240E" w:rsidRPr="00E1240E" w:rsidRDefault="00A23139" w:rsidP="00F6102D">
      <w:pPr>
        <w:pStyle w:val="ListParagraph"/>
        <w:numPr>
          <w:ilvl w:val="0"/>
          <w:numId w:val="40"/>
        </w:numPr>
        <w:rPr>
          <w:lang w:eastAsia="en-US"/>
        </w:rPr>
      </w:pPr>
      <w:r w:rsidRPr="002F173F">
        <w:rPr>
          <w:rFonts w:cs="Arial"/>
          <w:szCs w:val="24"/>
          <w:lang w:eastAsia="en-US"/>
        </w:rPr>
        <w:t xml:space="preserve">The psychiatric unit or psychiatric ward is specifically designed to </w:t>
      </w:r>
      <w:r w:rsidRPr="0081519F">
        <w:rPr>
          <w:rFonts w:cs="Arial"/>
          <w:szCs w:val="24"/>
          <w:lang w:eastAsia="en-US"/>
        </w:rPr>
        <w:t>prevent any un</w:t>
      </w:r>
      <w:r w:rsidRPr="008A105C">
        <w:rPr>
          <w:rFonts w:cs="Arial"/>
          <w:szCs w:val="24"/>
          <w:lang w:eastAsia="en-US"/>
        </w:rPr>
        <w:t>authorised ingress or egress</w:t>
      </w:r>
    </w:p>
    <w:p w:rsidR="00A23139" w:rsidRDefault="00A23139" w:rsidP="00F6102D">
      <w:pPr>
        <w:pStyle w:val="ListParagraph"/>
        <w:numPr>
          <w:ilvl w:val="0"/>
          <w:numId w:val="40"/>
        </w:numPr>
        <w:rPr>
          <w:rFonts w:cs="Arial"/>
          <w:szCs w:val="24"/>
          <w:lang w:eastAsia="en-US"/>
        </w:rPr>
      </w:pPr>
      <w:r w:rsidRPr="002F173F">
        <w:rPr>
          <w:rFonts w:cs="Arial"/>
          <w:szCs w:val="24"/>
          <w:lang w:eastAsia="en-US"/>
        </w:rPr>
        <w:t xml:space="preserve">Observation protocols are applied within the psychiatric unit or psychiatric ward. </w:t>
      </w:r>
    </w:p>
    <w:p w:rsidR="00C12CA0" w:rsidRDefault="00C12CA0" w:rsidP="00F6102D">
      <w:pPr>
        <w:pStyle w:val="ListParagraph"/>
        <w:ind w:left="360"/>
        <w:rPr>
          <w:rFonts w:cs="Arial"/>
          <w:szCs w:val="24"/>
          <w:lang w:eastAsia="en-US"/>
        </w:rPr>
      </w:pPr>
    </w:p>
    <w:p w:rsidR="00C12CA0" w:rsidRPr="002F173F" w:rsidRDefault="00C12CA0" w:rsidP="00F6102D">
      <w:pPr>
        <w:pStyle w:val="ListParagraph"/>
        <w:ind w:left="360"/>
        <w:rPr>
          <w:rFonts w:cs="Arial"/>
          <w:szCs w:val="24"/>
          <w:lang w:eastAsia="en-US"/>
        </w:rPr>
      </w:pPr>
    </w:p>
    <w:p w:rsidR="00B53E6B" w:rsidRDefault="001E23CF" w:rsidP="00B53E6B">
      <w:pPr>
        <w:contextualSpacing/>
        <w:rPr>
          <w:rFonts w:cs="Arial"/>
          <w:b/>
          <w:szCs w:val="24"/>
          <w:lang w:eastAsia="en-US"/>
        </w:rPr>
      </w:pPr>
      <w:r>
        <w:rPr>
          <w:rFonts w:cs="Arial"/>
          <w:b/>
          <w:szCs w:val="24"/>
          <w:lang w:eastAsia="en-US"/>
        </w:rPr>
        <w:t>Examples of n</w:t>
      </w:r>
      <w:r w:rsidR="00B53E6B">
        <w:rPr>
          <w:rFonts w:cs="Arial"/>
          <w:b/>
          <w:szCs w:val="24"/>
          <w:lang w:eastAsia="en-US"/>
        </w:rPr>
        <w:t xml:space="preserve">ational </w:t>
      </w:r>
      <w:r w:rsidR="005C6D47">
        <w:rPr>
          <w:rFonts w:cs="Arial"/>
          <w:b/>
          <w:szCs w:val="24"/>
          <w:lang w:eastAsia="en-US"/>
        </w:rPr>
        <w:t>preventive</w:t>
      </w:r>
      <w:r w:rsidR="00B53E6B">
        <w:rPr>
          <w:rFonts w:cs="Arial"/>
          <w:b/>
          <w:szCs w:val="24"/>
          <w:lang w:eastAsia="en-US"/>
        </w:rPr>
        <w:t xml:space="preserve"> barriers</w:t>
      </w:r>
    </w:p>
    <w:p w:rsidR="00CD3E22" w:rsidRDefault="00CD3E22" w:rsidP="00E11507">
      <w:pPr>
        <w:spacing w:before="120" w:after="60"/>
        <w:rPr>
          <w:rFonts w:cs="Arial"/>
        </w:rPr>
      </w:pPr>
    </w:p>
    <w:p w:rsidR="00D57C6B" w:rsidRPr="00AD6B91" w:rsidRDefault="006D192B" w:rsidP="00D57C6B">
      <w:pPr>
        <w:pStyle w:val="ListParagraph"/>
        <w:numPr>
          <w:ilvl w:val="0"/>
          <w:numId w:val="16"/>
        </w:numPr>
        <w:spacing w:before="120" w:after="60"/>
        <w:ind w:left="284" w:hanging="284"/>
        <w:rPr>
          <w:rFonts w:cs="Arial"/>
        </w:rPr>
      </w:pPr>
      <w:r w:rsidRPr="00D57C6B">
        <w:rPr>
          <w:rFonts w:cs="Arial"/>
        </w:rPr>
        <w:t>NSQHS Standard</w:t>
      </w:r>
      <w:r w:rsidR="00CD3E22" w:rsidRPr="00D57C6B">
        <w:rPr>
          <w:rFonts w:cs="Arial"/>
        </w:rPr>
        <w:t>s</w:t>
      </w:r>
      <w:hyperlink w:anchor="_ENREF_6" w:tooltip="Australian Commission on Safety and Quality in Health Care, 2017 #4" w:history="1">
        <w:r w:rsidR="00927D75">
          <w:rPr>
            <w:rFonts w:cs="Arial"/>
            <w:vertAlign w:val="superscript"/>
          </w:rPr>
          <w:t>4</w:t>
        </w:r>
      </w:hyperlink>
      <w:r w:rsidRPr="00D57C6B">
        <w:rPr>
          <w:rFonts w:cs="Arial"/>
          <w:vertAlign w:val="superscript"/>
        </w:rPr>
        <w:t xml:space="preserve"> </w:t>
      </w:r>
      <w:r w:rsidR="008B11C7" w:rsidRPr="00D57C6B">
        <w:rPr>
          <w:rFonts w:cs="Arial"/>
        </w:rPr>
        <w:t xml:space="preserve"> Comprehensive Care Standard</w:t>
      </w:r>
      <w:r w:rsidR="008030AD" w:rsidRPr="00D57C6B">
        <w:rPr>
          <w:rFonts w:cs="Arial"/>
        </w:rPr>
        <w:t>,</w:t>
      </w:r>
      <w:r w:rsidR="00CD3E22" w:rsidRPr="00D57C6B">
        <w:rPr>
          <w:rFonts w:cs="Arial"/>
        </w:rPr>
        <w:t xml:space="preserve"> </w:t>
      </w:r>
      <w:r w:rsidR="00CD3E22" w:rsidRPr="00BD2F97">
        <w:rPr>
          <w:rFonts w:cs="Arial"/>
        </w:rPr>
        <w:t>minimising patient harm:</w:t>
      </w:r>
      <w:r w:rsidR="008B11C7" w:rsidRPr="00BD2F97">
        <w:rPr>
          <w:rFonts w:cs="Arial"/>
        </w:rPr>
        <w:t xml:space="preserve"> </w:t>
      </w:r>
      <w:r w:rsidR="00CD3E22" w:rsidRPr="00BD2F97">
        <w:rPr>
          <w:rFonts w:cs="Arial"/>
        </w:rPr>
        <w:t>A</w:t>
      </w:r>
      <w:r w:rsidR="008B11C7" w:rsidRPr="00BD2F97">
        <w:rPr>
          <w:rFonts w:cs="Arial"/>
        </w:rPr>
        <w:t>ction 5.31 Predicting, preventing and managing self-harm and suicide</w:t>
      </w:r>
      <w:r w:rsidR="008B11C7" w:rsidRPr="00D57C6B">
        <w:rPr>
          <w:rFonts w:cs="Arial"/>
        </w:rPr>
        <w:t xml:space="preserve"> </w:t>
      </w:r>
      <w:hyperlink r:id="rId20" w:history="1">
        <w:r w:rsidR="00D57C6B" w:rsidRPr="009B104B">
          <w:rPr>
            <w:rStyle w:val="Hyperlink"/>
            <w:rFonts w:cs="Arial"/>
          </w:rPr>
          <w:t>https://www.safetyandquality.gov.au/wp-content/uploads/2017/11/National-Safety-and-Quality-Health-Service-Standards-second-edition.pdf</w:t>
        </w:r>
      </w:hyperlink>
      <w:r w:rsidR="00CD3E22" w:rsidRPr="00CD3E22">
        <w:t xml:space="preserve"> </w:t>
      </w:r>
    </w:p>
    <w:p w:rsidR="00AD6B91" w:rsidRPr="00D57C6B" w:rsidRDefault="00AD6B91" w:rsidP="00AD6B91">
      <w:pPr>
        <w:pStyle w:val="ListParagraph"/>
        <w:spacing w:before="120" w:after="60"/>
        <w:ind w:left="284"/>
        <w:rPr>
          <w:rFonts w:cs="Arial"/>
        </w:rPr>
      </w:pPr>
    </w:p>
    <w:p w:rsidR="001B4DFF" w:rsidRDefault="001B4DFF" w:rsidP="00AD6B91">
      <w:pPr>
        <w:pStyle w:val="ListParagraph"/>
        <w:numPr>
          <w:ilvl w:val="0"/>
          <w:numId w:val="17"/>
        </w:numPr>
        <w:spacing w:after="0"/>
        <w:ind w:left="318" w:hanging="318"/>
        <w:contextualSpacing w:val="0"/>
        <w:rPr>
          <w:rFonts w:cs="Arial"/>
        </w:rPr>
      </w:pPr>
      <w:r>
        <w:rPr>
          <w:rFonts w:cs="Arial"/>
        </w:rPr>
        <w:t>Australasian Health Facility Guidelines: Part B – Health Facility Briefing and Planning, 0134 – Adult Acute Mental Health Inpatient Unit (revision 6.0)</w:t>
      </w:r>
      <w:r w:rsidR="00927D75" w:rsidRPr="00927D75">
        <w:rPr>
          <w:vertAlign w:val="superscript"/>
        </w:rPr>
        <w:t>10</w:t>
      </w:r>
      <w:r w:rsidRPr="00927D75">
        <w:rPr>
          <w:rFonts w:cs="Arial"/>
          <w:vertAlign w:val="superscript"/>
        </w:rPr>
        <w:t xml:space="preserve"> </w:t>
      </w:r>
    </w:p>
    <w:p w:rsidR="001B4DFF" w:rsidRPr="00D57C6B" w:rsidRDefault="00C605BD" w:rsidP="00AD6B91">
      <w:pPr>
        <w:pStyle w:val="ListParagraph"/>
        <w:spacing w:after="120"/>
        <w:ind w:left="318"/>
        <w:contextualSpacing w:val="0"/>
        <w:rPr>
          <w:rFonts w:cs="Arial"/>
        </w:rPr>
      </w:pPr>
      <w:hyperlink r:id="rId21" w:history="1">
        <w:r w:rsidR="001B4DFF" w:rsidRPr="00D57C6B">
          <w:rPr>
            <w:rStyle w:val="Hyperlink"/>
            <w:rFonts w:cs="Arial"/>
          </w:rPr>
          <w:t>https://healthfacilityguidelines.com.au/hpu/adult-acute-mental-health-inpatient-unit-0</w:t>
        </w:r>
      </w:hyperlink>
    </w:p>
    <w:p w:rsidR="00B53E6B" w:rsidRDefault="00B53E6B" w:rsidP="00AD6B91">
      <w:pPr>
        <w:pStyle w:val="ListParagraph"/>
        <w:numPr>
          <w:ilvl w:val="0"/>
          <w:numId w:val="17"/>
        </w:numPr>
        <w:spacing w:after="0"/>
        <w:ind w:left="317" w:hanging="317"/>
        <w:contextualSpacing w:val="0"/>
        <w:rPr>
          <w:rFonts w:cs="Arial"/>
        </w:rPr>
      </w:pPr>
      <w:r w:rsidRPr="00A10546">
        <w:rPr>
          <w:rFonts w:cs="Arial"/>
        </w:rPr>
        <w:lastRenderedPageBreak/>
        <w:t>Living is for Everyone (LIFE) Framework</w:t>
      </w:r>
      <w:hyperlink w:anchor="_ENREF_13" w:tooltip="Australian Government Department of Health and Ageing, 2008 #13" w:history="1">
        <w:r w:rsidR="004644CB" w:rsidRPr="00927D75">
          <w:rPr>
            <w:rFonts w:cs="Arial"/>
            <w:vertAlign w:val="superscript"/>
          </w:rPr>
          <w:fldChar w:fldCharType="begin"/>
        </w:r>
        <w:r w:rsidR="004644CB" w:rsidRPr="00927D75">
          <w:rPr>
            <w:rFonts w:cs="Arial"/>
            <w:vertAlign w:val="superscript"/>
          </w:rPr>
          <w:instrText xml:space="preserve"> ADDIN EN.CITE &lt;EndNote&gt;&lt;Cite&gt;&lt;Author&gt;Australian Government Department of Health and Ageing&lt;/Author&gt;&lt;Year&gt;2008&lt;/Year&gt;&lt;RecNum&gt;13&lt;/RecNum&gt;&lt;DisplayText&gt;&lt;style face="superscript"&gt;13&lt;/style&gt;&lt;/DisplayText&gt;&lt;record&gt;&lt;rec-number&gt;13&lt;/rec-number&gt;&lt;foreign-keys&gt;&lt;key app="EN" db-id="0zaapr5rxrpdrrepezbv00a69s0etwz0v0te"&gt;13&lt;/key&gt;&lt;/foreign-keys&gt;&lt;ref-type name="Electronic Article"&gt;43&lt;/ref-type&gt;&lt;contributors&gt;&lt;authors&gt;&lt;author&gt;Australian Government Department of Health and Ageing,&lt;/author&gt;&lt;/authors&gt;&lt;/contributors&gt;&lt;titles&gt;&lt;title&gt;A framework for prevention of suicide in Australia&lt;/title&gt;&lt;/titles&gt;&lt;dates&gt;&lt;year&gt;2008&lt;/year&gt;&lt;/dates&gt;&lt;pub-location&gt;Canberra&lt;/pub-location&gt;&lt;publisher&gt;Commonwealth of Australia&lt;/publisher&gt;&lt;urls&gt;&lt;related-urls&gt;&lt;url&gt;https://www.lifeinmindaustralia.com.au/docs/LIFE-framework-web.pdf&lt;/url&gt;&lt;/related-urls&gt;&lt;/urls&gt;&lt;/record&gt;&lt;/Cite&gt;&lt;/EndNote&gt;</w:instrText>
        </w:r>
        <w:r w:rsidR="004644CB" w:rsidRPr="00927D75">
          <w:rPr>
            <w:rFonts w:cs="Arial"/>
            <w:vertAlign w:val="superscript"/>
          </w:rPr>
          <w:fldChar w:fldCharType="separate"/>
        </w:r>
        <w:r w:rsidR="004644CB" w:rsidRPr="00927D75">
          <w:rPr>
            <w:rFonts w:cs="Arial"/>
            <w:noProof/>
            <w:vertAlign w:val="superscript"/>
          </w:rPr>
          <w:t>1</w:t>
        </w:r>
        <w:r w:rsidR="004644CB" w:rsidRPr="00927D75">
          <w:rPr>
            <w:rFonts w:cs="Arial"/>
            <w:vertAlign w:val="superscript"/>
          </w:rPr>
          <w:fldChar w:fldCharType="end"/>
        </w:r>
      </w:hyperlink>
      <w:r w:rsidR="00927D75" w:rsidRPr="00927D75">
        <w:rPr>
          <w:rFonts w:cs="Arial"/>
          <w:vertAlign w:val="superscript"/>
        </w:rPr>
        <w:t>1</w:t>
      </w:r>
      <w:r w:rsidRPr="00927D75">
        <w:rPr>
          <w:rFonts w:cs="Arial"/>
          <w:vertAlign w:val="superscript"/>
        </w:rPr>
        <w:t xml:space="preserve"> </w:t>
      </w:r>
      <w:r w:rsidRPr="00A10546">
        <w:rPr>
          <w:rFonts w:cs="Arial"/>
        </w:rPr>
        <w:t xml:space="preserve">sets an overarching strategic policy framework for suicide prevention in Australia including a focus on managing risk within health services and shortly after discharge (Outcome 5.4) </w:t>
      </w:r>
    </w:p>
    <w:p w:rsidR="006D192B" w:rsidRDefault="00C605BD" w:rsidP="00AD6B91">
      <w:pPr>
        <w:spacing w:after="0"/>
        <w:ind w:left="318"/>
        <w:rPr>
          <w:rStyle w:val="Hyperlink"/>
        </w:rPr>
      </w:pPr>
      <w:hyperlink r:id="rId22" w:history="1">
        <w:r w:rsidR="006D192B" w:rsidRPr="00AD6B91">
          <w:rPr>
            <w:rStyle w:val="Hyperlink"/>
          </w:rPr>
          <w:t>https://www.lifeinmindaustralia.com.au/</w:t>
        </w:r>
      </w:hyperlink>
    </w:p>
    <w:p w:rsidR="00AD6B91" w:rsidRPr="00AD6B91" w:rsidRDefault="00AD6B91" w:rsidP="00AD6B91">
      <w:pPr>
        <w:spacing w:after="0"/>
        <w:ind w:left="318"/>
        <w:rPr>
          <w:rFonts w:cs="Arial"/>
        </w:rPr>
      </w:pPr>
    </w:p>
    <w:p w:rsidR="00B53E6B" w:rsidRPr="00A10546" w:rsidRDefault="00B53E6B" w:rsidP="00AD6B91">
      <w:pPr>
        <w:pStyle w:val="ListParagraph"/>
        <w:numPr>
          <w:ilvl w:val="0"/>
          <w:numId w:val="17"/>
        </w:numPr>
        <w:spacing w:after="0"/>
        <w:ind w:left="318" w:hanging="284"/>
        <w:contextualSpacing w:val="0"/>
        <w:rPr>
          <w:rFonts w:cs="Arial"/>
        </w:rPr>
      </w:pPr>
      <w:r w:rsidRPr="00A10546">
        <w:rPr>
          <w:rFonts w:cs="Arial"/>
        </w:rPr>
        <w:t xml:space="preserve">National Standards for Mental Health Services </w:t>
      </w:r>
      <w:r w:rsidR="00026E80">
        <w:rPr>
          <w:rFonts w:cs="Arial"/>
        </w:rPr>
        <w:t>(</w:t>
      </w:r>
      <w:r w:rsidRPr="00A10546">
        <w:rPr>
          <w:rFonts w:cs="Arial"/>
        </w:rPr>
        <w:t>2010</w:t>
      </w:r>
      <w:r w:rsidR="00026E80">
        <w:rPr>
          <w:rFonts w:cs="Arial"/>
        </w:rPr>
        <w:t>)</w:t>
      </w:r>
      <w:hyperlink w:anchor="_ENREF_14" w:tooltip="Australian Government Department of Health and Ageing, 2010 #15" w:history="1">
        <w:r w:rsidR="004644CB" w:rsidRPr="00927D75">
          <w:rPr>
            <w:rFonts w:cs="Arial"/>
            <w:vertAlign w:val="superscript"/>
          </w:rPr>
          <w:fldChar w:fldCharType="begin"/>
        </w:r>
        <w:r w:rsidR="004644CB" w:rsidRPr="00927D75">
          <w:rPr>
            <w:rFonts w:cs="Arial"/>
            <w:vertAlign w:val="superscript"/>
          </w:rPr>
          <w:instrText xml:space="preserve"> ADDIN EN.CITE &lt;EndNote&gt;&lt;Cite&gt;&lt;Author&gt;Ageing&lt;/Author&gt;&lt;Year&gt;2010&lt;/Year&gt;&lt;RecNum&gt;15&lt;/RecNum&gt;&lt;DisplayText&gt;&lt;style face="superscript"&gt;14&lt;/style&gt;&lt;/DisplayText&gt;&lt;record&gt;&lt;rec-number&gt;15&lt;/rec-number&gt;&lt;foreign-keys&gt;&lt;key app="EN" db-id="0zaapr5rxrpdrrepezbv00a69s0etwz0v0te"&gt;15&lt;/key&gt;&lt;/foreign-keys&gt;&lt;ref-type name="Electronic Book"&gt;44&lt;/ref-type&gt;&lt;contributors&gt;&lt;authors&gt;&lt;author&gt;Australian Government Department of Health and Ageing,&lt;/author&gt;&lt;/authors&gt;&lt;/contributors&gt;&lt;titles&gt;&lt;title&gt;National Standards for Mental Health Services, Standard 2: Safety. Implementation guidelines for public mental health services and private hospitals&lt;/title&gt;&lt;/titles&gt;&lt;dates&gt;&lt;year&gt;2010&lt;/year&gt;&lt;/dates&gt;&lt;pub-location&gt;Canberra&lt;/pub-location&gt;&lt;publisher&gt;Commonwealth of Australia&lt;/publisher&gt;&lt;urls&gt;&lt;related-urls&gt;&lt;url&gt;http://www.health.gov.au/internet/main/publishing.nsf/Content/A26C43ABB710D134CA257BF000212022/$File/pub2.pdf&lt;/url&gt;&lt;/related-urls&gt;&lt;/urls&gt;&lt;/record&gt;&lt;/Cite&gt;&lt;/EndNote&gt;</w:instrText>
        </w:r>
        <w:r w:rsidR="004644CB" w:rsidRPr="00927D75">
          <w:rPr>
            <w:rFonts w:cs="Arial"/>
            <w:vertAlign w:val="superscript"/>
          </w:rPr>
          <w:fldChar w:fldCharType="separate"/>
        </w:r>
        <w:r w:rsidR="004644CB" w:rsidRPr="00927D75">
          <w:rPr>
            <w:rFonts w:cs="Arial"/>
            <w:noProof/>
            <w:vertAlign w:val="superscript"/>
          </w:rPr>
          <w:t>1</w:t>
        </w:r>
        <w:r w:rsidR="004644CB" w:rsidRPr="00927D75">
          <w:rPr>
            <w:rFonts w:cs="Arial"/>
            <w:vertAlign w:val="superscript"/>
          </w:rPr>
          <w:fldChar w:fldCharType="end"/>
        </w:r>
      </w:hyperlink>
      <w:r w:rsidR="00927D75" w:rsidRPr="00927D75">
        <w:rPr>
          <w:rFonts w:cs="Arial"/>
          <w:vertAlign w:val="superscript"/>
        </w:rPr>
        <w:t>2</w:t>
      </w:r>
      <w:r w:rsidRPr="00A10546">
        <w:rPr>
          <w:rFonts w:cs="Arial"/>
        </w:rPr>
        <w:t xml:space="preserve"> Standard 2</w:t>
      </w:r>
      <w:r w:rsidR="00026E80">
        <w:rPr>
          <w:rFonts w:cs="Arial"/>
        </w:rPr>
        <w:t xml:space="preserve">: </w:t>
      </w:r>
      <w:r w:rsidRPr="00A10546">
        <w:rPr>
          <w:rFonts w:cs="Arial"/>
        </w:rPr>
        <w:t>Safety</w:t>
      </w:r>
      <w:r w:rsidR="00026E80">
        <w:rPr>
          <w:rFonts w:cs="Arial"/>
        </w:rPr>
        <w:t xml:space="preserve">. This </w:t>
      </w:r>
      <w:r w:rsidRPr="00A10546">
        <w:rPr>
          <w:rFonts w:cs="Arial"/>
        </w:rPr>
        <w:t xml:space="preserve"> incorporates requirements and guidance for assessing and managing risk of self-harm and suicide, including follow-up, assessment, environmental reviews and staff training </w:t>
      </w:r>
    </w:p>
    <w:p w:rsidR="00B53E6B" w:rsidRDefault="00C605BD" w:rsidP="00AD6B91">
      <w:pPr>
        <w:spacing w:after="60"/>
        <w:ind w:left="318"/>
        <w:rPr>
          <w:rFonts w:cs="Arial"/>
        </w:rPr>
      </w:pPr>
      <w:hyperlink r:id="rId23" w:history="1">
        <w:r w:rsidR="00B53E6B" w:rsidRPr="00AD6B91">
          <w:rPr>
            <w:rStyle w:val="Hyperlink"/>
            <w:rFonts w:eastAsiaTheme="majorEastAsia" w:cs="Arial"/>
          </w:rPr>
          <w:t>http://www.health.gov.au/internet/main/publishing.nsf/Content/A26C43ABB710D134CA257BF000212022/$File/pub2.pdf</w:t>
        </w:r>
      </w:hyperlink>
      <w:r w:rsidR="00B53E6B" w:rsidRPr="00AD6B91">
        <w:rPr>
          <w:rFonts w:cs="Arial"/>
        </w:rPr>
        <w:t xml:space="preserve"> </w:t>
      </w:r>
    </w:p>
    <w:p w:rsidR="00AD6B91" w:rsidRPr="00AD6B91" w:rsidRDefault="00AD6B91" w:rsidP="00AD6B91">
      <w:pPr>
        <w:spacing w:after="60"/>
        <w:ind w:left="318"/>
        <w:rPr>
          <w:rFonts w:cs="Arial"/>
        </w:rPr>
      </w:pPr>
    </w:p>
    <w:p w:rsidR="00B53E6B" w:rsidRPr="00AD6B91" w:rsidRDefault="00B53E6B" w:rsidP="00AD6B91">
      <w:pPr>
        <w:pStyle w:val="ListParagraph"/>
        <w:numPr>
          <w:ilvl w:val="0"/>
          <w:numId w:val="17"/>
        </w:numPr>
        <w:spacing w:after="0"/>
        <w:ind w:left="318" w:hanging="317"/>
        <w:contextualSpacing w:val="0"/>
        <w:rPr>
          <w:rFonts w:cs="Arial"/>
        </w:rPr>
      </w:pPr>
      <w:r w:rsidRPr="00AD6B91">
        <w:rPr>
          <w:rFonts w:cs="Arial"/>
        </w:rPr>
        <w:t xml:space="preserve">National Practice Standards for the Mental Health Workforce </w:t>
      </w:r>
      <w:r w:rsidR="00026E80" w:rsidRPr="00AD6B91">
        <w:rPr>
          <w:rFonts w:cs="Arial"/>
        </w:rPr>
        <w:t>(</w:t>
      </w:r>
      <w:r w:rsidRPr="00AD6B91">
        <w:rPr>
          <w:rFonts w:cs="Arial"/>
        </w:rPr>
        <w:t>2013</w:t>
      </w:r>
      <w:r w:rsidR="00026E80" w:rsidRPr="00AD6B91">
        <w:rPr>
          <w:rFonts w:cs="Arial"/>
        </w:rPr>
        <w:t>)</w:t>
      </w:r>
      <w:r w:rsidR="00927D75" w:rsidRPr="00927D75">
        <w:rPr>
          <w:rFonts w:cs="Arial"/>
          <w:vertAlign w:val="superscript"/>
        </w:rPr>
        <w:t>1</w:t>
      </w:r>
      <w:hyperlink w:anchor="_ENREF_15" w:tooltip="Safety and Quality Partnership Standing Committee, 2013 #14" w:history="1">
        <w:r w:rsidR="00927D75" w:rsidRPr="00927D75">
          <w:rPr>
            <w:rFonts w:cs="Arial"/>
            <w:vertAlign w:val="superscript"/>
          </w:rPr>
          <w:t>3</w:t>
        </w:r>
      </w:hyperlink>
      <w:r w:rsidRPr="00AD6B91">
        <w:rPr>
          <w:rFonts w:cs="Arial"/>
        </w:rPr>
        <w:t xml:space="preserve"> reflects the above standards with reference to appropriate assessment of mental state and risks</w:t>
      </w:r>
    </w:p>
    <w:p w:rsidR="00B53E6B" w:rsidRPr="00AD6B91" w:rsidRDefault="00C605BD" w:rsidP="00AD6B91">
      <w:pPr>
        <w:spacing w:after="0"/>
        <w:ind w:left="318"/>
        <w:rPr>
          <w:rFonts w:cs="Arial"/>
        </w:rPr>
      </w:pPr>
      <w:hyperlink r:id="rId24" w:history="1">
        <w:r w:rsidR="00B53E6B" w:rsidRPr="00AD6B91">
          <w:rPr>
            <w:rStyle w:val="Hyperlink"/>
            <w:rFonts w:eastAsiaTheme="majorEastAsia" w:cs="Arial"/>
          </w:rPr>
          <w:t>http://www.health.gov.au/internet/main/publishing.nsf/content/5D7909E82304E6D2CA257C430004E877/$File/wkstd13.pdf</w:t>
        </w:r>
      </w:hyperlink>
      <w:r w:rsidR="00B53E6B" w:rsidRPr="00AD6B91">
        <w:rPr>
          <w:rFonts w:cs="Arial"/>
        </w:rPr>
        <w:t xml:space="preserve"> </w:t>
      </w:r>
    </w:p>
    <w:p w:rsidR="00AD6B91" w:rsidRPr="009164A8" w:rsidRDefault="00AD6B91" w:rsidP="00B53E6B">
      <w:pPr>
        <w:spacing w:before="60" w:after="60"/>
        <w:ind w:left="317"/>
        <w:rPr>
          <w:rFonts w:cs="Arial"/>
          <w:sz w:val="16"/>
          <w:szCs w:val="16"/>
        </w:rPr>
      </w:pPr>
    </w:p>
    <w:p w:rsidR="00B53E6B" w:rsidRPr="00AD6B91" w:rsidRDefault="00B53E6B" w:rsidP="00AD6B91">
      <w:pPr>
        <w:pStyle w:val="ListParagraph"/>
        <w:numPr>
          <w:ilvl w:val="0"/>
          <w:numId w:val="17"/>
        </w:numPr>
        <w:spacing w:after="0"/>
        <w:ind w:left="318" w:hanging="317"/>
        <w:contextualSpacing w:val="0"/>
        <w:rPr>
          <w:rFonts w:cs="Arial"/>
        </w:rPr>
      </w:pPr>
      <w:r w:rsidRPr="00AD6B91">
        <w:rPr>
          <w:rFonts w:cs="Arial"/>
        </w:rPr>
        <w:t xml:space="preserve">Department of Health. Reducing suicide and deliberate self-harm in mental health services </w:t>
      </w:r>
      <w:r w:rsidR="000C49DB" w:rsidRPr="00AD6B91">
        <w:rPr>
          <w:rFonts w:cs="Arial"/>
        </w:rPr>
        <w:t>(</w:t>
      </w:r>
      <w:r w:rsidRPr="00AD6B91">
        <w:rPr>
          <w:rFonts w:cs="Arial"/>
        </w:rPr>
        <w:t>2005</w:t>
      </w:r>
      <w:r w:rsidR="000C49DB" w:rsidRPr="00AD6B91">
        <w:rPr>
          <w:rFonts w:cs="Arial"/>
        </w:rPr>
        <w:t>)</w:t>
      </w:r>
      <w:r w:rsidR="00927D75" w:rsidRPr="00927D75">
        <w:rPr>
          <w:rFonts w:cs="Arial"/>
          <w:vertAlign w:val="superscript"/>
        </w:rPr>
        <w:t>14</w:t>
      </w:r>
      <w:r w:rsidRPr="00927D75">
        <w:rPr>
          <w:rFonts w:cs="Arial"/>
          <w:vertAlign w:val="superscript"/>
        </w:rPr>
        <w:t xml:space="preserve"> </w:t>
      </w:r>
    </w:p>
    <w:p w:rsidR="00E564FB" w:rsidRPr="00AD6B91" w:rsidRDefault="00C605BD" w:rsidP="00AD6B91">
      <w:pPr>
        <w:pStyle w:val="ListParagraph"/>
        <w:spacing w:after="0"/>
        <w:ind w:left="318"/>
        <w:contextualSpacing w:val="0"/>
        <w:rPr>
          <w:rFonts w:eastAsiaTheme="majorEastAsia" w:cs="Arial"/>
          <w:color w:val="0000FF" w:themeColor="hyperlink"/>
          <w:u w:val="single"/>
        </w:rPr>
      </w:pPr>
      <w:hyperlink r:id="rId25" w:history="1">
        <w:r w:rsidR="00B53E6B" w:rsidRPr="00AD6B91">
          <w:rPr>
            <w:rStyle w:val="Hyperlink"/>
            <w:rFonts w:eastAsiaTheme="majorEastAsia" w:cs="Arial"/>
          </w:rPr>
          <w:t>http://www.health.gov.au/internet/publications/publishing.nsf/Content/mental-pubs-n-safety-toc~mental-pubs-n-safety-3~mental-pubs-n-safety-3-sui</w:t>
        </w:r>
      </w:hyperlink>
    </w:p>
    <w:p w:rsidR="00C648C3" w:rsidRDefault="00C648C3">
      <w:pPr>
        <w:spacing w:after="80"/>
        <w:rPr>
          <w:rFonts w:cs="Arial"/>
          <w:b/>
          <w:iCs/>
          <w:color w:val="1178A2"/>
          <w:kern w:val="28"/>
          <w:sz w:val="32"/>
          <w:szCs w:val="28"/>
        </w:rPr>
      </w:pPr>
      <w:r>
        <w:br w:type="page"/>
      </w:r>
    </w:p>
    <w:p w:rsidR="000C0121" w:rsidRDefault="000C0121" w:rsidP="006965B2">
      <w:pPr>
        <w:pStyle w:val="Heading2"/>
        <w:numPr>
          <w:ilvl w:val="0"/>
          <w:numId w:val="36"/>
        </w:numPr>
        <w:pBdr>
          <w:bottom w:val="single" w:sz="12" w:space="9" w:color="auto"/>
        </w:pBdr>
      </w:pPr>
      <w:bookmarkStart w:id="20" w:name="_Toc1338086"/>
      <w:r w:rsidRPr="00CD1164">
        <w:lastRenderedPageBreak/>
        <w:t>Medication error resulting in serious harm or death</w:t>
      </w:r>
      <w:bookmarkEnd w:id="20"/>
    </w:p>
    <w:tbl>
      <w:tblPr>
        <w:tblStyle w:val="TableGrid"/>
        <w:tblW w:w="9144" w:type="dxa"/>
        <w:tblLook w:val="04A0" w:firstRow="1" w:lastRow="0" w:firstColumn="1" w:lastColumn="0" w:noHBand="0" w:noVBand="1"/>
      </w:tblPr>
      <w:tblGrid>
        <w:gridCol w:w="9144"/>
      </w:tblGrid>
      <w:tr w:rsidR="00A44546" w:rsidTr="00E40EB0">
        <w:trPr>
          <w:cnfStyle w:val="100000000000" w:firstRow="1" w:lastRow="0" w:firstColumn="0" w:lastColumn="0" w:oddVBand="0" w:evenVBand="0" w:oddHBand="0" w:evenHBand="0" w:firstRowFirstColumn="0" w:firstRowLastColumn="0" w:lastRowFirstColumn="0" w:lastRowLastColumn="0"/>
          <w:trHeight w:hRule="exact" w:val="355"/>
        </w:trPr>
        <w:tc>
          <w:tcPr>
            <w:tcW w:w="9144" w:type="dxa"/>
            <w:tcBorders>
              <w:top w:val="nil"/>
              <w:left w:val="nil"/>
              <w:bottom w:val="nil"/>
              <w:right w:val="nil"/>
            </w:tcBorders>
            <w:shd w:val="clear" w:color="auto" w:fill="EEECE1" w:themeFill="background2"/>
          </w:tcPr>
          <w:p w:rsidR="00A44546" w:rsidRPr="00A44546" w:rsidRDefault="00A44546" w:rsidP="00A44546">
            <w:pPr>
              <w:jc w:val="left"/>
            </w:pPr>
            <w:r w:rsidRPr="00A44546">
              <w:rPr>
                <w:sz w:val="22"/>
              </w:rPr>
              <w:t xml:space="preserve">Category: </w:t>
            </w:r>
            <w:r>
              <w:rPr>
                <w:sz w:val="22"/>
              </w:rPr>
              <w:t>medication</w:t>
            </w:r>
          </w:p>
        </w:tc>
      </w:tr>
    </w:tbl>
    <w:p w:rsidR="00942474" w:rsidRDefault="00942474" w:rsidP="000C0121">
      <w:pPr>
        <w:rPr>
          <w:b/>
        </w:rPr>
      </w:pPr>
    </w:p>
    <w:p w:rsidR="000C0121" w:rsidRPr="00266A4E" w:rsidRDefault="00A77607" w:rsidP="000C0121">
      <w:pPr>
        <w:rPr>
          <w:b/>
        </w:rPr>
      </w:pPr>
      <w:r>
        <w:rPr>
          <w:rFonts w:eastAsia="Calibri" w:cs="Arial"/>
          <w:b/>
          <w:szCs w:val="18"/>
        </w:rPr>
        <w:t>Sentinel events</w:t>
      </w:r>
    </w:p>
    <w:p w:rsidR="000C0121" w:rsidRDefault="000C0121" w:rsidP="00F6102D">
      <w:pPr>
        <w:rPr>
          <w:lang w:eastAsia="en-US"/>
        </w:rPr>
      </w:pPr>
      <w:r w:rsidRPr="000C0121">
        <w:rPr>
          <w:lang w:eastAsia="en-US"/>
        </w:rPr>
        <w:t xml:space="preserve">Medication error </w:t>
      </w:r>
      <w:r w:rsidR="00CD1164">
        <w:rPr>
          <w:lang w:eastAsia="en-US"/>
        </w:rPr>
        <w:t>resulting in serious harm or death</w:t>
      </w:r>
    </w:p>
    <w:p w:rsidR="000C0121" w:rsidRDefault="00942474" w:rsidP="000C0121">
      <w:pPr>
        <w:contextualSpacing/>
        <w:rPr>
          <w:rFonts w:cs="Arial"/>
          <w:b/>
          <w:szCs w:val="24"/>
          <w:lang w:eastAsia="en-US"/>
        </w:rPr>
      </w:pPr>
      <w:r>
        <w:rPr>
          <w:rFonts w:cs="Arial"/>
          <w:b/>
          <w:szCs w:val="24"/>
          <w:lang w:eastAsia="en-US"/>
        </w:rPr>
        <w:t>I</w:t>
      </w:r>
      <w:r w:rsidR="000C0121">
        <w:rPr>
          <w:rFonts w:cs="Arial"/>
          <w:b/>
          <w:szCs w:val="24"/>
          <w:lang w:eastAsia="en-US"/>
        </w:rPr>
        <w:t>nclusions/exclusions</w:t>
      </w:r>
    </w:p>
    <w:p w:rsidR="000C0121" w:rsidRDefault="000C0121" w:rsidP="000C0121">
      <w:pPr>
        <w:contextualSpacing/>
        <w:rPr>
          <w:rFonts w:cs="Arial"/>
          <w:b/>
          <w:szCs w:val="24"/>
          <w:lang w:eastAsia="en-US"/>
        </w:rPr>
      </w:pPr>
    </w:p>
    <w:p w:rsidR="00CD1164" w:rsidRPr="00CD1164" w:rsidRDefault="00CC028B" w:rsidP="00CD1164">
      <w:pPr>
        <w:spacing w:after="0"/>
        <w:rPr>
          <w:rFonts w:ascii="Arial" w:hAnsi="Arial" w:cs="Arial"/>
        </w:rPr>
      </w:pPr>
      <w:r>
        <w:rPr>
          <w:rFonts w:ascii="Arial" w:hAnsi="Arial" w:cs="Arial"/>
        </w:rPr>
        <w:t>Nil</w:t>
      </w:r>
    </w:p>
    <w:p w:rsidR="004F0EF3" w:rsidRDefault="004F0EF3" w:rsidP="000C0121">
      <w:pPr>
        <w:contextualSpacing/>
        <w:rPr>
          <w:rFonts w:cs="Arial"/>
          <w:szCs w:val="24"/>
          <w:lang w:eastAsia="en-US"/>
        </w:rPr>
      </w:pPr>
    </w:p>
    <w:p w:rsidR="000C0121" w:rsidRDefault="000C0121" w:rsidP="000C0121">
      <w:pPr>
        <w:contextualSpacing/>
        <w:rPr>
          <w:rFonts w:cs="Arial"/>
          <w:b/>
          <w:szCs w:val="24"/>
          <w:lang w:eastAsia="en-US"/>
        </w:rPr>
      </w:pPr>
      <w:r>
        <w:rPr>
          <w:rFonts w:cs="Arial"/>
          <w:b/>
          <w:szCs w:val="24"/>
          <w:lang w:eastAsia="en-US"/>
        </w:rPr>
        <w:t>Setting</w:t>
      </w:r>
    </w:p>
    <w:p w:rsidR="000C0121" w:rsidRDefault="000C0121" w:rsidP="000C0121">
      <w:pPr>
        <w:contextualSpacing/>
        <w:rPr>
          <w:rFonts w:cs="Arial"/>
          <w:b/>
          <w:szCs w:val="24"/>
          <w:lang w:eastAsia="en-US"/>
        </w:rPr>
      </w:pPr>
    </w:p>
    <w:p w:rsidR="000C0121" w:rsidRDefault="000C0121" w:rsidP="000C0121">
      <w:pPr>
        <w:contextualSpacing/>
        <w:rPr>
          <w:rFonts w:cs="Arial"/>
          <w:szCs w:val="24"/>
          <w:lang w:eastAsia="en-US"/>
        </w:rPr>
      </w:pPr>
      <w:r w:rsidRPr="00942474">
        <w:rPr>
          <w:rFonts w:cs="Arial"/>
          <w:szCs w:val="24"/>
          <w:lang w:eastAsia="en-US"/>
        </w:rPr>
        <w:t>All hospitals</w:t>
      </w:r>
    </w:p>
    <w:p w:rsidR="00C648C3" w:rsidRDefault="00C648C3" w:rsidP="000C0121">
      <w:pPr>
        <w:contextualSpacing/>
        <w:rPr>
          <w:rFonts w:cs="Arial"/>
          <w:szCs w:val="24"/>
          <w:lang w:eastAsia="en-US"/>
        </w:rPr>
      </w:pPr>
    </w:p>
    <w:p w:rsidR="00C648C3" w:rsidRPr="00C648C3" w:rsidRDefault="00C648C3" w:rsidP="00C648C3">
      <w:pPr>
        <w:contextualSpacing/>
        <w:rPr>
          <w:rFonts w:cs="Arial"/>
          <w:b/>
          <w:szCs w:val="24"/>
          <w:lang w:eastAsia="en-US"/>
        </w:rPr>
      </w:pPr>
      <w:r w:rsidRPr="00C648C3">
        <w:rPr>
          <w:rFonts w:cs="Arial"/>
          <w:b/>
          <w:szCs w:val="24"/>
          <w:lang w:eastAsia="en-US"/>
        </w:rPr>
        <w:t>Definitions</w:t>
      </w:r>
    </w:p>
    <w:p w:rsidR="00C648C3" w:rsidRDefault="00C648C3" w:rsidP="00C648C3">
      <w:pPr>
        <w:contextualSpacing/>
        <w:rPr>
          <w:rFonts w:cs="Arial"/>
          <w:szCs w:val="24"/>
          <w:lang w:eastAsia="en-US"/>
        </w:rPr>
      </w:pPr>
    </w:p>
    <w:p w:rsidR="00C648C3" w:rsidRDefault="00C648C3" w:rsidP="00C648C3">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0C0121" w:rsidRDefault="000C0121" w:rsidP="000C0121">
      <w:pPr>
        <w:contextualSpacing/>
        <w:rPr>
          <w:rFonts w:cs="Arial"/>
          <w:szCs w:val="24"/>
          <w:lang w:eastAsia="en-US"/>
        </w:rPr>
      </w:pPr>
    </w:p>
    <w:p w:rsidR="00C12CA0" w:rsidRDefault="00C12CA0" w:rsidP="000C0121">
      <w:pPr>
        <w:contextualSpacing/>
        <w:rPr>
          <w:rFonts w:cs="Arial"/>
          <w:szCs w:val="24"/>
          <w:lang w:eastAsia="en-US"/>
        </w:rPr>
      </w:pPr>
    </w:p>
    <w:p w:rsidR="000C0121" w:rsidRDefault="00904670" w:rsidP="00F6102D">
      <w:pPr>
        <w:contextualSpacing/>
        <w:rPr>
          <w:rFonts w:ascii="Arial" w:hAnsi="Arial" w:cs="Arial"/>
        </w:rPr>
      </w:pPr>
      <w:r>
        <w:rPr>
          <w:rFonts w:cs="Arial"/>
          <w:b/>
          <w:szCs w:val="24"/>
          <w:lang w:eastAsia="en-US"/>
        </w:rPr>
        <w:t>Examples of n</w:t>
      </w:r>
      <w:r w:rsidR="000C0121">
        <w:rPr>
          <w:rFonts w:cs="Arial"/>
          <w:b/>
          <w:szCs w:val="24"/>
          <w:lang w:eastAsia="en-US"/>
        </w:rPr>
        <w:t xml:space="preserve">ational </w:t>
      </w:r>
      <w:r w:rsidR="005C6D47">
        <w:rPr>
          <w:rFonts w:cs="Arial"/>
          <w:b/>
          <w:szCs w:val="24"/>
          <w:lang w:eastAsia="en-US"/>
        </w:rPr>
        <w:t>preventive</w:t>
      </w:r>
      <w:r w:rsidR="000C0121">
        <w:rPr>
          <w:rFonts w:cs="Arial"/>
          <w:b/>
          <w:szCs w:val="24"/>
          <w:lang w:eastAsia="en-US"/>
        </w:rPr>
        <w:t xml:space="preserve"> barriers</w:t>
      </w:r>
    </w:p>
    <w:p w:rsidR="0051119A" w:rsidRDefault="0051119A" w:rsidP="0051119A">
      <w:pPr>
        <w:pStyle w:val="ListParagraph"/>
        <w:ind w:left="360"/>
        <w:rPr>
          <w:rFonts w:ascii="Arial" w:hAnsi="Arial" w:cs="Arial"/>
        </w:rPr>
      </w:pPr>
    </w:p>
    <w:p w:rsidR="00D6098C" w:rsidRPr="009B308B" w:rsidRDefault="00CD1164" w:rsidP="00E564FB">
      <w:pPr>
        <w:pStyle w:val="ListParagraph"/>
        <w:numPr>
          <w:ilvl w:val="0"/>
          <w:numId w:val="18"/>
        </w:numPr>
        <w:spacing w:before="60" w:after="60"/>
        <w:rPr>
          <w:rStyle w:val="Hyperlink"/>
          <w:rFonts w:ascii="Arial" w:hAnsi="Arial" w:cs="Arial"/>
          <w:color w:val="auto"/>
          <w:u w:val="none"/>
        </w:rPr>
      </w:pPr>
      <w:r w:rsidRPr="00D6098C">
        <w:rPr>
          <w:rFonts w:ascii="Arial" w:hAnsi="Arial" w:cs="Arial"/>
        </w:rPr>
        <w:t>NSQHS Standards</w:t>
      </w:r>
      <w:r w:rsidR="00E505E4" w:rsidRPr="00D6098C">
        <w:rPr>
          <w:rFonts w:ascii="Arial" w:hAnsi="Arial" w:cs="Arial"/>
        </w:rPr>
        <w:t xml:space="preserve"> (2</w:t>
      </w:r>
      <w:r w:rsidR="00E505E4" w:rsidRPr="00D6098C">
        <w:rPr>
          <w:rFonts w:ascii="Arial" w:hAnsi="Arial" w:cs="Arial"/>
          <w:vertAlign w:val="superscript"/>
        </w:rPr>
        <w:t>nd</w:t>
      </w:r>
      <w:r w:rsidR="00E505E4" w:rsidRPr="00D6098C">
        <w:rPr>
          <w:rFonts w:ascii="Arial" w:hAnsi="Arial" w:cs="Arial"/>
        </w:rPr>
        <w:t xml:space="preserve"> ed.)</w:t>
      </w:r>
      <w:hyperlink w:anchor="_ENREF_6" w:tooltip="Australian Commission on Safety and Quality in Health Care, 2017 #4" w:history="1">
        <w:r w:rsidR="001C6BC2" w:rsidRPr="001C6BC2">
          <w:rPr>
            <w:rFonts w:cs="Arial"/>
            <w:vertAlign w:val="superscript"/>
          </w:rPr>
          <w:t>4</w:t>
        </w:r>
      </w:hyperlink>
      <w:r w:rsidR="00D6098C">
        <w:rPr>
          <w:rFonts w:ascii="Arial" w:hAnsi="Arial" w:cs="Arial"/>
        </w:rPr>
        <w:t xml:space="preserve"> </w:t>
      </w:r>
      <w:r w:rsidR="00A557EA">
        <w:rPr>
          <w:rFonts w:ascii="Arial" w:hAnsi="Arial" w:cs="Arial"/>
        </w:rPr>
        <w:t xml:space="preserve">- </w:t>
      </w:r>
      <w:r w:rsidRPr="00D6098C">
        <w:rPr>
          <w:rFonts w:ascii="Arial" w:hAnsi="Arial" w:cs="Arial"/>
        </w:rPr>
        <w:t xml:space="preserve">Medication Safety </w:t>
      </w:r>
      <w:r w:rsidR="00002688" w:rsidRPr="00D6098C">
        <w:rPr>
          <w:rFonts w:ascii="Arial" w:hAnsi="Arial" w:cs="Arial"/>
        </w:rPr>
        <w:t xml:space="preserve">Standard </w:t>
      </w:r>
      <w:r w:rsidR="00E505E4" w:rsidRPr="00D6098C">
        <w:t xml:space="preserve"> </w:t>
      </w:r>
      <w:hyperlink r:id="rId26" w:history="1">
        <w:r w:rsidR="00D6098C" w:rsidRPr="00D6098C">
          <w:rPr>
            <w:rStyle w:val="Hyperlink"/>
          </w:rPr>
          <w:t>https://www.safetyandquality.gov.au/wp-content/uploads/2017/11/National-Safety-and-Quality-Health-Service-Standards-second-edition.pdf</w:t>
        </w:r>
      </w:hyperlink>
    </w:p>
    <w:p w:rsidR="009B308B" w:rsidRPr="00D6098C" w:rsidRDefault="009B308B" w:rsidP="009B308B">
      <w:pPr>
        <w:pStyle w:val="ListParagraph"/>
        <w:spacing w:before="60" w:after="60"/>
        <w:ind w:left="360"/>
        <w:rPr>
          <w:rStyle w:val="Hyperlink"/>
          <w:rFonts w:ascii="Arial" w:hAnsi="Arial" w:cs="Arial"/>
          <w:color w:val="auto"/>
          <w:u w:val="none"/>
        </w:rPr>
      </w:pPr>
    </w:p>
    <w:p w:rsidR="000C0121" w:rsidRPr="00D6098C" w:rsidRDefault="000C0121" w:rsidP="00F435E7">
      <w:pPr>
        <w:pStyle w:val="ListParagraph"/>
        <w:numPr>
          <w:ilvl w:val="0"/>
          <w:numId w:val="18"/>
        </w:numPr>
        <w:spacing w:after="0"/>
        <w:ind w:left="357"/>
        <w:rPr>
          <w:rFonts w:ascii="Arial" w:hAnsi="Arial" w:cs="Arial"/>
        </w:rPr>
      </w:pPr>
      <w:r w:rsidRPr="00D6098C">
        <w:rPr>
          <w:rFonts w:ascii="Arial" w:hAnsi="Arial" w:cs="Arial"/>
        </w:rPr>
        <w:t xml:space="preserve">Various initiatives led by the </w:t>
      </w:r>
      <w:r w:rsidR="00942474" w:rsidRPr="00D6098C">
        <w:rPr>
          <w:rFonts w:ascii="Arial" w:hAnsi="Arial" w:cs="Arial"/>
        </w:rPr>
        <w:t>Commission</w:t>
      </w:r>
      <w:r w:rsidR="009D4193" w:rsidRPr="009D4193">
        <w:rPr>
          <w:rFonts w:ascii="Arial" w:hAnsi="Arial" w:cs="Arial"/>
          <w:vertAlign w:val="superscript"/>
        </w:rPr>
        <w:t>15</w:t>
      </w:r>
      <w:r w:rsidR="00942474" w:rsidRPr="00D6098C">
        <w:rPr>
          <w:rFonts w:ascii="Arial" w:hAnsi="Arial" w:cs="Arial"/>
        </w:rPr>
        <w:t>:</w:t>
      </w:r>
    </w:p>
    <w:p w:rsidR="000C0121" w:rsidRPr="00D6098C" w:rsidRDefault="00C605BD" w:rsidP="00F435E7">
      <w:pPr>
        <w:spacing w:after="0"/>
        <w:ind w:left="357"/>
        <w:rPr>
          <w:rFonts w:ascii="Arial" w:hAnsi="Arial" w:cs="Arial"/>
          <w:u w:val="single"/>
        </w:rPr>
      </w:pPr>
      <w:hyperlink r:id="rId27" w:history="1">
        <w:r w:rsidR="000C0121" w:rsidRPr="00D6098C">
          <w:rPr>
            <w:rFonts w:ascii="Arial" w:hAnsi="Arial" w:cs="Arial"/>
            <w:color w:val="0000FF"/>
            <w:u w:val="single"/>
          </w:rPr>
          <w:t>https://www.safetyandquality.gov.au/our-work/medication-safety/</w:t>
        </w:r>
      </w:hyperlink>
      <w:r w:rsidR="000C0121" w:rsidRPr="00D6098C">
        <w:rPr>
          <w:rFonts w:ascii="Arial" w:hAnsi="Arial" w:cs="Arial"/>
          <w:u w:val="single"/>
        </w:rPr>
        <w:t xml:space="preserve"> </w:t>
      </w:r>
    </w:p>
    <w:p w:rsidR="000C0121" w:rsidRPr="00CD1164" w:rsidRDefault="000C0121" w:rsidP="00E564FB">
      <w:pPr>
        <w:numPr>
          <w:ilvl w:val="0"/>
          <w:numId w:val="19"/>
        </w:numPr>
        <w:spacing w:before="60" w:after="60"/>
        <w:rPr>
          <w:rFonts w:ascii="Arial" w:hAnsi="Arial" w:cs="Arial"/>
        </w:rPr>
      </w:pPr>
      <w:r w:rsidRPr="00CD1164">
        <w:rPr>
          <w:rFonts w:ascii="Arial" w:hAnsi="Arial" w:cs="Arial"/>
        </w:rPr>
        <w:t>Medication charts</w:t>
      </w:r>
    </w:p>
    <w:p w:rsidR="000C0121" w:rsidRPr="00CD1164" w:rsidRDefault="000C0121" w:rsidP="00E564FB">
      <w:pPr>
        <w:numPr>
          <w:ilvl w:val="0"/>
          <w:numId w:val="19"/>
        </w:numPr>
        <w:spacing w:before="60" w:after="60"/>
        <w:rPr>
          <w:rFonts w:ascii="Arial" w:hAnsi="Arial" w:cs="Arial"/>
        </w:rPr>
      </w:pPr>
      <w:r w:rsidRPr="00CD1164">
        <w:rPr>
          <w:rFonts w:ascii="Arial" w:hAnsi="Arial" w:cs="Arial"/>
        </w:rPr>
        <w:t>Medication reconciliation</w:t>
      </w:r>
    </w:p>
    <w:p w:rsidR="000C0121" w:rsidRPr="00CD1164" w:rsidRDefault="000C0121" w:rsidP="00E564FB">
      <w:pPr>
        <w:numPr>
          <w:ilvl w:val="0"/>
          <w:numId w:val="19"/>
        </w:numPr>
        <w:spacing w:before="60" w:after="60"/>
        <w:rPr>
          <w:rFonts w:ascii="Arial" w:hAnsi="Arial" w:cs="Arial"/>
        </w:rPr>
      </w:pPr>
      <w:r w:rsidRPr="00CD1164">
        <w:rPr>
          <w:rFonts w:ascii="Arial" w:hAnsi="Arial" w:cs="Arial"/>
        </w:rPr>
        <w:t>Medication administration</w:t>
      </w:r>
    </w:p>
    <w:p w:rsidR="000C0121" w:rsidRPr="00CD1164" w:rsidRDefault="000C0121" w:rsidP="00E564FB">
      <w:pPr>
        <w:numPr>
          <w:ilvl w:val="0"/>
          <w:numId w:val="19"/>
        </w:numPr>
        <w:spacing w:before="60" w:after="60"/>
        <w:rPr>
          <w:rFonts w:ascii="Arial" w:hAnsi="Arial" w:cs="Arial"/>
        </w:rPr>
      </w:pPr>
      <w:r w:rsidRPr="00CD1164">
        <w:rPr>
          <w:rFonts w:ascii="Arial" w:hAnsi="Arial" w:cs="Arial"/>
        </w:rPr>
        <w:t>Medication safety and quality education and training</w:t>
      </w:r>
    </w:p>
    <w:p w:rsidR="000C0121" w:rsidRPr="00CD1164" w:rsidRDefault="000C0121" w:rsidP="00E564FB">
      <w:pPr>
        <w:numPr>
          <w:ilvl w:val="0"/>
          <w:numId w:val="19"/>
        </w:numPr>
        <w:spacing w:before="60" w:after="60"/>
        <w:rPr>
          <w:rFonts w:ascii="Arial" w:hAnsi="Arial" w:cs="Arial"/>
        </w:rPr>
      </w:pPr>
      <w:r w:rsidRPr="00CD1164">
        <w:rPr>
          <w:rFonts w:ascii="Arial" w:hAnsi="Arial" w:cs="Arial"/>
        </w:rPr>
        <w:t>Safer naming, labelling and packaging of medicines</w:t>
      </w:r>
    </w:p>
    <w:p w:rsidR="000C0121" w:rsidRDefault="000C0121" w:rsidP="00E564FB">
      <w:pPr>
        <w:numPr>
          <w:ilvl w:val="0"/>
          <w:numId w:val="19"/>
        </w:numPr>
        <w:spacing w:before="60" w:after="60"/>
        <w:rPr>
          <w:rFonts w:ascii="Arial" w:hAnsi="Arial" w:cs="Arial"/>
        </w:rPr>
      </w:pPr>
      <w:r w:rsidRPr="00CD1164">
        <w:rPr>
          <w:rFonts w:ascii="Arial" w:hAnsi="Arial" w:cs="Arial"/>
        </w:rPr>
        <w:t>Electronic medication management</w:t>
      </w:r>
    </w:p>
    <w:p w:rsidR="0073336B" w:rsidRDefault="0073336B">
      <w:pPr>
        <w:spacing w:after="80"/>
      </w:pPr>
      <w:r>
        <w:br w:type="page"/>
      </w:r>
    </w:p>
    <w:p w:rsidR="00943DBF" w:rsidRDefault="00943DBF" w:rsidP="00943DBF">
      <w:pPr>
        <w:pStyle w:val="Heading2"/>
        <w:numPr>
          <w:ilvl w:val="0"/>
          <w:numId w:val="36"/>
        </w:numPr>
        <w:pBdr>
          <w:bottom w:val="single" w:sz="12" w:space="9" w:color="auto"/>
        </w:pBdr>
      </w:pPr>
      <w:bookmarkStart w:id="21" w:name="_Toc1338087"/>
      <w:r>
        <w:lastRenderedPageBreak/>
        <w:t>Use of physical or mechanical restraint</w:t>
      </w:r>
      <w:r w:rsidRPr="005D5CDD">
        <w:t xml:space="preserve"> resulting in serious harm or death</w:t>
      </w:r>
      <w:bookmarkEnd w:id="21"/>
    </w:p>
    <w:tbl>
      <w:tblPr>
        <w:tblStyle w:val="TableGrid"/>
        <w:tblW w:w="9029" w:type="dxa"/>
        <w:tblLook w:val="04A0" w:firstRow="1" w:lastRow="0" w:firstColumn="1" w:lastColumn="0" w:noHBand="0" w:noVBand="1"/>
      </w:tblPr>
      <w:tblGrid>
        <w:gridCol w:w="9029"/>
      </w:tblGrid>
      <w:tr w:rsidR="00943DBF" w:rsidTr="00E40EB0">
        <w:trPr>
          <w:cnfStyle w:val="100000000000" w:firstRow="1" w:lastRow="0" w:firstColumn="0" w:lastColumn="0" w:oddVBand="0" w:evenVBand="0" w:oddHBand="0" w:evenHBand="0" w:firstRowFirstColumn="0" w:firstRowLastColumn="0" w:lastRowFirstColumn="0" w:lastRowLastColumn="0"/>
          <w:trHeight w:hRule="exact" w:val="324"/>
        </w:trPr>
        <w:tc>
          <w:tcPr>
            <w:tcW w:w="9029" w:type="dxa"/>
            <w:tcBorders>
              <w:top w:val="nil"/>
              <w:left w:val="nil"/>
              <w:bottom w:val="nil"/>
              <w:right w:val="nil"/>
            </w:tcBorders>
            <w:shd w:val="clear" w:color="auto" w:fill="EEECE1" w:themeFill="background2"/>
          </w:tcPr>
          <w:p w:rsidR="00943DBF" w:rsidRPr="00A44546" w:rsidRDefault="00943DBF" w:rsidP="00943DBF">
            <w:pPr>
              <w:jc w:val="left"/>
            </w:pPr>
            <w:r w:rsidRPr="00A44546">
              <w:rPr>
                <w:sz w:val="22"/>
              </w:rPr>
              <w:t xml:space="preserve">Category: </w:t>
            </w:r>
            <w:r>
              <w:rPr>
                <w:sz w:val="22"/>
              </w:rPr>
              <w:t xml:space="preserve">care management </w:t>
            </w:r>
          </w:p>
        </w:tc>
      </w:tr>
    </w:tbl>
    <w:p w:rsidR="00943DBF" w:rsidRDefault="00943DBF" w:rsidP="00943DBF">
      <w:pPr>
        <w:rPr>
          <w:b/>
        </w:rPr>
      </w:pPr>
    </w:p>
    <w:p w:rsidR="00943DBF" w:rsidRPr="00266A4E" w:rsidRDefault="00A77607" w:rsidP="00943DBF">
      <w:pPr>
        <w:rPr>
          <w:b/>
        </w:rPr>
      </w:pPr>
      <w:r>
        <w:rPr>
          <w:rFonts w:eastAsia="Calibri" w:cs="Arial"/>
          <w:b/>
          <w:szCs w:val="18"/>
        </w:rPr>
        <w:t>Sentinel event</w:t>
      </w:r>
    </w:p>
    <w:p w:rsidR="00943DBF" w:rsidRDefault="00943DBF" w:rsidP="00943DBF">
      <w:pPr>
        <w:rPr>
          <w:rFonts w:cs="Arial"/>
          <w:sz w:val="18"/>
        </w:rPr>
      </w:pPr>
      <w:r w:rsidRPr="004659AC">
        <w:rPr>
          <w:rFonts w:cs="Arial"/>
        </w:rPr>
        <w:t xml:space="preserve">Use of physical </w:t>
      </w:r>
      <w:r>
        <w:rPr>
          <w:rFonts w:cs="Arial"/>
        </w:rPr>
        <w:t xml:space="preserve">or mechanical </w:t>
      </w:r>
      <w:r w:rsidRPr="004659AC">
        <w:rPr>
          <w:rFonts w:cs="Arial"/>
        </w:rPr>
        <w:t xml:space="preserve">restraint </w:t>
      </w:r>
      <w:r>
        <w:rPr>
          <w:rFonts w:cs="Arial"/>
        </w:rPr>
        <w:t>resulting in serious harm or death</w:t>
      </w:r>
    </w:p>
    <w:p w:rsidR="00943DBF" w:rsidRDefault="00943DBF" w:rsidP="00943DBF">
      <w:pPr>
        <w:contextualSpacing/>
        <w:rPr>
          <w:rFonts w:cs="Arial"/>
          <w:b/>
          <w:szCs w:val="24"/>
          <w:lang w:eastAsia="en-US"/>
        </w:rPr>
      </w:pPr>
      <w:r>
        <w:rPr>
          <w:rFonts w:cs="Arial"/>
          <w:b/>
          <w:szCs w:val="24"/>
          <w:lang w:eastAsia="en-US"/>
        </w:rPr>
        <w:t>Inclusions/exclusions</w:t>
      </w:r>
    </w:p>
    <w:p w:rsidR="00943DBF" w:rsidRDefault="00943DBF" w:rsidP="00943DBF">
      <w:pPr>
        <w:contextualSpacing/>
        <w:rPr>
          <w:rFonts w:cs="Arial"/>
          <w:b/>
          <w:szCs w:val="24"/>
          <w:lang w:eastAsia="en-US"/>
        </w:rPr>
      </w:pPr>
    </w:p>
    <w:p w:rsidR="00943DBF" w:rsidRDefault="00943DBF" w:rsidP="00943DBF">
      <w:pPr>
        <w:contextualSpacing/>
        <w:rPr>
          <w:rFonts w:cs="Arial"/>
          <w:szCs w:val="24"/>
          <w:lang w:eastAsia="en-US"/>
        </w:rPr>
      </w:pPr>
      <w:r>
        <w:rPr>
          <w:rFonts w:cs="Arial"/>
          <w:szCs w:val="24"/>
          <w:lang w:eastAsia="en-US"/>
        </w:rPr>
        <w:t>Nil</w:t>
      </w:r>
    </w:p>
    <w:p w:rsidR="00943DBF" w:rsidRDefault="00943DBF" w:rsidP="00943DBF">
      <w:pPr>
        <w:contextualSpacing/>
        <w:rPr>
          <w:rFonts w:cs="Arial"/>
          <w:szCs w:val="24"/>
          <w:lang w:eastAsia="en-US"/>
        </w:rPr>
      </w:pPr>
    </w:p>
    <w:p w:rsidR="00943DBF" w:rsidRDefault="00943DBF" w:rsidP="00943DBF">
      <w:pPr>
        <w:contextualSpacing/>
        <w:rPr>
          <w:rFonts w:cs="Arial"/>
          <w:b/>
          <w:szCs w:val="24"/>
          <w:lang w:eastAsia="en-US"/>
        </w:rPr>
      </w:pPr>
      <w:r>
        <w:rPr>
          <w:rFonts w:cs="Arial"/>
          <w:b/>
          <w:szCs w:val="24"/>
          <w:lang w:eastAsia="en-US"/>
        </w:rPr>
        <w:t>Setting</w:t>
      </w:r>
    </w:p>
    <w:p w:rsidR="00943DBF" w:rsidRDefault="00943DBF" w:rsidP="00943DBF">
      <w:pPr>
        <w:contextualSpacing/>
        <w:rPr>
          <w:rFonts w:cs="Arial"/>
          <w:b/>
          <w:szCs w:val="24"/>
          <w:lang w:eastAsia="en-US"/>
        </w:rPr>
      </w:pPr>
    </w:p>
    <w:p w:rsidR="00943DBF" w:rsidRDefault="00943DBF" w:rsidP="00943DBF">
      <w:pPr>
        <w:contextualSpacing/>
        <w:rPr>
          <w:rFonts w:cs="Arial"/>
          <w:szCs w:val="24"/>
          <w:lang w:eastAsia="en-US"/>
        </w:rPr>
      </w:pPr>
      <w:r w:rsidRPr="00942474">
        <w:rPr>
          <w:rFonts w:cs="Arial"/>
          <w:szCs w:val="24"/>
          <w:lang w:eastAsia="en-US"/>
        </w:rPr>
        <w:t>All hospitals</w:t>
      </w:r>
    </w:p>
    <w:p w:rsidR="00943DBF" w:rsidRDefault="00943DBF" w:rsidP="00943DBF">
      <w:pPr>
        <w:contextualSpacing/>
        <w:rPr>
          <w:rFonts w:cs="Arial"/>
          <w:b/>
          <w:szCs w:val="24"/>
          <w:lang w:eastAsia="en-US"/>
        </w:rPr>
      </w:pPr>
    </w:p>
    <w:p w:rsidR="00943DBF" w:rsidRPr="00C648C3" w:rsidRDefault="00943DBF" w:rsidP="00943DBF">
      <w:pPr>
        <w:contextualSpacing/>
        <w:rPr>
          <w:rFonts w:cs="Arial"/>
          <w:b/>
          <w:szCs w:val="24"/>
          <w:lang w:eastAsia="en-US"/>
        </w:rPr>
      </w:pPr>
      <w:r w:rsidRPr="00C648C3">
        <w:rPr>
          <w:rFonts w:cs="Arial"/>
          <w:b/>
          <w:szCs w:val="24"/>
          <w:lang w:eastAsia="en-US"/>
        </w:rPr>
        <w:t>Definitions</w:t>
      </w:r>
    </w:p>
    <w:p w:rsidR="00943DBF" w:rsidRDefault="00943DBF" w:rsidP="00943DBF">
      <w:pPr>
        <w:contextualSpacing/>
        <w:rPr>
          <w:rFonts w:cs="Arial"/>
          <w:szCs w:val="24"/>
          <w:lang w:eastAsia="en-US"/>
        </w:rPr>
      </w:pPr>
    </w:p>
    <w:p w:rsidR="00943DBF" w:rsidRPr="002920B8" w:rsidRDefault="00943DBF" w:rsidP="00943DBF">
      <w:pPr>
        <w:ind w:left="2160" w:hanging="2160"/>
        <w:contextualSpacing/>
        <w:rPr>
          <w:rFonts w:cs="Arial"/>
          <w:szCs w:val="24"/>
          <w:lang w:eastAsia="en-US"/>
        </w:rPr>
      </w:pPr>
      <w:r w:rsidRPr="002920B8">
        <w:rPr>
          <w:rFonts w:cs="Arial"/>
          <w:szCs w:val="24"/>
          <w:lang w:eastAsia="en-US"/>
        </w:rPr>
        <w:t>Restraint</w:t>
      </w:r>
      <w:r w:rsidRPr="002920B8">
        <w:rPr>
          <w:rFonts w:cs="Arial"/>
          <w:szCs w:val="24"/>
          <w:lang w:eastAsia="en-US"/>
        </w:rPr>
        <w:tab/>
        <w:t xml:space="preserve">Restraint is the restriction of an individual’s freedom of movement by </w:t>
      </w:r>
      <w:r w:rsidR="001B4DFF" w:rsidRPr="002920B8">
        <w:rPr>
          <w:rFonts w:cs="Arial"/>
          <w:szCs w:val="24"/>
          <w:lang w:eastAsia="en-US"/>
        </w:rPr>
        <w:t>p</w:t>
      </w:r>
      <w:r w:rsidR="001B4DFF">
        <w:rPr>
          <w:rFonts w:cs="Arial"/>
          <w:szCs w:val="24"/>
          <w:lang w:eastAsia="en-US"/>
        </w:rPr>
        <w:t>hys</w:t>
      </w:r>
      <w:r w:rsidR="001B4DFF" w:rsidRPr="002920B8">
        <w:rPr>
          <w:rFonts w:cs="Arial"/>
          <w:szCs w:val="24"/>
          <w:lang w:eastAsia="en-US"/>
        </w:rPr>
        <w:t xml:space="preserve">ical </w:t>
      </w:r>
      <w:r w:rsidRPr="002920B8">
        <w:rPr>
          <w:rFonts w:cs="Arial"/>
          <w:szCs w:val="24"/>
          <w:lang w:eastAsia="en-US"/>
        </w:rPr>
        <w:t>or mechanical means</w:t>
      </w:r>
      <w:r w:rsidR="00356061" w:rsidRPr="00356061">
        <w:rPr>
          <w:vertAlign w:val="superscript"/>
        </w:rPr>
        <w:t>16</w:t>
      </w:r>
    </w:p>
    <w:p w:rsidR="00943DBF" w:rsidRPr="002920B8" w:rsidRDefault="00943DBF" w:rsidP="00943DBF">
      <w:pPr>
        <w:ind w:left="2160" w:hanging="2160"/>
        <w:contextualSpacing/>
        <w:rPr>
          <w:rFonts w:cs="Arial"/>
          <w:szCs w:val="24"/>
          <w:lang w:eastAsia="en-US"/>
        </w:rPr>
      </w:pPr>
    </w:p>
    <w:p w:rsidR="00943DBF" w:rsidRPr="002920B8" w:rsidRDefault="00943DBF" w:rsidP="00943DBF">
      <w:pPr>
        <w:ind w:left="2160" w:hanging="2160"/>
        <w:contextualSpacing/>
        <w:rPr>
          <w:rFonts w:cs="Arial"/>
          <w:szCs w:val="24"/>
          <w:lang w:eastAsia="en-US"/>
        </w:rPr>
      </w:pPr>
      <w:r w:rsidRPr="002920B8">
        <w:rPr>
          <w:rFonts w:cs="Arial"/>
          <w:szCs w:val="24"/>
          <w:lang w:eastAsia="en-US"/>
        </w:rPr>
        <w:t>Physical</w:t>
      </w:r>
      <w:r w:rsidRPr="002920B8">
        <w:rPr>
          <w:rFonts w:cs="Arial"/>
          <w:szCs w:val="24"/>
          <w:lang w:eastAsia="en-US"/>
        </w:rPr>
        <w:tab/>
        <w:t>Physical restraint means the bodily force that controls a person’s freedom of movement</w:t>
      </w:r>
      <w:hyperlink w:anchor="_ENREF_18" w:tooltip="Royal Australian and New Zealand College of Psychiatrists, 2016 #18" w:history="1">
        <w:r w:rsidR="004644CB" w:rsidRPr="00356061">
          <w:rPr>
            <w:rFonts w:cs="Arial"/>
            <w:szCs w:val="24"/>
            <w:vertAlign w:val="superscript"/>
            <w:lang w:eastAsia="en-US"/>
          </w:rPr>
          <w:fldChar w:fldCharType="begin"/>
        </w:r>
        <w:r w:rsidR="004644CB" w:rsidRPr="00356061">
          <w:rPr>
            <w:rFonts w:cs="Arial"/>
            <w:szCs w:val="24"/>
            <w:vertAlign w:val="superscript"/>
            <w:lang w:eastAsia="en-US"/>
          </w:rPr>
          <w:instrText xml:space="preserve"> ADDIN EN.CITE &lt;EndNote&gt;&lt;Cite&gt;&lt;Author&gt;Royal Australian and New Zealand College of Psychiatrists&lt;/Author&gt;&lt;Year&gt;2016&lt;/Year&gt;&lt;RecNum&gt;18&lt;/RecNum&gt;&lt;DisplayText&gt;&lt;style face="superscript"&gt;18&lt;/style&gt;&lt;/DisplayText&gt;&lt;record&gt;&lt;rec-number&gt;18&lt;/rec-number&gt;&lt;foreign-keys&gt;&lt;key app="EN" db-id="0zaapr5rxrpdrrepezbv00a69s0etwz0v0te"&gt;18&lt;/key&gt;&lt;/foreign-keys&gt;&lt;ref-type name="Electronic Article"&gt;43&lt;/ref-type&gt;&lt;contributors&gt;&lt;authors&gt;&lt;author&gt;Royal Australian and New Zealand College of Psychiatrists,&lt;/author&gt;&lt;/authors&gt;&lt;/contributors&gt;&lt;titles&gt;&lt;title&gt;Position Statement 61: minimising the use of seclusion and restraint in people with mental illness &lt;/title&gt;&lt;/titles&gt;&lt;volume&gt;2017&lt;/volume&gt;&lt;dates&gt;&lt;year&gt;2016&lt;/year&gt;&lt;/dates&gt;&lt;pub-location&gt;2016&lt;/pub-location&gt;&lt;publisher&gt;RANZCP&lt;/publisher&gt;&lt;urls&gt;&lt;related-urls&gt;&lt;url&gt;https://www.ranzcp.org/Files/Resources/College_Statements/Position_Statements/PS-61-Minimising-the-use-of-seclusion-and-restrain.aspx &lt;/url&gt;&lt;/related-urls&gt;&lt;/urls&gt;&lt;/record&gt;&lt;/Cite&gt;&lt;/EndNote&gt;</w:instrText>
        </w:r>
        <w:r w:rsidR="004644CB" w:rsidRPr="00356061">
          <w:rPr>
            <w:rFonts w:cs="Arial"/>
            <w:szCs w:val="24"/>
            <w:vertAlign w:val="superscript"/>
            <w:lang w:eastAsia="en-US"/>
          </w:rPr>
          <w:fldChar w:fldCharType="separate"/>
        </w:r>
        <w:r w:rsidR="004644CB" w:rsidRPr="00356061">
          <w:rPr>
            <w:rFonts w:cs="Arial"/>
            <w:noProof/>
            <w:szCs w:val="24"/>
            <w:vertAlign w:val="superscript"/>
            <w:lang w:eastAsia="en-US"/>
          </w:rPr>
          <w:t>1</w:t>
        </w:r>
        <w:r w:rsidR="004644CB" w:rsidRPr="00356061">
          <w:rPr>
            <w:rFonts w:cs="Arial"/>
            <w:szCs w:val="24"/>
            <w:vertAlign w:val="superscript"/>
            <w:lang w:eastAsia="en-US"/>
          </w:rPr>
          <w:fldChar w:fldCharType="end"/>
        </w:r>
      </w:hyperlink>
      <w:r w:rsidR="00356061" w:rsidRPr="00356061">
        <w:rPr>
          <w:rFonts w:cs="Arial"/>
          <w:szCs w:val="24"/>
          <w:vertAlign w:val="superscript"/>
          <w:lang w:eastAsia="en-US"/>
        </w:rPr>
        <w:t>6</w:t>
      </w:r>
    </w:p>
    <w:p w:rsidR="00943DBF" w:rsidRPr="002920B8" w:rsidRDefault="00943DBF" w:rsidP="00943DBF">
      <w:pPr>
        <w:ind w:left="2160" w:hanging="2160"/>
        <w:contextualSpacing/>
        <w:rPr>
          <w:rFonts w:cs="Arial"/>
          <w:szCs w:val="24"/>
          <w:lang w:eastAsia="en-US"/>
        </w:rPr>
      </w:pPr>
    </w:p>
    <w:p w:rsidR="00943DBF" w:rsidRPr="002920B8" w:rsidRDefault="00943DBF" w:rsidP="00943DBF">
      <w:pPr>
        <w:ind w:left="2160" w:hanging="2160"/>
        <w:contextualSpacing/>
        <w:rPr>
          <w:rFonts w:cs="Arial"/>
          <w:szCs w:val="24"/>
          <w:lang w:eastAsia="en-US"/>
        </w:rPr>
      </w:pPr>
      <w:r w:rsidRPr="002920B8">
        <w:rPr>
          <w:rFonts w:cs="Arial"/>
          <w:szCs w:val="24"/>
          <w:lang w:eastAsia="en-US"/>
        </w:rPr>
        <w:t>Mechanical</w:t>
      </w:r>
      <w:r w:rsidRPr="002920B8">
        <w:rPr>
          <w:rFonts w:cs="Arial"/>
          <w:szCs w:val="24"/>
          <w:lang w:eastAsia="en-US"/>
        </w:rPr>
        <w:tab/>
        <w:t>Mechanical restraint means a device that controls a person’s freedom of movement</w:t>
      </w:r>
      <w:hyperlink w:anchor="_ENREF_18" w:tooltip="Royal Australian and New Zealand College of Psychiatrists, 2016 #18" w:history="1">
        <w:r w:rsidR="00356061" w:rsidRPr="00356061">
          <w:rPr>
            <w:rFonts w:cs="Arial"/>
            <w:szCs w:val="24"/>
            <w:vertAlign w:val="superscript"/>
            <w:lang w:eastAsia="en-US"/>
          </w:rPr>
          <w:t>16</w:t>
        </w:r>
      </w:hyperlink>
    </w:p>
    <w:p w:rsidR="00943DBF" w:rsidRDefault="00943DBF" w:rsidP="00943DBF">
      <w:pPr>
        <w:contextualSpacing/>
        <w:rPr>
          <w:rFonts w:cs="Arial"/>
          <w:szCs w:val="24"/>
          <w:lang w:eastAsia="en-US"/>
        </w:rPr>
      </w:pPr>
    </w:p>
    <w:p w:rsidR="00943DBF" w:rsidRDefault="00943DBF" w:rsidP="00943DBF">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943DBF" w:rsidRDefault="00943DBF" w:rsidP="00943DBF">
      <w:pPr>
        <w:ind w:left="2160" w:hanging="2160"/>
        <w:contextualSpacing/>
        <w:rPr>
          <w:rFonts w:cs="Arial"/>
          <w:szCs w:val="24"/>
          <w:lang w:eastAsia="en-US"/>
        </w:rPr>
      </w:pPr>
    </w:p>
    <w:p w:rsidR="00943DBF" w:rsidRDefault="00A77607" w:rsidP="00943DBF">
      <w:pPr>
        <w:ind w:left="2160" w:hanging="2160"/>
        <w:contextualSpacing/>
        <w:rPr>
          <w:rFonts w:cs="Arial"/>
          <w:b/>
          <w:szCs w:val="24"/>
          <w:lang w:eastAsia="en-US"/>
        </w:rPr>
      </w:pPr>
      <w:r>
        <w:rPr>
          <w:rFonts w:cs="Arial"/>
          <w:b/>
          <w:szCs w:val="24"/>
          <w:lang w:eastAsia="en-US"/>
        </w:rPr>
        <w:t>Explanatory n</w:t>
      </w:r>
      <w:r w:rsidR="00943DBF" w:rsidRPr="00C203B2">
        <w:rPr>
          <w:rFonts w:cs="Arial"/>
          <w:b/>
          <w:szCs w:val="24"/>
          <w:lang w:eastAsia="en-US"/>
        </w:rPr>
        <w:t>otes</w:t>
      </w:r>
      <w:r w:rsidR="00943DBF">
        <w:rPr>
          <w:rFonts w:cs="Arial"/>
          <w:b/>
          <w:szCs w:val="24"/>
          <w:lang w:eastAsia="en-US"/>
        </w:rPr>
        <w:tab/>
      </w:r>
    </w:p>
    <w:p w:rsidR="00943DBF" w:rsidRDefault="00943DBF" w:rsidP="00943DBF">
      <w:pPr>
        <w:contextualSpacing/>
        <w:rPr>
          <w:rFonts w:cs="Arial"/>
          <w:szCs w:val="24"/>
          <w:lang w:eastAsia="en-US"/>
        </w:rPr>
      </w:pPr>
    </w:p>
    <w:p w:rsidR="00943DBF" w:rsidRPr="001C209D" w:rsidRDefault="00D47526" w:rsidP="007F4BF4">
      <w:pPr>
        <w:rPr>
          <w:i/>
          <w:lang w:eastAsia="en-US"/>
        </w:rPr>
      </w:pPr>
      <w:r w:rsidRPr="00D47526">
        <w:rPr>
          <w:lang w:eastAsia="en-US"/>
        </w:rPr>
        <w:t>In the event that</w:t>
      </w:r>
      <w:r w:rsidR="001C209D">
        <w:rPr>
          <w:lang w:eastAsia="en-US"/>
        </w:rPr>
        <w:t xml:space="preserve"> a chemical restraint leads to the s</w:t>
      </w:r>
      <w:r w:rsidRPr="00D47526">
        <w:rPr>
          <w:lang w:eastAsia="en-US"/>
        </w:rPr>
        <w:t xml:space="preserve">erious harm or death of a patient, it should be considered whether the event can be reported under </w:t>
      </w:r>
      <w:r w:rsidRPr="00F6102D">
        <w:rPr>
          <w:lang w:eastAsia="en-US"/>
        </w:rPr>
        <w:t>sentinel event 8: Medication error resulting in serious harm or death.</w:t>
      </w:r>
      <w:r w:rsidRPr="001C209D">
        <w:rPr>
          <w:i/>
          <w:lang w:eastAsia="en-US"/>
        </w:rPr>
        <w:t xml:space="preserve">     </w:t>
      </w:r>
    </w:p>
    <w:p w:rsidR="00943DBF" w:rsidRPr="005D5CDD" w:rsidRDefault="00943DBF" w:rsidP="007F4BF4">
      <w:pPr>
        <w:contextualSpacing/>
        <w:rPr>
          <w:rFonts w:ascii="Arial" w:hAnsi="Arial" w:cs="Arial"/>
        </w:rPr>
      </w:pPr>
      <w:r>
        <w:rPr>
          <w:rFonts w:cs="Arial"/>
          <w:b/>
          <w:szCs w:val="24"/>
          <w:lang w:eastAsia="en-US"/>
        </w:rPr>
        <w:t>Examples of n</w:t>
      </w:r>
      <w:r w:rsidRPr="005D5CDD">
        <w:rPr>
          <w:rFonts w:cs="Arial"/>
          <w:b/>
          <w:szCs w:val="24"/>
          <w:lang w:eastAsia="en-US"/>
        </w:rPr>
        <w:t xml:space="preserve">ational </w:t>
      </w:r>
      <w:r w:rsidR="005C6D47">
        <w:rPr>
          <w:rFonts w:cs="Arial"/>
          <w:b/>
          <w:szCs w:val="24"/>
          <w:lang w:eastAsia="en-US"/>
        </w:rPr>
        <w:t>preventive</w:t>
      </w:r>
      <w:r w:rsidRPr="005D5CDD">
        <w:rPr>
          <w:rFonts w:cs="Arial"/>
          <w:b/>
          <w:szCs w:val="24"/>
          <w:lang w:eastAsia="en-US"/>
        </w:rPr>
        <w:t xml:space="preserve"> barriers</w:t>
      </w:r>
    </w:p>
    <w:p w:rsidR="007F4BF4" w:rsidRPr="009B308B" w:rsidRDefault="00943DBF" w:rsidP="009B308B">
      <w:pPr>
        <w:pStyle w:val="ListParagraph"/>
        <w:numPr>
          <w:ilvl w:val="0"/>
          <w:numId w:val="20"/>
        </w:numPr>
        <w:tabs>
          <w:tab w:val="left" w:pos="3761"/>
        </w:tabs>
        <w:rPr>
          <w:rFonts w:eastAsiaTheme="majorEastAsia" w:cs="Arial"/>
          <w:color w:val="0000FF" w:themeColor="hyperlink"/>
          <w:sz w:val="20"/>
          <w:u w:val="single"/>
        </w:rPr>
      </w:pPr>
      <w:r w:rsidRPr="005D5CDD">
        <w:rPr>
          <w:rFonts w:ascii="Arial" w:hAnsi="Arial" w:cs="Arial"/>
        </w:rPr>
        <w:t xml:space="preserve">NSQHS Standards </w:t>
      </w:r>
      <w:r w:rsidR="001B4DFF" w:rsidRPr="00CD1164">
        <w:rPr>
          <w:rFonts w:ascii="Arial" w:hAnsi="Arial" w:cs="Arial"/>
        </w:rPr>
        <w:t>(</w:t>
      </w:r>
      <w:r w:rsidR="001B4DFF">
        <w:rPr>
          <w:rFonts w:ascii="Arial" w:hAnsi="Arial" w:cs="Arial"/>
        </w:rPr>
        <w:t>2</w:t>
      </w:r>
      <w:r w:rsidR="001B4DFF" w:rsidRPr="00000C0F">
        <w:rPr>
          <w:rFonts w:ascii="Arial" w:hAnsi="Arial" w:cs="Arial"/>
        </w:rPr>
        <w:t>nd</w:t>
      </w:r>
      <w:r w:rsidR="001B4DFF">
        <w:rPr>
          <w:rFonts w:ascii="Arial" w:hAnsi="Arial" w:cs="Arial"/>
        </w:rPr>
        <w:t xml:space="preserve"> ed.</w:t>
      </w:r>
      <w:r w:rsidR="001B4DFF" w:rsidRPr="00CD1164">
        <w:rPr>
          <w:rFonts w:ascii="Arial" w:hAnsi="Arial" w:cs="Arial"/>
        </w:rPr>
        <w:t>)</w:t>
      </w:r>
      <w:hyperlink w:anchor="_ENREF_6" w:tooltip="Australian Commission on Safety and Quality in Health Care, 2017 #4" w:history="1">
        <w:r w:rsidR="001C6BC2" w:rsidRPr="001C6BC2">
          <w:rPr>
            <w:rFonts w:cs="Arial"/>
            <w:vertAlign w:val="superscript"/>
          </w:rPr>
          <w:t>4</w:t>
        </w:r>
      </w:hyperlink>
      <w:r w:rsidR="001B4DFF" w:rsidRPr="00CD1164">
        <w:rPr>
          <w:rFonts w:ascii="Arial" w:hAnsi="Arial" w:cs="Arial"/>
        </w:rPr>
        <w:t xml:space="preserve"> </w:t>
      </w:r>
      <w:r w:rsidR="005650A4">
        <w:rPr>
          <w:rFonts w:ascii="Arial" w:hAnsi="Arial" w:cs="Arial"/>
        </w:rPr>
        <w:t xml:space="preserve">- </w:t>
      </w:r>
      <w:r>
        <w:rPr>
          <w:rFonts w:ascii="Arial" w:hAnsi="Arial" w:cs="Arial"/>
        </w:rPr>
        <w:t>Comprehensive Care</w:t>
      </w:r>
      <w:r w:rsidRPr="005D5CDD">
        <w:rPr>
          <w:rFonts w:ascii="Arial" w:hAnsi="Arial" w:cs="Arial"/>
        </w:rPr>
        <w:t xml:space="preserve"> Standard</w:t>
      </w:r>
      <w:r w:rsidR="007F4BF4">
        <w:rPr>
          <w:rFonts w:ascii="Arial" w:hAnsi="Arial" w:cs="Arial"/>
        </w:rPr>
        <w:t xml:space="preserve">: </w:t>
      </w:r>
      <w:r>
        <w:rPr>
          <w:rFonts w:ascii="Arial" w:hAnsi="Arial" w:cs="Arial"/>
        </w:rPr>
        <w:t>Minimising restrictive practices: restraint</w:t>
      </w:r>
    </w:p>
    <w:p w:rsidR="00E505E4" w:rsidRDefault="00C605BD" w:rsidP="00076081">
      <w:pPr>
        <w:pStyle w:val="ListParagraph"/>
        <w:tabs>
          <w:tab w:val="left" w:pos="3761"/>
        </w:tabs>
        <w:ind w:left="360"/>
        <w:rPr>
          <w:rFonts w:ascii="Arial" w:hAnsi="Arial" w:cs="Arial"/>
        </w:rPr>
      </w:pPr>
      <w:hyperlink r:id="rId28" w:history="1">
        <w:r w:rsidR="00AE3685" w:rsidRPr="009B104B">
          <w:rPr>
            <w:rStyle w:val="Hyperlink"/>
            <w:rFonts w:ascii="Arial" w:hAnsi="Arial" w:cs="Arial"/>
          </w:rPr>
          <w:t>https://www.safetyandquality.gov.au/wp-content/uploads/2017/11/National-Safety-and-Quality-Health-Service-Standards-second-edition.pdf</w:t>
        </w:r>
      </w:hyperlink>
    </w:p>
    <w:p w:rsidR="00AE3685" w:rsidRDefault="00AE3685" w:rsidP="00076081">
      <w:pPr>
        <w:pStyle w:val="ListParagraph"/>
        <w:tabs>
          <w:tab w:val="left" w:pos="3761"/>
        </w:tabs>
        <w:ind w:left="360"/>
        <w:rPr>
          <w:rFonts w:ascii="Arial" w:hAnsi="Arial" w:cs="Arial"/>
        </w:rPr>
      </w:pPr>
    </w:p>
    <w:p w:rsidR="00AE3685" w:rsidRPr="00E11507" w:rsidRDefault="00AE3685" w:rsidP="00076081">
      <w:pPr>
        <w:pStyle w:val="ListParagraph"/>
        <w:tabs>
          <w:tab w:val="left" w:pos="3761"/>
        </w:tabs>
        <w:ind w:left="360"/>
        <w:rPr>
          <w:rFonts w:ascii="Arial" w:hAnsi="Arial" w:cs="Arial"/>
        </w:rPr>
      </w:pPr>
    </w:p>
    <w:p w:rsidR="004E3428" w:rsidRDefault="004E3428" w:rsidP="006965B2">
      <w:pPr>
        <w:pStyle w:val="Heading2"/>
        <w:numPr>
          <w:ilvl w:val="0"/>
          <w:numId w:val="36"/>
        </w:numPr>
        <w:pBdr>
          <w:bottom w:val="single" w:sz="12" w:space="9" w:color="auto"/>
        </w:pBdr>
      </w:pPr>
      <w:bookmarkStart w:id="22" w:name="_Toc1338088"/>
      <w:r w:rsidRPr="00942474">
        <w:lastRenderedPageBreak/>
        <w:t xml:space="preserve">Discharge or release of </w:t>
      </w:r>
      <w:r w:rsidR="002904F7">
        <w:t xml:space="preserve">a </w:t>
      </w:r>
      <w:r w:rsidRPr="00942474">
        <w:t>child to an unauthorised person</w:t>
      </w:r>
      <w:bookmarkEnd w:id="22"/>
    </w:p>
    <w:tbl>
      <w:tblPr>
        <w:tblStyle w:val="TableGrid"/>
        <w:tblW w:w="9132" w:type="dxa"/>
        <w:tblLook w:val="04A0" w:firstRow="1" w:lastRow="0" w:firstColumn="1" w:lastColumn="0" w:noHBand="0" w:noVBand="1"/>
      </w:tblPr>
      <w:tblGrid>
        <w:gridCol w:w="9132"/>
      </w:tblGrid>
      <w:tr w:rsidR="00A44546" w:rsidTr="00A67758">
        <w:trPr>
          <w:cnfStyle w:val="100000000000" w:firstRow="1" w:lastRow="0" w:firstColumn="0" w:lastColumn="0" w:oddVBand="0" w:evenVBand="0" w:oddHBand="0" w:evenHBand="0" w:firstRowFirstColumn="0" w:firstRowLastColumn="0" w:lastRowFirstColumn="0" w:lastRowLastColumn="0"/>
          <w:trHeight w:hRule="exact" w:val="374"/>
        </w:trPr>
        <w:tc>
          <w:tcPr>
            <w:tcW w:w="9132" w:type="dxa"/>
            <w:tcBorders>
              <w:top w:val="nil"/>
              <w:left w:val="nil"/>
              <w:bottom w:val="nil"/>
              <w:right w:val="nil"/>
            </w:tcBorders>
            <w:shd w:val="clear" w:color="auto" w:fill="EEECE1" w:themeFill="background2"/>
          </w:tcPr>
          <w:p w:rsidR="00A44546" w:rsidRDefault="00A44546" w:rsidP="00A44546">
            <w:pPr>
              <w:jc w:val="left"/>
              <w:rPr>
                <w:sz w:val="22"/>
              </w:rPr>
            </w:pPr>
            <w:r w:rsidRPr="00A44546">
              <w:rPr>
                <w:sz w:val="22"/>
              </w:rPr>
              <w:t xml:space="preserve">Category: </w:t>
            </w:r>
            <w:r>
              <w:rPr>
                <w:sz w:val="22"/>
              </w:rPr>
              <w:t>care management</w:t>
            </w:r>
          </w:p>
          <w:p w:rsidR="00A67758" w:rsidRPr="00A44546" w:rsidRDefault="00A67758" w:rsidP="00A44546">
            <w:pPr>
              <w:jc w:val="left"/>
            </w:pPr>
          </w:p>
        </w:tc>
      </w:tr>
    </w:tbl>
    <w:p w:rsidR="009061BB" w:rsidRDefault="009061BB" w:rsidP="004E3428">
      <w:pPr>
        <w:rPr>
          <w:b/>
        </w:rPr>
      </w:pPr>
    </w:p>
    <w:p w:rsidR="004E3428" w:rsidRPr="00266A4E" w:rsidRDefault="00A77607" w:rsidP="004E3428">
      <w:pPr>
        <w:rPr>
          <w:b/>
        </w:rPr>
      </w:pPr>
      <w:r>
        <w:rPr>
          <w:rFonts w:eastAsia="Calibri" w:cs="Arial"/>
          <w:b/>
          <w:szCs w:val="18"/>
        </w:rPr>
        <w:t>Sentinel event</w:t>
      </w:r>
    </w:p>
    <w:p w:rsidR="004E3428" w:rsidRDefault="002904F7" w:rsidP="00F6102D">
      <w:r>
        <w:t xml:space="preserve">Discharge or release of a </w:t>
      </w:r>
      <w:r w:rsidR="004E3428" w:rsidRPr="00A76CB6">
        <w:t>child to an unauthorised person</w:t>
      </w:r>
      <w:r w:rsidR="000360C9">
        <w:t>*</w:t>
      </w:r>
    </w:p>
    <w:p w:rsidR="00332963" w:rsidRPr="00CD1164" w:rsidRDefault="00332963" w:rsidP="004E3428">
      <w:pPr>
        <w:contextualSpacing/>
        <w:rPr>
          <w:rFonts w:cs="Arial"/>
          <w:bCs/>
          <w:sz w:val="18"/>
        </w:rPr>
      </w:pPr>
      <w:r>
        <w:rPr>
          <w:rFonts w:cs="Arial"/>
          <w:bCs/>
          <w:sz w:val="18"/>
        </w:rPr>
        <w:t>* This sentinel event will be counted regardless of whether serious harm or death has occurred.</w:t>
      </w:r>
    </w:p>
    <w:p w:rsidR="004E3428" w:rsidRDefault="004E3428" w:rsidP="004E3428">
      <w:pPr>
        <w:contextualSpacing/>
        <w:rPr>
          <w:rFonts w:cs="Arial"/>
          <w:szCs w:val="24"/>
          <w:lang w:eastAsia="en-US"/>
        </w:rPr>
      </w:pPr>
    </w:p>
    <w:p w:rsidR="004E3428" w:rsidRDefault="00942474" w:rsidP="004E3428">
      <w:pPr>
        <w:contextualSpacing/>
        <w:rPr>
          <w:rFonts w:cs="Arial"/>
          <w:b/>
          <w:szCs w:val="24"/>
          <w:lang w:eastAsia="en-US"/>
        </w:rPr>
      </w:pPr>
      <w:r>
        <w:rPr>
          <w:rFonts w:cs="Arial"/>
          <w:b/>
          <w:szCs w:val="24"/>
          <w:lang w:eastAsia="en-US"/>
        </w:rPr>
        <w:t>I</w:t>
      </w:r>
      <w:r w:rsidR="004E3428">
        <w:rPr>
          <w:rFonts w:cs="Arial"/>
          <w:b/>
          <w:szCs w:val="24"/>
          <w:lang w:eastAsia="en-US"/>
        </w:rPr>
        <w:t>nclusions/exclusions</w:t>
      </w:r>
    </w:p>
    <w:p w:rsidR="004E3428" w:rsidRDefault="004E3428" w:rsidP="004E3428">
      <w:pPr>
        <w:contextualSpacing/>
        <w:rPr>
          <w:rFonts w:cs="Arial"/>
          <w:b/>
          <w:szCs w:val="24"/>
          <w:lang w:eastAsia="en-US"/>
        </w:rPr>
      </w:pPr>
    </w:p>
    <w:p w:rsidR="004E3428" w:rsidRDefault="00CD1164" w:rsidP="004E3428">
      <w:pPr>
        <w:contextualSpacing/>
        <w:rPr>
          <w:rFonts w:cs="Arial"/>
          <w:szCs w:val="24"/>
          <w:lang w:eastAsia="en-US"/>
        </w:rPr>
      </w:pPr>
      <w:r>
        <w:rPr>
          <w:rFonts w:cs="Arial"/>
          <w:szCs w:val="24"/>
          <w:lang w:eastAsia="en-US"/>
        </w:rPr>
        <w:t>Nil</w:t>
      </w:r>
    </w:p>
    <w:p w:rsidR="004E3428" w:rsidRDefault="004E3428" w:rsidP="004E3428">
      <w:pPr>
        <w:contextualSpacing/>
        <w:rPr>
          <w:rFonts w:cs="Arial"/>
          <w:szCs w:val="24"/>
          <w:lang w:eastAsia="en-US"/>
        </w:rPr>
      </w:pPr>
    </w:p>
    <w:p w:rsidR="004E3428" w:rsidRDefault="004E3428" w:rsidP="004E3428">
      <w:pPr>
        <w:contextualSpacing/>
        <w:rPr>
          <w:rFonts w:cs="Arial"/>
          <w:b/>
          <w:szCs w:val="24"/>
          <w:lang w:eastAsia="en-US"/>
        </w:rPr>
      </w:pPr>
      <w:r>
        <w:rPr>
          <w:rFonts w:cs="Arial"/>
          <w:b/>
          <w:szCs w:val="24"/>
          <w:lang w:eastAsia="en-US"/>
        </w:rPr>
        <w:t>Setting</w:t>
      </w:r>
    </w:p>
    <w:p w:rsidR="004E3428" w:rsidRDefault="004E3428" w:rsidP="004E3428">
      <w:pPr>
        <w:contextualSpacing/>
        <w:rPr>
          <w:rFonts w:cs="Arial"/>
          <w:b/>
          <w:szCs w:val="24"/>
          <w:lang w:eastAsia="en-US"/>
        </w:rPr>
      </w:pPr>
    </w:p>
    <w:p w:rsidR="004E3428" w:rsidRDefault="004E3428" w:rsidP="004E3428">
      <w:pPr>
        <w:contextualSpacing/>
        <w:rPr>
          <w:rFonts w:cs="Arial"/>
          <w:szCs w:val="24"/>
          <w:lang w:eastAsia="en-US"/>
        </w:rPr>
      </w:pPr>
      <w:r w:rsidRPr="00A44546">
        <w:rPr>
          <w:rFonts w:cs="Arial"/>
          <w:szCs w:val="24"/>
          <w:lang w:eastAsia="en-US"/>
        </w:rPr>
        <w:t>All hospitals</w:t>
      </w:r>
    </w:p>
    <w:p w:rsidR="004E3428" w:rsidRDefault="004E3428" w:rsidP="004E3428">
      <w:pPr>
        <w:contextualSpacing/>
        <w:rPr>
          <w:rFonts w:cs="Arial"/>
          <w:szCs w:val="24"/>
          <w:lang w:eastAsia="en-US"/>
        </w:rPr>
      </w:pPr>
    </w:p>
    <w:p w:rsidR="00CC028B" w:rsidRPr="00C648C3" w:rsidRDefault="00CC028B" w:rsidP="00CC028B">
      <w:pPr>
        <w:contextualSpacing/>
        <w:rPr>
          <w:rFonts w:cs="Arial"/>
          <w:b/>
          <w:szCs w:val="24"/>
          <w:lang w:eastAsia="en-US"/>
        </w:rPr>
      </w:pPr>
      <w:r w:rsidRPr="00C648C3">
        <w:rPr>
          <w:rFonts w:cs="Arial"/>
          <w:b/>
          <w:szCs w:val="24"/>
          <w:lang w:eastAsia="en-US"/>
        </w:rPr>
        <w:t>Definitions</w:t>
      </w:r>
    </w:p>
    <w:p w:rsidR="00CC028B" w:rsidRDefault="00CC028B" w:rsidP="002904F7">
      <w:pPr>
        <w:contextualSpacing/>
        <w:rPr>
          <w:rFonts w:cs="Arial"/>
          <w:szCs w:val="24"/>
          <w:lang w:eastAsia="en-US"/>
        </w:rPr>
      </w:pPr>
    </w:p>
    <w:p w:rsidR="00CC028B" w:rsidRDefault="00CC028B" w:rsidP="00CC028B">
      <w:pPr>
        <w:ind w:left="2160" w:hanging="2160"/>
        <w:contextualSpacing/>
        <w:rPr>
          <w:rFonts w:cs="Arial"/>
          <w:sz w:val="18"/>
          <w:szCs w:val="24"/>
          <w:lang w:eastAsia="en-US"/>
        </w:rPr>
      </w:pPr>
      <w:r>
        <w:rPr>
          <w:rFonts w:cs="Arial"/>
          <w:szCs w:val="24"/>
          <w:lang w:eastAsia="en-US"/>
        </w:rPr>
        <w:t>Child</w:t>
      </w:r>
      <w:r>
        <w:rPr>
          <w:rFonts w:cs="Arial"/>
          <w:szCs w:val="24"/>
          <w:lang w:eastAsia="en-US"/>
        </w:rPr>
        <w:tab/>
      </w:r>
      <w:r w:rsidRPr="00CC028B">
        <w:rPr>
          <w:rFonts w:cs="Arial"/>
          <w:szCs w:val="24"/>
          <w:lang w:eastAsia="en-US"/>
        </w:rPr>
        <w:t>A child is any person under the age of 15</w:t>
      </w:r>
      <w:hyperlink w:anchor="_ENREF_19" w:tooltip="Australian Bureau of Statistics, 2016 #19" w:history="1">
        <w:r w:rsidR="004644CB" w:rsidRPr="00657CB6">
          <w:rPr>
            <w:rFonts w:cs="Arial"/>
            <w:szCs w:val="24"/>
            <w:vertAlign w:val="superscript"/>
            <w:lang w:eastAsia="en-US"/>
          </w:rPr>
          <w:fldChar w:fldCharType="begin"/>
        </w:r>
        <w:r w:rsidR="004644CB" w:rsidRPr="00657CB6">
          <w:rPr>
            <w:rFonts w:cs="Arial"/>
            <w:szCs w:val="24"/>
            <w:vertAlign w:val="superscript"/>
            <w:lang w:eastAsia="en-US"/>
          </w:rPr>
          <w:instrText xml:space="preserve"> ADDIN EN.CITE &lt;EndNote&gt;&lt;Cite&gt;&lt;Author&gt;Australian Bureau of Statistics&lt;/Author&gt;&lt;Year&gt;2016&lt;/Year&gt;&lt;RecNum&gt;19&lt;/RecNum&gt;&lt;DisplayText&gt;&lt;style face="superscript"&gt;19&lt;/style&gt;&lt;/DisplayText&gt;&lt;record&gt;&lt;rec-number&gt;19&lt;/rec-number&gt;&lt;foreign-keys&gt;&lt;key app="EN" db-id="0zaapr5rxrpdrrepezbv00a69s0etwz0v0te"&gt;19&lt;/key&gt;&lt;/foreign-keys&gt;&lt;ref-type name="Web Page"&gt;12&lt;/ref-type&gt;&lt;contributors&gt;&lt;authors&gt;&lt;author&gt;Australian Bureau of Statistics,&lt;/author&gt;&lt;/authors&gt;&lt;/contributors&gt;&lt;titles&gt;&lt;title&gt;2901.0 Census of Population and Housing: Census Dictionary - Glossary&lt;/title&gt;&lt;/titles&gt;&lt;volume&gt;Sep&lt;/volume&gt;&lt;number&gt;2017&lt;/number&gt;&lt;dates&gt;&lt;year&gt;2016&lt;/year&gt;&lt;/dates&gt;&lt;pub-location&gt;Canberra&lt;/pub-location&gt;&lt;publisher&gt;ABS&lt;/publisher&gt;&lt;urls&gt;&lt;related-urls&gt;&lt;url&gt;http://www.abs.gov.au/ausstats/abs@.nsf/Lookup/2901.0Chapter25702016&lt;/url&gt;&lt;/related-urls&gt;&lt;/urls&gt;&lt;/record&gt;&lt;/Cite&gt;&lt;/EndNote&gt;</w:instrText>
        </w:r>
        <w:r w:rsidR="004644CB" w:rsidRPr="00657CB6">
          <w:rPr>
            <w:rFonts w:cs="Arial"/>
            <w:szCs w:val="24"/>
            <w:vertAlign w:val="superscript"/>
            <w:lang w:eastAsia="en-US"/>
          </w:rPr>
          <w:fldChar w:fldCharType="separate"/>
        </w:r>
        <w:r w:rsidR="004644CB" w:rsidRPr="00657CB6">
          <w:rPr>
            <w:rFonts w:cs="Arial"/>
            <w:noProof/>
            <w:szCs w:val="24"/>
            <w:vertAlign w:val="superscript"/>
            <w:lang w:eastAsia="en-US"/>
          </w:rPr>
          <w:t>1</w:t>
        </w:r>
        <w:r w:rsidR="004644CB" w:rsidRPr="00657CB6">
          <w:rPr>
            <w:rFonts w:cs="Arial"/>
            <w:szCs w:val="24"/>
            <w:vertAlign w:val="superscript"/>
            <w:lang w:eastAsia="en-US"/>
          </w:rPr>
          <w:fldChar w:fldCharType="end"/>
        </w:r>
      </w:hyperlink>
      <w:r w:rsidR="00657CB6" w:rsidRPr="00657CB6">
        <w:rPr>
          <w:rFonts w:cs="Arial"/>
          <w:szCs w:val="24"/>
          <w:vertAlign w:val="superscript"/>
          <w:lang w:eastAsia="en-US"/>
        </w:rPr>
        <w:t>7</w:t>
      </w:r>
      <w:r w:rsidRPr="00657CB6">
        <w:rPr>
          <w:rFonts w:cs="Arial"/>
          <w:szCs w:val="24"/>
          <w:vertAlign w:val="superscript"/>
          <w:lang w:eastAsia="en-US"/>
        </w:rPr>
        <w:t xml:space="preserve"> </w:t>
      </w:r>
    </w:p>
    <w:p w:rsidR="00CC028B" w:rsidRDefault="00CC028B" w:rsidP="00CC028B">
      <w:pPr>
        <w:ind w:left="2160" w:hanging="2160"/>
        <w:contextualSpacing/>
        <w:rPr>
          <w:rFonts w:cs="Arial"/>
          <w:sz w:val="18"/>
          <w:szCs w:val="24"/>
          <w:lang w:eastAsia="en-US"/>
        </w:rPr>
      </w:pPr>
    </w:p>
    <w:p w:rsidR="00CC028B" w:rsidRPr="00CC028B" w:rsidRDefault="00CC028B" w:rsidP="00CC028B">
      <w:pPr>
        <w:ind w:left="2160" w:hanging="2160"/>
        <w:contextualSpacing/>
        <w:rPr>
          <w:rFonts w:cs="Arial"/>
          <w:sz w:val="20"/>
          <w:szCs w:val="24"/>
          <w:lang w:eastAsia="en-US"/>
        </w:rPr>
      </w:pPr>
      <w:r>
        <w:rPr>
          <w:rFonts w:cs="Arial"/>
          <w:szCs w:val="24"/>
          <w:lang w:eastAsia="en-US"/>
        </w:rPr>
        <w:t>Unauthorised person</w:t>
      </w:r>
      <w:r>
        <w:rPr>
          <w:rFonts w:cs="Arial"/>
          <w:szCs w:val="24"/>
          <w:lang w:eastAsia="en-US"/>
        </w:rPr>
        <w:tab/>
      </w:r>
      <w:r w:rsidR="002904F7">
        <w:rPr>
          <w:rFonts w:cs="Arial"/>
          <w:szCs w:val="24"/>
          <w:lang w:eastAsia="en-US"/>
        </w:rPr>
        <w:t>A</w:t>
      </w:r>
      <w:r w:rsidRPr="00CC028B">
        <w:rPr>
          <w:rFonts w:cs="Arial"/>
          <w:szCs w:val="24"/>
          <w:lang w:eastAsia="en-US"/>
        </w:rPr>
        <w:t xml:space="preserve"> person who is not a parent or legal guardian of the infant or child, or is a person who is the subject of a legal order preventing access to the infant or child.</w:t>
      </w:r>
    </w:p>
    <w:p w:rsidR="00CC028B" w:rsidRDefault="00CC028B" w:rsidP="00CC028B">
      <w:pPr>
        <w:contextualSpacing/>
        <w:rPr>
          <w:rFonts w:cs="Arial"/>
          <w:szCs w:val="24"/>
          <w:lang w:eastAsia="en-US"/>
        </w:rPr>
      </w:pPr>
    </w:p>
    <w:p w:rsidR="00E42C5F" w:rsidRDefault="00E42C5F" w:rsidP="00CC028B">
      <w:pPr>
        <w:contextualSpacing/>
        <w:rPr>
          <w:rFonts w:cs="Arial"/>
          <w:szCs w:val="24"/>
          <w:lang w:eastAsia="en-US"/>
        </w:rPr>
      </w:pPr>
    </w:p>
    <w:p w:rsidR="004E3428" w:rsidRDefault="00942474" w:rsidP="004E3428">
      <w:pPr>
        <w:contextualSpacing/>
        <w:rPr>
          <w:rFonts w:cs="Arial"/>
          <w:b/>
          <w:szCs w:val="24"/>
          <w:lang w:eastAsia="en-US"/>
        </w:rPr>
      </w:pPr>
      <w:r>
        <w:rPr>
          <w:rFonts w:cs="Arial"/>
          <w:b/>
          <w:szCs w:val="24"/>
          <w:lang w:eastAsia="en-US"/>
        </w:rPr>
        <w:t>Examples of n</w:t>
      </w:r>
      <w:r w:rsidR="004E3428">
        <w:rPr>
          <w:rFonts w:cs="Arial"/>
          <w:b/>
          <w:szCs w:val="24"/>
          <w:lang w:eastAsia="en-US"/>
        </w:rPr>
        <w:t xml:space="preserve">ational </w:t>
      </w:r>
      <w:r w:rsidR="005C6D47">
        <w:rPr>
          <w:rFonts w:cs="Arial"/>
          <w:b/>
          <w:szCs w:val="24"/>
          <w:lang w:eastAsia="en-US"/>
        </w:rPr>
        <w:t>preventive</w:t>
      </w:r>
      <w:r w:rsidR="004E3428">
        <w:rPr>
          <w:rFonts w:cs="Arial"/>
          <w:b/>
          <w:szCs w:val="24"/>
          <w:lang w:eastAsia="en-US"/>
        </w:rPr>
        <w:t xml:space="preserve"> barriers</w:t>
      </w:r>
    </w:p>
    <w:p w:rsidR="0051119A" w:rsidRDefault="0051119A" w:rsidP="0051119A">
      <w:pPr>
        <w:pStyle w:val="ListParagraph"/>
        <w:ind w:left="360"/>
        <w:rPr>
          <w:rFonts w:ascii="Arial" w:hAnsi="Arial" w:cs="Arial"/>
        </w:rPr>
      </w:pPr>
    </w:p>
    <w:p w:rsidR="00560F88" w:rsidRDefault="008C3A5F" w:rsidP="00560F88">
      <w:pPr>
        <w:pStyle w:val="ListParagraph"/>
        <w:numPr>
          <w:ilvl w:val="0"/>
          <w:numId w:val="18"/>
        </w:numPr>
        <w:rPr>
          <w:rFonts w:ascii="Arial" w:hAnsi="Arial" w:cs="Arial"/>
        </w:rPr>
      </w:pPr>
      <w:r>
        <w:rPr>
          <w:rFonts w:ascii="Arial" w:hAnsi="Arial" w:cs="Arial"/>
        </w:rPr>
        <w:t>NSQHS</w:t>
      </w:r>
      <w:r w:rsidRPr="00CD1164">
        <w:rPr>
          <w:rFonts w:ascii="Arial" w:hAnsi="Arial" w:cs="Arial"/>
        </w:rPr>
        <w:t xml:space="preserve"> Standards (</w:t>
      </w:r>
      <w:r w:rsidR="00ED1E98">
        <w:rPr>
          <w:rFonts w:ascii="Arial" w:hAnsi="Arial" w:cs="Arial"/>
        </w:rPr>
        <w:t>2</w:t>
      </w:r>
      <w:r w:rsidR="00ED1E98" w:rsidRPr="00076081">
        <w:rPr>
          <w:rFonts w:ascii="Arial" w:hAnsi="Arial" w:cs="Arial"/>
          <w:vertAlign w:val="superscript"/>
        </w:rPr>
        <w:t>nd</w:t>
      </w:r>
      <w:r w:rsidR="00ED1E98">
        <w:rPr>
          <w:rFonts w:ascii="Arial" w:hAnsi="Arial" w:cs="Arial"/>
        </w:rPr>
        <w:t xml:space="preserve"> ed.</w:t>
      </w:r>
      <w:r w:rsidRPr="00CD1164">
        <w:rPr>
          <w:rFonts w:ascii="Arial" w:hAnsi="Arial" w:cs="Arial"/>
        </w:rPr>
        <w:t>)</w:t>
      </w:r>
      <w:hyperlink w:anchor="_ENREF_6" w:tooltip="Australian Commission on Safety and Quality in Health Care, 2017 #4" w:history="1">
        <w:r w:rsidR="00BD2F97" w:rsidRPr="00BD2F97">
          <w:rPr>
            <w:rFonts w:cs="Arial"/>
            <w:vertAlign w:val="superscript"/>
          </w:rPr>
          <w:t>4</w:t>
        </w:r>
      </w:hyperlink>
      <w:r w:rsidRPr="00CD1164">
        <w:rPr>
          <w:rFonts w:ascii="Arial" w:hAnsi="Arial" w:cs="Arial"/>
        </w:rPr>
        <w:t xml:space="preserve"> – </w:t>
      </w:r>
      <w:r>
        <w:rPr>
          <w:rFonts w:ascii="Arial" w:hAnsi="Arial" w:cs="Arial"/>
        </w:rPr>
        <w:t>Communicating for Safety Standard</w:t>
      </w:r>
    </w:p>
    <w:p w:rsidR="00F87A24" w:rsidRDefault="00C605BD" w:rsidP="00560F88">
      <w:pPr>
        <w:pStyle w:val="ListParagraph"/>
        <w:ind w:left="360"/>
        <w:rPr>
          <w:rFonts w:ascii="Arial" w:hAnsi="Arial" w:cs="Arial"/>
        </w:rPr>
      </w:pPr>
      <w:hyperlink r:id="rId29" w:history="1">
        <w:r w:rsidR="00560F88" w:rsidRPr="009B104B">
          <w:rPr>
            <w:rStyle w:val="Hyperlink"/>
            <w:rFonts w:ascii="Arial" w:hAnsi="Arial" w:cs="Arial"/>
          </w:rPr>
          <w:t>https://www.safetyandquality.gov.au/wp-content/uploads/2017/12/National-Safety-and-Quality-Health-Service-Standards-second-edition.pdf</w:t>
        </w:r>
      </w:hyperlink>
    </w:p>
    <w:p w:rsidR="00560F88" w:rsidRPr="00560F88" w:rsidRDefault="00560F88" w:rsidP="00560F88">
      <w:pPr>
        <w:pStyle w:val="ListParagraph"/>
        <w:ind w:left="360"/>
        <w:rPr>
          <w:rFonts w:ascii="Arial" w:hAnsi="Arial" w:cs="Arial"/>
        </w:rPr>
      </w:pPr>
    </w:p>
    <w:p w:rsidR="008C3A5F" w:rsidRPr="00560F88" w:rsidRDefault="008C3A5F" w:rsidP="008C3A5F">
      <w:pPr>
        <w:pStyle w:val="ListParagraph"/>
        <w:ind w:left="360"/>
        <w:rPr>
          <w:rFonts w:ascii="Arial" w:hAnsi="Arial" w:cs="Arial"/>
        </w:rPr>
      </w:pPr>
    </w:p>
    <w:p w:rsidR="009061BB" w:rsidRDefault="009061BB">
      <w:pPr>
        <w:spacing w:after="80"/>
        <w:rPr>
          <w:rFonts w:cs="Arial"/>
          <w:b/>
          <w:iCs/>
          <w:color w:val="1178A2"/>
          <w:kern w:val="28"/>
          <w:sz w:val="32"/>
          <w:szCs w:val="28"/>
        </w:rPr>
      </w:pPr>
      <w:r>
        <w:br w:type="page"/>
      </w:r>
    </w:p>
    <w:p w:rsidR="004E3428" w:rsidRDefault="004E3428" w:rsidP="00F6102D">
      <w:pPr>
        <w:pStyle w:val="Heading2"/>
        <w:numPr>
          <w:ilvl w:val="0"/>
          <w:numId w:val="36"/>
        </w:numPr>
        <w:pBdr>
          <w:bottom w:val="single" w:sz="12" w:space="9" w:color="auto"/>
        </w:pBdr>
      </w:pPr>
      <w:bookmarkStart w:id="23" w:name="_Toc1338089"/>
      <w:r w:rsidRPr="007C23D7">
        <w:lastRenderedPageBreak/>
        <w:t>Use of an incorrectly p</w:t>
      </w:r>
      <w:r w:rsidR="00942474">
        <w:t xml:space="preserve">ositioned oro- or naso-gastric </w:t>
      </w:r>
      <w:r w:rsidRPr="007C23D7">
        <w:t>tube resulting in serious harm or death</w:t>
      </w:r>
      <w:bookmarkEnd w:id="23"/>
    </w:p>
    <w:tbl>
      <w:tblPr>
        <w:tblStyle w:val="TableGrid"/>
        <w:tblW w:w="8994" w:type="dxa"/>
        <w:tblLook w:val="04A0" w:firstRow="1" w:lastRow="0" w:firstColumn="1" w:lastColumn="0" w:noHBand="0" w:noVBand="1"/>
      </w:tblPr>
      <w:tblGrid>
        <w:gridCol w:w="8994"/>
      </w:tblGrid>
      <w:tr w:rsidR="00A44546" w:rsidTr="00E40EB0">
        <w:trPr>
          <w:cnfStyle w:val="100000000000" w:firstRow="1" w:lastRow="0" w:firstColumn="0" w:lastColumn="0" w:oddVBand="0" w:evenVBand="0" w:oddHBand="0" w:evenHBand="0" w:firstRowFirstColumn="0" w:firstRowLastColumn="0" w:lastRowFirstColumn="0" w:lastRowLastColumn="0"/>
          <w:trHeight w:hRule="exact" w:val="354"/>
        </w:trPr>
        <w:tc>
          <w:tcPr>
            <w:tcW w:w="8994" w:type="dxa"/>
            <w:tcBorders>
              <w:top w:val="nil"/>
              <w:left w:val="nil"/>
              <w:bottom w:val="nil"/>
              <w:right w:val="nil"/>
            </w:tcBorders>
            <w:shd w:val="clear" w:color="auto" w:fill="EEECE1" w:themeFill="background2"/>
          </w:tcPr>
          <w:p w:rsidR="00A44546" w:rsidRPr="00A44546" w:rsidRDefault="00A44546" w:rsidP="00A44546">
            <w:pPr>
              <w:jc w:val="left"/>
            </w:pPr>
            <w:r w:rsidRPr="00A44546">
              <w:rPr>
                <w:sz w:val="22"/>
              </w:rPr>
              <w:t xml:space="preserve">Category: </w:t>
            </w:r>
            <w:r>
              <w:rPr>
                <w:sz w:val="22"/>
              </w:rPr>
              <w:t>care management</w:t>
            </w:r>
          </w:p>
        </w:tc>
      </w:tr>
    </w:tbl>
    <w:p w:rsidR="006965B2" w:rsidRDefault="006965B2" w:rsidP="004E3428">
      <w:pPr>
        <w:rPr>
          <w:rFonts w:eastAsia="Calibri" w:cs="Arial"/>
          <w:b/>
          <w:szCs w:val="18"/>
        </w:rPr>
      </w:pPr>
    </w:p>
    <w:p w:rsidR="00A77607" w:rsidRPr="00A77607" w:rsidRDefault="00A77607" w:rsidP="004E3428">
      <w:pPr>
        <w:rPr>
          <w:rFonts w:eastAsia="Calibri" w:cs="Arial"/>
          <w:b/>
          <w:szCs w:val="18"/>
        </w:rPr>
      </w:pPr>
      <w:r>
        <w:rPr>
          <w:rFonts w:eastAsia="Calibri" w:cs="Arial"/>
          <w:b/>
          <w:szCs w:val="18"/>
        </w:rPr>
        <w:t>Sentinel event</w:t>
      </w:r>
    </w:p>
    <w:p w:rsidR="004E3428" w:rsidRDefault="00110B5A" w:rsidP="00F6102D">
      <w:r w:rsidRPr="004659AC">
        <w:t>Use of an incorrectly positioned oro- or naso-gastric tube</w:t>
      </w:r>
      <w:r>
        <w:t xml:space="preserve"> res</w:t>
      </w:r>
      <w:r w:rsidR="009061BB">
        <w:t>ulting in serious harm or death</w:t>
      </w:r>
    </w:p>
    <w:p w:rsidR="004E3428" w:rsidRDefault="00942474" w:rsidP="004E3428">
      <w:pPr>
        <w:contextualSpacing/>
        <w:rPr>
          <w:rFonts w:cs="Arial"/>
          <w:b/>
          <w:szCs w:val="24"/>
          <w:lang w:eastAsia="en-US"/>
        </w:rPr>
      </w:pPr>
      <w:r>
        <w:rPr>
          <w:rFonts w:cs="Arial"/>
          <w:b/>
          <w:szCs w:val="24"/>
          <w:lang w:eastAsia="en-US"/>
        </w:rPr>
        <w:t>I</w:t>
      </w:r>
      <w:r w:rsidR="004E3428">
        <w:rPr>
          <w:rFonts w:cs="Arial"/>
          <w:b/>
          <w:szCs w:val="24"/>
          <w:lang w:eastAsia="en-US"/>
        </w:rPr>
        <w:t>nclusions/exclusions</w:t>
      </w:r>
    </w:p>
    <w:p w:rsidR="004E3428" w:rsidRDefault="004E3428" w:rsidP="004E3428">
      <w:pPr>
        <w:contextualSpacing/>
        <w:rPr>
          <w:rFonts w:cs="Arial"/>
          <w:b/>
          <w:szCs w:val="24"/>
          <w:lang w:eastAsia="en-US"/>
        </w:rPr>
      </w:pPr>
    </w:p>
    <w:p w:rsidR="004E3428" w:rsidRDefault="005D5CDD" w:rsidP="004E3428">
      <w:pPr>
        <w:contextualSpacing/>
        <w:rPr>
          <w:rFonts w:cs="Arial"/>
          <w:szCs w:val="24"/>
          <w:lang w:eastAsia="en-US"/>
        </w:rPr>
      </w:pPr>
      <w:r>
        <w:rPr>
          <w:rFonts w:cs="Arial"/>
          <w:szCs w:val="24"/>
          <w:lang w:eastAsia="en-US"/>
        </w:rPr>
        <w:t>Nil</w:t>
      </w:r>
    </w:p>
    <w:p w:rsidR="004E3428" w:rsidRDefault="004E3428" w:rsidP="004E3428">
      <w:pPr>
        <w:contextualSpacing/>
        <w:rPr>
          <w:rFonts w:cs="Arial"/>
          <w:szCs w:val="24"/>
          <w:lang w:eastAsia="en-US"/>
        </w:rPr>
      </w:pPr>
    </w:p>
    <w:p w:rsidR="004E3428" w:rsidRDefault="004E3428" w:rsidP="004E3428">
      <w:pPr>
        <w:contextualSpacing/>
        <w:rPr>
          <w:rFonts w:cs="Arial"/>
          <w:b/>
          <w:szCs w:val="24"/>
          <w:lang w:eastAsia="en-US"/>
        </w:rPr>
      </w:pPr>
      <w:r>
        <w:rPr>
          <w:rFonts w:cs="Arial"/>
          <w:b/>
          <w:szCs w:val="24"/>
          <w:lang w:eastAsia="en-US"/>
        </w:rPr>
        <w:t>Setting</w:t>
      </w:r>
    </w:p>
    <w:p w:rsidR="004E3428" w:rsidRDefault="004E3428" w:rsidP="004E3428">
      <w:pPr>
        <w:contextualSpacing/>
        <w:rPr>
          <w:rFonts w:cs="Arial"/>
          <w:b/>
          <w:szCs w:val="24"/>
          <w:lang w:eastAsia="en-US"/>
        </w:rPr>
      </w:pPr>
    </w:p>
    <w:p w:rsidR="004E3428" w:rsidRDefault="004E3428" w:rsidP="004E3428">
      <w:pPr>
        <w:contextualSpacing/>
        <w:rPr>
          <w:rFonts w:cs="Arial"/>
          <w:szCs w:val="24"/>
          <w:lang w:eastAsia="en-US"/>
        </w:rPr>
      </w:pPr>
      <w:r>
        <w:rPr>
          <w:rFonts w:cs="Arial"/>
          <w:szCs w:val="24"/>
          <w:lang w:eastAsia="en-US"/>
        </w:rPr>
        <w:t>All hospitals</w:t>
      </w:r>
    </w:p>
    <w:p w:rsidR="004E3428" w:rsidRDefault="004E3428" w:rsidP="004E3428">
      <w:pPr>
        <w:contextualSpacing/>
        <w:rPr>
          <w:rFonts w:cs="Arial"/>
          <w:szCs w:val="24"/>
          <w:lang w:eastAsia="en-US"/>
        </w:rPr>
      </w:pPr>
    </w:p>
    <w:p w:rsidR="00CC028B" w:rsidRPr="00C648C3" w:rsidRDefault="00CC028B" w:rsidP="00CC028B">
      <w:pPr>
        <w:contextualSpacing/>
        <w:rPr>
          <w:rFonts w:cs="Arial"/>
          <w:b/>
          <w:szCs w:val="24"/>
          <w:lang w:eastAsia="en-US"/>
        </w:rPr>
      </w:pPr>
      <w:r w:rsidRPr="00C648C3">
        <w:rPr>
          <w:rFonts w:cs="Arial"/>
          <w:b/>
          <w:szCs w:val="24"/>
          <w:lang w:eastAsia="en-US"/>
        </w:rPr>
        <w:t>Definitions</w:t>
      </w:r>
    </w:p>
    <w:p w:rsidR="00CC028B" w:rsidRDefault="00CC028B" w:rsidP="00CC028B">
      <w:pPr>
        <w:contextualSpacing/>
        <w:rPr>
          <w:rFonts w:cs="Arial"/>
          <w:szCs w:val="24"/>
          <w:lang w:eastAsia="en-US"/>
        </w:rPr>
      </w:pPr>
    </w:p>
    <w:p w:rsidR="00CC028B" w:rsidRDefault="00CC028B" w:rsidP="00CC028B">
      <w:pPr>
        <w:ind w:left="2160" w:hanging="2160"/>
        <w:contextualSpacing/>
        <w:rPr>
          <w:rFonts w:cs="Arial"/>
          <w:szCs w:val="24"/>
          <w:lang w:eastAsia="en-US"/>
        </w:rPr>
      </w:pPr>
      <w:r>
        <w:rPr>
          <w:rFonts w:cs="Arial"/>
          <w:szCs w:val="24"/>
          <w:lang w:eastAsia="en-US"/>
        </w:rPr>
        <w:t xml:space="preserve">Serious harm </w:t>
      </w:r>
      <w:r>
        <w:rPr>
          <w:rFonts w:cs="Arial"/>
          <w:szCs w:val="24"/>
          <w:lang w:eastAsia="en-US"/>
        </w:rPr>
        <w:tab/>
      </w:r>
      <w:r w:rsidRPr="00C648C3">
        <w:rPr>
          <w:rFonts w:cs="Arial"/>
          <w:szCs w:val="24"/>
          <w:lang w:eastAsia="en-US"/>
        </w:rPr>
        <w:t>As a result of the incident the patient requires life-saving surgical/medical intervention, or has shortened life expectancy, or has experienced permanent or long term phy</w:t>
      </w:r>
      <w:r>
        <w:rPr>
          <w:rFonts w:cs="Arial"/>
          <w:szCs w:val="24"/>
          <w:lang w:eastAsia="en-US"/>
        </w:rPr>
        <w:t>sical harm or loss of function.</w:t>
      </w:r>
    </w:p>
    <w:p w:rsidR="00CC028B" w:rsidRDefault="00CC028B" w:rsidP="004E3428">
      <w:pPr>
        <w:contextualSpacing/>
        <w:rPr>
          <w:rFonts w:cs="Arial"/>
          <w:szCs w:val="24"/>
          <w:lang w:eastAsia="en-US"/>
        </w:rPr>
      </w:pPr>
    </w:p>
    <w:p w:rsidR="00E42C5F" w:rsidRDefault="00E42C5F" w:rsidP="004E3428">
      <w:pPr>
        <w:contextualSpacing/>
        <w:rPr>
          <w:rFonts w:cs="Arial"/>
          <w:szCs w:val="24"/>
          <w:lang w:eastAsia="en-US"/>
        </w:rPr>
      </w:pPr>
    </w:p>
    <w:p w:rsidR="004E3428" w:rsidRDefault="00942474" w:rsidP="004E3428">
      <w:pPr>
        <w:contextualSpacing/>
        <w:rPr>
          <w:rFonts w:cs="Arial"/>
          <w:b/>
          <w:szCs w:val="24"/>
          <w:lang w:eastAsia="en-US"/>
        </w:rPr>
      </w:pPr>
      <w:r>
        <w:rPr>
          <w:rFonts w:cs="Arial"/>
          <w:b/>
          <w:szCs w:val="24"/>
          <w:lang w:eastAsia="en-US"/>
        </w:rPr>
        <w:t xml:space="preserve">Example of national </w:t>
      </w:r>
      <w:r w:rsidR="005C6D47">
        <w:rPr>
          <w:rFonts w:cs="Arial"/>
          <w:b/>
          <w:szCs w:val="24"/>
          <w:lang w:eastAsia="en-US"/>
        </w:rPr>
        <w:t>preventive</w:t>
      </w:r>
      <w:r>
        <w:rPr>
          <w:rFonts w:cs="Arial"/>
          <w:b/>
          <w:szCs w:val="24"/>
          <w:lang w:eastAsia="en-US"/>
        </w:rPr>
        <w:t xml:space="preserve"> barrier</w:t>
      </w:r>
    </w:p>
    <w:p w:rsidR="004E3428" w:rsidRDefault="004E3428" w:rsidP="004E3428">
      <w:pPr>
        <w:spacing w:before="60" w:after="60"/>
        <w:rPr>
          <w:rFonts w:ascii="Arial" w:hAnsi="Arial" w:cs="Arial"/>
        </w:rPr>
      </w:pPr>
    </w:p>
    <w:p w:rsidR="00110B5A" w:rsidRPr="007C23D7" w:rsidRDefault="00110B5A" w:rsidP="00401139">
      <w:pPr>
        <w:pStyle w:val="ListParagraph"/>
        <w:numPr>
          <w:ilvl w:val="0"/>
          <w:numId w:val="20"/>
        </w:numPr>
        <w:tabs>
          <w:tab w:val="left" w:pos="3761"/>
        </w:tabs>
        <w:spacing w:after="0"/>
        <w:ind w:left="357" w:hanging="357"/>
      </w:pPr>
      <w:r w:rsidRPr="007C23D7">
        <w:rPr>
          <w:rFonts w:cs="Arial"/>
        </w:rPr>
        <w:t>Joanna Briggs Institute</w:t>
      </w:r>
      <w:r w:rsidR="004644CB">
        <w:rPr>
          <w:rFonts w:cs="Arial"/>
        </w:rPr>
        <w:t>:</w:t>
      </w:r>
      <w:r w:rsidRPr="007C23D7">
        <w:rPr>
          <w:rFonts w:cs="Arial"/>
        </w:rPr>
        <w:t xml:space="preserve"> Methods of determining the correct nasogastric tube placement after insertion in adults</w:t>
      </w:r>
      <w:hyperlink w:anchor="_ENREF_20" w:tooltip="The Joanna Briggs Institute, 2010 #20" w:history="1">
        <w:r w:rsidR="00657CB6" w:rsidRPr="00657CB6">
          <w:rPr>
            <w:rFonts w:cs="Arial"/>
            <w:vertAlign w:val="superscript"/>
          </w:rPr>
          <w:t>18</w:t>
        </w:r>
      </w:hyperlink>
    </w:p>
    <w:p w:rsidR="00110B5A" w:rsidRDefault="00C605BD" w:rsidP="00401139">
      <w:pPr>
        <w:spacing w:after="0"/>
        <w:ind w:left="357"/>
      </w:pPr>
      <w:hyperlink r:id="rId30" w:history="1">
        <w:r w:rsidR="00401139" w:rsidRPr="009B104B">
          <w:rPr>
            <w:rStyle w:val="Hyperlink"/>
          </w:rPr>
          <w:t>https://www.g-i-n.net/library/health-topics-collection/guidelines/jbi-au/methods-for-determining-the-correct-nasogastric-tube-placement-after-insertion-in-adults-14-1</w:t>
        </w:r>
      </w:hyperlink>
    </w:p>
    <w:p w:rsidR="00401139" w:rsidRPr="00110B5A" w:rsidRDefault="00401139" w:rsidP="00401139">
      <w:pPr>
        <w:ind w:left="360"/>
      </w:pPr>
    </w:p>
    <w:p w:rsidR="00110B5A" w:rsidRPr="00110B5A" w:rsidRDefault="00110B5A" w:rsidP="00110B5A"/>
    <w:p w:rsidR="00110B5A" w:rsidRPr="00110B5A" w:rsidRDefault="00110B5A" w:rsidP="00110B5A"/>
    <w:p w:rsidR="00110B5A" w:rsidRPr="00110B5A" w:rsidRDefault="00110B5A" w:rsidP="00110B5A"/>
    <w:p w:rsidR="00110B5A" w:rsidRPr="00110B5A" w:rsidRDefault="00110B5A" w:rsidP="00110B5A"/>
    <w:p w:rsidR="00007C96" w:rsidRDefault="00007C96" w:rsidP="00C97270">
      <w:pPr>
        <w:spacing w:after="80"/>
      </w:pPr>
    </w:p>
    <w:p w:rsidR="00743DE0" w:rsidRDefault="00743DE0" w:rsidP="00C97270">
      <w:pPr>
        <w:spacing w:after="80"/>
      </w:pPr>
    </w:p>
    <w:p w:rsidR="00743DE0" w:rsidRDefault="00743DE0" w:rsidP="00C97270">
      <w:pPr>
        <w:spacing w:after="80"/>
      </w:pPr>
    </w:p>
    <w:p w:rsidR="00743DE0" w:rsidRDefault="00743DE0" w:rsidP="00C97270">
      <w:pPr>
        <w:spacing w:after="80"/>
      </w:pPr>
    </w:p>
    <w:p w:rsidR="00743DE0" w:rsidRDefault="00743DE0" w:rsidP="00C97270">
      <w:pPr>
        <w:spacing w:after="80"/>
      </w:pPr>
    </w:p>
    <w:p w:rsidR="004644CB" w:rsidRDefault="004644CB">
      <w:pPr>
        <w:spacing w:after="80"/>
      </w:pPr>
      <w:r>
        <w:br w:type="page"/>
      </w:r>
    </w:p>
    <w:p w:rsidR="004644CB" w:rsidRDefault="004644CB" w:rsidP="00B64D3D">
      <w:pPr>
        <w:pStyle w:val="Heading2"/>
      </w:pPr>
      <w:bookmarkStart w:id="24" w:name="_Toc1338090"/>
      <w:r>
        <w:lastRenderedPageBreak/>
        <w:t>References</w:t>
      </w:r>
      <w:bookmarkEnd w:id="24"/>
    </w:p>
    <w:p w:rsidR="004644CB" w:rsidRDefault="004644CB" w:rsidP="004644CB">
      <w:pPr>
        <w:spacing w:after="80"/>
        <w:ind w:left="720"/>
        <w:jc w:val="center"/>
        <w:rPr>
          <w:b/>
        </w:rPr>
      </w:pPr>
    </w:p>
    <w:p w:rsidR="004644CB" w:rsidRPr="004644CB" w:rsidRDefault="004644CB" w:rsidP="004644CB">
      <w:pPr>
        <w:spacing w:after="0"/>
        <w:ind w:left="720" w:hanging="720"/>
        <w:rPr>
          <w:rFonts w:ascii="Arial" w:hAnsi="Arial" w:cs="Arial"/>
          <w:noProof/>
        </w:rPr>
      </w:pPr>
      <w:r w:rsidRPr="00076081">
        <w:fldChar w:fldCharType="begin"/>
      </w:r>
      <w:r w:rsidRPr="00076081">
        <w:instrText xml:space="preserve"> ADDIN EN.REFLIST </w:instrText>
      </w:r>
      <w:r w:rsidRPr="00076081">
        <w:fldChar w:fldCharType="separate"/>
      </w:r>
      <w:bookmarkStart w:id="25" w:name="_ENREF_1"/>
      <w:r w:rsidRPr="004644CB">
        <w:rPr>
          <w:rFonts w:ascii="Arial" w:hAnsi="Arial" w:cs="Arial"/>
          <w:noProof/>
        </w:rPr>
        <w:t>1.</w:t>
      </w:r>
      <w:r w:rsidRPr="004644CB">
        <w:rPr>
          <w:rFonts w:ascii="Arial" w:hAnsi="Arial" w:cs="Arial"/>
          <w:noProof/>
        </w:rPr>
        <w:tab/>
        <w:t>Productivity Commission. Chapter 11: Public hospitals. Report on Government Services 2016. Melbourne: Productivity Commission; 2016.</w:t>
      </w:r>
      <w:bookmarkEnd w:id="25"/>
    </w:p>
    <w:p w:rsidR="004644CB" w:rsidRPr="004644CB" w:rsidRDefault="004644CB" w:rsidP="004644CB">
      <w:pPr>
        <w:spacing w:after="0"/>
        <w:ind w:left="720" w:hanging="720"/>
        <w:rPr>
          <w:rFonts w:ascii="Arial" w:hAnsi="Arial" w:cs="Arial"/>
          <w:noProof/>
        </w:rPr>
      </w:pPr>
      <w:bookmarkStart w:id="26" w:name="_ENREF_2"/>
      <w:r w:rsidRPr="004644CB">
        <w:rPr>
          <w:rFonts w:ascii="Arial" w:hAnsi="Arial" w:cs="Arial"/>
          <w:noProof/>
        </w:rPr>
        <w:t>2.</w:t>
      </w:r>
      <w:r w:rsidRPr="004644CB">
        <w:rPr>
          <w:rFonts w:ascii="Arial" w:hAnsi="Arial" w:cs="Arial"/>
          <w:noProof/>
        </w:rPr>
        <w:tab/>
        <w:t>The Joint Commission (US). About the Joint Commission [cited 2017 Sep].</w:t>
      </w:r>
      <w:bookmarkEnd w:id="26"/>
    </w:p>
    <w:p w:rsidR="004644CB" w:rsidRPr="004644CB" w:rsidRDefault="004644CB" w:rsidP="00097AE7">
      <w:pPr>
        <w:spacing w:after="0"/>
        <w:ind w:left="720" w:hanging="720"/>
        <w:rPr>
          <w:rFonts w:ascii="Arial" w:hAnsi="Arial" w:cs="Arial"/>
          <w:noProof/>
        </w:rPr>
      </w:pPr>
      <w:bookmarkStart w:id="27" w:name="_ENREF_3"/>
      <w:r w:rsidRPr="004644CB">
        <w:rPr>
          <w:rFonts w:ascii="Arial" w:hAnsi="Arial" w:cs="Arial"/>
          <w:noProof/>
        </w:rPr>
        <w:t>3.</w:t>
      </w:r>
      <w:r w:rsidRPr="004644CB">
        <w:rPr>
          <w:rFonts w:ascii="Arial" w:hAnsi="Arial" w:cs="Arial"/>
          <w:noProof/>
        </w:rPr>
        <w:tab/>
        <w:t>Australian Commission on Safety and Quality in Health Care. Windows into Safety and Quality in Health Care 2011. Sydney: ACQHSC; 2011. Available from: https://</w:t>
      </w:r>
      <w:hyperlink r:id="rId31" w:history="1">
        <w:r w:rsidRPr="004644CB">
          <w:rPr>
            <w:rStyle w:val="Hyperlink"/>
            <w:rFonts w:ascii="Arial" w:hAnsi="Arial" w:cs="Arial"/>
            <w:noProof/>
          </w:rPr>
          <w:t>www.safetyandquality.gov.au/wp-content/uploads/2011/11/Windows-into-Safety-and-Quality-in-Health-Care-2011.pdf</w:t>
        </w:r>
      </w:hyperlink>
      <w:r w:rsidRPr="004644CB">
        <w:rPr>
          <w:rFonts w:ascii="Arial" w:hAnsi="Arial" w:cs="Arial"/>
          <w:noProof/>
        </w:rPr>
        <w:t>.</w:t>
      </w:r>
      <w:bookmarkEnd w:id="27"/>
    </w:p>
    <w:p w:rsidR="004644CB" w:rsidRPr="004644CB" w:rsidRDefault="00097AE7" w:rsidP="004644CB">
      <w:pPr>
        <w:spacing w:after="0"/>
        <w:ind w:left="720" w:hanging="720"/>
        <w:rPr>
          <w:rFonts w:ascii="Arial" w:hAnsi="Arial" w:cs="Arial"/>
          <w:noProof/>
        </w:rPr>
      </w:pPr>
      <w:bookmarkStart w:id="28" w:name="_ENREF_6"/>
      <w:r>
        <w:rPr>
          <w:rFonts w:ascii="Arial" w:hAnsi="Arial" w:cs="Arial"/>
          <w:noProof/>
        </w:rPr>
        <w:t>4</w:t>
      </w:r>
      <w:r w:rsidR="004644CB" w:rsidRPr="004644CB">
        <w:rPr>
          <w:rFonts w:ascii="Arial" w:hAnsi="Arial" w:cs="Arial"/>
          <w:noProof/>
        </w:rPr>
        <w:t>.</w:t>
      </w:r>
      <w:r w:rsidR="004644CB" w:rsidRPr="004644CB">
        <w:rPr>
          <w:rFonts w:ascii="Arial" w:hAnsi="Arial" w:cs="Arial"/>
          <w:noProof/>
        </w:rPr>
        <w:tab/>
        <w:t>Australian Commission on Safety and Quality in Health Care. National Safety and Quality Health Service Standards (second edition). Sydney: ACSQHC; 2017. Available from: https://</w:t>
      </w:r>
      <w:hyperlink r:id="rId32" w:history="1">
        <w:r w:rsidR="004644CB" w:rsidRPr="004644CB">
          <w:rPr>
            <w:rStyle w:val="Hyperlink"/>
            <w:rFonts w:ascii="Arial" w:hAnsi="Arial" w:cs="Arial"/>
            <w:noProof/>
          </w:rPr>
          <w:t>www.safetyandquality.gov.au/wp-content/uploads/2017/09/National-Safety-and-Quality-Health-Service-Standards-second-edition.pdf</w:t>
        </w:r>
      </w:hyperlink>
      <w:r w:rsidR="004644CB" w:rsidRPr="004644CB">
        <w:rPr>
          <w:rFonts w:ascii="Arial" w:hAnsi="Arial" w:cs="Arial"/>
          <w:noProof/>
        </w:rPr>
        <w:t>.</w:t>
      </w:r>
      <w:bookmarkEnd w:id="28"/>
    </w:p>
    <w:p w:rsidR="004644CB" w:rsidRPr="004644CB" w:rsidRDefault="00097AE7" w:rsidP="004644CB">
      <w:pPr>
        <w:spacing w:after="0"/>
        <w:ind w:left="720" w:hanging="720"/>
        <w:rPr>
          <w:rFonts w:ascii="Arial" w:hAnsi="Arial" w:cs="Arial"/>
          <w:noProof/>
        </w:rPr>
      </w:pPr>
      <w:bookmarkStart w:id="29" w:name="_ENREF_7"/>
      <w:r>
        <w:rPr>
          <w:rFonts w:ascii="Arial" w:hAnsi="Arial" w:cs="Arial"/>
          <w:noProof/>
        </w:rPr>
        <w:t>5</w:t>
      </w:r>
      <w:r w:rsidR="004644CB" w:rsidRPr="004644CB">
        <w:rPr>
          <w:rFonts w:ascii="Arial" w:hAnsi="Arial" w:cs="Arial"/>
          <w:noProof/>
        </w:rPr>
        <w:t>.</w:t>
      </w:r>
      <w:r w:rsidR="004644CB" w:rsidRPr="004644CB">
        <w:rPr>
          <w:rFonts w:ascii="Arial" w:hAnsi="Arial" w:cs="Arial"/>
          <w:noProof/>
        </w:rPr>
        <w:tab/>
        <w:t>Australian Commission on Safety and Quality in Health Care. Surgical Safety Checklist. Sydney: ACSQHC;  [cited 2017 Sep]; Available from: https://</w:t>
      </w:r>
      <w:hyperlink r:id="rId33" w:history="1">
        <w:r w:rsidR="004644CB" w:rsidRPr="004644CB">
          <w:rPr>
            <w:rStyle w:val="Hyperlink"/>
            <w:rFonts w:ascii="Arial" w:hAnsi="Arial" w:cs="Arial"/>
            <w:noProof/>
          </w:rPr>
          <w:t>www.safetyandquality.gov.au/our-work/patient-identification/patient-procedure-matching-protocols/surgical-safety-checklist/</w:t>
        </w:r>
      </w:hyperlink>
      <w:r w:rsidR="004644CB" w:rsidRPr="004644CB">
        <w:rPr>
          <w:rFonts w:ascii="Arial" w:hAnsi="Arial" w:cs="Arial"/>
          <w:noProof/>
        </w:rPr>
        <w:t>.</w:t>
      </w:r>
      <w:bookmarkEnd w:id="29"/>
    </w:p>
    <w:p w:rsidR="004644CB" w:rsidRPr="004644CB" w:rsidRDefault="00097AE7" w:rsidP="004644CB">
      <w:pPr>
        <w:spacing w:after="0"/>
        <w:ind w:left="720" w:hanging="720"/>
        <w:rPr>
          <w:rFonts w:ascii="Arial" w:hAnsi="Arial" w:cs="Arial"/>
          <w:noProof/>
        </w:rPr>
      </w:pPr>
      <w:bookmarkStart w:id="30" w:name="_ENREF_8"/>
      <w:r>
        <w:rPr>
          <w:rFonts w:ascii="Arial" w:hAnsi="Arial" w:cs="Arial"/>
          <w:noProof/>
        </w:rPr>
        <w:t>6</w:t>
      </w:r>
      <w:r w:rsidR="004644CB" w:rsidRPr="004644CB">
        <w:rPr>
          <w:rFonts w:ascii="Arial" w:hAnsi="Arial" w:cs="Arial"/>
          <w:noProof/>
        </w:rPr>
        <w:t>.</w:t>
      </w:r>
      <w:r w:rsidR="004644CB" w:rsidRPr="004644CB">
        <w:rPr>
          <w:rFonts w:ascii="Arial" w:hAnsi="Arial" w:cs="Arial"/>
          <w:noProof/>
        </w:rPr>
        <w:tab/>
        <w:t>Australian Commission on Safety and Quality in Health Care. Standard 7: Blood and Blood Products: safety and quality improvement guide. Sydney ACSQHC; 2012. Available from: https://</w:t>
      </w:r>
      <w:hyperlink r:id="rId34" w:history="1">
        <w:r w:rsidR="004644CB" w:rsidRPr="004644CB">
          <w:rPr>
            <w:rStyle w:val="Hyperlink"/>
            <w:rFonts w:ascii="Arial" w:hAnsi="Arial" w:cs="Arial"/>
            <w:noProof/>
          </w:rPr>
          <w:t>www.safetyandquality.gov.au/wp-content/uploads/2012/10/Standard7_Oct_2012_WEB.pdf</w:t>
        </w:r>
      </w:hyperlink>
      <w:r w:rsidR="004644CB" w:rsidRPr="004644CB">
        <w:rPr>
          <w:rFonts w:ascii="Arial" w:hAnsi="Arial" w:cs="Arial"/>
          <w:noProof/>
        </w:rPr>
        <w:t xml:space="preserve"> </w:t>
      </w:r>
      <w:bookmarkEnd w:id="30"/>
    </w:p>
    <w:p w:rsidR="004644CB" w:rsidRPr="004644CB" w:rsidRDefault="00097AE7" w:rsidP="004644CB">
      <w:pPr>
        <w:spacing w:after="0"/>
        <w:ind w:left="720" w:hanging="720"/>
        <w:rPr>
          <w:rFonts w:ascii="Arial" w:hAnsi="Arial" w:cs="Arial"/>
          <w:noProof/>
        </w:rPr>
      </w:pPr>
      <w:bookmarkStart w:id="31" w:name="_ENREF_9"/>
      <w:r>
        <w:rPr>
          <w:rFonts w:ascii="Arial" w:hAnsi="Arial" w:cs="Arial"/>
          <w:noProof/>
        </w:rPr>
        <w:t>7</w:t>
      </w:r>
      <w:r w:rsidR="004644CB" w:rsidRPr="004644CB">
        <w:rPr>
          <w:rFonts w:ascii="Arial" w:hAnsi="Arial" w:cs="Arial"/>
          <w:noProof/>
        </w:rPr>
        <w:t>.</w:t>
      </w:r>
      <w:r w:rsidR="004644CB" w:rsidRPr="004644CB">
        <w:rPr>
          <w:rFonts w:ascii="Arial" w:hAnsi="Arial" w:cs="Arial"/>
          <w:noProof/>
        </w:rPr>
        <w:tab/>
        <w:t>National Blood Authority Australia. Patient Blood Management Guidelines. Canberra: NBA;  [cited 2017 Sep]; Available from: https://</w:t>
      </w:r>
      <w:hyperlink r:id="rId35" w:history="1">
        <w:r w:rsidR="004644CB" w:rsidRPr="004644CB">
          <w:rPr>
            <w:rStyle w:val="Hyperlink"/>
            <w:rFonts w:ascii="Arial" w:hAnsi="Arial" w:cs="Arial"/>
            <w:noProof/>
          </w:rPr>
          <w:t>www.blood.gov.au/pbm-guidelines</w:t>
        </w:r>
      </w:hyperlink>
      <w:r w:rsidR="004644CB" w:rsidRPr="004644CB">
        <w:rPr>
          <w:rFonts w:ascii="Arial" w:hAnsi="Arial" w:cs="Arial"/>
          <w:noProof/>
        </w:rPr>
        <w:t>.</w:t>
      </w:r>
      <w:bookmarkEnd w:id="31"/>
    </w:p>
    <w:p w:rsidR="004644CB" w:rsidRPr="004644CB" w:rsidRDefault="00097AE7" w:rsidP="004644CB">
      <w:pPr>
        <w:spacing w:after="0"/>
        <w:ind w:left="720" w:hanging="720"/>
        <w:rPr>
          <w:rFonts w:ascii="Arial" w:hAnsi="Arial" w:cs="Arial"/>
          <w:noProof/>
        </w:rPr>
      </w:pPr>
      <w:bookmarkStart w:id="32" w:name="_ENREF_10"/>
      <w:r>
        <w:rPr>
          <w:rFonts w:ascii="Arial" w:hAnsi="Arial" w:cs="Arial"/>
          <w:noProof/>
        </w:rPr>
        <w:t>8</w:t>
      </w:r>
      <w:r w:rsidR="004644CB" w:rsidRPr="004644CB">
        <w:rPr>
          <w:rFonts w:ascii="Arial" w:hAnsi="Arial" w:cs="Arial"/>
          <w:noProof/>
        </w:rPr>
        <w:t>.</w:t>
      </w:r>
      <w:r w:rsidR="004644CB" w:rsidRPr="004644CB">
        <w:rPr>
          <w:rFonts w:ascii="Arial" w:hAnsi="Arial" w:cs="Arial"/>
          <w:noProof/>
        </w:rPr>
        <w:tab/>
        <w:t>BloodSafe. BloodSafe elearning Australia.  [cited 2017 Sep]; Available from: https://bloodsafelearning.org.au/.</w:t>
      </w:r>
      <w:bookmarkEnd w:id="32"/>
    </w:p>
    <w:p w:rsidR="004644CB" w:rsidRPr="004644CB" w:rsidRDefault="00097AE7" w:rsidP="004644CB">
      <w:pPr>
        <w:spacing w:after="0"/>
        <w:ind w:left="720" w:hanging="720"/>
        <w:rPr>
          <w:rFonts w:ascii="Arial" w:hAnsi="Arial" w:cs="Arial"/>
          <w:noProof/>
        </w:rPr>
      </w:pPr>
      <w:bookmarkStart w:id="33" w:name="_ENREF_11"/>
      <w:r>
        <w:rPr>
          <w:rFonts w:ascii="Arial" w:hAnsi="Arial" w:cs="Arial"/>
          <w:noProof/>
        </w:rPr>
        <w:t>9</w:t>
      </w:r>
      <w:r w:rsidR="004644CB" w:rsidRPr="004644CB">
        <w:rPr>
          <w:rFonts w:ascii="Arial" w:hAnsi="Arial" w:cs="Arial"/>
          <w:noProof/>
        </w:rPr>
        <w:t>.</w:t>
      </w:r>
      <w:r w:rsidR="004644CB" w:rsidRPr="004644CB">
        <w:rPr>
          <w:rFonts w:ascii="Arial" w:hAnsi="Arial" w:cs="Arial"/>
          <w:noProof/>
        </w:rPr>
        <w:tab/>
        <w:t xml:space="preserve">BloodSafe. Flippin' Blood: a bloodsafe flip chart to help make transfusion straightforward: BloodSafe and Australian Red Cross Blood Service; 2012. Available from: </w:t>
      </w:r>
      <w:hyperlink r:id="rId36" w:history="1">
        <w:r w:rsidR="004644CB" w:rsidRPr="004644CB">
          <w:rPr>
            <w:rStyle w:val="Hyperlink"/>
            <w:rFonts w:ascii="Arial" w:hAnsi="Arial" w:cs="Arial"/>
            <w:noProof/>
          </w:rPr>
          <w:t>http://resources.transfusion.com.au/cdm/ref/collection/p16691coll1/id/20</w:t>
        </w:r>
      </w:hyperlink>
      <w:r w:rsidR="004644CB" w:rsidRPr="004644CB">
        <w:rPr>
          <w:rFonts w:ascii="Arial" w:hAnsi="Arial" w:cs="Arial"/>
          <w:noProof/>
        </w:rPr>
        <w:t>.</w:t>
      </w:r>
      <w:bookmarkEnd w:id="33"/>
    </w:p>
    <w:p w:rsidR="004644CB" w:rsidRPr="004644CB" w:rsidRDefault="00097AE7" w:rsidP="004644CB">
      <w:pPr>
        <w:spacing w:after="0"/>
        <w:ind w:left="720" w:hanging="720"/>
        <w:rPr>
          <w:rFonts w:ascii="Arial" w:hAnsi="Arial" w:cs="Arial"/>
          <w:noProof/>
        </w:rPr>
      </w:pPr>
      <w:bookmarkStart w:id="34" w:name="_ENREF_12"/>
      <w:r>
        <w:rPr>
          <w:rFonts w:ascii="Arial" w:hAnsi="Arial" w:cs="Arial"/>
          <w:noProof/>
        </w:rPr>
        <w:t>10</w:t>
      </w:r>
      <w:r w:rsidR="004644CB" w:rsidRPr="004644CB">
        <w:rPr>
          <w:rFonts w:ascii="Arial" w:hAnsi="Arial" w:cs="Arial"/>
          <w:noProof/>
        </w:rPr>
        <w:t>.</w:t>
      </w:r>
      <w:r w:rsidR="004644CB" w:rsidRPr="004644CB">
        <w:rPr>
          <w:rFonts w:ascii="Arial" w:hAnsi="Arial" w:cs="Arial"/>
          <w:noProof/>
        </w:rPr>
        <w:tab/>
        <w:t>Australasian Health Infrastructure Alliance. Australasian Health Facility Guidelines: Part B – Health Facility Briefing and Planning, 0134 – Adult Acute Mental Health Inpatient Unit (revision 6.0). Sydney: Australasian Health Infrastructure Alliance; 2016. Available from: https://healthfacilityguidelines.com.au/hpu/adult-acute-mental-health-inpatient-unit-0.</w:t>
      </w:r>
      <w:bookmarkEnd w:id="34"/>
    </w:p>
    <w:p w:rsidR="004644CB" w:rsidRPr="004644CB" w:rsidRDefault="00097AE7" w:rsidP="004644CB">
      <w:pPr>
        <w:spacing w:after="0"/>
        <w:ind w:left="720" w:hanging="720"/>
        <w:rPr>
          <w:rFonts w:ascii="Arial" w:hAnsi="Arial" w:cs="Arial"/>
          <w:noProof/>
        </w:rPr>
      </w:pPr>
      <w:bookmarkStart w:id="35" w:name="_ENREF_13"/>
      <w:r>
        <w:rPr>
          <w:rFonts w:ascii="Arial" w:hAnsi="Arial" w:cs="Arial"/>
          <w:noProof/>
        </w:rPr>
        <w:t>11</w:t>
      </w:r>
      <w:r w:rsidR="004644CB" w:rsidRPr="004644CB">
        <w:rPr>
          <w:rFonts w:ascii="Arial" w:hAnsi="Arial" w:cs="Arial"/>
          <w:noProof/>
        </w:rPr>
        <w:t>.</w:t>
      </w:r>
      <w:r w:rsidR="004644CB" w:rsidRPr="004644CB">
        <w:rPr>
          <w:rFonts w:ascii="Arial" w:hAnsi="Arial" w:cs="Arial"/>
          <w:noProof/>
        </w:rPr>
        <w:tab/>
        <w:t>Australian Government Department of Health and Ageing. A framework for prevention of suicide in Australia2008. Available from: https://</w:t>
      </w:r>
      <w:hyperlink r:id="rId37" w:history="1">
        <w:r w:rsidR="004644CB" w:rsidRPr="004644CB">
          <w:rPr>
            <w:rStyle w:val="Hyperlink"/>
            <w:rFonts w:ascii="Arial" w:hAnsi="Arial" w:cs="Arial"/>
            <w:noProof/>
          </w:rPr>
          <w:t>www.lifeinmindaustralia.com.au/docs/LIFE-framework-web.pdf</w:t>
        </w:r>
      </w:hyperlink>
      <w:r w:rsidR="004644CB" w:rsidRPr="004644CB">
        <w:rPr>
          <w:rFonts w:ascii="Arial" w:hAnsi="Arial" w:cs="Arial"/>
          <w:noProof/>
        </w:rPr>
        <w:t>.</w:t>
      </w:r>
      <w:bookmarkEnd w:id="35"/>
    </w:p>
    <w:p w:rsidR="004644CB" w:rsidRPr="004644CB" w:rsidRDefault="00097AE7" w:rsidP="004644CB">
      <w:pPr>
        <w:spacing w:after="0"/>
        <w:ind w:left="720" w:hanging="720"/>
        <w:rPr>
          <w:rFonts w:ascii="Arial" w:hAnsi="Arial" w:cs="Arial"/>
          <w:noProof/>
        </w:rPr>
      </w:pPr>
      <w:bookmarkStart w:id="36" w:name="_ENREF_14"/>
      <w:r>
        <w:rPr>
          <w:rFonts w:ascii="Arial" w:hAnsi="Arial" w:cs="Arial"/>
          <w:noProof/>
        </w:rPr>
        <w:t>12</w:t>
      </w:r>
      <w:r w:rsidR="004644CB" w:rsidRPr="004644CB">
        <w:rPr>
          <w:rFonts w:ascii="Arial" w:hAnsi="Arial" w:cs="Arial"/>
          <w:noProof/>
        </w:rPr>
        <w:t>.</w:t>
      </w:r>
      <w:r w:rsidR="004644CB" w:rsidRPr="004644CB">
        <w:rPr>
          <w:rFonts w:ascii="Arial" w:hAnsi="Arial" w:cs="Arial"/>
          <w:noProof/>
        </w:rPr>
        <w:tab/>
        <w:t xml:space="preserve">Australian Government Department of Health and Ageing. National Standards for Mental Health Services, Standard 2: Safety. Implementation guidelines for public mental health services and private hospitals. Canberra: Commonwealth of Australia; 2010. Available from: </w:t>
      </w:r>
      <w:hyperlink r:id="rId38" w:history="1">
        <w:r w:rsidR="004644CB" w:rsidRPr="004644CB">
          <w:rPr>
            <w:rStyle w:val="Hyperlink"/>
            <w:rFonts w:ascii="Arial" w:hAnsi="Arial" w:cs="Arial"/>
            <w:noProof/>
          </w:rPr>
          <w:t>http://www.health.gov.au/internet/main/publishing.nsf/Content/A26C43ABB710D134CA257BF000212022/$File/pub2.pdf</w:t>
        </w:r>
      </w:hyperlink>
      <w:r w:rsidR="004644CB" w:rsidRPr="004644CB">
        <w:rPr>
          <w:rFonts w:ascii="Arial" w:hAnsi="Arial" w:cs="Arial"/>
          <w:noProof/>
        </w:rPr>
        <w:t>.</w:t>
      </w:r>
      <w:bookmarkEnd w:id="36"/>
    </w:p>
    <w:p w:rsidR="004644CB" w:rsidRPr="004644CB" w:rsidRDefault="004644CB" w:rsidP="00B64D3D">
      <w:pPr>
        <w:keepNext/>
        <w:spacing w:after="0"/>
        <w:ind w:left="720" w:hanging="720"/>
        <w:rPr>
          <w:rFonts w:ascii="Arial" w:hAnsi="Arial" w:cs="Arial"/>
          <w:noProof/>
        </w:rPr>
      </w:pPr>
      <w:bookmarkStart w:id="37" w:name="_ENREF_15"/>
      <w:r w:rsidRPr="004644CB">
        <w:rPr>
          <w:rFonts w:ascii="Arial" w:hAnsi="Arial" w:cs="Arial"/>
          <w:noProof/>
        </w:rPr>
        <w:t>1</w:t>
      </w:r>
      <w:r w:rsidR="00097AE7">
        <w:rPr>
          <w:rFonts w:ascii="Arial" w:hAnsi="Arial" w:cs="Arial"/>
          <w:noProof/>
        </w:rPr>
        <w:t>3</w:t>
      </w:r>
      <w:r w:rsidRPr="004644CB">
        <w:rPr>
          <w:rFonts w:ascii="Arial" w:hAnsi="Arial" w:cs="Arial"/>
          <w:noProof/>
        </w:rPr>
        <w:t>.</w:t>
      </w:r>
      <w:r w:rsidRPr="004644CB">
        <w:rPr>
          <w:rFonts w:ascii="Arial" w:hAnsi="Arial" w:cs="Arial"/>
          <w:noProof/>
        </w:rPr>
        <w:tab/>
        <w:t xml:space="preserve">Safety and Quality Partnership Standing Committee. National Practice Standards for the Mental Health Workforce2013. Available from: </w:t>
      </w:r>
      <w:hyperlink r:id="rId39" w:history="1">
        <w:r w:rsidRPr="004644CB">
          <w:rPr>
            <w:rStyle w:val="Hyperlink"/>
            <w:rFonts w:ascii="Arial" w:hAnsi="Arial" w:cs="Arial"/>
            <w:noProof/>
          </w:rPr>
          <w:t>http://www.health.gov.au/internet/main/publishing.nsf/content/5D7909E82304E6D2CA257C430004E877/$File/wkstd13.pdf</w:t>
        </w:r>
      </w:hyperlink>
      <w:r w:rsidRPr="004644CB">
        <w:rPr>
          <w:rFonts w:ascii="Arial" w:hAnsi="Arial" w:cs="Arial"/>
          <w:noProof/>
        </w:rPr>
        <w:t>.</w:t>
      </w:r>
      <w:bookmarkEnd w:id="37"/>
    </w:p>
    <w:p w:rsidR="004644CB" w:rsidRPr="004644CB" w:rsidRDefault="00097AE7" w:rsidP="004644CB">
      <w:pPr>
        <w:spacing w:after="0"/>
        <w:ind w:left="720" w:hanging="720"/>
        <w:rPr>
          <w:rFonts w:ascii="Arial" w:hAnsi="Arial" w:cs="Arial"/>
          <w:noProof/>
        </w:rPr>
      </w:pPr>
      <w:bookmarkStart w:id="38" w:name="_ENREF_16"/>
      <w:r>
        <w:rPr>
          <w:rFonts w:ascii="Arial" w:hAnsi="Arial" w:cs="Arial"/>
          <w:noProof/>
        </w:rPr>
        <w:t>14</w:t>
      </w:r>
      <w:r w:rsidR="004644CB" w:rsidRPr="004644CB">
        <w:rPr>
          <w:rFonts w:ascii="Arial" w:hAnsi="Arial" w:cs="Arial"/>
          <w:noProof/>
        </w:rPr>
        <w:t>.</w:t>
      </w:r>
      <w:r w:rsidR="004644CB" w:rsidRPr="004644CB">
        <w:rPr>
          <w:rFonts w:ascii="Arial" w:hAnsi="Arial" w:cs="Arial"/>
          <w:noProof/>
        </w:rPr>
        <w:tab/>
        <w:t xml:space="preserve">National Mental Health Working Group. National Safety Priorities in Mental Health: a national plan for reducing harm. Canberra: Commonwealth of Australia; 2005. Available from: </w:t>
      </w:r>
      <w:hyperlink r:id="rId40" w:history="1">
        <w:r w:rsidR="004644CB" w:rsidRPr="004644CB">
          <w:rPr>
            <w:rStyle w:val="Hyperlink"/>
            <w:rFonts w:ascii="Arial" w:hAnsi="Arial" w:cs="Arial"/>
            <w:noProof/>
          </w:rPr>
          <w:t>http://www.health.gov.au/internet/publications/publishing.nsf/Content/mental-pubs-n-safety-toc~mental-pubs-n-safety-2</w:t>
        </w:r>
      </w:hyperlink>
      <w:r w:rsidR="004644CB" w:rsidRPr="004644CB">
        <w:rPr>
          <w:rFonts w:ascii="Arial" w:hAnsi="Arial" w:cs="Arial"/>
          <w:noProof/>
        </w:rPr>
        <w:t>.</w:t>
      </w:r>
      <w:bookmarkEnd w:id="38"/>
    </w:p>
    <w:p w:rsidR="0070201E" w:rsidRPr="004644CB" w:rsidRDefault="00657CB6" w:rsidP="0070201E">
      <w:pPr>
        <w:spacing w:after="0"/>
        <w:ind w:left="720" w:hanging="720"/>
        <w:rPr>
          <w:rFonts w:ascii="Arial" w:hAnsi="Arial" w:cs="Arial"/>
          <w:noProof/>
        </w:rPr>
      </w:pPr>
      <w:bookmarkStart w:id="39" w:name="_ENREF_17"/>
      <w:r>
        <w:rPr>
          <w:rFonts w:ascii="Arial" w:hAnsi="Arial" w:cs="Arial"/>
          <w:noProof/>
        </w:rPr>
        <w:lastRenderedPageBreak/>
        <w:t>15</w:t>
      </w:r>
      <w:r w:rsidR="004644CB" w:rsidRPr="004644CB">
        <w:rPr>
          <w:rFonts w:ascii="Arial" w:hAnsi="Arial" w:cs="Arial"/>
          <w:noProof/>
        </w:rPr>
        <w:t>.</w:t>
      </w:r>
      <w:r w:rsidR="004644CB" w:rsidRPr="004644CB">
        <w:rPr>
          <w:rFonts w:ascii="Arial" w:hAnsi="Arial" w:cs="Arial"/>
          <w:noProof/>
        </w:rPr>
        <w:tab/>
        <w:t xml:space="preserve">Australian Commission on Safety and Quality in Health Care. Medication Safety: Available from: </w:t>
      </w:r>
      <w:bookmarkEnd w:id="39"/>
      <w:r w:rsidR="0070201E" w:rsidRPr="0070201E">
        <w:rPr>
          <w:rFonts w:ascii="Arial" w:hAnsi="Arial" w:cs="Arial"/>
          <w:noProof/>
        </w:rPr>
        <w:t>https://www.safetyandquality.gov.au/our-work/medication-safety/</w:t>
      </w:r>
    </w:p>
    <w:p w:rsidR="004644CB" w:rsidRPr="004644CB" w:rsidRDefault="00657CB6" w:rsidP="004644CB">
      <w:pPr>
        <w:spacing w:after="0"/>
        <w:ind w:left="720" w:hanging="720"/>
        <w:rPr>
          <w:rFonts w:ascii="Arial" w:hAnsi="Arial" w:cs="Arial"/>
          <w:noProof/>
        </w:rPr>
      </w:pPr>
      <w:bookmarkStart w:id="40" w:name="_ENREF_18"/>
      <w:r>
        <w:rPr>
          <w:rFonts w:ascii="Arial" w:hAnsi="Arial" w:cs="Arial"/>
          <w:noProof/>
        </w:rPr>
        <w:t>16</w:t>
      </w:r>
      <w:r w:rsidR="004644CB" w:rsidRPr="004644CB">
        <w:rPr>
          <w:rFonts w:ascii="Arial" w:hAnsi="Arial" w:cs="Arial"/>
          <w:noProof/>
        </w:rPr>
        <w:t>.</w:t>
      </w:r>
      <w:r w:rsidR="004644CB" w:rsidRPr="004644CB">
        <w:rPr>
          <w:rFonts w:ascii="Arial" w:hAnsi="Arial" w:cs="Arial"/>
          <w:noProof/>
        </w:rPr>
        <w:tab/>
        <w:t>Royal Australian and New Zealand College of Psychiatrists. Position Statement 61: minimising the use of seclusion and restraint in people with mental illness 2016; 2017. Available from: https://</w:t>
      </w:r>
      <w:hyperlink r:id="rId41" w:history="1">
        <w:r w:rsidR="004644CB" w:rsidRPr="004644CB">
          <w:rPr>
            <w:rStyle w:val="Hyperlink"/>
            <w:rFonts w:ascii="Arial" w:hAnsi="Arial" w:cs="Arial"/>
            <w:noProof/>
          </w:rPr>
          <w:t>www.ranzcp.org/Files/Resources/College_Statements/Position_Statements/PS-61-Minimising-the-use-of-seclusion-and-restrain.aspx</w:t>
        </w:r>
      </w:hyperlink>
      <w:r w:rsidR="004644CB" w:rsidRPr="004644CB">
        <w:rPr>
          <w:rFonts w:ascii="Arial" w:hAnsi="Arial" w:cs="Arial"/>
          <w:noProof/>
        </w:rPr>
        <w:t xml:space="preserve"> </w:t>
      </w:r>
      <w:bookmarkEnd w:id="40"/>
    </w:p>
    <w:p w:rsidR="004644CB" w:rsidRPr="004644CB" w:rsidRDefault="00657CB6" w:rsidP="004644CB">
      <w:pPr>
        <w:spacing w:after="0"/>
        <w:ind w:left="720" w:hanging="720"/>
        <w:rPr>
          <w:rFonts w:ascii="Arial" w:hAnsi="Arial" w:cs="Arial"/>
          <w:noProof/>
        </w:rPr>
      </w:pPr>
      <w:bookmarkStart w:id="41" w:name="_ENREF_19"/>
      <w:r>
        <w:rPr>
          <w:rFonts w:ascii="Arial" w:hAnsi="Arial" w:cs="Arial"/>
          <w:noProof/>
        </w:rPr>
        <w:t>17</w:t>
      </w:r>
      <w:r w:rsidR="004644CB" w:rsidRPr="004644CB">
        <w:rPr>
          <w:rFonts w:ascii="Arial" w:hAnsi="Arial" w:cs="Arial"/>
          <w:noProof/>
        </w:rPr>
        <w:t>.</w:t>
      </w:r>
      <w:r w:rsidR="004644CB" w:rsidRPr="004644CB">
        <w:rPr>
          <w:rFonts w:ascii="Arial" w:hAnsi="Arial" w:cs="Arial"/>
          <w:noProof/>
        </w:rPr>
        <w:tab/>
        <w:t xml:space="preserve">Australian Bureau of Statistics. 2901.0 Census of Population and Housing: Census Dictionary - Glossary. Canberra: ABS; 2016 [cited Sep 2017]; Available from: </w:t>
      </w:r>
      <w:hyperlink r:id="rId42" w:history="1">
        <w:r w:rsidR="004644CB" w:rsidRPr="004644CB">
          <w:rPr>
            <w:rStyle w:val="Hyperlink"/>
            <w:rFonts w:ascii="Arial" w:hAnsi="Arial" w:cs="Arial"/>
            <w:noProof/>
          </w:rPr>
          <w:t>http://www.abs.gov.au/ausstats/abs@.nsf/Lookup/2901.0Chapter25702016</w:t>
        </w:r>
      </w:hyperlink>
      <w:r w:rsidR="004644CB" w:rsidRPr="004644CB">
        <w:rPr>
          <w:rFonts w:ascii="Arial" w:hAnsi="Arial" w:cs="Arial"/>
          <w:noProof/>
        </w:rPr>
        <w:t>.</w:t>
      </w:r>
      <w:bookmarkEnd w:id="41"/>
    </w:p>
    <w:p w:rsidR="004644CB" w:rsidRDefault="00657CB6" w:rsidP="004644CB">
      <w:pPr>
        <w:ind w:left="720" w:hanging="720"/>
        <w:rPr>
          <w:rFonts w:ascii="Arial" w:hAnsi="Arial" w:cs="Arial"/>
          <w:noProof/>
        </w:rPr>
      </w:pPr>
      <w:bookmarkStart w:id="42" w:name="_ENREF_20"/>
      <w:r>
        <w:rPr>
          <w:rFonts w:ascii="Arial" w:hAnsi="Arial" w:cs="Arial"/>
          <w:noProof/>
        </w:rPr>
        <w:t>18</w:t>
      </w:r>
      <w:r w:rsidR="004644CB" w:rsidRPr="004644CB">
        <w:rPr>
          <w:rFonts w:ascii="Arial" w:hAnsi="Arial" w:cs="Arial"/>
          <w:noProof/>
        </w:rPr>
        <w:t>.</w:t>
      </w:r>
      <w:r w:rsidR="004644CB" w:rsidRPr="004644CB">
        <w:rPr>
          <w:rFonts w:ascii="Arial" w:hAnsi="Arial" w:cs="Arial"/>
          <w:noProof/>
        </w:rPr>
        <w:tab/>
        <w:t xml:space="preserve">The Joanna Briggs Institute. Methods for determining the correct nasogastric tube placement after insertion in adults. Best Practice: evidence-based information sheets for health professionals. Adelaide: The Joanna Briggs Institute; 2010. Available from: </w:t>
      </w:r>
      <w:bookmarkEnd w:id="42"/>
      <w:r w:rsidR="00644242" w:rsidRPr="00644242">
        <w:rPr>
          <w:rFonts w:ascii="Arial" w:hAnsi="Arial" w:cs="Arial"/>
          <w:noProof/>
        </w:rPr>
        <w:t>https://www.g-i-n.net/library/health-topics-collection/guidelines/jbi-au/methods-for-determining-the-correct-nasogastric-tube-placement-after-insertion-in-adults-14-1</w:t>
      </w:r>
    </w:p>
    <w:p w:rsidR="00644242" w:rsidRPr="004644CB" w:rsidRDefault="00644242" w:rsidP="004644CB">
      <w:pPr>
        <w:ind w:left="720" w:hanging="720"/>
        <w:rPr>
          <w:rFonts w:ascii="Arial" w:hAnsi="Arial" w:cs="Arial"/>
          <w:noProof/>
        </w:rPr>
      </w:pPr>
    </w:p>
    <w:p w:rsidR="004644CB" w:rsidRDefault="004644CB" w:rsidP="004644CB">
      <w:pPr>
        <w:rPr>
          <w:rFonts w:ascii="Arial" w:hAnsi="Arial" w:cs="Arial"/>
          <w:noProof/>
        </w:rPr>
      </w:pPr>
    </w:p>
    <w:p w:rsidR="00743DE0" w:rsidRDefault="004644CB" w:rsidP="00076081">
      <w:pPr>
        <w:spacing w:after="80"/>
      </w:pPr>
      <w:r w:rsidRPr="00076081">
        <w:fldChar w:fldCharType="end"/>
      </w:r>
    </w:p>
    <w:p w:rsidR="00743DE0" w:rsidRDefault="00743DE0" w:rsidP="00C97270">
      <w:pPr>
        <w:spacing w:after="80"/>
      </w:pPr>
    </w:p>
    <w:p w:rsidR="00743DE0" w:rsidRDefault="00743DE0" w:rsidP="00C97270">
      <w:pPr>
        <w:spacing w:after="80"/>
      </w:pPr>
    </w:p>
    <w:p w:rsidR="00E42C5F" w:rsidRDefault="00E42C5F">
      <w:pPr>
        <w:spacing w:after="80"/>
      </w:pPr>
      <w:r>
        <w:br w:type="page"/>
      </w:r>
    </w:p>
    <w:p w:rsidR="00743DE0" w:rsidRDefault="00743DE0" w:rsidP="00B64D3D">
      <w:pPr>
        <w:pStyle w:val="Heading2"/>
      </w:pPr>
      <w:bookmarkStart w:id="43" w:name="_Toc1338091"/>
      <w:r w:rsidRPr="00743DE0">
        <w:lastRenderedPageBreak/>
        <w:t>A</w:t>
      </w:r>
      <w:r w:rsidR="00B64D3D">
        <w:t xml:space="preserve">ppendix </w:t>
      </w:r>
      <w:r w:rsidRPr="00743DE0">
        <w:t>A</w:t>
      </w:r>
      <w:bookmarkEnd w:id="43"/>
    </w:p>
    <w:p w:rsidR="00743DE0" w:rsidRDefault="00743DE0" w:rsidP="00743DE0">
      <w:pPr>
        <w:spacing w:after="80"/>
        <w:ind w:left="720"/>
        <w:jc w:val="right"/>
        <w:rPr>
          <w:b/>
        </w:rPr>
      </w:pPr>
    </w:p>
    <w:p w:rsidR="00743DE0" w:rsidRDefault="00743DE0" w:rsidP="00743DE0">
      <w:pPr>
        <w:spacing w:after="80"/>
        <w:ind w:left="720"/>
        <w:jc w:val="center"/>
        <w:rPr>
          <w:b/>
        </w:rPr>
      </w:pPr>
      <w:r>
        <w:rPr>
          <w:b/>
        </w:rPr>
        <w:t>Membership of the Sentinel Events Review Steering Committee (SERSC)</w:t>
      </w:r>
    </w:p>
    <w:p w:rsidR="00743DE0" w:rsidRDefault="00743DE0" w:rsidP="00743DE0">
      <w:pPr>
        <w:spacing w:after="80"/>
        <w:ind w:left="720"/>
        <w:jc w:val="center"/>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743DE0" w:rsidRPr="00743DE0" w:rsidTr="002151E8">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DE0" w:rsidRPr="00743DE0" w:rsidRDefault="00743DE0" w:rsidP="00743DE0">
            <w:pPr>
              <w:spacing w:after="80"/>
              <w:ind w:left="720"/>
              <w:jc w:val="center"/>
              <w:rPr>
                <w:b/>
              </w:rPr>
            </w:pPr>
            <w:r w:rsidRPr="00743DE0">
              <w:rPr>
                <w:b/>
              </w:rPr>
              <w:t>Name</w:t>
            </w:r>
          </w:p>
        </w:tc>
        <w:tc>
          <w:tcPr>
            <w:tcW w:w="5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DE0" w:rsidRPr="00743DE0" w:rsidRDefault="00743DE0" w:rsidP="00743DE0">
            <w:pPr>
              <w:spacing w:after="80"/>
              <w:ind w:left="720"/>
              <w:jc w:val="center"/>
              <w:rPr>
                <w:b/>
              </w:rPr>
            </w:pPr>
            <w:r w:rsidRPr="00743DE0">
              <w:rPr>
                <w:b/>
              </w:rPr>
              <w:t>Title</w:t>
            </w:r>
          </w:p>
        </w:tc>
      </w:tr>
      <w:tr w:rsidR="00743DE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743DE0" w:rsidRPr="00743DE0" w:rsidRDefault="00743DE0" w:rsidP="00743DE0">
            <w:pPr>
              <w:spacing w:after="80"/>
            </w:pPr>
            <w:r w:rsidRPr="00743DE0">
              <w:t>Michele McKinnon (Chair)</w:t>
            </w:r>
          </w:p>
        </w:tc>
        <w:tc>
          <w:tcPr>
            <w:tcW w:w="5862" w:type="dxa"/>
            <w:tcBorders>
              <w:top w:val="single" w:sz="4" w:space="0" w:color="auto"/>
              <w:left w:val="single" w:sz="4" w:space="0" w:color="auto"/>
              <w:bottom w:val="single" w:sz="4" w:space="0" w:color="auto"/>
              <w:right w:val="single" w:sz="4" w:space="0" w:color="auto"/>
            </w:tcBorders>
          </w:tcPr>
          <w:p w:rsidR="00743DE0" w:rsidRPr="00743DE0" w:rsidRDefault="00743DE0" w:rsidP="00743DE0">
            <w:pPr>
              <w:spacing w:after="80"/>
              <w:rPr>
                <w:bCs/>
              </w:rPr>
            </w:pPr>
            <w:r w:rsidRPr="00743DE0">
              <w:rPr>
                <w:bCs/>
              </w:rPr>
              <w:t>Executive Director, Quality, Information and Performance,</w:t>
            </w:r>
            <w:r>
              <w:rPr>
                <w:bCs/>
              </w:rPr>
              <w:t xml:space="preserve"> </w:t>
            </w:r>
            <w:r w:rsidRPr="00743DE0">
              <w:t>Systems Performance and Service Delivery (SA)</w:t>
            </w:r>
          </w:p>
        </w:tc>
      </w:tr>
      <w:tr w:rsidR="00743DE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743DE0" w:rsidRPr="00743DE0" w:rsidRDefault="00743DE0" w:rsidP="00743DE0">
            <w:pPr>
              <w:spacing w:after="80"/>
            </w:pPr>
            <w:r>
              <w:t>Anthony Hobbs</w:t>
            </w:r>
          </w:p>
        </w:tc>
        <w:tc>
          <w:tcPr>
            <w:tcW w:w="5862" w:type="dxa"/>
            <w:tcBorders>
              <w:top w:val="single" w:sz="4" w:space="0" w:color="auto"/>
              <w:left w:val="single" w:sz="4" w:space="0" w:color="auto"/>
              <w:bottom w:val="single" w:sz="4" w:space="0" w:color="auto"/>
              <w:right w:val="single" w:sz="4" w:space="0" w:color="auto"/>
            </w:tcBorders>
          </w:tcPr>
          <w:p w:rsidR="00743DE0" w:rsidRPr="00743DE0" w:rsidRDefault="00743DE0" w:rsidP="00743DE0">
            <w:pPr>
              <w:spacing w:after="80"/>
            </w:pPr>
            <w:r w:rsidRPr="0048074A">
              <w:rPr>
                <w:rFonts w:ascii="Arial" w:hAnsi="Arial" w:cs="Arial"/>
              </w:rPr>
              <w:t>Deputy Chief Medical Officer (CTH)</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rPr>
                <w:i/>
              </w:rPr>
            </w:pPr>
            <w:r>
              <w:t>Cate Malone</w:t>
            </w:r>
            <w:r w:rsidRPr="00743DE0">
              <w:rPr>
                <w:i/>
              </w:rPr>
              <w:t xml:space="preserve"> </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t>Senior Manager</w:t>
            </w:r>
            <w:r w:rsidRPr="00743DE0">
              <w:t>, Patient Safety, Clinical Excellence Commission (NSW)</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t>Jane Murkin</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48074A">
              <w:rPr>
                <w:rFonts w:ascii="Arial" w:hAnsi="Arial" w:cs="Arial"/>
              </w:rPr>
              <w:t xml:space="preserve">Deputy Director-General, Quality Governance and Risk </w:t>
            </w:r>
            <w:r>
              <w:t>(ACT)</w:t>
            </w:r>
          </w:p>
        </w:tc>
      </w:tr>
      <w:tr w:rsidR="00276C1C"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276C1C" w:rsidRDefault="00276C1C" w:rsidP="002151E8">
            <w:pPr>
              <w:spacing w:after="80"/>
            </w:pPr>
            <w:r>
              <w:t>Jennifer Nobbs (observer)</w:t>
            </w:r>
          </w:p>
        </w:tc>
        <w:tc>
          <w:tcPr>
            <w:tcW w:w="5862" w:type="dxa"/>
            <w:tcBorders>
              <w:top w:val="single" w:sz="4" w:space="0" w:color="auto"/>
              <w:left w:val="single" w:sz="4" w:space="0" w:color="auto"/>
              <w:bottom w:val="single" w:sz="4" w:space="0" w:color="auto"/>
              <w:right w:val="single" w:sz="4" w:space="0" w:color="auto"/>
            </w:tcBorders>
          </w:tcPr>
          <w:p w:rsidR="00276C1C" w:rsidRPr="0048074A" w:rsidRDefault="00276C1C" w:rsidP="002151E8">
            <w:pPr>
              <w:spacing w:after="80"/>
              <w:rPr>
                <w:rFonts w:ascii="Arial" w:hAnsi="Arial" w:cs="Arial"/>
              </w:rPr>
            </w:pPr>
            <w:r>
              <w:rPr>
                <w:rFonts w:ascii="Arial" w:hAnsi="Arial" w:cs="Arial"/>
              </w:rPr>
              <w:t>Executive Director, Activity Based Funding (IHPA)</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 xml:space="preserve">Jodi Glading </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Deputy Principal Medical Advisor (TAS)</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743DE0">
            <w:pPr>
              <w:spacing w:after="80"/>
            </w:pPr>
            <w:r w:rsidRPr="00743DE0">
              <w:t xml:space="preserve">Tim van Bronswijk </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743DE0">
            <w:pPr>
              <w:spacing w:after="80"/>
            </w:pPr>
            <w:r w:rsidRPr="00743DE0">
              <w:t>A/Assistant Director, Patient Safety Surveillance Unit (WA)</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Jonathan Prescott</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E42C5F">
            <w:pPr>
              <w:spacing w:after="80"/>
            </w:pPr>
            <w:r>
              <w:t>Manager, Clinical Safety and Monitoring, Safer Care Victoria (VIC</w:t>
            </w:r>
            <w:r w:rsidR="00630D20" w:rsidRPr="00743DE0">
              <w:t>)</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Kirstine Sketcher-Baker</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Executive Director, Patient Safety and Quality Improvement Service, Clinical Excellence Division (QLD)</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t>Sarah Stephens</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2151E8">
            <w:pPr>
              <w:spacing w:after="80"/>
            </w:pPr>
            <w:r w:rsidRPr="00743DE0">
              <w:t xml:space="preserve">Assistant Director, </w:t>
            </w:r>
            <w:r w:rsidRPr="0048074A">
              <w:rPr>
                <w:rFonts w:ascii="Arial" w:hAnsi="Arial" w:cs="Arial"/>
              </w:rPr>
              <w:t xml:space="preserve">Hospitals and Transport Programmes </w:t>
            </w:r>
            <w:r w:rsidRPr="00743DE0">
              <w:t>(DVA)</w:t>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Default="00630D20" w:rsidP="00743DE0">
            <w:pPr>
              <w:spacing w:after="80"/>
            </w:pPr>
            <w:r>
              <w:t>Sarah Watson</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743DE0">
            <w:pPr>
              <w:tabs>
                <w:tab w:val="left" w:pos="1480"/>
              </w:tabs>
              <w:spacing w:after="80"/>
            </w:pPr>
            <w:r w:rsidRPr="0048074A">
              <w:rPr>
                <w:rFonts w:ascii="Arial" w:hAnsi="Arial" w:cs="Arial"/>
              </w:rPr>
              <w:t xml:space="preserve">Director, Clinical Quality and Patient Safety </w:t>
            </w:r>
            <w:r>
              <w:t>(NT)</w:t>
            </w:r>
            <w:r>
              <w:tab/>
            </w:r>
          </w:p>
        </w:tc>
      </w:tr>
      <w:tr w:rsidR="00630D20" w:rsidRPr="00743DE0" w:rsidTr="002151E8">
        <w:trPr>
          <w:trHeight w:val="454"/>
        </w:trPr>
        <w:tc>
          <w:tcPr>
            <w:tcW w:w="3708" w:type="dxa"/>
            <w:tcBorders>
              <w:top w:val="single" w:sz="4" w:space="0" w:color="auto"/>
              <w:left w:val="single" w:sz="4" w:space="0" w:color="auto"/>
              <w:bottom w:val="single" w:sz="4" w:space="0" w:color="auto"/>
              <w:right w:val="single" w:sz="4" w:space="0" w:color="auto"/>
            </w:tcBorders>
          </w:tcPr>
          <w:p w:rsidR="00630D20" w:rsidRPr="00743DE0" w:rsidRDefault="00630D20" w:rsidP="00743DE0">
            <w:pPr>
              <w:spacing w:after="80"/>
            </w:pPr>
            <w:r w:rsidRPr="00743DE0">
              <w:t>Stephanie Newell</w:t>
            </w:r>
          </w:p>
        </w:tc>
        <w:tc>
          <w:tcPr>
            <w:tcW w:w="5862" w:type="dxa"/>
            <w:tcBorders>
              <w:top w:val="single" w:sz="4" w:space="0" w:color="auto"/>
              <w:left w:val="single" w:sz="4" w:space="0" w:color="auto"/>
              <w:bottom w:val="single" w:sz="4" w:space="0" w:color="auto"/>
              <w:right w:val="single" w:sz="4" w:space="0" w:color="auto"/>
            </w:tcBorders>
          </w:tcPr>
          <w:p w:rsidR="00630D20" w:rsidRPr="00743DE0" w:rsidRDefault="00630D20" w:rsidP="00743DE0">
            <w:pPr>
              <w:spacing w:after="80"/>
            </w:pPr>
            <w:r w:rsidRPr="00743DE0">
              <w:t xml:space="preserve">Consumer representative </w:t>
            </w:r>
          </w:p>
        </w:tc>
      </w:tr>
    </w:tbl>
    <w:p w:rsidR="004644CB" w:rsidRDefault="004644CB" w:rsidP="00743DE0">
      <w:pPr>
        <w:spacing w:after="80"/>
        <w:ind w:left="720"/>
        <w:jc w:val="center"/>
        <w:rPr>
          <w:b/>
        </w:rPr>
      </w:pPr>
    </w:p>
    <w:sectPr w:rsidR="004644CB" w:rsidSect="006803BA">
      <w:headerReference w:type="even" r:id="rId43"/>
      <w:headerReference w:type="default" r:id="rId44"/>
      <w:footerReference w:type="default" r:id="rId45"/>
      <w:headerReference w:type="first" r:id="rId46"/>
      <w:footerReference w:type="first" r:id="rId47"/>
      <w:footnotePr>
        <w:numFmt w:val="chicago"/>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07" w:rsidRDefault="00E11507" w:rsidP="000B0274">
      <w:r>
        <w:separator/>
      </w:r>
    </w:p>
  </w:endnote>
  <w:endnote w:type="continuationSeparator" w:id="0">
    <w:p w:rsidR="00E11507" w:rsidRDefault="00E11507"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7" w:rsidRPr="00F57148" w:rsidRDefault="00E11507" w:rsidP="009B053D">
    <w:pPr>
      <w:pStyle w:val="Footer"/>
      <w:jc w:val="right"/>
    </w:pPr>
    <w:r>
      <w:t>Australian sentinel events list (version 2)</w:t>
    </w:r>
    <w:r>
      <w:tab/>
    </w:r>
    <w:r>
      <w:tab/>
    </w:r>
    <w:r w:rsidRPr="00F57148">
      <w:fldChar w:fldCharType="begin"/>
    </w:r>
    <w:r w:rsidRPr="00F57148">
      <w:instrText xml:space="preserve"> PAGE   \* MERGEFORMAT </w:instrText>
    </w:r>
    <w:r w:rsidRPr="00F57148">
      <w:fldChar w:fldCharType="separate"/>
    </w:r>
    <w:r w:rsidR="00C605BD">
      <w:rPr>
        <w:noProof/>
      </w:rPr>
      <w:t>1</w:t>
    </w:r>
    <w:r w:rsidRPr="00F57148">
      <w:rPr>
        <w:noProof/>
      </w:rPr>
      <w:fldChar w:fldCharType="end"/>
    </w:r>
  </w:p>
  <w:p w:rsidR="00E11507" w:rsidRDefault="00E11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7" w:rsidRPr="006803BA" w:rsidRDefault="00E11507" w:rsidP="000B0274">
    <w:r w:rsidRPr="006803BA">
      <w:t>Insert title</w:t>
    </w:r>
    <w:r>
      <w:tab/>
    </w:r>
    <w:r>
      <w:tab/>
    </w:r>
    <w:r w:rsidRPr="006803BA">
      <w:fldChar w:fldCharType="begin"/>
    </w:r>
    <w:r w:rsidRPr="006803BA">
      <w:instrText xml:space="preserve"> PAGE   \* MERGEFORMAT </w:instrText>
    </w:r>
    <w:r w:rsidRPr="006803BA">
      <w:fldChar w:fldCharType="separate"/>
    </w:r>
    <w:r>
      <w:rPr>
        <w:noProof/>
      </w:rPr>
      <w:t>0</w:t>
    </w:r>
    <w:r w:rsidRPr="006803BA">
      <w:rPr>
        <w:noProof/>
      </w:rPr>
      <w:fldChar w:fldCharType="end"/>
    </w:r>
  </w:p>
  <w:p w:rsidR="00E11507" w:rsidRDefault="00E11507" w:rsidP="000B02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07" w:rsidRDefault="00E11507" w:rsidP="000B0274">
      <w:r>
        <w:separator/>
      </w:r>
    </w:p>
  </w:footnote>
  <w:footnote w:type="continuationSeparator" w:id="0">
    <w:p w:rsidR="00E11507" w:rsidRDefault="00E11507" w:rsidP="000B0274">
      <w:r>
        <w:continuationSeparator/>
      </w:r>
    </w:p>
  </w:footnote>
  <w:footnote w:id="1">
    <w:p w:rsidR="00E11507" w:rsidRDefault="00E11507" w:rsidP="009D3CA2">
      <w:pPr>
        <w:pStyle w:val="FootnoteText"/>
      </w:pPr>
      <w:r>
        <w:rPr>
          <w:rStyle w:val="FootnoteReference"/>
        </w:rPr>
        <w:footnoteRef/>
      </w:r>
      <w:r>
        <w:t xml:space="preserve"> Definition changed in June 2009 from ‘</w:t>
      </w:r>
      <w:r w:rsidRPr="00AB4025">
        <w:rPr>
          <w:szCs w:val="24"/>
        </w:rPr>
        <w:t>Procedures involving the wrong patient or body part</w:t>
      </w:r>
      <w:r>
        <w:rPr>
          <w:szCs w:val="24"/>
        </w:rPr>
        <w:t>’ to ‘</w:t>
      </w:r>
      <w:r w:rsidRPr="00CF045B">
        <w:rPr>
          <w:szCs w:val="24"/>
        </w:rPr>
        <w:t>Procedures involving the wrong patient or body part resulting in death or major permanent loss of function</w:t>
      </w:r>
      <w:r>
        <w:rPr>
          <w:szCs w:val="24"/>
        </w:rPr>
        <w:t>’.</w:t>
      </w:r>
    </w:p>
  </w:footnote>
  <w:footnote w:id="2">
    <w:p w:rsidR="00E11507" w:rsidRDefault="00E11507" w:rsidP="009D3CA2">
      <w:pPr>
        <w:pStyle w:val="FootnoteText"/>
      </w:pPr>
      <w:r>
        <w:rPr>
          <w:rStyle w:val="FootnoteReference"/>
        </w:rPr>
        <w:footnoteRef/>
      </w:r>
      <w:r>
        <w:t xml:space="preserve"> Definition changed in November 2014 from ‘Maternal death or serious morbidity associated with labour and delivery’ to ‘Maternal death associated with pregnancy, birth and the puerperium’.</w:t>
      </w:r>
    </w:p>
  </w:footnote>
  <w:footnote w:id="3">
    <w:p w:rsidR="00E11507" w:rsidRPr="00626483" w:rsidRDefault="00E11507" w:rsidP="009D3CA2">
      <w:pPr>
        <w:pStyle w:val="FootnoteText"/>
      </w:pPr>
      <w:r w:rsidRPr="00195158">
        <w:rPr>
          <w:rStyle w:val="FootnoteReference"/>
        </w:rPr>
        <w:footnoteRef/>
      </w:r>
      <w:r w:rsidRPr="00195158">
        <w:t xml:space="preserve"> </w:t>
      </w:r>
      <w:r w:rsidRPr="00195158">
        <w:rPr>
          <w:shd w:val="clear" w:color="auto" w:fill="FFFFFF"/>
        </w:rPr>
        <w:t xml:space="preserve">The Joint Commission is an </w:t>
      </w:r>
      <w:r>
        <w:rPr>
          <w:shd w:val="clear" w:color="auto" w:fill="FFFFFF"/>
        </w:rPr>
        <w:t>‘</w:t>
      </w:r>
      <w:r w:rsidRPr="00195158">
        <w:rPr>
          <w:shd w:val="clear" w:color="auto" w:fill="FFFFFF"/>
        </w:rPr>
        <w:t>independent, not-for-profit organisation that accredits and certifies nearly 21,000 health care organi</w:t>
      </w:r>
      <w:r>
        <w:rPr>
          <w:shd w:val="clear" w:color="auto" w:fill="FFFFFF"/>
        </w:rPr>
        <w:t>s</w:t>
      </w:r>
      <w:r w:rsidRPr="00195158">
        <w:rPr>
          <w:shd w:val="clear" w:color="auto" w:fill="FFFFFF"/>
        </w:rPr>
        <w:t>ations and programs in the United States</w:t>
      </w:r>
      <w:r>
        <w:rPr>
          <w:shd w:val="clear" w:color="auto" w:fill="FFFFFF"/>
        </w:rPr>
        <w:t>’</w:t>
      </w:r>
      <w:r w:rsidRPr="00195158">
        <w:rPr>
          <w:shd w:val="clear" w:color="auto" w:fill="FFFFFF"/>
        </w:rPr>
        <w:t>.</w:t>
      </w:r>
      <w:hyperlink w:anchor="_ENREF_2" w:tooltip="The Joint Commission (US),  #2" w:history="1">
        <w:r>
          <w:rPr>
            <w:shd w:val="clear" w:color="auto" w:fill="FFFFFF"/>
          </w:rPr>
          <w:fldChar w:fldCharType="begin"/>
        </w:r>
        <w:r>
          <w:rPr>
            <w:shd w:val="clear" w:color="auto" w:fill="FFFFFF"/>
          </w:rPr>
          <w:instrText xml:space="preserve"> ADDIN EN.CITE &lt;EndNote&gt;&lt;Cite&gt;&lt;Author&gt;The Joint Commission (US)&lt;/Author&gt;&lt;RecNum&gt;2&lt;/RecNum&gt;&lt;DisplayText&gt;&lt;style face="superscript"&gt;2&lt;/style&gt;&lt;/DisplayText&gt;&lt;record&gt;&lt;rec-number&gt;2&lt;/rec-number&gt;&lt;foreign-keys&gt;&lt;key app="EN" db-id="0zaapr5rxrpdrrepezbv00a69s0etwz0v0te"&gt;2&lt;/key&gt;&lt;/foreign-keys&gt;&lt;ref-type name="Web Page"&gt;12&lt;/ref-type&gt;&lt;contributors&gt;&lt;authors&gt;&lt;author&gt;The Joint Commission (US),&lt;/author&gt;&lt;/authors&gt;&lt;/contributors&gt;&lt;titles&gt;&lt;title&gt;About the Joint Commission &lt;/title&gt;&lt;/titles&gt;&lt;volume&gt;2017&lt;/volume&gt;&lt;number&gt;Sep&lt;/number&gt;&lt;dates&gt;&lt;/dates&gt;&lt;urls&gt;&lt;/urls&gt;&lt;/record&gt;&lt;/Cite&gt;&lt;/EndNote&gt;</w:instrText>
        </w:r>
        <w:r>
          <w:rPr>
            <w:shd w:val="clear" w:color="auto" w:fill="FFFFFF"/>
          </w:rPr>
          <w:fldChar w:fldCharType="separate"/>
        </w:r>
        <w:r w:rsidRPr="00817660">
          <w:rPr>
            <w:noProof/>
            <w:shd w:val="clear" w:color="auto" w:fill="FFFFFF"/>
            <w:vertAlign w:val="superscript"/>
          </w:rPr>
          <w:t>2</w:t>
        </w:r>
        <w:r>
          <w:rPr>
            <w:shd w:val="clear" w:color="auto" w:fill="FFFFFF"/>
          </w:rPr>
          <w:fldChar w:fldCharType="end"/>
        </w:r>
      </w:hyperlink>
      <w:r w:rsidRPr="00195158">
        <w:rPr>
          <w:shd w:val="clear" w:color="auto" w:fill="FFFFFF"/>
        </w:rPr>
        <w:t xml:space="preserve"> </w:t>
      </w:r>
      <w:r w:rsidRPr="00626483">
        <w:br/>
      </w:r>
      <w:r w:rsidRPr="00626483">
        <w:rPr>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7" w:rsidRDefault="00C605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27485" o:spid="_x0000_s2050" type="#_x0000_t136" style="position:absolute;margin-left:0;margin-top:0;width:454.5pt;height:181.8pt;rotation:315;z-index:-251655168;mso-position-horizontal:center;mso-position-horizontal-relative:margin;mso-position-vertical:center;mso-position-vertical-relative:margin" o:allowincell="f" fillcolor="#ea9a7d [1944]"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7" w:rsidRPr="003B75F7" w:rsidRDefault="00E11507" w:rsidP="00EC4851">
    <w:pPr>
      <w:rPr>
        <w:rFonts w:eastAsiaTheme="majorEastAsia"/>
        <w:color w:val="A6A6A6" w:themeColor="background1" w:themeShade="A6"/>
        <w:sz w:val="20"/>
      </w:rPr>
    </w:pPr>
    <w:r w:rsidRPr="003B75F7">
      <w:rPr>
        <w:rFonts w:eastAsiaTheme="majorEastAsia"/>
        <w:color w:val="A6A6A6" w:themeColor="background1" w:themeShade="A6"/>
        <w:sz w:val="20"/>
      </w:rPr>
      <w:t>ACSQHC TRIM: D18-</w:t>
    </w:r>
    <w:r>
      <w:rPr>
        <w:rFonts w:eastAsiaTheme="majorEastAsia"/>
        <w:color w:val="A6A6A6" w:themeColor="background1" w:themeShade="A6"/>
        <w:sz w:val="20"/>
      </w:rPr>
      <w:t>36578</w:t>
    </w:r>
  </w:p>
  <w:p w:rsidR="00E11507" w:rsidRPr="00EC4851" w:rsidRDefault="00E11507" w:rsidP="00EC4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7" w:rsidRDefault="00C605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27484" o:spid="_x0000_s2049" type="#_x0000_t136" style="position:absolute;margin-left:0;margin-top:0;width:454.5pt;height:181.8pt;rotation:315;z-index:-251657216;mso-position-horizontal:center;mso-position-horizontal-relative:margin;mso-position-vertical:center;mso-position-vertical-relative:margin" o:allowincell="f" fillcolor="#ea9a7d [194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681"/>
    <w:multiLevelType w:val="hybridMultilevel"/>
    <w:tmpl w:val="AC4E9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C339E3"/>
    <w:multiLevelType w:val="hybridMultilevel"/>
    <w:tmpl w:val="F300DC6A"/>
    <w:lvl w:ilvl="0" w:tplc="6C4633A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1B56A7"/>
    <w:multiLevelType w:val="hybridMultilevel"/>
    <w:tmpl w:val="F89871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13C657F5"/>
    <w:multiLevelType w:val="hybridMultilevel"/>
    <w:tmpl w:val="2654E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4741FB"/>
    <w:multiLevelType w:val="hybridMultilevel"/>
    <w:tmpl w:val="A31E4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24469"/>
    <w:multiLevelType w:val="hybridMultilevel"/>
    <w:tmpl w:val="74485F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F5D5945"/>
    <w:multiLevelType w:val="hybridMultilevel"/>
    <w:tmpl w:val="C00AE11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1056BA5"/>
    <w:multiLevelType w:val="hybridMultilevel"/>
    <w:tmpl w:val="F38CD88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7">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nsid w:val="26820ABC"/>
    <w:multiLevelType w:val="hybridMultilevel"/>
    <w:tmpl w:val="55A02C04"/>
    <w:lvl w:ilvl="0" w:tplc="7F52CA82">
      <w:start w:val="1"/>
      <w:numFmt w:val="decimal"/>
      <w:suff w:val="space"/>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6FD60FD"/>
    <w:multiLevelType w:val="hybridMultilevel"/>
    <w:tmpl w:val="5F92E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AF24A3B"/>
    <w:multiLevelType w:val="hybridMultilevel"/>
    <w:tmpl w:val="F7A4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43E98"/>
    <w:multiLevelType w:val="hybridMultilevel"/>
    <w:tmpl w:val="2B98CFE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6">
    <w:nsid w:val="2CF6041C"/>
    <w:multiLevelType w:val="hybridMultilevel"/>
    <w:tmpl w:val="9A9495A0"/>
    <w:lvl w:ilvl="0" w:tplc="EC0C0BEA">
      <w:start w:val="1"/>
      <w:numFmt w:val="decimal"/>
      <w:lvlText w:val="%1."/>
      <w:lvlJc w:val="left"/>
      <w:pPr>
        <w:ind w:left="2487" w:hanging="360"/>
      </w:pPr>
      <w:rPr>
        <w:rFonts w:hint="default"/>
        <w:b w:val="0"/>
      </w:rPr>
    </w:lvl>
    <w:lvl w:ilvl="1" w:tplc="0C09000F">
      <w:start w:val="1"/>
      <w:numFmt w:val="decimal"/>
      <w:lvlText w:val="%2."/>
      <w:lvlJc w:val="left"/>
      <w:pPr>
        <w:ind w:left="3207" w:hanging="360"/>
      </w:pPr>
      <w:rPr>
        <w:rFonts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7">
    <w:nsid w:val="32CA318B"/>
    <w:multiLevelType w:val="hybridMultilevel"/>
    <w:tmpl w:val="09FC6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BE64FD"/>
    <w:multiLevelType w:val="hybridMultilevel"/>
    <w:tmpl w:val="2A8A636E"/>
    <w:lvl w:ilvl="0" w:tplc="EC0C0BEA">
      <w:start w:val="1"/>
      <w:numFmt w:val="decimal"/>
      <w:lvlText w:val="%1."/>
      <w:lvlJc w:val="left"/>
      <w:pPr>
        <w:ind w:left="360" w:hanging="360"/>
      </w:pPr>
      <w:rPr>
        <w:rFonts w:hint="default"/>
        <w:b w:val="0"/>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7FD2F4F"/>
    <w:multiLevelType w:val="hybridMultilevel"/>
    <w:tmpl w:val="4F780B06"/>
    <w:lvl w:ilvl="0" w:tplc="2FB6C03E">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DEC4B48"/>
    <w:multiLevelType w:val="hybridMultilevel"/>
    <w:tmpl w:val="A58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F261938"/>
    <w:multiLevelType w:val="hybridMultilevel"/>
    <w:tmpl w:val="E1DEC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C0542A"/>
    <w:multiLevelType w:val="hybridMultilevel"/>
    <w:tmpl w:val="4D8EB632"/>
    <w:lvl w:ilvl="0" w:tplc="2FB6C03E">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43529F6"/>
    <w:multiLevelType w:val="hybridMultilevel"/>
    <w:tmpl w:val="B8B80F02"/>
    <w:lvl w:ilvl="0" w:tplc="AB067EF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9475358"/>
    <w:multiLevelType w:val="hybridMultilevel"/>
    <w:tmpl w:val="481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1154F8"/>
    <w:multiLevelType w:val="hybridMultilevel"/>
    <w:tmpl w:val="0FF8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EC154F"/>
    <w:multiLevelType w:val="hybridMultilevel"/>
    <w:tmpl w:val="65C846F6"/>
    <w:lvl w:ilvl="0" w:tplc="0C09000F">
      <w:start w:val="1"/>
      <w:numFmt w:val="decimal"/>
      <w:lvlText w:val="%1."/>
      <w:lvlJc w:val="left"/>
      <w:pPr>
        <w:ind w:left="360" w:hanging="360"/>
      </w:pPr>
    </w:lvl>
    <w:lvl w:ilvl="1" w:tplc="0E9027C4">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13336AB"/>
    <w:multiLevelType w:val="hybridMultilevel"/>
    <w:tmpl w:val="2A8A636E"/>
    <w:lvl w:ilvl="0" w:tplc="EC0C0BEA">
      <w:start w:val="1"/>
      <w:numFmt w:val="decimal"/>
      <w:lvlText w:val="%1."/>
      <w:lvlJc w:val="left"/>
      <w:pPr>
        <w:ind w:left="360" w:hanging="360"/>
      </w:pPr>
      <w:rPr>
        <w:rFonts w:hint="default"/>
        <w:b w:val="0"/>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2272E08"/>
    <w:multiLevelType w:val="hybridMultilevel"/>
    <w:tmpl w:val="A7CCE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2CA3415"/>
    <w:multiLevelType w:val="hybridMultilevel"/>
    <w:tmpl w:val="82185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5F4BC4"/>
    <w:multiLevelType w:val="hybridMultilevel"/>
    <w:tmpl w:val="1194C524"/>
    <w:lvl w:ilvl="0" w:tplc="0C09000F">
      <w:start w:val="1"/>
      <w:numFmt w:val="decimal"/>
      <w:lvlText w:val="%1."/>
      <w:lvlJc w:val="left"/>
      <w:pPr>
        <w:ind w:left="360" w:hanging="360"/>
      </w:pPr>
    </w:lvl>
    <w:lvl w:ilvl="1" w:tplc="0E9027C4">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61168EA"/>
    <w:multiLevelType w:val="hybridMultilevel"/>
    <w:tmpl w:val="CE8ED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auto"/>
      </w:rPr>
    </w:lvl>
    <w:lvl w:ilvl="2" w:tplc="CAC22F7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5E4E68"/>
    <w:multiLevelType w:val="hybridMultilevel"/>
    <w:tmpl w:val="A76C62FC"/>
    <w:lvl w:ilvl="0" w:tplc="BFC206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9E3691F"/>
    <w:multiLevelType w:val="hybridMultilevel"/>
    <w:tmpl w:val="2F3807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AF1679C"/>
    <w:multiLevelType w:val="hybridMultilevel"/>
    <w:tmpl w:val="3A9E07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307081"/>
    <w:multiLevelType w:val="hybridMultilevel"/>
    <w:tmpl w:val="979A553A"/>
    <w:lvl w:ilvl="0" w:tplc="2FB6C03E">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C6B2344"/>
    <w:multiLevelType w:val="hybridMultilevel"/>
    <w:tmpl w:val="338E37EE"/>
    <w:lvl w:ilvl="0" w:tplc="B4A6D5B8">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0A52C8F"/>
    <w:multiLevelType w:val="hybridMultilevel"/>
    <w:tmpl w:val="03CAD1AA"/>
    <w:lvl w:ilvl="0" w:tplc="07464F66">
      <w:start w:val="1"/>
      <w:numFmt w:val="lowerLetter"/>
      <w:lvlText w:val="%1)"/>
      <w:lvlJc w:val="left"/>
      <w:pPr>
        <w:ind w:left="1080" w:hanging="360"/>
      </w:pPr>
      <w:rPr>
        <w:i/>
      </w:rPr>
    </w:lvl>
    <w:lvl w:ilvl="1" w:tplc="0C090019">
      <w:start w:val="1"/>
      <w:numFmt w:val="lowerLetter"/>
      <w:lvlText w:val="%2."/>
      <w:lvlJc w:val="left"/>
      <w:pPr>
        <w:ind w:left="1800" w:hanging="360"/>
      </w:pPr>
    </w:lvl>
    <w:lvl w:ilvl="2" w:tplc="0C090017">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27661C4"/>
    <w:multiLevelType w:val="hybridMultilevel"/>
    <w:tmpl w:val="560C810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035814"/>
    <w:multiLevelType w:val="hybridMultilevel"/>
    <w:tmpl w:val="CB2602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4B1759D"/>
    <w:multiLevelType w:val="hybridMultilevel"/>
    <w:tmpl w:val="E1FC17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9A032AB"/>
    <w:multiLevelType w:val="hybridMultilevel"/>
    <w:tmpl w:val="187A6B3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9E81316"/>
    <w:multiLevelType w:val="hybridMultilevel"/>
    <w:tmpl w:val="CB26022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7D5F0844"/>
    <w:multiLevelType w:val="hybridMultilevel"/>
    <w:tmpl w:val="B83429BC"/>
    <w:lvl w:ilvl="0" w:tplc="2FB6C03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22"/>
  </w:num>
  <w:num w:numId="5">
    <w:abstractNumId w:val="21"/>
  </w:num>
  <w:num w:numId="6">
    <w:abstractNumId w:val="5"/>
  </w:num>
  <w:num w:numId="7">
    <w:abstractNumId w:val="44"/>
  </w:num>
  <w:num w:numId="8">
    <w:abstractNumId w:val="27"/>
  </w:num>
  <w:num w:numId="9">
    <w:abstractNumId w:val="15"/>
  </w:num>
  <w:num w:numId="10">
    <w:abstractNumId w:val="32"/>
  </w:num>
  <w:num w:numId="11">
    <w:abstractNumId w:val="14"/>
  </w:num>
  <w:num w:numId="12">
    <w:abstractNumId w:val="9"/>
  </w:num>
  <w:num w:numId="13">
    <w:abstractNumId w:val="40"/>
  </w:num>
  <w:num w:numId="14">
    <w:abstractNumId w:val="30"/>
  </w:num>
  <w:num w:numId="15">
    <w:abstractNumId w:val="25"/>
  </w:num>
  <w:num w:numId="16">
    <w:abstractNumId w:val="23"/>
  </w:num>
  <w:num w:numId="17">
    <w:abstractNumId w:val="26"/>
  </w:num>
  <w:num w:numId="18">
    <w:abstractNumId w:val="33"/>
  </w:num>
  <w:num w:numId="19">
    <w:abstractNumId w:val="43"/>
  </w:num>
  <w:num w:numId="20">
    <w:abstractNumId w:val="34"/>
  </w:num>
  <w:num w:numId="21">
    <w:abstractNumId w:val="10"/>
  </w:num>
  <w:num w:numId="22">
    <w:abstractNumId w:val="39"/>
  </w:num>
  <w:num w:numId="23">
    <w:abstractNumId w:val="4"/>
  </w:num>
  <w:num w:numId="24">
    <w:abstractNumId w:val="36"/>
  </w:num>
  <w:num w:numId="25">
    <w:abstractNumId w:val="38"/>
  </w:num>
  <w:num w:numId="26">
    <w:abstractNumId w:val="2"/>
  </w:num>
  <w:num w:numId="27">
    <w:abstractNumId w:val="6"/>
  </w:num>
  <w:num w:numId="28">
    <w:abstractNumId w:val="35"/>
  </w:num>
  <w:num w:numId="29">
    <w:abstractNumId w:val="28"/>
  </w:num>
  <w:num w:numId="30">
    <w:abstractNumId w:val="8"/>
  </w:num>
  <w:num w:numId="31">
    <w:abstractNumId w:val="31"/>
  </w:num>
  <w:num w:numId="32">
    <w:abstractNumId w:val="17"/>
  </w:num>
  <w:num w:numId="33">
    <w:abstractNumId w:val="0"/>
  </w:num>
  <w:num w:numId="34">
    <w:abstractNumId w:val="13"/>
  </w:num>
  <w:num w:numId="35">
    <w:abstractNumId w:val="18"/>
  </w:num>
  <w:num w:numId="36">
    <w:abstractNumId w:val="12"/>
  </w:num>
  <w:num w:numId="37">
    <w:abstractNumId w:val="20"/>
  </w:num>
  <w:num w:numId="38">
    <w:abstractNumId w:val="41"/>
  </w:num>
  <w:num w:numId="39">
    <w:abstractNumId w:val="29"/>
  </w:num>
  <w:num w:numId="40">
    <w:abstractNumId w:val="16"/>
  </w:num>
  <w:num w:numId="41">
    <w:abstractNumId w:val="42"/>
  </w:num>
  <w:num w:numId="42">
    <w:abstractNumId w:val="24"/>
  </w:num>
  <w:num w:numId="43">
    <w:abstractNumId w:val="45"/>
  </w:num>
  <w:num w:numId="44">
    <w:abstractNumId w:val="37"/>
  </w:num>
  <w:num w:numId="45">
    <w:abstractNumId w:val="19"/>
  </w:num>
  <w:num w:numId="4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aapr5rxrpdrrepezbv00a69s0etwz0v0te&quot;&gt;Australian sentinel events list v2 -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C31839"/>
    <w:rsid w:val="00002688"/>
    <w:rsid w:val="00003743"/>
    <w:rsid w:val="00007C96"/>
    <w:rsid w:val="000116F7"/>
    <w:rsid w:val="00026E80"/>
    <w:rsid w:val="00031B8B"/>
    <w:rsid w:val="000360C9"/>
    <w:rsid w:val="00043671"/>
    <w:rsid w:val="00047C87"/>
    <w:rsid w:val="0005267A"/>
    <w:rsid w:val="00067456"/>
    <w:rsid w:val="00076081"/>
    <w:rsid w:val="000760DF"/>
    <w:rsid w:val="00080939"/>
    <w:rsid w:val="00093515"/>
    <w:rsid w:val="00097831"/>
    <w:rsid w:val="00097AE7"/>
    <w:rsid w:val="000A1CE1"/>
    <w:rsid w:val="000A3F0D"/>
    <w:rsid w:val="000B0274"/>
    <w:rsid w:val="000C0121"/>
    <w:rsid w:val="000C1DD4"/>
    <w:rsid w:val="000C49DB"/>
    <w:rsid w:val="000D017D"/>
    <w:rsid w:val="000E2F2E"/>
    <w:rsid w:val="00110B5A"/>
    <w:rsid w:val="0011312B"/>
    <w:rsid w:val="00120EA0"/>
    <w:rsid w:val="00143712"/>
    <w:rsid w:val="0015000E"/>
    <w:rsid w:val="001513F9"/>
    <w:rsid w:val="00166DF2"/>
    <w:rsid w:val="00191FC1"/>
    <w:rsid w:val="001921ED"/>
    <w:rsid w:val="00196AC8"/>
    <w:rsid w:val="001A15A4"/>
    <w:rsid w:val="001B1D79"/>
    <w:rsid w:val="001B3443"/>
    <w:rsid w:val="001B4DFF"/>
    <w:rsid w:val="001C052D"/>
    <w:rsid w:val="001C209D"/>
    <w:rsid w:val="001C6BC2"/>
    <w:rsid w:val="001E1042"/>
    <w:rsid w:val="001E23CF"/>
    <w:rsid w:val="001E709B"/>
    <w:rsid w:val="001E77C4"/>
    <w:rsid w:val="001F22C7"/>
    <w:rsid w:val="001F6C26"/>
    <w:rsid w:val="00212A1D"/>
    <w:rsid w:val="002151E8"/>
    <w:rsid w:val="00220532"/>
    <w:rsid w:val="0022429D"/>
    <w:rsid w:val="00237ADF"/>
    <w:rsid w:val="00245D81"/>
    <w:rsid w:val="00255596"/>
    <w:rsid w:val="00255CDB"/>
    <w:rsid w:val="00261F43"/>
    <w:rsid w:val="002662B4"/>
    <w:rsid w:val="00266A26"/>
    <w:rsid w:val="00266A4E"/>
    <w:rsid w:val="00267635"/>
    <w:rsid w:val="00276C1C"/>
    <w:rsid w:val="002800EB"/>
    <w:rsid w:val="00281FD4"/>
    <w:rsid w:val="0028274F"/>
    <w:rsid w:val="002904F7"/>
    <w:rsid w:val="002920B8"/>
    <w:rsid w:val="002A34F0"/>
    <w:rsid w:val="002A4410"/>
    <w:rsid w:val="002B3347"/>
    <w:rsid w:val="002B6BE2"/>
    <w:rsid w:val="002C5058"/>
    <w:rsid w:val="002C6AF0"/>
    <w:rsid w:val="002F173F"/>
    <w:rsid w:val="002F32BE"/>
    <w:rsid w:val="002F3AE3"/>
    <w:rsid w:val="002F7E6F"/>
    <w:rsid w:val="00300251"/>
    <w:rsid w:val="00302A40"/>
    <w:rsid w:val="0030786C"/>
    <w:rsid w:val="00312553"/>
    <w:rsid w:val="00312A62"/>
    <w:rsid w:val="0031500F"/>
    <w:rsid w:val="00316683"/>
    <w:rsid w:val="00332963"/>
    <w:rsid w:val="003412F5"/>
    <w:rsid w:val="00356061"/>
    <w:rsid w:val="003873C6"/>
    <w:rsid w:val="0039095A"/>
    <w:rsid w:val="003913FE"/>
    <w:rsid w:val="003917B1"/>
    <w:rsid w:val="00397928"/>
    <w:rsid w:val="003A0841"/>
    <w:rsid w:val="003A1228"/>
    <w:rsid w:val="003A1A9D"/>
    <w:rsid w:val="003B75F7"/>
    <w:rsid w:val="003C0E2B"/>
    <w:rsid w:val="003C297A"/>
    <w:rsid w:val="003D17F9"/>
    <w:rsid w:val="003D437B"/>
    <w:rsid w:val="003E1DFD"/>
    <w:rsid w:val="003E76C8"/>
    <w:rsid w:val="003F0AC2"/>
    <w:rsid w:val="003F1825"/>
    <w:rsid w:val="003F2B8B"/>
    <w:rsid w:val="003F4951"/>
    <w:rsid w:val="00401139"/>
    <w:rsid w:val="00405C24"/>
    <w:rsid w:val="004104F6"/>
    <w:rsid w:val="00412E9D"/>
    <w:rsid w:val="00424866"/>
    <w:rsid w:val="004276A9"/>
    <w:rsid w:val="004457FE"/>
    <w:rsid w:val="00447D31"/>
    <w:rsid w:val="004644CB"/>
    <w:rsid w:val="00470AB8"/>
    <w:rsid w:val="00472D54"/>
    <w:rsid w:val="00481F01"/>
    <w:rsid w:val="004867E2"/>
    <w:rsid w:val="00486826"/>
    <w:rsid w:val="0048763F"/>
    <w:rsid w:val="004922D4"/>
    <w:rsid w:val="004A0670"/>
    <w:rsid w:val="004A663A"/>
    <w:rsid w:val="004B2999"/>
    <w:rsid w:val="004B492E"/>
    <w:rsid w:val="004D678B"/>
    <w:rsid w:val="004E3428"/>
    <w:rsid w:val="004E58C1"/>
    <w:rsid w:val="004F0EF3"/>
    <w:rsid w:val="004F4787"/>
    <w:rsid w:val="0051119A"/>
    <w:rsid w:val="0051230C"/>
    <w:rsid w:val="00512732"/>
    <w:rsid w:val="0052107C"/>
    <w:rsid w:val="005221B7"/>
    <w:rsid w:val="005363F9"/>
    <w:rsid w:val="00544A4E"/>
    <w:rsid w:val="00553C95"/>
    <w:rsid w:val="00553E1A"/>
    <w:rsid w:val="00553E33"/>
    <w:rsid w:val="00555875"/>
    <w:rsid w:val="005567E6"/>
    <w:rsid w:val="00560F88"/>
    <w:rsid w:val="005650A4"/>
    <w:rsid w:val="00566B97"/>
    <w:rsid w:val="00566E3B"/>
    <w:rsid w:val="005747DB"/>
    <w:rsid w:val="00582B7E"/>
    <w:rsid w:val="005959C8"/>
    <w:rsid w:val="0059724C"/>
    <w:rsid w:val="005A5AE9"/>
    <w:rsid w:val="005A7193"/>
    <w:rsid w:val="005A7BC5"/>
    <w:rsid w:val="005B761C"/>
    <w:rsid w:val="005C1496"/>
    <w:rsid w:val="005C1EE4"/>
    <w:rsid w:val="005C6AAE"/>
    <w:rsid w:val="005C6D47"/>
    <w:rsid w:val="005D5CDD"/>
    <w:rsid w:val="005E2614"/>
    <w:rsid w:val="005E6CC3"/>
    <w:rsid w:val="005F0BBD"/>
    <w:rsid w:val="00602488"/>
    <w:rsid w:val="00607B0B"/>
    <w:rsid w:val="00630D20"/>
    <w:rsid w:val="006317C9"/>
    <w:rsid w:val="00635708"/>
    <w:rsid w:val="00644242"/>
    <w:rsid w:val="00657CB6"/>
    <w:rsid w:val="00664D8C"/>
    <w:rsid w:val="00670820"/>
    <w:rsid w:val="00671E8A"/>
    <w:rsid w:val="006803BA"/>
    <w:rsid w:val="0068319E"/>
    <w:rsid w:val="00686BCF"/>
    <w:rsid w:val="006965B2"/>
    <w:rsid w:val="006C4B4D"/>
    <w:rsid w:val="006D192B"/>
    <w:rsid w:val="006D3122"/>
    <w:rsid w:val="006D3BAF"/>
    <w:rsid w:val="006D732F"/>
    <w:rsid w:val="006E688D"/>
    <w:rsid w:val="0070201E"/>
    <w:rsid w:val="007028EC"/>
    <w:rsid w:val="0070703E"/>
    <w:rsid w:val="00711990"/>
    <w:rsid w:val="00713C7D"/>
    <w:rsid w:val="0071637F"/>
    <w:rsid w:val="007229F1"/>
    <w:rsid w:val="00723D49"/>
    <w:rsid w:val="0072512C"/>
    <w:rsid w:val="0073336B"/>
    <w:rsid w:val="007360BF"/>
    <w:rsid w:val="00743DE0"/>
    <w:rsid w:val="007545C7"/>
    <w:rsid w:val="0075581D"/>
    <w:rsid w:val="0076005C"/>
    <w:rsid w:val="00762F51"/>
    <w:rsid w:val="007635C1"/>
    <w:rsid w:val="00766B42"/>
    <w:rsid w:val="007746FA"/>
    <w:rsid w:val="00775636"/>
    <w:rsid w:val="0078070C"/>
    <w:rsid w:val="00784541"/>
    <w:rsid w:val="00785020"/>
    <w:rsid w:val="00785E59"/>
    <w:rsid w:val="007968CC"/>
    <w:rsid w:val="00796FB7"/>
    <w:rsid w:val="007A765C"/>
    <w:rsid w:val="007B04A9"/>
    <w:rsid w:val="007B16AC"/>
    <w:rsid w:val="007B234E"/>
    <w:rsid w:val="007B7659"/>
    <w:rsid w:val="007C0004"/>
    <w:rsid w:val="007C01BF"/>
    <w:rsid w:val="007C23D7"/>
    <w:rsid w:val="007C2707"/>
    <w:rsid w:val="007D5206"/>
    <w:rsid w:val="007E000D"/>
    <w:rsid w:val="007F4BF4"/>
    <w:rsid w:val="008030AD"/>
    <w:rsid w:val="00805F81"/>
    <w:rsid w:val="0081519F"/>
    <w:rsid w:val="00817660"/>
    <w:rsid w:val="008256BE"/>
    <w:rsid w:val="008264EB"/>
    <w:rsid w:val="00827924"/>
    <w:rsid w:val="00830756"/>
    <w:rsid w:val="00853E5C"/>
    <w:rsid w:val="00894291"/>
    <w:rsid w:val="008A0CDC"/>
    <w:rsid w:val="008A105C"/>
    <w:rsid w:val="008A58F9"/>
    <w:rsid w:val="008B11C7"/>
    <w:rsid w:val="008C37A0"/>
    <w:rsid w:val="008C3A5F"/>
    <w:rsid w:val="008D2E70"/>
    <w:rsid w:val="008D4A8E"/>
    <w:rsid w:val="008D576D"/>
    <w:rsid w:val="008E089C"/>
    <w:rsid w:val="008E5D6A"/>
    <w:rsid w:val="008F0059"/>
    <w:rsid w:val="008F3218"/>
    <w:rsid w:val="008F3FE5"/>
    <w:rsid w:val="008F547C"/>
    <w:rsid w:val="00904670"/>
    <w:rsid w:val="009061BB"/>
    <w:rsid w:val="0091093D"/>
    <w:rsid w:val="0091137C"/>
    <w:rsid w:val="00913D66"/>
    <w:rsid w:val="009143D0"/>
    <w:rsid w:val="009164A8"/>
    <w:rsid w:val="00921C62"/>
    <w:rsid w:val="009263A2"/>
    <w:rsid w:val="009275D8"/>
    <w:rsid w:val="00927D75"/>
    <w:rsid w:val="00942474"/>
    <w:rsid w:val="009424A5"/>
    <w:rsid w:val="00943DBF"/>
    <w:rsid w:val="009447E1"/>
    <w:rsid w:val="00945420"/>
    <w:rsid w:val="009537F6"/>
    <w:rsid w:val="00964277"/>
    <w:rsid w:val="00977D26"/>
    <w:rsid w:val="00985520"/>
    <w:rsid w:val="00990682"/>
    <w:rsid w:val="00990B65"/>
    <w:rsid w:val="00995927"/>
    <w:rsid w:val="009A007B"/>
    <w:rsid w:val="009A263C"/>
    <w:rsid w:val="009B053D"/>
    <w:rsid w:val="009B308B"/>
    <w:rsid w:val="009B64E3"/>
    <w:rsid w:val="009C3AC4"/>
    <w:rsid w:val="009D2E03"/>
    <w:rsid w:val="009D3CA2"/>
    <w:rsid w:val="009D4193"/>
    <w:rsid w:val="009E1F38"/>
    <w:rsid w:val="009E48A0"/>
    <w:rsid w:val="009E6B78"/>
    <w:rsid w:val="009F3C8F"/>
    <w:rsid w:val="009F5557"/>
    <w:rsid w:val="00A0554C"/>
    <w:rsid w:val="00A15082"/>
    <w:rsid w:val="00A214D0"/>
    <w:rsid w:val="00A23139"/>
    <w:rsid w:val="00A30F01"/>
    <w:rsid w:val="00A3531F"/>
    <w:rsid w:val="00A4199A"/>
    <w:rsid w:val="00A4280C"/>
    <w:rsid w:val="00A44546"/>
    <w:rsid w:val="00A4512D"/>
    <w:rsid w:val="00A556DB"/>
    <w:rsid w:val="00A557EA"/>
    <w:rsid w:val="00A64EE2"/>
    <w:rsid w:val="00A67758"/>
    <w:rsid w:val="00A705AF"/>
    <w:rsid w:val="00A75B58"/>
    <w:rsid w:val="00A77349"/>
    <w:rsid w:val="00A77607"/>
    <w:rsid w:val="00A87591"/>
    <w:rsid w:val="00A931E2"/>
    <w:rsid w:val="00A93A18"/>
    <w:rsid w:val="00A94076"/>
    <w:rsid w:val="00A964DB"/>
    <w:rsid w:val="00A96D35"/>
    <w:rsid w:val="00AA6DC2"/>
    <w:rsid w:val="00AA75B8"/>
    <w:rsid w:val="00AA7B58"/>
    <w:rsid w:val="00AB1D21"/>
    <w:rsid w:val="00AB40AB"/>
    <w:rsid w:val="00AB6ED9"/>
    <w:rsid w:val="00AC1DCD"/>
    <w:rsid w:val="00AC2405"/>
    <w:rsid w:val="00AC2FE5"/>
    <w:rsid w:val="00AC3465"/>
    <w:rsid w:val="00AD2815"/>
    <w:rsid w:val="00AD52A0"/>
    <w:rsid w:val="00AD6B91"/>
    <w:rsid w:val="00AE3685"/>
    <w:rsid w:val="00AE4565"/>
    <w:rsid w:val="00AF0AA4"/>
    <w:rsid w:val="00AF6154"/>
    <w:rsid w:val="00B21679"/>
    <w:rsid w:val="00B21DE1"/>
    <w:rsid w:val="00B24DF4"/>
    <w:rsid w:val="00B2665E"/>
    <w:rsid w:val="00B328AF"/>
    <w:rsid w:val="00B3293B"/>
    <w:rsid w:val="00B32DD1"/>
    <w:rsid w:val="00B3720C"/>
    <w:rsid w:val="00B41409"/>
    <w:rsid w:val="00B42851"/>
    <w:rsid w:val="00B42B6F"/>
    <w:rsid w:val="00B47076"/>
    <w:rsid w:val="00B53E6B"/>
    <w:rsid w:val="00B56B37"/>
    <w:rsid w:val="00B6032F"/>
    <w:rsid w:val="00B64560"/>
    <w:rsid w:val="00B64D3D"/>
    <w:rsid w:val="00B72B0F"/>
    <w:rsid w:val="00B8417B"/>
    <w:rsid w:val="00B95A67"/>
    <w:rsid w:val="00BA2E46"/>
    <w:rsid w:val="00BA4139"/>
    <w:rsid w:val="00BA4AEE"/>
    <w:rsid w:val="00BA4CF5"/>
    <w:rsid w:val="00BC07E4"/>
    <w:rsid w:val="00BD03D8"/>
    <w:rsid w:val="00BD2F97"/>
    <w:rsid w:val="00BE3AF3"/>
    <w:rsid w:val="00C034F0"/>
    <w:rsid w:val="00C06314"/>
    <w:rsid w:val="00C12CA0"/>
    <w:rsid w:val="00C203B2"/>
    <w:rsid w:val="00C23604"/>
    <w:rsid w:val="00C31839"/>
    <w:rsid w:val="00C32D65"/>
    <w:rsid w:val="00C43310"/>
    <w:rsid w:val="00C436EE"/>
    <w:rsid w:val="00C51BE7"/>
    <w:rsid w:val="00C54684"/>
    <w:rsid w:val="00C605BD"/>
    <w:rsid w:val="00C648C3"/>
    <w:rsid w:val="00C911AD"/>
    <w:rsid w:val="00C95303"/>
    <w:rsid w:val="00C97270"/>
    <w:rsid w:val="00CA6638"/>
    <w:rsid w:val="00CB0684"/>
    <w:rsid w:val="00CB5999"/>
    <w:rsid w:val="00CB5B1A"/>
    <w:rsid w:val="00CB733F"/>
    <w:rsid w:val="00CC028B"/>
    <w:rsid w:val="00CC619D"/>
    <w:rsid w:val="00CC697B"/>
    <w:rsid w:val="00CD1164"/>
    <w:rsid w:val="00CD3E22"/>
    <w:rsid w:val="00D00B08"/>
    <w:rsid w:val="00D01752"/>
    <w:rsid w:val="00D03E64"/>
    <w:rsid w:val="00D04D33"/>
    <w:rsid w:val="00D20500"/>
    <w:rsid w:val="00D24922"/>
    <w:rsid w:val="00D27C3F"/>
    <w:rsid w:val="00D42B9A"/>
    <w:rsid w:val="00D469E4"/>
    <w:rsid w:val="00D47526"/>
    <w:rsid w:val="00D52365"/>
    <w:rsid w:val="00D57C6B"/>
    <w:rsid w:val="00D6098C"/>
    <w:rsid w:val="00D73FE2"/>
    <w:rsid w:val="00D7465B"/>
    <w:rsid w:val="00D77807"/>
    <w:rsid w:val="00D81915"/>
    <w:rsid w:val="00D96327"/>
    <w:rsid w:val="00DB5911"/>
    <w:rsid w:val="00DC0D24"/>
    <w:rsid w:val="00DE4C81"/>
    <w:rsid w:val="00DF2106"/>
    <w:rsid w:val="00DF5083"/>
    <w:rsid w:val="00DF6E78"/>
    <w:rsid w:val="00E00C1D"/>
    <w:rsid w:val="00E015B2"/>
    <w:rsid w:val="00E11507"/>
    <w:rsid w:val="00E122C8"/>
    <w:rsid w:val="00E1240E"/>
    <w:rsid w:val="00E13C5C"/>
    <w:rsid w:val="00E172C0"/>
    <w:rsid w:val="00E22444"/>
    <w:rsid w:val="00E22B7C"/>
    <w:rsid w:val="00E236C6"/>
    <w:rsid w:val="00E26461"/>
    <w:rsid w:val="00E27F5D"/>
    <w:rsid w:val="00E40EB0"/>
    <w:rsid w:val="00E40F95"/>
    <w:rsid w:val="00E42A03"/>
    <w:rsid w:val="00E42C5F"/>
    <w:rsid w:val="00E4312B"/>
    <w:rsid w:val="00E47176"/>
    <w:rsid w:val="00E505E4"/>
    <w:rsid w:val="00E51687"/>
    <w:rsid w:val="00E5345E"/>
    <w:rsid w:val="00E564FB"/>
    <w:rsid w:val="00E60EE1"/>
    <w:rsid w:val="00E63A84"/>
    <w:rsid w:val="00E65C2E"/>
    <w:rsid w:val="00E6689B"/>
    <w:rsid w:val="00E708F6"/>
    <w:rsid w:val="00E71010"/>
    <w:rsid w:val="00E716B4"/>
    <w:rsid w:val="00E72BD1"/>
    <w:rsid w:val="00E75329"/>
    <w:rsid w:val="00E84984"/>
    <w:rsid w:val="00E86B67"/>
    <w:rsid w:val="00E9250E"/>
    <w:rsid w:val="00EA5628"/>
    <w:rsid w:val="00EA5E02"/>
    <w:rsid w:val="00EA5FD0"/>
    <w:rsid w:val="00EB4EE6"/>
    <w:rsid w:val="00EC0DAB"/>
    <w:rsid w:val="00EC4851"/>
    <w:rsid w:val="00EC5D54"/>
    <w:rsid w:val="00ED0A4C"/>
    <w:rsid w:val="00ED1E98"/>
    <w:rsid w:val="00EE356F"/>
    <w:rsid w:val="00EE397E"/>
    <w:rsid w:val="00EE63D1"/>
    <w:rsid w:val="00EF1C95"/>
    <w:rsid w:val="00EF39A2"/>
    <w:rsid w:val="00F018AD"/>
    <w:rsid w:val="00F04E9C"/>
    <w:rsid w:val="00F078B7"/>
    <w:rsid w:val="00F238F2"/>
    <w:rsid w:val="00F24616"/>
    <w:rsid w:val="00F328D5"/>
    <w:rsid w:val="00F332B3"/>
    <w:rsid w:val="00F34D63"/>
    <w:rsid w:val="00F41C35"/>
    <w:rsid w:val="00F435E7"/>
    <w:rsid w:val="00F44DF2"/>
    <w:rsid w:val="00F549D7"/>
    <w:rsid w:val="00F556DB"/>
    <w:rsid w:val="00F560D5"/>
    <w:rsid w:val="00F6102D"/>
    <w:rsid w:val="00F73D95"/>
    <w:rsid w:val="00F77104"/>
    <w:rsid w:val="00F87A24"/>
    <w:rsid w:val="00F940A0"/>
    <w:rsid w:val="00F95769"/>
    <w:rsid w:val="00FA129B"/>
    <w:rsid w:val="00FB0512"/>
    <w:rsid w:val="00FB5B91"/>
    <w:rsid w:val="00FC3F04"/>
    <w:rsid w:val="00FC7F5D"/>
    <w:rsid w:val="00FD0BAB"/>
    <w:rsid w:val="00FE5CA3"/>
    <w:rsid w:val="00FF328D"/>
    <w:rsid w:val="00FF4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267">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toc 1" w:locked="0" w:uiPriority="39" w:qFormat="1"/>
    <w:lsdException w:name="toc 2" w:locked="0" w:uiPriority="39" w:qFormat="1"/>
    <w:lsdException w:name="toc 3" w:locked="0" w:uiPriority="39" w:qFormat="1"/>
    <w:lsdException w:name="footnote text" w:locked="0" w:uiPriority="0"/>
    <w:lsdException w:name="header" w:uiPriority="0"/>
    <w:lsdException w:name="footer" w:locked="0" w:uiPriority="99"/>
    <w:lsdException w:name="caption" w:semiHidden="1" w:unhideWhenUsed="1" w:qFormat="1"/>
    <w:lsdException w:name="footnote reference" w:locked="0" w:uiPriority="0"/>
    <w:lsdException w:name="Title" w:locked="0" w:uiPriority="0" w:qFormat="1"/>
    <w:lsdException w:name="Default Paragraph Font" w:locked="0" w:uiPriority="0"/>
    <w:lsdException w:name="Subtitle" w:uiPriority="11"/>
    <w:lsdException w:name="Hyperlink" w:locked="0" w:uiPriority="99"/>
    <w:lsdException w:name="FollowedHyperlink" w:locked="0" w:uiPriority="0"/>
    <w:lsdException w:name="Strong" w:locked="0" w:uiPriority="0" w:qFormat="1"/>
    <w:lsdException w:name="Emphasis" w:locked="0"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9A263C"/>
    <w:pPr>
      <w:tabs>
        <w:tab w:val="left" w:pos="8902"/>
      </w:tabs>
      <w:spacing w:after="0"/>
      <w:ind w:left="442"/>
    </w:pPr>
    <w:rPr>
      <w:rFonts w:cstheme="minorHAnsi"/>
      <w:iCs/>
      <w:sz w:val="20"/>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styleId="ListParagraph">
    <w:name w:val="List Paragraph"/>
    <w:aliases w:val="NFP GP Bulleted List,List Paragraph1,Recommendation,Bullet table"/>
    <w:basedOn w:val="Normal"/>
    <w:link w:val="ListParagraphChar"/>
    <w:uiPriority w:val="34"/>
    <w:qFormat/>
    <w:locked/>
    <w:rsid w:val="007746FA"/>
    <w:pPr>
      <w:ind w:left="720"/>
      <w:contextualSpacing/>
    </w:pPr>
  </w:style>
  <w:style w:type="character" w:styleId="CommentReference">
    <w:name w:val="annotation reference"/>
    <w:basedOn w:val="DefaultParagraphFont"/>
    <w:uiPriority w:val="98"/>
    <w:locked/>
    <w:rsid w:val="00C54684"/>
    <w:rPr>
      <w:sz w:val="16"/>
      <w:szCs w:val="16"/>
    </w:rPr>
  </w:style>
  <w:style w:type="paragraph" w:styleId="CommentText">
    <w:name w:val="annotation text"/>
    <w:basedOn w:val="Normal"/>
    <w:link w:val="CommentTextChar"/>
    <w:uiPriority w:val="98"/>
    <w:locked/>
    <w:rsid w:val="00C54684"/>
    <w:rPr>
      <w:sz w:val="20"/>
      <w:szCs w:val="20"/>
    </w:rPr>
  </w:style>
  <w:style w:type="character" w:customStyle="1" w:styleId="CommentTextChar">
    <w:name w:val="Comment Text Char"/>
    <w:basedOn w:val="DefaultParagraphFont"/>
    <w:link w:val="CommentText"/>
    <w:uiPriority w:val="98"/>
    <w:rsid w:val="00C54684"/>
    <w:rPr>
      <w:sz w:val="20"/>
      <w:szCs w:val="20"/>
    </w:rPr>
  </w:style>
  <w:style w:type="paragraph" w:styleId="CommentSubject">
    <w:name w:val="annotation subject"/>
    <w:basedOn w:val="CommentText"/>
    <w:next w:val="CommentText"/>
    <w:link w:val="CommentSubjectChar"/>
    <w:uiPriority w:val="98"/>
    <w:locked/>
    <w:rsid w:val="00C54684"/>
    <w:rPr>
      <w:b/>
      <w:bCs/>
    </w:rPr>
  </w:style>
  <w:style w:type="character" w:customStyle="1" w:styleId="CommentSubjectChar">
    <w:name w:val="Comment Subject Char"/>
    <w:basedOn w:val="CommentTextChar"/>
    <w:link w:val="CommentSubject"/>
    <w:uiPriority w:val="98"/>
    <w:rsid w:val="00C54684"/>
    <w:rPr>
      <w:b/>
      <w:bCs/>
      <w:sz w:val="20"/>
      <w:szCs w:val="20"/>
    </w:rPr>
  </w:style>
  <w:style w:type="character" w:customStyle="1" w:styleId="ListParagraphChar">
    <w:name w:val="List Paragraph Char"/>
    <w:aliases w:val="NFP GP Bulleted List Char,List Paragraph1 Char,Recommendation Char,Bullet table Char"/>
    <w:link w:val="ListParagraph"/>
    <w:uiPriority w:val="34"/>
    <w:locked/>
    <w:rsid w:val="004922D4"/>
  </w:style>
  <w:style w:type="paragraph" w:styleId="Caption">
    <w:name w:val="caption"/>
    <w:basedOn w:val="Normal"/>
    <w:next w:val="Normal"/>
    <w:uiPriority w:val="98"/>
    <w:unhideWhenUsed/>
    <w:qFormat/>
    <w:locked/>
    <w:rsid w:val="00E26461"/>
    <w:rPr>
      <w:b/>
      <w:bCs/>
      <w:color w:val="1178A2"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267">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toc 1" w:locked="0" w:uiPriority="39" w:qFormat="1"/>
    <w:lsdException w:name="toc 2" w:locked="0" w:uiPriority="39" w:qFormat="1"/>
    <w:lsdException w:name="toc 3" w:locked="0" w:uiPriority="39" w:qFormat="1"/>
    <w:lsdException w:name="footnote text" w:locked="0" w:uiPriority="0"/>
    <w:lsdException w:name="header" w:uiPriority="0"/>
    <w:lsdException w:name="footer" w:locked="0" w:uiPriority="99"/>
    <w:lsdException w:name="caption" w:semiHidden="1" w:unhideWhenUsed="1" w:qFormat="1"/>
    <w:lsdException w:name="footnote reference" w:locked="0" w:uiPriority="0"/>
    <w:lsdException w:name="Title" w:locked="0" w:uiPriority="0" w:qFormat="1"/>
    <w:lsdException w:name="Default Paragraph Font" w:locked="0" w:uiPriority="0"/>
    <w:lsdException w:name="Subtitle" w:uiPriority="11"/>
    <w:lsdException w:name="Hyperlink" w:locked="0" w:uiPriority="99"/>
    <w:lsdException w:name="FollowedHyperlink" w:locked="0" w:uiPriority="0"/>
    <w:lsdException w:name="Strong" w:locked="0" w:uiPriority="0" w:qFormat="1"/>
    <w:lsdException w:name="Emphasis" w:locked="0"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9A263C"/>
    <w:pPr>
      <w:tabs>
        <w:tab w:val="left" w:pos="8902"/>
      </w:tabs>
      <w:spacing w:after="0"/>
      <w:ind w:left="442"/>
    </w:pPr>
    <w:rPr>
      <w:rFonts w:cstheme="minorHAnsi"/>
      <w:iCs/>
      <w:sz w:val="20"/>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styleId="ListParagraph">
    <w:name w:val="List Paragraph"/>
    <w:aliases w:val="NFP GP Bulleted List,List Paragraph1,Recommendation,Bullet table"/>
    <w:basedOn w:val="Normal"/>
    <w:link w:val="ListParagraphChar"/>
    <w:uiPriority w:val="34"/>
    <w:qFormat/>
    <w:locked/>
    <w:rsid w:val="007746FA"/>
    <w:pPr>
      <w:ind w:left="720"/>
      <w:contextualSpacing/>
    </w:pPr>
  </w:style>
  <w:style w:type="character" w:styleId="CommentReference">
    <w:name w:val="annotation reference"/>
    <w:basedOn w:val="DefaultParagraphFont"/>
    <w:uiPriority w:val="98"/>
    <w:locked/>
    <w:rsid w:val="00C54684"/>
    <w:rPr>
      <w:sz w:val="16"/>
      <w:szCs w:val="16"/>
    </w:rPr>
  </w:style>
  <w:style w:type="paragraph" w:styleId="CommentText">
    <w:name w:val="annotation text"/>
    <w:basedOn w:val="Normal"/>
    <w:link w:val="CommentTextChar"/>
    <w:uiPriority w:val="98"/>
    <w:locked/>
    <w:rsid w:val="00C54684"/>
    <w:rPr>
      <w:sz w:val="20"/>
      <w:szCs w:val="20"/>
    </w:rPr>
  </w:style>
  <w:style w:type="character" w:customStyle="1" w:styleId="CommentTextChar">
    <w:name w:val="Comment Text Char"/>
    <w:basedOn w:val="DefaultParagraphFont"/>
    <w:link w:val="CommentText"/>
    <w:uiPriority w:val="98"/>
    <w:rsid w:val="00C54684"/>
    <w:rPr>
      <w:sz w:val="20"/>
      <w:szCs w:val="20"/>
    </w:rPr>
  </w:style>
  <w:style w:type="paragraph" w:styleId="CommentSubject">
    <w:name w:val="annotation subject"/>
    <w:basedOn w:val="CommentText"/>
    <w:next w:val="CommentText"/>
    <w:link w:val="CommentSubjectChar"/>
    <w:uiPriority w:val="98"/>
    <w:locked/>
    <w:rsid w:val="00C54684"/>
    <w:rPr>
      <w:b/>
      <w:bCs/>
    </w:rPr>
  </w:style>
  <w:style w:type="character" w:customStyle="1" w:styleId="CommentSubjectChar">
    <w:name w:val="Comment Subject Char"/>
    <w:basedOn w:val="CommentTextChar"/>
    <w:link w:val="CommentSubject"/>
    <w:uiPriority w:val="98"/>
    <w:rsid w:val="00C54684"/>
    <w:rPr>
      <w:b/>
      <w:bCs/>
      <w:sz w:val="20"/>
      <w:szCs w:val="20"/>
    </w:rPr>
  </w:style>
  <w:style w:type="character" w:customStyle="1" w:styleId="ListParagraphChar">
    <w:name w:val="List Paragraph Char"/>
    <w:aliases w:val="NFP GP Bulleted List Char,List Paragraph1 Char,Recommendation Char,Bullet table Char"/>
    <w:link w:val="ListParagraph"/>
    <w:uiPriority w:val="34"/>
    <w:locked/>
    <w:rsid w:val="004922D4"/>
  </w:style>
  <w:style w:type="paragraph" w:styleId="Caption">
    <w:name w:val="caption"/>
    <w:basedOn w:val="Normal"/>
    <w:next w:val="Normal"/>
    <w:uiPriority w:val="98"/>
    <w:unhideWhenUsed/>
    <w:qFormat/>
    <w:locked/>
    <w:rsid w:val="00E26461"/>
    <w:rPr>
      <w:b/>
      <w:bCs/>
      <w:color w:val="1178A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34508141">
      <w:bodyDiv w:val="1"/>
      <w:marLeft w:val="0"/>
      <w:marRight w:val="0"/>
      <w:marTop w:val="0"/>
      <w:marBottom w:val="0"/>
      <w:divBdr>
        <w:top w:val="none" w:sz="0" w:space="0" w:color="auto"/>
        <w:left w:val="none" w:sz="0" w:space="0" w:color="auto"/>
        <w:bottom w:val="none" w:sz="0" w:space="0" w:color="auto"/>
        <w:right w:val="none" w:sz="0" w:space="0" w:color="auto"/>
      </w:divBdr>
    </w:div>
    <w:div w:id="307051150">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071781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826701780">
      <w:bodyDiv w:val="1"/>
      <w:marLeft w:val="0"/>
      <w:marRight w:val="0"/>
      <w:marTop w:val="0"/>
      <w:marBottom w:val="0"/>
      <w:divBdr>
        <w:top w:val="none" w:sz="0" w:space="0" w:color="auto"/>
        <w:left w:val="none" w:sz="0" w:space="0" w:color="auto"/>
        <w:bottom w:val="none" w:sz="0" w:space="0" w:color="auto"/>
        <w:right w:val="none" w:sz="0" w:space="0" w:color="auto"/>
      </w:divBdr>
    </w:div>
    <w:div w:id="20961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wp-content/uploads/2017/12/National-Safety-and-Quality-Health-Service-Standards-second-edition.pdf" TargetMode="External"/><Relationship Id="rId18" Type="http://schemas.openxmlformats.org/officeDocument/2006/relationships/hyperlink" Target="https://bloodsafelearning.org.au/resource-centre/links-and-resources/state-and-territory-contacts/" TargetMode="External"/><Relationship Id="rId26" Type="http://schemas.openxmlformats.org/officeDocument/2006/relationships/hyperlink" Target="https://www.safetyandquality.gov.au/wp-content/uploads/2017/11/National-Safety-and-Quality-Health-Service-Standards-second-edition.pdf" TargetMode="External"/><Relationship Id="rId39" Type="http://schemas.openxmlformats.org/officeDocument/2006/relationships/hyperlink" Target="http://www.health.gov.au/internet/main/publishing.nsf/content/5D7909E82304E6D2CA257C430004E877/$File/wkstd13.pdf" TargetMode="External"/><Relationship Id="rId3" Type="http://schemas.openxmlformats.org/officeDocument/2006/relationships/styles" Target="styles.xml"/><Relationship Id="rId21" Type="http://schemas.openxmlformats.org/officeDocument/2006/relationships/hyperlink" Target="https://healthfacilityguidelines.com.au/hpu/adult-acute-mental-health-inpatient-unit-0" TargetMode="External"/><Relationship Id="rId34" Type="http://schemas.openxmlformats.org/officeDocument/2006/relationships/hyperlink" Target="http://www.safetyandquality.gov.au/wp-content/uploads/2012/10/Standard7_Oct_2012_WEB.pdf" TargetMode="External"/><Relationship Id="rId42" Type="http://schemas.openxmlformats.org/officeDocument/2006/relationships/hyperlink" Target="http://www.abs.gov.au/ausstats/abs@.nsf/Lookup/2901.0Chapter25702016"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afetyandquality.gov.au/our-work/patient-identification/patient-procedure-matching-protocols/surgical-safety-checklist/" TargetMode="External"/><Relationship Id="rId17" Type="http://schemas.openxmlformats.org/officeDocument/2006/relationships/hyperlink" Target="https://www.blood.gov.au/pbm-guidelines" TargetMode="External"/><Relationship Id="rId25" Type="http://schemas.openxmlformats.org/officeDocument/2006/relationships/hyperlink" Target="http://www.health.gov.au/internet/publications/publishing.nsf/Content/mental-pubs-n-safety-toc~mental-pubs-n-safety-3~mental-pubs-n-safety-3-sui" TargetMode="External"/><Relationship Id="rId33" Type="http://schemas.openxmlformats.org/officeDocument/2006/relationships/hyperlink" Target="http://www.safetyandquality.gov.au/our-work/patient-identification/patient-procedure-matching-protocols/surgical-safety-checklist/" TargetMode="External"/><Relationship Id="rId38" Type="http://schemas.openxmlformats.org/officeDocument/2006/relationships/hyperlink" Target="http://www.health.gov.au/internet/main/publishing.nsf/Content/A26C43ABB710D134CA257BF000212022/$File/pub2.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afetyandquality.gov.au/wp-content/uploads/2017/11/National-Safety-and-Quality-Health-Service-Standards-second-edition.pdf" TargetMode="External"/><Relationship Id="rId20" Type="http://schemas.openxmlformats.org/officeDocument/2006/relationships/hyperlink" Target="https://www.safetyandquality.gov.au/wp-content/uploads/2017/11/National-Safety-and-Quality-Health-Service-Standards-second-edition.pdf" TargetMode="External"/><Relationship Id="rId29" Type="http://schemas.openxmlformats.org/officeDocument/2006/relationships/hyperlink" Target="https://www.safetyandquality.gov.au/wp-content/uploads/2017/12/National-Safety-and-Quality-Health-Service-Standards-second-edition.pdf" TargetMode="External"/><Relationship Id="rId41" Type="http://schemas.openxmlformats.org/officeDocument/2006/relationships/hyperlink" Target="http://www.ranzcp.org/Files/Resources/College_Statements/Position_Statements/PS-61-Minimising-the-use-of-seclusion-and-restrain.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wp-content/uploads/2017/11/National-Safety-and-Quality-Health-Service-Standards-second-edition.pdf" TargetMode="External"/><Relationship Id="rId24" Type="http://schemas.openxmlformats.org/officeDocument/2006/relationships/hyperlink" Target="http://www.health.gov.au/internet/main/publishing.nsf/content/5D7909E82304E6D2CA257C430004E877/$File/wkstd13.pdf" TargetMode="External"/><Relationship Id="rId32" Type="http://schemas.openxmlformats.org/officeDocument/2006/relationships/hyperlink" Target="http://www.safetyandquality.gov.au/wp-content/uploads/2017/09/National-Safety-and-Quality-Health-Service-Standards-second-edition.pdf" TargetMode="External"/><Relationship Id="rId37" Type="http://schemas.openxmlformats.org/officeDocument/2006/relationships/hyperlink" Target="http://www.lifeinmindaustralia.com.au/docs/LIFE-framework-web.pdf" TargetMode="External"/><Relationship Id="rId40" Type="http://schemas.openxmlformats.org/officeDocument/2006/relationships/hyperlink" Target="http://www.health.gov.au/internet/publications/publishing.nsf/Content/mental-pubs-n-safety-toc~mental-pubs-n-safety-2"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afetyandquality.gov.au/our-work/patient-identification/patient-procedure-matching-protocols/surgical-safety-checklist/" TargetMode="External"/><Relationship Id="rId23" Type="http://schemas.openxmlformats.org/officeDocument/2006/relationships/hyperlink" Target="http://www.health.gov.au/internet/main/publishing.nsf/Content/A26C43ABB710D134CA257BF000212022/$File/pub2.pdf" TargetMode="External"/><Relationship Id="rId28" Type="http://schemas.openxmlformats.org/officeDocument/2006/relationships/hyperlink" Target="https://www.safetyandquality.gov.au/wp-content/uploads/2017/11/National-Safety-and-Quality-Health-Service-Standards-second-edition.pdf" TargetMode="External"/><Relationship Id="rId36" Type="http://schemas.openxmlformats.org/officeDocument/2006/relationships/hyperlink" Target="http://resources.transfusion.com.au/cdm/ref/collection/p16691coll1/id/20" TargetMode="External"/><Relationship Id="rId49" Type="http://schemas.openxmlformats.org/officeDocument/2006/relationships/theme" Target="theme/theme1.xml"/><Relationship Id="rId10" Type="http://schemas.openxmlformats.org/officeDocument/2006/relationships/hyperlink" Target="https://www.safetyandquality.gov.au/wp-content/uploads/2017/12/National-Safety-and-Quality-Health-Service-Standards-second-edition.pdf" TargetMode="External"/><Relationship Id="rId19" Type="http://schemas.openxmlformats.org/officeDocument/2006/relationships/hyperlink" Target="http://resources.transfusion.com.au/cdm/ref/collection/p16691coll1/id/20" TargetMode="External"/><Relationship Id="rId31" Type="http://schemas.openxmlformats.org/officeDocument/2006/relationships/hyperlink" Target="http://www.safetyandquality.gov.au/wp-content/uploads/2011/11/Windows-into-Safety-and-Quality-in-Health-Care-2011.pdf"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afetyandquality.gov.au/our-work/patient-identification/patient-procedure-matching-protocols/surgical-safety-checklist/" TargetMode="External"/><Relationship Id="rId22" Type="http://schemas.openxmlformats.org/officeDocument/2006/relationships/hyperlink" Target="https://www.lifeinmindaustralia.com.au/" TargetMode="External"/><Relationship Id="rId27" Type="http://schemas.openxmlformats.org/officeDocument/2006/relationships/hyperlink" Target="https://www.safetyandquality.gov.au/our-work/medication-safety/" TargetMode="External"/><Relationship Id="rId30" Type="http://schemas.openxmlformats.org/officeDocument/2006/relationships/hyperlink" Target="https://www.g-i-n.net/library/health-topics-collection/guidelines/jbi-au/methods-for-determining-the-correct-nasogastric-tube-placement-after-insertion-in-adults-14-1" TargetMode="External"/><Relationship Id="rId35" Type="http://schemas.openxmlformats.org/officeDocument/2006/relationships/hyperlink" Target="http://www.blood.gov.au/pbm-guidelines"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9961-C351-44A9-B2C8-52C6182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0</TotalTime>
  <Pages>21</Pages>
  <Words>6623</Words>
  <Characters>37757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CUADRA, Ron</cp:lastModifiedBy>
  <cp:revision>2</cp:revision>
  <cp:lastPrinted>2019-01-29T22:18:00Z</cp:lastPrinted>
  <dcterms:created xsi:type="dcterms:W3CDTF">2019-02-18T00:30:00Z</dcterms:created>
  <dcterms:modified xsi:type="dcterms:W3CDTF">2019-02-18T00:30:00Z</dcterms:modified>
</cp:coreProperties>
</file>