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4A" w:rsidRDefault="00136D25" w:rsidP="009419C4">
      <w:pPr>
        <w:jc w:val="center"/>
        <w:rPr>
          <w:rFonts w:ascii="Arial Bold" w:hAnsi="Arial Bold" w:cs="Arial"/>
          <w:b/>
          <w:color w:val="003366"/>
          <w:sz w:val="28"/>
          <w:szCs w:val="28"/>
        </w:rPr>
      </w:pPr>
      <w:r>
        <w:rPr>
          <w:rFonts w:ascii="Arial Bold" w:hAnsi="Arial Bold" w:cs="Arial"/>
          <w:b/>
          <w:color w:val="0033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75.35pt">
            <v:imagedata r:id="rId9" o:title=""/>
          </v:shape>
        </w:pict>
      </w: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Default="007A1C4A" w:rsidP="009419C4">
      <w:pPr>
        <w:jc w:val="center"/>
        <w:rPr>
          <w:rFonts w:ascii="Arial Bold" w:hAnsi="Arial Bold" w:cs="Arial"/>
          <w:b/>
          <w:color w:val="003366"/>
          <w:sz w:val="28"/>
          <w:szCs w:val="28"/>
        </w:rPr>
      </w:pPr>
    </w:p>
    <w:p w:rsidR="007A1C4A" w:rsidRPr="008D2173" w:rsidRDefault="007A1C4A" w:rsidP="00C24F8E">
      <w:pPr>
        <w:tabs>
          <w:tab w:val="center" w:pos="4666"/>
          <w:tab w:val="left" w:pos="6705"/>
        </w:tabs>
        <w:spacing w:before="120"/>
        <w:jc w:val="center"/>
        <w:rPr>
          <w:rFonts w:cs="Arial"/>
          <w:b/>
          <w:sz w:val="44"/>
          <w:szCs w:val="44"/>
        </w:rPr>
      </w:pPr>
      <w:r w:rsidRPr="008D2173">
        <w:rPr>
          <w:rFonts w:cs="Arial"/>
          <w:b/>
          <w:sz w:val="56"/>
          <w:szCs w:val="56"/>
        </w:rPr>
        <w:t>Supplementary Briefing</w:t>
      </w:r>
    </w:p>
    <w:p w:rsidR="007A1C4A" w:rsidRDefault="007A1C4A" w:rsidP="00E967CA">
      <w:pPr>
        <w:tabs>
          <w:tab w:val="center" w:pos="4666"/>
          <w:tab w:val="left" w:pos="6705"/>
        </w:tabs>
        <w:spacing w:before="480" w:after="240"/>
        <w:jc w:val="center"/>
        <w:rPr>
          <w:rFonts w:cs="Arial"/>
          <w:b/>
          <w:sz w:val="44"/>
          <w:szCs w:val="44"/>
        </w:rPr>
      </w:pPr>
      <w:r w:rsidRPr="008D2173">
        <w:rPr>
          <w:rFonts w:cs="Arial"/>
          <w:b/>
          <w:sz w:val="44"/>
          <w:szCs w:val="44"/>
        </w:rPr>
        <w:t>Joint Working Party: Safety and Quality</w:t>
      </w:r>
    </w:p>
    <w:p w:rsidR="007A1C4A" w:rsidRDefault="007A1C4A" w:rsidP="00C24F8E">
      <w:pPr>
        <w:tabs>
          <w:tab w:val="center" w:pos="4666"/>
          <w:tab w:val="left" w:pos="6705"/>
        </w:tabs>
        <w:spacing w:before="120"/>
        <w:jc w:val="center"/>
        <w:rPr>
          <w:rFonts w:cs="Arial"/>
          <w:b/>
          <w:sz w:val="36"/>
          <w:szCs w:val="36"/>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9419C4">
      <w:pPr>
        <w:tabs>
          <w:tab w:val="center" w:pos="4666"/>
          <w:tab w:val="left" w:pos="6705"/>
        </w:tabs>
        <w:spacing w:before="120"/>
        <w:jc w:val="center"/>
        <w:rPr>
          <w:rFonts w:cs="Arial"/>
          <w:b/>
          <w:sz w:val="44"/>
          <w:szCs w:val="44"/>
        </w:rPr>
      </w:pPr>
    </w:p>
    <w:p w:rsidR="007A1C4A" w:rsidRDefault="007A1C4A" w:rsidP="00DE38A2">
      <w:pPr>
        <w:ind w:right="-154"/>
        <w:rPr>
          <w:rFonts w:ascii="Cambria" w:hAnsi="Cambria" w:cs="Arial"/>
          <w:b/>
          <w:color w:val="008080"/>
          <w:sz w:val="32"/>
          <w:szCs w:val="32"/>
          <w:lang w:eastAsia="en-AU"/>
        </w:rPr>
        <w:sectPr w:rsidR="007A1C4A" w:rsidSect="00DE0D1D">
          <w:pgSz w:w="11906" w:h="16838"/>
          <w:pgMar w:top="1440" w:right="1800" w:bottom="1440" w:left="1800" w:header="708" w:footer="708" w:gutter="0"/>
          <w:cols w:space="708"/>
          <w:docGrid w:linePitch="360"/>
        </w:sectPr>
      </w:pPr>
    </w:p>
    <w:p w:rsidR="007A1C4A" w:rsidRPr="00DB36C2" w:rsidRDefault="007A1C4A" w:rsidP="00DE38A2">
      <w:pPr>
        <w:ind w:right="-154"/>
        <w:rPr>
          <w:rFonts w:ascii="Cambria" w:hAnsi="Cambria" w:cs="Arial"/>
          <w:b/>
          <w:color w:val="008080"/>
          <w:sz w:val="32"/>
          <w:szCs w:val="32"/>
          <w:lang w:eastAsia="en-AU"/>
        </w:rPr>
      </w:pPr>
      <w:r w:rsidRPr="00DB36C2">
        <w:rPr>
          <w:rFonts w:ascii="Cambria" w:hAnsi="Cambria" w:cs="Arial"/>
          <w:b/>
          <w:color w:val="008080"/>
          <w:sz w:val="32"/>
          <w:szCs w:val="32"/>
          <w:lang w:eastAsia="en-AU"/>
        </w:rPr>
        <w:lastRenderedPageBreak/>
        <w:t>Table of contents</w:t>
      </w:r>
    </w:p>
    <w:p w:rsidR="007A1C4A" w:rsidRDefault="00136D25" w:rsidP="00DE38A2">
      <w:pPr>
        <w:jc w:val="both"/>
        <w:rPr>
          <w:rFonts w:cs="Arial"/>
        </w:rPr>
      </w:pPr>
      <w:r>
        <w:rPr>
          <w:rFonts w:cs="Arial"/>
        </w:rPr>
        <w:pict>
          <v:shape id="_x0000_i1026" type="#_x0000_t75" style="width:400.8pt;height:7.15pt" o:hrpct="0" o:hr="t">
            <v:imagedata r:id="rId10" o:title=""/>
          </v:shape>
        </w:pict>
      </w:r>
    </w:p>
    <w:p w:rsidR="007A1C4A" w:rsidRPr="00D737FE" w:rsidRDefault="007A1C4A" w:rsidP="00D737FE">
      <w:pPr>
        <w:pStyle w:val="TOC1"/>
        <w:tabs>
          <w:tab w:val="right" w:leader="dot" w:pos="8296"/>
        </w:tabs>
        <w:spacing w:before="120" w:after="120" w:line="264" w:lineRule="auto"/>
        <w:rPr>
          <w:rStyle w:val="Strong"/>
          <w:rFonts w:ascii="Arial" w:hAnsi="Arial" w:cs="Arial"/>
          <w:b w:val="0"/>
          <w:bCs/>
        </w:rPr>
      </w:pPr>
    </w:p>
    <w:p w:rsidR="007A1C4A" w:rsidRPr="00B642E9" w:rsidRDefault="007A1C4A" w:rsidP="00B642E9">
      <w:pPr>
        <w:pStyle w:val="TOC1"/>
        <w:tabs>
          <w:tab w:val="left" w:pos="480"/>
          <w:tab w:val="right" w:leader="dot" w:pos="8296"/>
        </w:tabs>
        <w:spacing w:before="120" w:after="120" w:line="264" w:lineRule="auto"/>
        <w:rPr>
          <w:rFonts w:ascii="Arial" w:hAnsi="Arial" w:cs="Arial"/>
          <w:noProof/>
          <w:lang w:val="en-AU" w:eastAsia="en-AU"/>
        </w:rPr>
      </w:pPr>
      <w:r w:rsidRPr="00B642E9">
        <w:rPr>
          <w:rStyle w:val="Strong"/>
          <w:rFonts w:ascii="Arial" w:hAnsi="Arial" w:cs="Arial"/>
          <w:b w:val="0"/>
          <w:bCs/>
        </w:rPr>
        <w:fldChar w:fldCharType="begin"/>
      </w:r>
      <w:r w:rsidRPr="00B642E9">
        <w:rPr>
          <w:rStyle w:val="Strong"/>
          <w:rFonts w:ascii="Arial" w:hAnsi="Arial" w:cs="Arial"/>
          <w:b w:val="0"/>
          <w:bCs/>
        </w:rPr>
        <w:instrText xml:space="preserve"> TOC \o "1-3" \h \z \u </w:instrText>
      </w:r>
      <w:r w:rsidRPr="00B642E9">
        <w:rPr>
          <w:rStyle w:val="Strong"/>
          <w:rFonts w:ascii="Arial" w:hAnsi="Arial" w:cs="Arial"/>
          <w:b w:val="0"/>
          <w:bCs/>
        </w:rPr>
        <w:fldChar w:fldCharType="separate"/>
      </w:r>
      <w:hyperlink w:anchor="_Toc372115646" w:history="1">
        <w:r w:rsidRPr="00B642E9">
          <w:rPr>
            <w:rStyle w:val="Hyperlink"/>
            <w:rFonts w:ascii="Arial" w:hAnsi="Arial" w:cs="Arial"/>
            <w:noProof/>
            <w:lang w:eastAsia="en-AU"/>
          </w:rPr>
          <w:t>1.</w:t>
        </w:r>
        <w:r w:rsidRPr="00B642E9">
          <w:rPr>
            <w:rFonts w:ascii="Arial" w:hAnsi="Arial" w:cs="Arial"/>
            <w:noProof/>
            <w:lang w:val="en-AU" w:eastAsia="en-AU"/>
          </w:rPr>
          <w:tab/>
        </w:r>
        <w:r w:rsidRPr="00B642E9">
          <w:rPr>
            <w:rStyle w:val="Hyperlink"/>
            <w:rFonts w:ascii="Arial" w:hAnsi="Arial" w:cs="Arial"/>
            <w:noProof/>
            <w:lang w:eastAsia="en-AU"/>
          </w:rPr>
          <w:t>Introduction</w:t>
        </w:r>
        <w:r w:rsidRPr="00B642E9">
          <w:rPr>
            <w:rFonts w:ascii="Arial" w:hAnsi="Arial" w:cs="Arial"/>
            <w:noProof/>
            <w:webHidden/>
          </w:rPr>
          <w:tab/>
        </w:r>
        <w:r w:rsidRPr="00B642E9">
          <w:rPr>
            <w:rFonts w:ascii="Arial" w:hAnsi="Arial" w:cs="Arial"/>
            <w:noProof/>
            <w:webHidden/>
          </w:rPr>
          <w:fldChar w:fldCharType="begin"/>
        </w:r>
        <w:r w:rsidRPr="00B642E9">
          <w:rPr>
            <w:rFonts w:ascii="Arial" w:hAnsi="Arial" w:cs="Arial"/>
            <w:noProof/>
            <w:webHidden/>
          </w:rPr>
          <w:instrText xml:space="preserve"> PAGEREF _Toc372115646 \h </w:instrText>
        </w:r>
        <w:r w:rsidRPr="00B642E9">
          <w:rPr>
            <w:rFonts w:ascii="Arial" w:hAnsi="Arial" w:cs="Arial"/>
            <w:noProof/>
            <w:webHidden/>
          </w:rPr>
        </w:r>
        <w:r w:rsidRPr="00B642E9">
          <w:rPr>
            <w:rFonts w:ascii="Arial" w:hAnsi="Arial" w:cs="Arial"/>
            <w:noProof/>
            <w:webHidden/>
          </w:rPr>
          <w:fldChar w:fldCharType="separate"/>
        </w:r>
        <w:r w:rsidR="00A12053">
          <w:rPr>
            <w:rFonts w:ascii="Arial" w:hAnsi="Arial" w:cs="Arial"/>
            <w:noProof/>
            <w:webHidden/>
          </w:rPr>
          <w:t>5</w:t>
        </w:r>
        <w:r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47" w:history="1">
        <w:r w:rsidR="007A1C4A" w:rsidRPr="00B642E9">
          <w:rPr>
            <w:rStyle w:val="Hyperlink"/>
            <w:rFonts w:ascii="Arial" w:hAnsi="Arial" w:cs="Arial"/>
            <w:noProof/>
          </w:rPr>
          <w:t>1.1</w:t>
        </w:r>
        <w:r w:rsidR="007A1C4A" w:rsidRPr="00B642E9">
          <w:rPr>
            <w:rFonts w:ascii="Arial" w:hAnsi="Arial" w:cs="Arial"/>
            <w:noProof/>
            <w:lang w:val="en-AU" w:eastAsia="en-AU"/>
          </w:rPr>
          <w:tab/>
        </w:r>
        <w:r w:rsidR="007A1C4A" w:rsidRPr="00B642E9">
          <w:rPr>
            <w:rStyle w:val="Hyperlink"/>
            <w:rFonts w:ascii="Arial" w:hAnsi="Arial" w:cs="Arial"/>
            <w:noProof/>
          </w:rPr>
          <w:t>Context</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_Toc372115647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w:t>
        </w:r>
        <w:r w:rsidR="007A1C4A" w:rsidRPr="00B642E9">
          <w:rPr>
            <w:rFonts w:ascii="Arial" w:hAnsi="Arial" w:cs="Arial"/>
            <w:noProof/>
            <w:webHidden/>
          </w:rPr>
          <w:fldChar w:fldCharType="end"/>
        </w:r>
      </w:hyperlink>
    </w:p>
    <w:p w:rsidR="007A1C4A" w:rsidRPr="00B642E9" w:rsidRDefault="00136D25" w:rsidP="00B642E9">
      <w:pPr>
        <w:pStyle w:val="TOC1"/>
        <w:tabs>
          <w:tab w:val="left" w:pos="480"/>
          <w:tab w:val="right" w:leader="dot" w:pos="8296"/>
        </w:tabs>
        <w:spacing w:before="120" w:after="120" w:line="264" w:lineRule="auto"/>
        <w:rPr>
          <w:rFonts w:ascii="Arial" w:hAnsi="Arial" w:cs="Arial"/>
          <w:noProof/>
          <w:lang w:val="en-AU" w:eastAsia="en-AU"/>
        </w:rPr>
      </w:pPr>
      <w:hyperlink w:anchor="_Toc372115648" w:history="1">
        <w:r w:rsidR="007A1C4A" w:rsidRPr="00B642E9">
          <w:rPr>
            <w:rStyle w:val="Hyperlink"/>
            <w:rFonts w:ascii="Arial" w:hAnsi="Arial" w:cs="Arial"/>
            <w:noProof/>
            <w:lang w:eastAsia="en-AU"/>
          </w:rPr>
          <w:t>2.</w:t>
        </w:r>
        <w:r w:rsidR="007A1C4A" w:rsidRPr="00B642E9">
          <w:rPr>
            <w:rFonts w:ascii="Arial" w:hAnsi="Arial" w:cs="Arial"/>
            <w:noProof/>
            <w:lang w:val="en-AU" w:eastAsia="en-AU"/>
          </w:rPr>
          <w:tab/>
        </w:r>
        <w:r w:rsidR="007A1C4A" w:rsidRPr="00B642E9">
          <w:rPr>
            <w:rStyle w:val="Hyperlink"/>
            <w:rFonts w:ascii="Arial" w:hAnsi="Arial" w:cs="Arial"/>
            <w:noProof/>
            <w:lang w:eastAsia="en-AU"/>
          </w:rPr>
          <w:t>Defining ‘quality’ in health care</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_Toc372115648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6</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49" w:history="1">
        <w:r w:rsidR="007A1C4A" w:rsidRPr="00B642E9">
          <w:rPr>
            <w:rStyle w:val="Hyperlink"/>
            <w:rFonts w:ascii="Arial" w:hAnsi="Arial" w:cs="Arial"/>
            <w:noProof/>
          </w:rPr>
          <w:t>2.1</w:t>
        </w:r>
        <w:r w:rsidR="007A1C4A" w:rsidRPr="00B642E9">
          <w:rPr>
            <w:rFonts w:ascii="Arial" w:hAnsi="Arial" w:cs="Arial"/>
            <w:noProof/>
            <w:lang w:val="en-AU" w:eastAsia="en-AU"/>
          </w:rPr>
          <w:tab/>
        </w:r>
        <w:r w:rsidR="007A1C4A" w:rsidRPr="00B642E9">
          <w:rPr>
            <w:rStyle w:val="Hyperlink"/>
            <w:rFonts w:ascii="Arial" w:hAnsi="Arial" w:cs="Arial"/>
            <w:noProof/>
          </w:rPr>
          <w:t>Context</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_Toc372115649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6</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50" w:history="1">
        <w:r w:rsidR="007A1C4A" w:rsidRPr="00B642E9">
          <w:rPr>
            <w:rStyle w:val="Hyperlink"/>
            <w:rFonts w:ascii="Arial" w:hAnsi="Arial" w:cs="Arial"/>
            <w:noProof/>
          </w:rPr>
          <w:t>2.2</w:t>
        </w:r>
        <w:r w:rsidR="007A1C4A" w:rsidRPr="00B642E9">
          <w:rPr>
            <w:rFonts w:ascii="Arial" w:hAnsi="Arial" w:cs="Arial"/>
            <w:noProof/>
            <w:lang w:val="en-AU" w:eastAsia="en-AU"/>
          </w:rPr>
          <w:tab/>
        </w:r>
        <w:r w:rsidR="007A1C4A" w:rsidRPr="00B642E9">
          <w:rPr>
            <w:rStyle w:val="Hyperlink"/>
            <w:rFonts w:ascii="Arial" w:hAnsi="Arial" w:cs="Arial"/>
            <w:noProof/>
          </w:rPr>
          <w:t>Proposed definitions</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_Toc372115650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6</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51" w:history="1">
        <w:r w:rsidR="007A1C4A" w:rsidRPr="00B642E9">
          <w:rPr>
            <w:rStyle w:val="Hyperlink"/>
            <w:rFonts w:ascii="Arial" w:hAnsi="Arial" w:cs="Arial"/>
            <w:noProof/>
          </w:rPr>
          <w:t>2.3</w:t>
        </w:r>
        <w:r w:rsidR="007A1C4A" w:rsidRPr="00B642E9">
          <w:rPr>
            <w:rFonts w:ascii="Arial" w:hAnsi="Arial" w:cs="Arial"/>
            <w:noProof/>
            <w:lang w:val="en-AU" w:eastAsia="en-AU"/>
          </w:rPr>
          <w:tab/>
        </w:r>
        <w:r w:rsidR="007A1C4A" w:rsidRPr="00B642E9">
          <w:rPr>
            <w:rStyle w:val="Hyperlink"/>
            <w:rFonts w:ascii="Arial" w:hAnsi="Arial" w:cs="Arial"/>
            <w:noProof/>
          </w:rPr>
          <w:t>References</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_Toc372115651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8</w:t>
        </w:r>
        <w:r w:rsidR="007A1C4A" w:rsidRPr="00B642E9">
          <w:rPr>
            <w:rFonts w:ascii="Arial" w:hAnsi="Arial" w:cs="Arial"/>
            <w:noProof/>
            <w:webHidden/>
          </w:rPr>
          <w:fldChar w:fldCharType="end"/>
        </w:r>
      </w:hyperlink>
    </w:p>
    <w:p w:rsidR="007A1C4A" w:rsidRPr="00B642E9" w:rsidRDefault="00136D25" w:rsidP="00B642E9">
      <w:pPr>
        <w:pStyle w:val="TOC1"/>
        <w:tabs>
          <w:tab w:val="left" w:pos="480"/>
          <w:tab w:val="right" w:leader="dot" w:pos="8296"/>
        </w:tabs>
        <w:spacing w:before="120" w:after="120" w:line="264" w:lineRule="auto"/>
        <w:rPr>
          <w:rFonts w:ascii="Arial" w:hAnsi="Arial" w:cs="Arial"/>
          <w:noProof/>
          <w:lang w:val="en-AU" w:eastAsia="en-AU"/>
        </w:rPr>
      </w:pPr>
      <w:hyperlink w:anchor="_Toc372115652" w:history="1">
        <w:r w:rsidR="007A1C4A" w:rsidRPr="00B642E9">
          <w:rPr>
            <w:rStyle w:val="Hyperlink"/>
            <w:rFonts w:ascii="Arial" w:hAnsi="Arial" w:cs="Arial"/>
            <w:noProof/>
            <w:lang w:eastAsia="en-AU"/>
          </w:rPr>
          <w:t>3.</w:t>
        </w:r>
        <w:r w:rsidR="007A1C4A" w:rsidRPr="00B642E9">
          <w:rPr>
            <w:rFonts w:ascii="Arial" w:hAnsi="Arial" w:cs="Arial"/>
            <w:noProof/>
            <w:lang w:val="en-AU" w:eastAsia="en-AU"/>
          </w:rPr>
          <w:tab/>
        </w:r>
        <w:r w:rsidR="007A1C4A" w:rsidRPr="00B642E9">
          <w:rPr>
            <w:rStyle w:val="Hyperlink"/>
            <w:rFonts w:ascii="Arial" w:hAnsi="Arial" w:cs="Arial"/>
            <w:noProof/>
            <w:lang w:eastAsia="en-AU"/>
          </w:rPr>
          <w:t>Update on recent literature</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_Toc372115652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9</w:t>
        </w:r>
        <w:r w:rsidR="007A1C4A" w:rsidRPr="00B642E9">
          <w:rPr>
            <w:rFonts w:ascii="Arial" w:hAnsi="Arial" w:cs="Arial"/>
            <w:noProof/>
            <w:webHidden/>
          </w:rPr>
          <w:fldChar w:fldCharType="end"/>
        </w:r>
      </w:hyperlink>
    </w:p>
    <w:p w:rsidR="007A1C4A" w:rsidRPr="00B642E9" w:rsidRDefault="00136D25" w:rsidP="00B642E9">
      <w:pPr>
        <w:pStyle w:val="TOC1"/>
        <w:tabs>
          <w:tab w:val="left" w:pos="480"/>
          <w:tab w:val="right" w:leader="dot" w:pos="8296"/>
        </w:tabs>
        <w:spacing w:before="120" w:after="120" w:line="264" w:lineRule="auto"/>
        <w:rPr>
          <w:rFonts w:ascii="Arial" w:hAnsi="Arial" w:cs="Arial"/>
          <w:noProof/>
          <w:lang w:val="en-AU" w:eastAsia="en-AU"/>
        </w:rPr>
      </w:pPr>
      <w:hyperlink w:anchor="_Toc372115657" w:history="1">
        <w:r w:rsidR="007A1C4A" w:rsidRPr="00B642E9">
          <w:rPr>
            <w:rStyle w:val="Hyperlink"/>
            <w:rFonts w:ascii="Arial" w:hAnsi="Arial" w:cs="Arial"/>
            <w:noProof/>
            <w:lang w:eastAsia="en-AU"/>
          </w:rPr>
          <w:t>4.</w:t>
        </w:r>
        <w:r w:rsidR="007A1C4A" w:rsidRPr="00B642E9">
          <w:rPr>
            <w:rFonts w:ascii="Arial" w:hAnsi="Arial" w:cs="Arial"/>
            <w:noProof/>
            <w:lang w:val="en-AU" w:eastAsia="en-AU"/>
          </w:rPr>
          <w:tab/>
        </w:r>
        <w:r w:rsidR="007A1C4A" w:rsidRPr="00B642E9">
          <w:rPr>
            <w:rStyle w:val="Hyperlink"/>
            <w:rFonts w:ascii="Arial" w:hAnsi="Arial" w:cs="Arial"/>
            <w:noProof/>
            <w:lang w:eastAsia="en-AU"/>
          </w:rPr>
          <w:t>International examples</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_Toc372115657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31</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58" w:history="1">
        <w:r w:rsidR="007A1C4A" w:rsidRPr="00B642E9">
          <w:rPr>
            <w:rStyle w:val="Hyperlink"/>
            <w:rFonts w:ascii="Arial" w:hAnsi="Arial" w:cs="Arial"/>
            <w:noProof/>
          </w:rPr>
          <w:t>4.1</w:t>
        </w:r>
        <w:r w:rsidR="007A1C4A" w:rsidRPr="00B642E9">
          <w:rPr>
            <w:rFonts w:ascii="Arial" w:hAnsi="Arial" w:cs="Arial"/>
            <w:noProof/>
            <w:lang w:val="en-AU" w:eastAsia="en-AU"/>
          </w:rPr>
          <w:tab/>
        </w:r>
        <w:r w:rsidR="007A1C4A" w:rsidRPr="00B642E9">
          <w:rPr>
            <w:rStyle w:val="Hyperlink"/>
            <w:rFonts w:ascii="Arial" w:hAnsi="Arial" w:cs="Arial"/>
            <w:noProof/>
          </w:rPr>
          <w:t>Context</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_Toc372115658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31</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59" w:history="1">
        <w:r w:rsidR="007A1C4A" w:rsidRPr="00B642E9">
          <w:rPr>
            <w:rStyle w:val="Hyperlink"/>
            <w:rFonts w:ascii="Arial" w:hAnsi="Arial" w:cs="Arial"/>
            <w:noProof/>
          </w:rPr>
          <w:t>4.2</w:t>
        </w:r>
        <w:r w:rsidR="007A1C4A" w:rsidRPr="00B642E9">
          <w:rPr>
            <w:rFonts w:ascii="Arial" w:hAnsi="Arial" w:cs="Arial"/>
            <w:noProof/>
            <w:lang w:val="en-AU" w:eastAsia="en-AU"/>
          </w:rPr>
          <w:tab/>
        </w:r>
        <w:r w:rsidR="007A1C4A" w:rsidRPr="00B642E9">
          <w:rPr>
            <w:rStyle w:val="Hyperlink"/>
            <w:rFonts w:ascii="Arial" w:hAnsi="Arial" w:cs="Arial"/>
            <w:noProof/>
          </w:rPr>
          <w:t>Overview</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_Toc372115659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31</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0" w:history="1">
        <w:r w:rsidR="007A1C4A" w:rsidRPr="00B642E9">
          <w:rPr>
            <w:rStyle w:val="Hyperlink"/>
            <w:rFonts w:ascii="Arial" w:hAnsi="Arial" w:cs="Arial"/>
            <w:noProof/>
          </w:rPr>
          <w:t>4.3</w:t>
        </w:r>
        <w:r w:rsidR="007A1C4A" w:rsidRPr="00B642E9">
          <w:rPr>
            <w:rFonts w:ascii="Arial" w:hAnsi="Arial" w:cs="Arial"/>
            <w:noProof/>
            <w:lang w:val="en-AU" w:eastAsia="en-AU"/>
          </w:rPr>
          <w:tab/>
        </w:r>
        <w:r w:rsidR="007A1C4A" w:rsidRPr="00B642E9">
          <w:rPr>
            <w:rStyle w:val="Hyperlink"/>
            <w:rFonts w:ascii="Arial" w:hAnsi="Arial" w:cs="Arial"/>
            <w:noProof/>
          </w:rPr>
          <w:t>Funding and quality mechanisms: UK health care system</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_Toc372115660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32</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1" w:history="1">
        <w:r w:rsidR="007A1C4A" w:rsidRPr="00B642E9">
          <w:rPr>
            <w:rStyle w:val="Hyperlink"/>
            <w:rFonts w:ascii="Arial" w:hAnsi="Arial" w:cs="Arial"/>
            <w:noProof/>
          </w:rPr>
          <w:t>4.4</w:t>
        </w:r>
        <w:r w:rsidR="007A1C4A" w:rsidRPr="00B642E9">
          <w:rPr>
            <w:rFonts w:ascii="Arial" w:hAnsi="Arial" w:cs="Arial"/>
            <w:noProof/>
            <w:lang w:val="en-AU" w:eastAsia="en-AU"/>
          </w:rPr>
          <w:tab/>
        </w:r>
        <w:r w:rsidR="007A1C4A" w:rsidRPr="00B642E9">
          <w:rPr>
            <w:rStyle w:val="Hyperlink"/>
            <w:rFonts w:ascii="Arial" w:hAnsi="Arial" w:cs="Arial"/>
            <w:noProof/>
          </w:rPr>
          <w:t>Funding and quality mechanisms: German health care system</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_Toc372115661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38</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2" w:history="1">
        <w:r w:rsidR="007A1C4A" w:rsidRPr="00B642E9">
          <w:rPr>
            <w:rStyle w:val="Hyperlink"/>
            <w:rFonts w:ascii="Arial" w:hAnsi="Arial" w:cs="Arial"/>
            <w:noProof/>
          </w:rPr>
          <w:t>4.5</w:t>
        </w:r>
        <w:r w:rsidR="007A1C4A" w:rsidRPr="00B642E9">
          <w:rPr>
            <w:rFonts w:ascii="Arial" w:hAnsi="Arial" w:cs="Arial"/>
            <w:noProof/>
            <w:lang w:val="en-AU" w:eastAsia="en-AU"/>
          </w:rPr>
          <w:tab/>
        </w:r>
        <w:r w:rsidR="007A1C4A" w:rsidRPr="00B642E9">
          <w:rPr>
            <w:rStyle w:val="Hyperlink"/>
            <w:rFonts w:ascii="Arial" w:hAnsi="Arial" w:cs="Arial"/>
            <w:noProof/>
          </w:rPr>
          <w:t>Funding and quality mechanisms: Kaiser Permanente (US) health care system</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_Toc372115662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46</w:t>
        </w:r>
        <w:r w:rsidR="007A1C4A" w:rsidRPr="00B642E9">
          <w:rPr>
            <w:rFonts w:ascii="Arial" w:hAnsi="Arial" w:cs="Arial"/>
            <w:noProof/>
            <w:webHidden/>
          </w:rPr>
          <w:fldChar w:fldCharType="end"/>
        </w:r>
      </w:hyperlink>
    </w:p>
    <w:p w:rsidR="007A1C4A" w:rsidRPr="00B642E9" w:rsidRDefault="00136D25" w:rsidP="00B642E9">
      <w:pPr>
        <w:pStyle w:val="TOC1"/>
        <w:tabs>
          <w:tab w:val="left" w:pos="480"/>
          <w:tab w:val="right" w:leader="dot" w:pos="8296"/>
        </w:tabs>
        <w:spacing w:before="120" w:after="120" w:line="264" w:lineRule="auto"/>
        <w:rPr>
          <w:rFonts w:ascii="Arial" w:hAnsi="Arial" w:cs="Arial"/>
          <w:noProof/>
          <w:lang w:val="en-AU" w:eastAsia="en-AU"/>
        </w:rPr>
      </w:pPr>
      <w:hyperlink w:anchor="_Toc372115663" w:history="1">
        <w:r w:rsidR="007A1C4A" w:rsidRPr="00B642E9">
          <w:rPr>
            <w:rStyle w:val="Hyperlink"/>
            <w:rFonts w:ascii="Arial" w:hAnsi="Arial" w:cs="Arial"/>
            <w:noProof/>
            <w:lang w:eastAsia="en-AU"/>
          </w:rPr>
          <w:t>5.</w:t>
        </w:r>
        <w:r w:rsidR="007A1C4A" w:rsidRPr="00B642E9">
          <w:rPr>
            <w:rFonts w:ascii="Arial" w:hAnsi="Arial" w:cs="Arial"/>
            <w:noProof/>
            <w:lang w:val="en-AU" w:eastAsia="en-AU"/>
          </w:rPr>
          <w:tab/>
        </w:r>
        <w:r w:rsidR="007A1C4A" w:rsidRPr="00B642E9">
          <w:rPr>
            <w:rStyle w:val="Hyperlink"/>
            <w:rFonts w:ascii="Arial" w:hAnsi="Arial" w:cs="Arial"/>
            <w:noProof/>
            <w:lang w:eastAsia="en-AU"/>
          </w:rPr>
          <w:t>Why financial incentives may not deliver the intended effects in health care</w:t>
        </w:r>
        <w:r w:rsidR="007A1C4A" w:rsidRPr="00B642E9">
          <w:rPr>
            <w:rFonts w:ascii="Arial" w:hAnsi="Arial" w:cs="Arial"/>
            <w:noProof/>
            <w:webHidden/>
          </w:rPr>
          <w:tab/>
        </w:r>
        <w:r w:rsidR="007A1C4A">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_Toc372115663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49</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4" w:history="1">
        <w:r w:rsidR="007A1C4A" w:rsidRPr="00B642E9">
          <w:rPr>
            <w:rStyle w:val="Hyperlink"/>
            <w:rFonts w:ascii="Arial" w:hAnsi="Arial" w:cs="Arial"/>
            <w:noProof/>
          </w:rPr>
          <w:t>5.1</w:t>
        </w:r>
        <w:r w:rsidR="007A1C4A" w:rsidRPr="00B642E9">
          <w:rPr>
            <w:rFonts w:ascii="Arial" w:hAnsi="Arial" w:cs="Arial"/>
            <w:noProof/>
            <w:lang w:val="en-AU" w:eastAsia="en-AU"/>
          </w:rPr>
          <w:tab/>
        </w:r>
        <w:r w:rsidR="007A1C4A" w:rsidRPr="00B642E9">
          <w:rPr>
            <w:rStyle w:val="Hyperlink"/>
            <w:rFonts w:ascii="Arial" w:hAnsi="Arial" w:cs="Arial"/>
            <w:noProof/>
          </w:rPr>
          <w:t>Learnings from other academic disciplines and settings</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_Toc372115664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49</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5" w:history="1">
        <w:r w:rsidR="007A1C4A" w:rsidRPr="00B642E9">
          <w:rPr>
            <w:rStyle w:val="Hyperlink"/>
            <w:rFonts w:ascii="Arial" w:hAnsi="Arial" w:cs="Arial"/>
            <w:noProof/>
          </w:rPr>
          <w:t>5.2</w:t>
        </w:r>
        <w:r w:rsidR="007A1C4A" w:rsidRPr="00B642E9">
          <w:rPr>
            <w:rFonts w:ascii="Arial" w:hAnsi="Arial" w:cs="Arial"/>
            <w:noProof/>
            <w:lang w:val="en-AU" w:eastAsia="en-AU"/>
          </w:rPr>
          <w:tab/>
        </w:r>
        <w:r w:rsidR="007A1C4A" w:rsidRPr="00B642E9">
          <w:rPr>
            <w:rStyle w:val="Hyperlink"/>
            <w:rFonts w:ascii="Arial" w:hAnsi="Arial" w:cs="Arial"/>
            <w:noProof/>
          </w:rPr>
          <w:t>Key aspects of ‘successful’ schemes</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_Toc372115665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53</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6" w:history="1">
        <w:r w:rsidR="007A1C4A" w:rsidRPr="00B642E9">
          <w:rPr>
            <w:rStyle w:val="Hyperlink"/>
            <w:rFonts w:ascii="Arial" w:hAnsi="Arial" w:cs="Arial"/>
            <w:noProof/>
          </w:rPr>
          <w:t xml:space="preserve">5.3 </w:t>
        </w:r>
        <w:r w:rsidR="007A1C4A" w:rsidRPr="00B642E9">
          <w:rPr>
            <w:rFonts w:ascii="Arial" w:hAnsi="Arial" w:cs="Arial"/>
            <w:noProof/>
            <w:lang w:val="en-AU" w:eastAsia="en-AU"/>
          </w:rPr>
          <w:tab/>
        </w:r>
        <w:r w:rsidR="007A1C4A" w:rsidRPr="00B642E9">
          <w:rPr>
            <w:rStyle w:val="Hyperlink"/>
            <w:rFonts w:ascii="Arial" w:hAnsi="Arial" w:cs="Arial"/>
            <w:noProof/>
          </w:rPr>
          <w:t>References</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_Toc372115666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54</w:t>
        </w:r>
        <w:r w:rsidR="007A1C4A" w:rsidRPr="00B642E9">
          <w:rPr>
            <w:rFonts w:ascii="Arial" w:hAnsi="Arial" w:cs="Arial"/>
            <w:noProof/>
            <w:webHidden/>
          </w:rPr>
          <w:fldChar w:fldCharType="end"/>
        </w:r>
      </w:hyperlink>
    </w:p>
    <w:p w:rsidR="007A1C4A" w:rsidRPr="00B642E9" w:rsidRDefault="00136D25" w:rsidP="00B642E9">
      <w:pPr>
        <w:pStyle w:val="TOC1"/>
        <w:tabs>
          <w:tab w:val="left" w:pos="480"/>
          <w:tab w:val="right" w:leader="dot" w:pos="8296"/>
        </w:tabs>
        <w:spacing w:before="120" w:after="120" w:line="264" w:lineRule="auto"/>
        <w:rPr>
          <w:rFonts w:ascii="Arial" w:hAnsi="Arial" w:cs="Arial"/>
          <w:noProof/>
          <w:lang w:val="en-AU" w:eastAsia="en-AU"/>
        </w:rPr>
      </w:pPr>
      <w:hyperlink w:anchor="_Toc372115667" w:history="1">
        <w:r w:rsidR="007A1C4A" w:rsidRPr="00B642E9">
          <w:rPr>
            <w:rStyle w:val="Hyperlink"/>
            <w:rFonts w:ascii="Arial" w:hAnsi="Arial" w:cs="Arial"/>
            <w:noProof/>
            <w:lang w:eastAsia="en-AU"/>
          </w:rPr>
          <w:t>6.</w:t>
        </w:r>
        <w:r w:rsidR="007A1C4A" w:rsidRPr="00B642E9">
          <w:rPr>
            <w:rFonts w:ascii="Arial" w:hAnsi="Arial" w:cs="Arial"/>
            <w:noProof/>
            <w:lang w:val="en-AU" w:eastAsia="en-AU"/>
          </w:rPr>
          <w:tab/>
        </w:r>
        <w:r w:rsidR="007A1C4A" w:rsidRPr="00B642E9">
          <w:rPr>
            <w:rStyle w:val="Hyperlink"/>
            <w:rFonts w:ascii="Arial" w:hAnsi="Arial" w:cs="Arial"/>
            <w:noProof/>
            <w:lang w:eastAsia="en-AU"/>
          </w:rPr>
          <w:t>Australian Refine Diagnosis Related Groups v7.0</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_Toc372115667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56</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8" w:history="1">
        <w:r w:rsidR="007A1C4A" w:rsidRPr="00B642E9">
          <w:rPr>
            <w:rStyle w:val="Hyperlink"/>
            <w:rFonts w:ascii="Arial" w:hAnsi="Arial" w:cs="Arial"/>
            <w:noProof/>
          </w:rPr>
          <w:t>6.1</w:t>
        </w:r>
        <w:r w:rsidR="007A1C4A" w:rsidRPr="00B642E9">
          <w:rPr>
            <w:rFonts w:ascii="Arial" w:hAnsi="Arial" w:cs="Arial"/>
            <w:noProof/>
            <w:lang w:val="en-AU" w:eastAsia="en-AU"/>
          </w:rPr>
          <w:tab/>
        </w:r>
        <w:r w:rsidR="007A1C4A" w:rsidRPr="00B642E9">
          <w:rPr>
            <w:rStyle w:val="Hyperlink"/>
            <w:rFonts w:ascii="Arial" w:hAnsi="Arial" w:cs="Arial"/>
            <w:noProof/>
          </w:rPr>
          <w:t>Context</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_Toc372115668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56</w:t>
        </w:r>
        <w:r w:rsidR="007A1C4A" w:rsidRPr="00B642E9">
          <w:rPr>
            <w:rFonts w:ascii="Arial" w:hAnsi="Arial" w:cs="Arial"/>
            <w:noProof/>
            <w:webHidden/>
          </w:rPr>
          <w:fldChar w:fldCharType="end"/>
        </w:r>
      </w:hyperlink>
    </w:p>
    <w:p w:rsidR="007A1C4A" w:rsidRPr="00B642E9" w:rsidRDefault="00136D25" w:rsidP="00B642E9">
      <w:pPr>
        <w:pStyle w:val="TOC2"/>
        <w:tabs>
          <w:tab w:val="left" w:pos="880"/>
          <w:tab w:val="right" w:leader="dot" w:pos="8296"/>
        </w:tabs>
        <w:spacing w:before="120" w:after="120" w:line="264" w:lineRule="auto"/>
        <w:rPr>
          <w:rFonts w:ascii="Arial" w:hAnsi="Arial" w:cs="Arial"/>
          <w:noProof/>
          <w:lang w:val="en-AU" w:eastAsia="en-AU"/>
        </w:rPr>
      </w:pPr>
      <w:hyperlink w:anchor="_Toc372115669" w:history="1">
        <w:r w:rsidR="007A1C4A" w:rsidRPr="00B642E9">
          <w:rPr>
            <w:rStyle w:val="Hyperlink"/>
            <w:rFonts w:ascii="Arial" w:hAnsi="Arial" w:cs="Arial"/>
            <w:noProof/>
          </w:rPr>
          <w:t>6.2</w:t>
        </w:r>
        <w:r w:rsidR="007A1C4A" w:rsidRPr="00B642E9">
          <w:rPr>
            <w:rFonts w:ascii="Arial" w:hAnsi="Arial" w:cs="Arial"/>
            <w:noProof/>
            <w:lang w:val="en-AU" w:eastAsia="en-AU"/>
          </w:rPr>
          <w:tab/>
        </w:r>
        <w:r w:rsidR="007A1C4A" w:rsidRPr="00B642E9">
          <w:rPr>
            <w:rStyle w:val="Hyperlink"/>
            <w:rFonts w:ascii="Arial" w:hAnsi="Arial" w:cs="Arial"/>
            <w:noProof/>
          </w:rPr>
          <w:t>Background</w:t>
        </w:r>
        <w:r w:rsidR="007A1C4A" w:rsidRPr="00B642E9">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_Toc372115669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56</w:t>
        </w:r>
        <w:r w:rsidR="007A1C4A" w:rsidRPr="00B642E9">
          <w:rPr>
            <w:rFonts w:ascii="Arial" w:hAnsi="Arial" w:cs="Arial"/>
            <w:noProof/>
            <w:webHidden/>
          </w:rPr>
          <w:fldChar w:fldCharType="end"/>
        </w:r>
      </w:hyperlink>
    </w:p>
    <w:p w:rsidR="007A1C4A" w:rsidRPr="00B642E9" w:rsidRDefault="00136D25" w:rsidP="00B642E9">
      <w:pPr>
        <w:pStyle w:val="TOC1"/>
        <w:tabs>
          <w:tab w:val="left" w:pos="1540"/>
          <w:tab w:val="right" w:leader="dot" w:pos="8296"/>
        </w:tabs>
        <w:spacing w:before="120" w:after="120" w:line="264" w:lineRule="auto"/>
        <w:rPr>
          <w:rFonts w:ascii="Arial" w:hAnsi="Arial" w:cs="Arial"/>
          <w:noProof/>
          <w:lang w:val="en-AU" w:eastAsia="en-AU"/>
        </w:rPr>
      </w:pPr>
      <w:hyperlink w:anchor="_Toc372115670" w:history="1">
        <w:r w:rsidR="007A1C4A" w:rsidRPr="00B642E9">
          <w:rPr>
            <w:rStyle w:val="Hyperlink"/>
            <w:rFonts w:ascii="Arial" w:hAnsi="Arial" w:cs="Arial"/>
            <w:noProof/>
            <w:lang w:eastAsia="en-AU"/>
          </w:rPr>
          <w:t>Appendix 1.</w:t>
        </w:r>
        <w:r w:rsidR="007A1C4A" w:rsidRPr="00B642E9">
          <w:rPr>
            <w:rFonts w:ascii="Arial" w:hAnsi="Arial" w:cs="Arial"/>
            <w:noProof/>
            <w:lang w:val="en-AU" w:eastAsia="en-AU"/>
          </w:rPr>
          <w:tab/>
        </w:r>
        <w:r w:rsidR="007A1C4A" w:rsidRPr="00B642E9">
          <w:rPr>
            <w:rStyle w:val="Hyperlink"/>
            <w:rFonts w:ascii="Arial" w:hAnsi="Arial" w:cs="Arial"/>
            <w:noProof/>
            <w:lang w:eastAsia="en-AU"/>
          </w:rPr>
          <w:t>Variations and flexibilities within the NHS Payment by Results initiative</w:t>
        </w:r>
        <w:r w:rsidR="007A1C4A" w:rsidRPr="00B642E9">
          <w:rPr>
            <w:rFonts w:ascii="Arial" w:hAnsi="Arial" w:cs="Arial"/>
            <w:noProof/>
            <w:webHidden/>
          </w:rPr>
          <w:tab/>
        </w:r>
        <w:r w:rsidR="007A1C4A">
          <w:rPr>
            <w:rFonts w:ascii="Arial" w:hAnsi="Arial" w:cs="Arial"/>
            <w:noProof/>
            <w:webHidden/>
          </w:rPr>
          <w:tab/>
        </w:r>
        <w:r w:rsidR="007A1C4A" w:rsidRPr="00B642E9">
          <w:rPr>
            <w:rFonts w:ascii="Arial" w:hAnsi="Arial" w:cs="Arial"/>
            <w:noProof/>
            <w:webHidden/>
          </w:rPr>
          <w:fldChar w:fldCharType="begin"/>
        </w:r>
        <w:r w:rsidR="007A1C4A" w:rsidRPr="00B642E9">
          <w:rPr>
            <w:rFonts w:ascii="Arial" w:hAnsi="Arial" w:cs="Arial"/>
            <w:noProof/>
            <w:webHidden/>
          </w:rPr>
          <w:instrText xml:space="preserve"> PAGEREF _Toc372115670 \h </w:instrText>
        </w:r>
        <w:r w:rsidR="007A1C4A" w:rsidRPr="00B642E9">
          <w:rPr>
            <w:rFonts w:ascii="Arial" w:hAnsi="Arial" w:cs="Arial"/>
            <w:noProof/>
            <w:webHidden/>
          </w:rPr>
        </w:r>
        <w:r w:rsidR="007A1C4A" w:rsidRPr="00B642E9">
          <w:rPr>
            <w:rFonts w:ascii="Arial" w:hAnsi="Arial" w:cs="Arial"/>
            <w:noProof/>
            <w:webHidden/>
          </w:rPr>
          <w:fldChar w:fldCharType="separate"/>
        </w:r>
        <w:r w:rsidR="00A12053">
          <w:rPr>
            <w:rFonts w:ascii="Arial" w:hAnsi="Arial" w:cs="Arial"/>
            <w:noProof/>
            <w:webHidden/>
          </w:rPr>
          <w:t>57</w:t>
        </w:r>
        <w:r w:rsidR="007A1C4A" w:rsidRPr="00B642E9">
          <w:rPr>
            <w:rFonts w:ascii="Arial" w:hAnsi="Arial" w:cs="Arial"/>
            <w:noProof/>
            <w:webHidden/>
          </w:rPr>
          <w:fldChar w:fldCharType="end"/>
        </w:r>
      </w:hyperlink>
    </w:p>
    <w:p w:rsidR="007A1C4A" w:rsidRPr="00DE127A" w:rsidRDefault="007A1C4A" w:rsidP="00B642E9">
      <w:pPr>
        <w:spacing w:before="120" w:after="120" w:line="264" w:lineRule="auto"/>
        <w:ind w:right="-154"/>
        <w:rPr>
          <w:rFonts w:cs="Arial"/>
          <w:bCs/>
          <w:szCs w:val="24"/>
        </w:rPr>
      </w:pPr>
      <w:r w:rsidRPr="00B642E9">
        <w:rPr>
          <w:rStyle w:val="Strong"/>
          <w:rFonts w:cs="Arial"/>
          <w:b w:val="0"/>
          <w:bCs/>
        </w:rPr>
        <w:fldChar w:fldCharType="end"/>
      </w:r>
      <w:r>
        <w:rPr>
          <w:rStyle w:val="Strong"/>
          <w:rFonts w:cs="Arial"/>
          <w:b w:val="0"/>
          <w:bCs/>
          <w:szCs w:val="24"/>
          <w:highlight w:val="yellow"/>
        </w:rPr>
        <w:br w:type="page"/>
      </w:r>
      <w:r w:rsidRPr="00F55B5A">
        <w:rPr>
          <w:lang w:eastAsia="en-AU"/>
        </w:rPr>
        <w:lastRenderedPageBreak/>
        <w:t>Glossary</w:t>
      </w:r>
    </w:p>
    <w:p w:rsidR="007A1C4A" w:rsidRDefault="00A502B7" w:rsidP="004539B3">
      <w:pPr>
        <w:jc w:val="both"/>
        <w:rPr>
          <w:rFonts w:cs="Arial"/>
        </w:rPr>
      </w:pPr>
      <w:r>
        <w:rPr>
          <w:rFonts w:cs="Arial"/>
        </w:rPr>
        <w:pict>
          <v:shape id="_x0000_i1027" type="#_x0000_t75" style="width:400.8pt;height:7.15pt" o:hrpct="0" o:hr="t">
            <v:imagedata r:id="rId10" o:title=""/>
          </v:shape>
        </w:pict>
      </w:r>
    </w:p>
    <w:p w:rsidR="007A1C4A" w:rsidRDefault="007A1C4A" w:rsidP="00584465">
      <w:pPr>
        <w:spacing w:before="120" w:after="120" w:line="264" w:lineRule="auto"/>
        <w:ind w:right="-154"/>
        <w:rPr>
          <w:rStyle w:val="Strong"/>
          <w:rFonts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AQ</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Advancing Quality initiative (UK)</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BPTs</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Best Practice Tariffs (UK)</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BQS</w:t>
            </w:r>
          </w:p>
        </w:tc>
        <w:tc>
          <w:tcPr>
            <w:tcW w:w="6614" w:type="dxa"/>
          </w:tcPr>
          <w:p w:rsidR="007A1C4A" w:rsidRPr="003E2B5D" w:rsidRDefault="007A1C4A" w:rsidP="0099101B">
            <w:pPr>
              <w:spacing w:before="120" w:after="120" w:line="264" w:lineRule="auto"/>
              <w:ind w:right="-154"/>
              <w:rPr>
                <w:rStyle w:val="Strong"/>
                <w:rFonts w:cs="Arial"/>
                <w:b w:val="0"/>
                <w:bCs/>
                <w:szCs w:val="24"/>
              </w:rPr>
            </w:pPr>
            <w:r w:rsidRPr="003E53F5">
              <w:rPr>
                <w:rFonts w:cs="Arial"/>
                <w:szCs w:val="24"/>
              </w:rPr>
              <w:t>Bundesgeschaftstelle Qualitatssicherung</w:t>
            </w:r>
            <w:r w:rsidRPr="003E2B5D">
              <w:rPr>
                <w:rFonts w:cs="Arial"/>
                <w:i/>
                <w:szCs w:val="24"/>
              </w:rPr>
              <w:t>:</w:t>
            </w:r>
            <w:r w:rsidRPr="003E2B5D">
              <w:rPr>
                <w:rFonts w:cs="Arial"/>
                <w:szCs w:val="24"/>
              </w:rPr>
              <w:t xml:space="preserve"> </w:t>
            </w:r>
            <w:r w:rsidRPr="003E53F5">
              <w:rPr>
                <w:rFonts w:cs="Arial"/>
                <w:szCs w:val="24"/>
              </w:rPr>
              <w:t xml:space="preserve">Insitut fur Qualitat &amp; </w:t>
            </w:r>
            <w:r w:rsidRPr="0099101B">
              <w:rPr>
                <w:rFonts w:cs="Arial"/>
                <w:szCs w:val="24"/>
              </w:rPr>
              <w:t>Patientensicherheit (National Institute for Quality and Patient Safety in Health Care, Germany)</w:t>
            </w:r>
          </w:p>
        </w:tc>
      </w:tr>
      <w:tr w:rsidR="007A1C4A" w:rsidRPr="003E2B5D" w:rsidTr="003E2B5D">
        <w:tc>
          <w:tcPr>
            <w:tcW w:w="1908" w:type="dxa"/>
          </w:tcPr>
          <w:p w:rsidR="007A1C4A" w:rsidRDefault="007A1C4A" w:rsidP="003E2B5D">
            <w:pPr>
              <w:spacing w:before="120" w:after="120" w:line="264" w:lineRule="auto"/>
              <w:ind w:right="-154"/>
              <w:rPr>
                <w:rStyle w:val="Strong"/>
                <w:rFonts w:cs="Arial"/>
                <w:b w:val="0"/>
                <w:bCs/>
                <w:szCs w:val="24"/>
              </w:rPr>
            </w:pPr>
            <w:r>
              <w:rPr>
                <w:rStyle w:val="Strong"/>
                <w:rFonts w:cs="Arial"/>
                <w:b w:val="0"/>
                <w:bCs/>
                <w:szCs w:val="24"/>
              </w:rPr>
              <w:t>CAUTI</w:t>
            </w:r>
          </w:p>
        </w:tc>
        <w:tc>
          <w:tcPr>
            <w:tcW w:w="6614" w:type="dxa"/>
          </w:tcPr>
          <w:p w:rsidR="007A1C4A" w:rsidRDefault="007A1C4A" w:rsidP="003E2B5D">
            <w:pPr>
              <w:spacing w:before="120" w:after="120" w:line="264" w:lineRule="auto"/>
              <w:ind w:right="-154"/>
              <w:rPr>
                <w:rFonts w:cs="Arial"/>
                <w:szCs w:val="24"/>
              </w:rPr>
            </w:pPr>
            <w:r>
              <w:rPr>
                <w:rFonts w:cs="Arial"/>
                <w:szCs w:val="24"/>
              </w:rPr>
              <w:t>Catheter Associated Urinary Tract Infection</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Pr>
                <w:rStyle w:val="Strong"/>
                <w:rFonts w:cs="Arial"/>
                <w:b w:val="0"/>
                <w:bCs/>
                <w:szCs w:val="24"/>
              </w:rPr>
              <w:t>CLABSI</w:t>
            </w:r>
          </w:p>
        </w:tc>
        <w:tc>
          <w:tcPr>
            <w:tcW w:w="6614" w:type="dxa"/>
          </w:tcPr>
          <w:p w:rsidR="007A1C4A" w:rsidRPr="003E2B5D" w:rsidRDefault="007A1C4A" w:rsidP="003E2B5D">
            <w:pPr>
              <w:spacing w:before="120" w:after="120" w:line="264" w:lineRule="auto"/>
              <w:ind w:right="-154"/>
              <w:rPr>
                <w:rStyle w:val="Strong"/>
                <w:rFonts w:cs="Arial"/>
                <w:b w:val="0"/>
                <w:bCs/>
                <w:szCs w:val="24"/>
              </w:rPr>
            </w:pPr>
            <w:r>
              <w:rPr>
                <w:rFonts w:cs="Arial"/>
                <w:szCs w:val="24"/>
              </w:rPr>
              <w:t>Central Line Associated Bloodstream Infection</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Commission</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Australian Commission on Safety and Quality in Health Care</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CCGs</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Clinical Commission Groups</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CQUIN</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Commissioning for Quality Innovation payment framework (UK)</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Pr>
                <w:rStyle w:val="Strong"/>
                <w:rFonts w:cs="Arial"/>
                <w:b w:val="0"/>
                <w:bCs/>
                <w:szCs w:val="24"/>
              </w:rPr>
              <w:t>HAI</w:t>
            </w:r>
          </w:p>
        </w:tc>
        <w:tc>
          <w:tcPr>
            <w:tcW w:w="6614" w:type="dxa"/>
          </w:tcPr>
          <w:p w:rsidR="007A1C4A" w:rsidRPr="003E2B5D" w:rsidRDefault="007A1C4A" w:rsidP="003E2B5D">
            <w:pPr>
              <w:spacing w:before="120" w:after="120" w:line="264" w:lineRule="auto"/>
              <w:ind w:right="-154"/>
              <w:rPr>
                <w:rStyle w:val="Strong"/>
                <w:rFonts w:cs="Arial"/>
                <w:b w:val="0"/>
                <w:bCs/>
                <w:szCs w:val="24"/>
              </w:rPr>
            </w:pPr>
            <w:r>
              <w:rPr>
                <w:rStyle w:val="Strong"/>
                <w:rFonts w:cs="Arial"/>
                <w:b w:val="0"/>
                <w:bCs/>
                <w:szCs w:val="24"/>
              </w:rPr>
              <w:t>Healthcare Associated Infection</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DMPs</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Disease Management Programs (Germany)</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HRGs</w:t>
            </w:r>
          </w:p>
        </w:tc>
        <w:tc>
          <w:tcPr>
            <w:tcW w:w="6614" w:type="dxa"/>
          </w:tcPr>
          <w:p w:rsidR="007A1C4A" w:rsidRPr="003E2B5D" w:rsidRDefault="007A1C4A" w:rsidP="00DF3703">
            <w:pPr>
              <w:spacing w:before="120" w:after="120" w:line="264" w:lineRule="auto"/>
              <w:ind w:right="-154"/>
              <w:rPr>
                <w:rStyle w:val="Strong"/>
                <w:rFonts w:cs="Arial"/>
                <w:b w:val="0"/>
                <w:bCs/>
                <w:szCs w:val="24"/>
              </w:rPr>
            </w:pPr>
            <w:r w:rsidRPr="0099101B">
              <w:rPr>
                <w:rStyle w:val="Strong"/>
                <w:b w:val="0"/>
                <w:bCs/>
                <w:szCs w:val="24"/>
              </w:rPr>
              <w:t>Healthcare Resource Groups (</w:t>
            </w:r>
            <w:r w:rsidRPr="0099101B">
              <w:rPr>
                <w:rStyle w:val="Strong"/>
                <w:rFonts w:cs="Arial"/>
                <w:b w:val="0"/>
                <w:bCs/>
                <w:szCs w:val="24"/>
              </w:rPr>
              <w:t>in the UK National Health Service, HRGs are a grouping consisting of patient events that have been judged to consume a similar level of resource)</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IHPA</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Independent Hospital Pricing Authority</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IOM</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Fonts w:cs="Arial"/>
                <w:szCs w:val="24"/>
              </w:rPr>
              <w:t>Institute of Medicine</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JWP</w:t>
            </w:r>
          </w:p>
        </w:tc>
        <w:tc>
          <w:tcPr>
            <w:tcW w:w="6614" w:type="dxa"/>
          </w:tcPr>
          <w:p w:rsidR="007A1C4A" w:rsidRPr="003E2B5D" w:rsidRDefault="007A1C4A" w:rsidP="003E2B5D">
            <w:pPr>
              <w:spacing w:before="120" w:after="120" w:line="264" w:lineRule="auto"/>
              <w:ind w:right="-154"/>
              <w:rPr>
                <w:rStyle w:val="Strong"/>
                <w:rFonts w:cs="Arial"/>
                <w:b w:val="0"/>
                <w:bCs/>
                <w:szCs w:val="24"/>
              </w:rPr>
            </w:pPr>
            <w:r>
              <w:rPr>
                <w:rStyle w:val="Strong"/>
                <w:rFonts w:cs="Arial"/>
                <w:b w:val="0"/>
                <w:bCs/>
                <w:szCs w:val="24"/>
              </w:rPr>
              <w:t>Joint Working Party: Safety and Quality</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KP</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Kaiser Permanente health system (US)</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NHS</w:t>
            </w:r>
          </w:p>
        </w:tc>
        <w:tc>
          <w:tcPr>
            <w:tcW w:w="6614" w:type="dxa"/>
          </w:tcPr>
          <w:p w:rsidR="007A1C4A" w:rsidRPr="003E2B5D" w:rsidRDefault="007A1C4A" w:rsidP="00DF3703">
            <w:pPr>
              <w:spacing w:before="120" w:after="120" w:line="264" w:lineRule="auto"/>
              <w:ind w:right="-154"/>
              <w:rPr>
                <w:rStyle w:val="Strong"/>
                <w:rFonts w:cs="Arial"/>
                <w:b w:val="0"/>
                <w:bCs/>
                <w:szCs w:val="24"/>
              </w:rPr>
            </w:pPr>
            <w:r w:rsidRPr="003E2B5D">
              <w:rPr>
                <w:rStyle w:val="Strong"/>
                <w:rFonts w:cs="Arial"/>
                <w:b w:val="0"/>
                <w:bCs/>
                <w:szCs w:val="24"/>
              </w:rPr>
              <w:t>National Health Service</w:t>
            </w:r>
            <w:r>
              <w:rPr>
                <w:rStyle w:val="Strong"/>
                <w:rFonts w:cs="Arial"/>
                <w:b w:val="0"/>
                <w:bCs/>
                <w:szCs w:val="24"/>
              </w:rPr>
              <w:t xml:space="preserve"> (</w:t>
            </w:r>
            <w:r w:rsidRPr="00233172">
              <w:rPr>
                <w:rStyle w:val="Strong"/>
                <w:rFonts w:cs="Arial"/>
                <w:b w:val="0"/>
                <w:bCs/>
                <w:szCs w:val="24"/>
              </w:rPr>
              <w:t>publicly funded health care system of the United Kingdom)</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NICE</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233172">
              <w:rPr>
                <w:rStyle w:val="Strong"/>
                <w:rFonts w:cs="Arial"/>
                <w:b w:val="0"/>
                <w:bCs/>
                <w:szCs w:val="24"/>
              </w:rPr>
              <w:t>National Institute for Health and Clinical Excellence</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OECD</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Organisation for Economic Cooperation and Development</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PbR</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Payment by Results (UK)</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lastRenderedPageBreak/>
              <w:t>PHI</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Private Health Insurance</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PHQID</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Premier Hospital Quality Improvement Demonstration (US)</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P4P</w:t>
            </w:r>
          </w:p>
        </w:tc>
        <w:tc>
          <w:tcPr>
            <w:tcW w:w="6614" w:type="dxa"/>
          </w:tcPr>
          <w:p w:rsidR="007A1C4A" w:rsidRPr="003E2B5D" w:rsidRDefault="007A1C4A" w:rsidP="00040F9E">
            <w:pPr>
              <w:spacing w:before="120" w:after="120" w:line="264" w:lineRule="auto"/>
              <w:ind w:right="-154"/>
              <w:rPr>
                <w:rStyle w:val="Strong"/>
                <w:rFonts w:cs="Arial"/>
                <w:b w:val="0"/>
                <w:bCs/>
                <w:szCs w:val="24"/>
              </w:rPr>
            </w:pPr>
            <w:r>
              <w:rPr>
                <w:rStyle w:val="Strong"/>
                <w:rFonts w:cs="Arial"/>
                <w:b w:val="0"/>
                <w:bCs/>
                <w:szCs w:val="24"/>
              </w:rPr>
              <w:t xml:space="preserve">Pay </w:t>
            </w:r>
            <w:r w:rsidRPr="003E2B5D">
              <w:rPr>
                <w:rStyle w:val="Strong"/>
                <w:rFonts w:cs="Arial"/>
                <w:b w:val="0"/>
                <w:bCs/>
                <w:szCs w:val="24"/>
              </w:rPr>
              <w:t>for</w:t>
            </w:r>
            <w:r>
              <w:rPr>
                <w:rStyle w:val="Strong"/>
                <w:rFonts w:cs="Arial"/>
                <w:b w:val="0"/>
                <w:bCs/>
                <w:szCs w:val="24"/>
              </w:rPr>
              <w:t xml:space="preserve"> </w:t>
            </w:r>
            <w:r w:rsidRPr="003E2B5D">
              <w:rPr>
                <w:rStyle w:val="Strong"/>
                <w:rFonts w:cs="Arial"/>
                <w:b w:val="0"/>
                <w:bCs/>
                <w:szCs w:val="24"/>
              </w:rPr>
              <w:t>Performance</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SHI</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Fonts w:cs="Arial"/>
                <w:szCs w:val="24"/>
              </w:rPr>
              <w:t>Statutory health insurance (SHI)</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UK</w:t>
            </w:r>
          </w:p>
        </w:tc>
        <w:tc>
          <w:tcPr>
            <w:tcW w:w="6614" w:type="dxa"/>
          </w:tcPr>
          <w:p w:rsidR="007A1C4A" w:rsidRPr="003E2B5D" w:rsidRDefault="007A1C4A" w:rsidP="003E2B5D">
            <w:pPr>
              <w:spacing w:before="120" w:after="120" w:line="264" w:lineRule="auto"/>
              <w:ind w:right="-154"/>
              <w:rPr>
                <w:rFonts w:cs="Arial"/>
                <w:szCs w:val="24"/>
              </w:rPr>
            </w:pPr>
            <w:r w:rsidRPr="003E2B5D">
              <w:rPr>
                <w:rFonts w:cs="Arial"/>
                <w:szCs w:val="24"/>
              </w:rPr>
              <w:t>United Kingdom</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VBP</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Value-based Purchasing (US)</w:t>
            </w:r>
          </w:p>
        </w:tc>
      </w:tr>
      <w:tr w:rsidR="007A1C4A" w:rsidRPr="003E2B5D" w:rsidTr="003E2B5D">
        <w:tc>
          <w:tcPr>
            <w:tcW w:w="1908"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WHO</w:t>
            </w:r>
          </w:p>
        </w:tc>
        <w:tc>
          <w:tcPr>
            <w:tcW w:w="6614" w:type="dxa"/>
          </w:tcPr>
          <w:p w:rsidR="007A1C4A" w:rsidRPr="003E2B5D" w:rsidRDefault="007A1C4A" w:rsidP="003E2B5D">
            <w:pPr>
              <w:spacing w:before="120" w:after="120" w:line="264" w:lineRule="auto"/>
              <w:ind w:right="-154"/>
              <w:rPr>
                <w:rStyle w:val="Strong"/>
                <w:rFonts w:cs="Arial"/>
                <w:b w:val="0"/>
                <w:bCs/>
                <w:szCs w:val="24"/>
              </w:rPr>
            </w:pPr>
            <w:r w:rsidRPr="003E2B5D">
              <w:rPr>
                <w:rStyle w:val="Strong"/>
                <w:rFonts w:cs="Arial"/>
                <w:b w:val="0"/>
                <w:bCs/>
                <w:szCs w:val="24"/>
              </w:rPr>
              <w:t xml:space="preserve">World Health Organisation </w:t>
            </w:r>
          </w:p>
        </w:tc>
      </w:tr>
    </w:tbl>
    <w:p w:rsidR="007A1C4A" w:rsidRPr="00584465" w:rsidRDefault="007A1C4A" w:rsidP="00584465">
      <w:pPr>
        <w:spacing w:before="120" w:after="120" w:line="264" w:lineRule="auto"/>
        <w:ind w:right="-154"/>
        <w:rPr>
          <w:rStyle w:val="Strong"/>
          <w:rFonts w:cs="Arial"/>
          <w:b w:val="0"/>
          <w:bCs/>
          <w:szCs w:val="24"/>
        </w:rPr>
      </w:pPr>
    </w:p>
    <w:p w:rsidR="007A1C4A" w:rsidRPr="00DE38A2" w:rsidRDefault="007A1C4A" w:rsidP="001A134B">
      <w:pPr>
        <w:pStyle w:val="Heading1"/>
        <w:numPr>
          <w:ilvl w:val="0"/>
          <w:numId w:val="2"/>
        </w:numPr>
        <w:ind w:hanging="720"/>
        <w:rPr>
          <w:color w:val="008080"/>
          <w:lang w:eastAsia="en-AU"/>
        </w:rPr>
      </w:pPr>
      <w:r>
        <w:br w:type="page"/>
      </w:r>
      <w:bookmarkStart w:id="0" w:name="_Toc372115646"/>
      <w:r w:rsidRPr="00DE38A2">
        <w:rPr>
          <w:color w:val="008080"/>
          <w:lang w:eastAsia="en-AU"/>
        </w:rPr>
        <w:lastRenderedPageBreak/>
        <w:t>Introduction</w:t>
      </w:r>
      <w:bookmarkEnd w:id="0"/>
    </w:p>
    <w:p w:rsidR="007A1C4A" w:rsidRDefault="00A502B7" w:rsidP="004427C7">
      <w:pPr>
        <w:jc w:val="both"/>
        <w:rPr>
          <w:rFonts w:cs="Arial"/>
        </w:rPr>
      </w:pPr>
      <w:r>
        <w:rPr>
          <w:rFonts w:cs="Arial"/>
        </w:rPr>
        <w:pict>
          <v:shape id="_x0000_i1028" type="#_x0000_t75" style="width:400.8pt;height:7.15pt" o:hrpct="0" o:hr="t">
            <v:imagedata r:id="rId10" o:title=""/>
          </v:shape>
        </w:pict>
      </w:r>
    </w:p>
    <w:p w:rsidR="007A1C4A" w:rsidRPr="00584465" w:rsidRDefault="007A1C4A" w:rsidP="00584465">
      <w:pPr>
        <w:pStyle w:val="Heading2"/>
        <w:spacing w:after="120" w:line="264" w:lineRule="auto"/>
      </w:pPr>
      <w:bookmarkStart w:id="1" w:name="_Toc372115647"/>
      <w:r>
        <w:rPr>
          <w:i w:val="0"/>
        </w:rPr>
        <w:t>1.1</w:t>
      </w:r>
      <w:r>
        <w:rPr>
          <w:i w:val="0"/>
        </w:rPr>
        <w:tab/>
        <w:t>Context</w:t>
      </w:r>
      <w:bookmarkEnd w:id="1"/>
      <w:r w:rsidRPr="00584465">
        <w:t xml:space="preserve"> </w:t>
      </w:r>
    </w:p>
    <w:p w:rsidR="007A1C4A" w:rsidRDefault="007A1C4A" w:rsidP="00682816">
      <w:pPr>
        <w:spacing w:before="120" w:after="120" w:line="264" w:lineRule="auto"/>
        <w:rPr>
          <w:szCs w:val="24"/>
        </w:rPr>
      </w:pPr>
      <w:r>
        <w:rPr>
          <w:szCs w:val="24"/>
        </w:rPr>
        <w:t>In 2012 t</w:t>
      </w:r>
      <w:r w:rsidRPr="00584465">
        <w:rPr>
          <w:szCs w:val="24"/>
        </w:rPr>
        <w:t xml:space="preserve">he Commission and IHPA </w:t>
      </w:r>
      <w:r>
        <w:rPr>
          <w:szCs w:val="24"/>
        </w:rPr>
        <w:t>undertook</w:t>
      </w:r>
      <w:r w:rsidRPr="00584465">
        <w:rPr>
          <w:szCs w:val="24"/>
        </w:rPr>
        <w:t xml:space="preserve"> a literature review to identify Australian and international </w:t>
      </w:r>
      <w:r>
        <w:rPr>
          <w:szCs w:val="24"/>
        </w:rPr>
        <w:t>hospital pricing systems that integrates quality and safety</w:t>
      </w:r>
      <w:r w:rsidRPr="00584465">
        <w:rPr>
          <w:szCs w:val="24"/>
        </w:rPr>
        <w:t xml:space="preserve">.  The </w:t>
      </w:r>
      <w:r w:rsidRPr="00DE1A76">
        <w:rPr>
          <w:i/>
          <w:szCs w:val="24"/>
        </w:rPr>
        <w:t>Literature Review on Integrating Quality and safety into Hospital Pricing Systems</w:t>
      </w:r>
      <w:r w:rsidRPr="00584465">
        <w:rPr>
          <w:szCs w:val="24"/>
        </w:rPr>
        <w:t xml:space="preserve"> (literature review) was</w:t>
      </w:r>
      <w:r w:rsidRPr="000C1D3B">
        <w:rPr>
          <w:szCs w:val="24"/>
        </w:rPr>
        <w:t xml:space="preserve"> </w:t>
      </w:r>
      <w:r>
        <w:rPr>
          <w:szCs w:val="24"/>
        </w:rPr>
        <w:t xml:space="preserve">based on the electronic searches of available literature published prior to </w:t>
      </w:r>
      <w:r w:rsidRPr="000C1D3B">
        <w:rPr>
          <w:szCs w:val="24"/>
        </w:rPr>
        <w:t>October 2012.</w:t>
      </w:r>
      <w:r>
        <w:rPr>
          <w:szCs w:val="24"/>
        </w:rPr>
        <w:t xml:space="preserve">  </w:t>
      </w:r>
    </w:p>
    <w:p w:rsidR="007A1C4A" w:rsidRPr="00584465" w:rsidRDefault="007A1C4A" w:rsidP="00584465">
      <w:pPr>
        <w:spacing w:before="120" w:after="120" w:line="264" w:lineRule="auto"/>
        <w:rPr>
          <w:rFonts w:cs="Arial"/>
          <w:szCs w:val="24"/>
        </w:rPr>
      </w:pPr>
      <w:r>
        <w:rPr>
          <w:szCs w:val="24"/>
        </w:rPr>
        <w:t xml:space="preserve">The national and international evidence will be considered and incorporated </w:t>
      </w:r>
      <w:r w:rsidRPr="000C1D3B">
        <w:rPr>
          <w:szCs w:val="24"/>
        </w:rPr>
        <w:t xml:space="preserve">into a discussion paper for widespread </w:t>
      </w:r>
      <w:r>
        <w:rPr>
          <w:szCs w:val="24"/>
        </w:rPr>
        <w:t xml:space="preserve">public </w:t>
      </w:r>
      <w:r w:rsidRPr="000C1D3B">
        <w:rPr>
          <w:szCs w:val="24"/>
        </w:rPr>
        <w:t>consideration and feedback</w:t>
      </w:r>
      <w:r>
        <w:rPr>
          <w:szCs w:val="24"/>
        </w:rPr>
        <w:t xml:space="preserve"> in late 2013</w:t>
      </w:r>
      <w:r w:rsidRPr="000C1D3B">
        <w:rPr>
          <w:szCs w:val="24"/>
        </w:rPr>
        <w:t xml:space="preserve">. </w:t>
      </w:r>
      <w:r>
        <w:rPr>
          <w:szCs w:val="24"/>
        </w:rPr>
        <w:t>The Commission and IHPA have set up processes to continually monitor published literature and provide updates at each JWP meeting.</w:t>
      </w:r>
      <w:r w:rsidRPr="000C1D3B">
        <w:rPr>
          <w:szCs w:val="24"/>
        </w:rPr>
        <w:t xml:space="preserve"> </w:t>
      </w:r>
      <w:r>
        <w:rPr>
          <w:szCs w:val="24"/>
        </w:rPr>
        <w:t xml:space="preserve"> </w:t>
      </w:r>
    </w:p>
    <w:p w:rsidR="007A1C4A" w:rsidRPr="00B870BB" w:rsidRDefault="007A1C4A" w:rsidP="004427C7">
      <w:pPr>
        <w:rPr>
          <w:rFonts w:cs="Arial"/>
          <w:b/>
          <w:sz w:val="28"/>
          <w:szCs w:val="28"/>
        </w:rPr>
      </w:pPr>
      <w:r w:rsidRPr="00B870BB">
        <w:rPr>
          <w:b/>
          <w:sz w:val="28"/>
          <w:szCs w:val="28"/>
        </w:rPr>
        <w:t xml:space="preserve">1.2 </w:t>
      </w:r>
      <w:r w:rsidRPr="00B870BB">
        <w:rPr>
          <w:b/>
          <w:sz w:val="28"/>
          <w:szCs w:val="28"/>
        </w:rPr>
        <w:tab/>
        <w:t>Purpose</w:t>
      </w:r>
    </w:p>
    <w:p w:rsidR="007A1C4A" w:rsidRDefault="007A1C4A" w:rsidP="00584465">
      <w:pPr>
        <w:spacing w:before="120" w:after="120" w:line="264" w:lineRule="auto"/>
        <w:rPr>
          <w:rFonts w:cs="Arial"/>
          <w:szCs w:val="24"/>
        </w:rPr>
      </w:pPr>
      <w:r w:rsidRPr="00584465">
        <w:rPr>
          <w:rFonts w:cs="Arial"/>
          <w:szCs w:val="24"/>
        </w:rPr>
        <w:t xml:space="preserve">This paper has been prepared by the Commission and IHPA to supplement the research undertaken to date </w:t>
      </w:r>
      <w:r>
        <w:rPr>
          <w:rFonts w:cs="Arial"/>
          <w:szCs w:val="24"/>
        </w:rPr>
        <w:t>with regards to pricing for safety and quality in health care</w:t>
      </w:r>
      <w:r w:rsidRPr="00584465">
        <w:rPr>
          <w:rFonts w:cs="Arial"/>
          <w:szCs w:val="24"/>
        </w:rPr>
        <w:t>.</w:t>
      </w:r>
    </w:p>
    <w:p w:rsidR="007A1C4A" w:rsidRPr="00584465" w:rsidRDefault="007A1C4A" w:rsidP="00584465">
      <w:pPr>
        <w:spacing w:before="120" w:after="120" w:line="264" w:lineRule="auto"/>
        <w:rPr>
          <w:rFonts w:cs="Arial"/>
          <w:szCs w:val="24"/>
        </w:rPr>
      </w:pPr>
      <w:r>
        <w:rPr>
          <w:b/>
          <w:bCs/>
          <w:iCs/>
          <w:sz w:val="28"/>
          <w:szCs w:val="28"/>
        </w:rPr>
        <w:t>1.3</w:t>
      </w:r>
      <w:r>
        <w:rPr>
          <w:b/>
          <w:bCs/>
          <w:iCs/>
          <w:sz w:val="28"/>
          <w:szCs w:val="28"/>
        </w:rPr>
        <w:tab/>
        <w:t>Objective</w:t>
      </w:r>
    </w:p>
    <w:p w:rsidR="007A1C4A" w:rsidRPr="00584465" w:rsidRDefault="007A1C4A" w:rsidP="00584465">
      <w:pPr>
        <w:spacing w:before="120" w:after="120" w:line="264" w:lineRule="auto"/>
        <w:rPr>
          <w:rFonts w:cs="Arial"/>
          <w:szCs w:val="24"/>
        </w:rPr>
      </w:pPr>
      <w:r>
        <w:rPr>
          <w:rFonts w:cs="Arial"/>
          <w:szCs w:val="24"/>
        </w:rPr>
        <w:t xml:space="preserve">The objective of this paper is </w:t>
      </w:r>
      <w:r w:rsidRPr="00584465">
        <w:rPr>
          <w:rFonts w:cs="Arial"/>
          <w:szCs w:val="24"/>
        </w:rPr>
        <w:t>to inform discussion among the JWP by:</w:t>
      </w:r>
    </w:p>
    <w:p w:rsidR="007A1C4A" w:rsidRPr="00584465" w:rsidRDefault="007A1C4A" w:rsidP="00584465">
      <w:pPr>
        <w:numPr>
          <w:ilvl w:val="0"/>
          <w:numId w:val="12"/>
        </w:numPr>
        <w:spacing w:before="120" w:after="120" w:line="264" w:lineRule="auto"/>
        <w:rPr>
          <w:rFonts w:cs="Arial"/>
          <w:szCs w:val="24"/>
        </w:rPr>
      </w:pPr>
      <w:r w:rsidRPr="00584465">
        <w:rPr>
          <w:rFonts w:cs="Arial"/>
          <w:szCs w:val="24"/>
        </w:rPr>
        <w:t>providing an overview of definitions of ‘quality’ in health care in the literature;</w:t>
      </w:r>
    </w:p>
    <w:p w:rsidR="007A1C4A" w:rsidRPr="00584465" w:rsidRDefault="007A1C4A" w:rsidP="00584465">
      <w:pPr>
        <w:numPr>
          <w:ilvl w:val="0"/>
          <w:numId w:val="12"/>
        </w:numPr>
        <w:spacing w:before="120" w:after="120" w:line="264" w:lineRule="auto"/>
        <w:rPr>
          <w:rFonts w:cs="Arial"/>
          <w:szCs w:val="24"/>
        </w:rPr>
      </w:pPr>
      <w:r w:rsidRPr="00584465">
        <w:rPr>
          <w:rFonts w:cs="Arial"/>
          <w:szCs w:val="24"/>
        </w:rPr>
        <w:t>summarising the findings of the recent literature (October 2012</w:t>
      </w:r>
      <w:r>
        <w:rPr>
          <w:rFonts w:cs="Arial"/>
          <w:szCs w:val="24"/>
        </w:rPr>
        <w:t xml:space="preserve"> to February 2013</w:t>
      </w:r>
      <w:r w:rsidRPr="00584465">
        <w:rPr>
          <w:rFonts w:cs="Arial"/>
          <w:szCs w:val="24"/>
        </w:rPr>
        <w:t xml:space="preserve">); </w:t>
      </w:r>
    </w:p>
    <w:p w:rsidR="007A1C4A" w:rsidRDefault="007A1C4A" w:rsidP="00584465">
      <w:pPr>
        <w:numPr>
          <w:ilvl w:val="0"/>
          <w:numId w:val="12"/>
        </w:numPr>
        <w:spacing w:before="120" w:after="120" w:line="264" w:lineRule="auto"/>
        <w:rPr>
          <w:rFonts w:cs="Arial"/>
          <w:szCs w:val="24"/>
        </w:rPr>
      </w:pPr>
      <w:r w:rsidRPr="00584465">
        <w:rPr>
          <w:rFonts w:cs="Arial"/>
          <w:szCs w:val="24"/>
        </w:rPr>
        <w:t xml:space="preserve">providing additional </w:t>
      </w:r>
      <w:r>
        <w:rPr>
          <w:rFonts w:cs="Arial"/>
          <w:szCs w:val="24"/>
        </w:rPr>
        <w:t>information</w:t>
      </w:r>
      <w:r w:rsidRPr="00584465">
        <w:rPr>
          <w:rFonts w:cs="Arial"/>
          <w:szCs w:val="24"/>
        </w:rPr>
        <w:t xml:space="preserve"> on </w:t>
      </w:r>
      <w:r>
        <w:rPr>
          <w:rFonts w:cs="Arial"/>
          <w:szCs w:val="24"/>
        </w:rPr>
        <w:t xml:space="preserve">healthcare </w:t>
      </w:r>
      <w:r w:rsidRPr="00584465">
        <w:rPr>
          <w:rFonts w:cs="Arial"/>
          <w:szCs w:val="24"/>
        </w:rPr>
        <w:t xml:space="preserve">systems </w:t>
      </w:r>
      <w:r>
        <w:rPr>
          <w:rFonts w:cs="Arial"/>
          <w:szCs w:val="24"/>
        </w:rPr>
        <w:t>which have</w:t>
      </w:r>
      <w:r w:rsidRPr="00584465">
        <w:rPr>
          <w:rFonts w:cs="Arial"/>
          <w:szCs w:val="24"/>
        </w:rPr>
        <w:t xml:space="preserve"> </w:t>
      </w:r>
      <w:r>
        <w:rPr>
          <w:rFonts w:cs="Arial"/>
          <w:szCs w:val="24"/>
        </w:rPr>
        <w:t>implemented</w:t>
      </w:r>
      <w:r w:rsidRPr="00584465">
        <w:rPr>
          <w:rFonts w:cs="Arial"/>
          <w:szCs w:val="24"/>
        </w:rPr>
        <w:t xml:space="preserve"> large scale</w:t>
      </w:r>
      <w:r>
        <w:rPr>
          <w:rFonts w:cs="Arial"/>
          <w:szCs w:val="24"/>
        </w:rPr>
        <w:t xml:space="preserve"> quality improvement mechanisms, including linking funding and quality </w:t>
      </w:r>
      <w:r w:rsidRPr="00584465">
        <w:rPr>
          <w:rFonts w:cs="Arial"/>
          <w:szCs w:val="24"/>
        </w:rPr>
        <w:t>(e.g. UK, Germany and Kaiser Permanente)</w:t>
      </w:r>
      <w:r>
        <w:rPr>
          <w:rFonts w:cs="Arial"/>
          <w:szCs w:val="24"/>
        </w:rPr>
        <w:t>;</w:t>
      </w:r>
    </w:p>
    <w:p w:rsidR="007A1C4A" w:rsidRPr="006349CE" w:rsidRDefault="007A1C4A" w:rsidP="00584465">
      <w:pPr>
        <w:numPr>
          <w:ilvl w:val="0"/>
          <w:numId w:val="12"/>
        </w:numPr>
        <w:spacing w:before="120" w:after="120" w:line="264" w:lineRule="auto"/>
        <w:rPr>
          <w:rFonts w:cs="Arial"/>
          <w:szCs w:val="24"/>
        </w:rPr>
      </w:pPr>
      <w:r>
        <w:rPr>
          <w:rFonts w:cs="Arial"/>
          <w:szCs w:val="24"/>
        </w:rPr>
        <w:t xml:space="preserve">outlining </w:t>
      </w:r>
      <w:r w:rsidRPr="006349CE">
        <w:rPr>
          <w:rFonts w:cs="Arial"/>
          <w:szCs w:val="24"/>
        </w:rPr>
        <w:t>whether financial incentives have genuine potential for application in health care and driving clinical behaviour, or whether there are more effective approaches based on review of other industries</w:t>
      </w:r>
      <w:r>
        <w:rPr>
          <w:rFonts w:cs="Arial"/>
          <w:szCs w:val="24"/>
        </w:rPr>
        <w:t>; and</w:t>
      </w:r>
    </w:p>
    <w:p w:rsidR="007A1C4A" w:rsidRPr="006349CE" w:rsidRDefault="007A1C4A" w:rsidP="00584465">
      <w:pPr>
        <w:numPr>
          <w:ilvl w:val="0"/>
          <w:numId w:val="12"/>
        </w:numPr>
        <w:spacing w:before="120" w:after="120" w:line="264" w:lineRule="auto"/>
        <w:rPr>
          <w:rFonts w:cs="Arial"/>
          <w:szCs w:val="24"/>
        </w:rPr>
      </w:pPr>
      <w:r w:rsidRPr="006349CE">
        <w:rPr>
          <w:rFonts w:cs="Arial"/>
          <w:szCs w:val="24"/>
        </w:rPr>
        <w:t>providing a high level overview of  the current limitations of the acute admitted classification system (AR-DRG v7.0) which results in the allocation to higher resource DRGs</w:t>
      </w:r>
      <w:r w:rsidRPr="006349CE" w:rsidDel="009D6D2D">
        <w:rPr>
          <w:rFonts w:cs="Arial"/>
          <w:szCs w:val="24"/>
        </w:rPr>
        <w:t xml:space="preserve"> </w:t>
      </w:r>
      <w:r w:rsidRPr="006349CE">
        <w:rPr>
          <w:rFonts w:cs="Arial"/>
          <w:szCs w:val="24"/>
        </w:rPr>
        <w:t>for some complications.</w:t>
      </w:r>
    </w:p>
    <w:p w:rsidR="007A1C4A" w:rsidRPr="00584465" w:rsidRDefault="007A1C4A" w:rsidP="005F5A33">
      <w:pPr>
        <w:rPr>
          <w:rFonts w:cs="Arial"/>
          <w:szCs w:val="24"/>
        </w:rPr>
      </w:pPr>
    </w:p>
    <w:p w:rsidR="007A1C4A" w:rsidRDefault="007A1C4A" w:rsidP="00F50678">
      <w:pPr>
        <w:rPr>
          <w:rFonts w:cs="Arial"/>
          <w:sz w:val="22"/>
          <w:szCs w:val="22"/>
        </w:rPr>
      </w:pPr>
    </w:p>
    <w:p w:rsidR="007A1C4A" w:rsidRDefault="007A1C4A" w:rsidP="00F50678">
      <w:pPr>
        <w:rPr>
          <w:rFonts w:cs="Arial"/>
          <w:sz w:val="22"/>
          <w:szCs w:val="22"/>
        </w:rPr>
      </w:pPr>
    </w:p>
    <w:p w:rsidR="007A1C4A" w:rsidRPr="00DE38A2" w:rsidRDefault="007A1C4A" w:rsidP="00736B8D">
      <w:pPr>
        <w:pStyle w:val="Heading1"/>
        <w:numPr>
          <w:ilvl w:val="0"/>
          <w:numId w:val="2"/>
        </w:numPr>
        <w:spacing w:before="0"/>
        <w:ind w:hanging="720"/>
        <w:rPr>
          <w:rFonts w:cs="Arial"/>
          <w:color w:val="008080"/>
          <w:sz w:val="28"/>
          <w:szCs w:val="28"/>
          <w:lang w:eastAsia="en-AU"/>
        </w:rPr>
      </w:pPr>
      <w:r>
        <w:rPr>
          <w:rFonts w:cs="Arial"/>
          <w:sz w:val="22"/>
          <w:szCs w:val="22"/>
        </w:rPr>
        <w:br w:type="page"/>
      </w:r>
      <w:bookmarkStart w:id="2" w:name="_Toc372115648"/>
      <w:r w:rsidRPr="00DE38A2">
        <w:rPr>
          <w:color w:val="008080"/>
          <w:lang w:eastAsia="en-AU"/>
        </w:rPr>
        <w:lastRenderedPageBreak/>
        <w:t xml:space="preserve">Defining </w:t>
      </w:r>
      <w:r>
        <w:rPr>
          <w:color w:val="008080"/>
          <w:lang w:eastAsia="en-AU"/>
        </w:rPr>
        <w:t>‘</w:t>
      </w:r>
      <w:r w:rsidRPr="00DE38A2">
        <w:rPr>
          <w:color w:val="008080"/>
          <w:lang w:eastAsia="en-AU"/>
        </w:rPr>
        <w:t>quality</w:t>
      </w:r>
      <w:r>
        <w:rPr>
          <w:color w:val="008080"/>
          <w:lang w:eastAsia="en-AU"/>
        </w:rPr>
        <w:t>’ in health care</w:t>
      </w:r>
      <w:bookmarkEnd w:id="2"/>
    </w:p>
    <w:p w:rsidR="007A1C4A" w:rsidRDefault="00A502B7" w:rsidP="00736B8D">
      <w:pPr>
        <w:jc w:val="both"/>
        <w:rPr>
          <w:rFonts w:cs="Arial"/>
        </w:rPr>
      </w:pPr>
      <w:r>
        <w:rPr>
          <w:rFonts w:cs="Arial"/>
        </w:rPr>
        <w:pict>
          <v:shape id="_x0000_i1029" type="#_x0000_t75" style="width:400.8pt;height:7.15pt" o:hrpct="0" o:hr="t">
            <v:imagedata r:id="rId10" o:title=""/>
          </v:shape>
        </w:pict>
      </w:r>
    </w:p>
    <w:p w:rsidR="007A1C4A" w:rsidRPr="000C1D3B" w:rsidRDefault="007A1C4A" w:rsidP="00736B8D">
      <w:pPr>
        <w:pStyle w:val="Heading2"/>
        <w:spacing w:after="120" w:line="264" w:lineRule="auto"/>
        <w:rPr>
          <w:i w:val="0"/>
        </w:rPr>
      </w:pPr>
      <w:bookmarkStart w:id="3" w:name="_Toc372115649"/>
      <w:r w:rsidRPr="000C1D3B">
        <w:rPr>
          <w:i w:val="0"/>
        </w:rPr>
        <w:t>2.1</w:t>
      </w:r>
      <w:r w:rsidRPr="000C1D3B">
        <w:rPr>
          <w:i w:val="0"/>
        </w:rPr>
        <w:tab/>
      </w:r>
      <w:r>
        <w:rPr>
          <w:i w:val="0"/>
        </w:rPr>
        <w:t>Context</w:t>
      </w:r>
      <w:bookmarkEnd w:id="3"/>
      <w:r w:rsidRPr="000C1D3B">
        <w:rPr>
          <w:i w:val="0"/>
        </w:rPr>
        <w:t xml:space="preserve"> </w:t>
      </w:r>
    </w:p>
    <w:p w:rsidR="007A1C4A" w:rsidRDefault="007A1C4A" w:rsidP="00736B8D">
      <w:pPr>
        <w:spacing w:before="120" w:after="120" w:line="264" w:lineRule="auto"/>
        <w:rPr>
          <w:rFonts w:cs="Arial"/>
          <w:szCs w:val="24"/>
        </w:rPr>
      </w:pPr>
      <w:r w:rsidRPr="00584465">
        <w:rPr>
          <w:rFonts w:cs="Arial"/>
          <w:szCs w:val="24"/>
        </w:rPr>
        <w:t xml:space="preserve">Action </w:t>
      </w:r>
      <w:r>
        <w:rPr>
          <w:rFonts w:cs="Arial"/>
          <w:szCs w:val="24"/>
        </w:rPr>
        <w:t>#1</w:t>
      </w:r>
      <w:r w:rsidRPr="00584465">
        <w:rPr>
          <w:rFonts w:cs="Arial"/>
          <w:szCs w:val="24"/>
        </w:rPr>
        <w:t xml:space="preserve"> from the 30 October 2012 JWP meeting was to define what is meant by ‘quality’ in health care.</w:t>
      </w:r>
    </w:p>
    <w:p w:rsidR="007A1C4A" w:rsidRDefault="007A1C4A" w:rsidP="00736B8D">
      <w:pPr>
        <w:pBdr>
          <w:top w:val="single" w:sz="12" w:space="1" w:color="7F7F7F"/>
          <w:left w:val="single" w:sz="12" w:space="4" w:color="7F7F7F"/>
          <w:bottom w:val="single" w:sz="12" w:space="1" w:color="7F7F7F"/>
          <w:right w:val="single" w:sz="12" w:space="4" w:color="7F7F7F"/>
        </w:pBdr>
        <w:spacing w:before="120" w:after="120" w:line="264" w:lineRule="auto"/>
        <w:jc w:val="both"/>
        <w:rPr>
          <w:rFonts w:cs="Arial"/>
          <w:b/>
          <w:szCs w:val="24"/>
        </w:rPr>
      </w:pPr>
      <w:r w:rsidRPr="00CA7244">
        <w:rPr>
          <w:rFonts w:cs="Arial"/>
          <w:b/>
          <w:szCs w:val="24"/>
        </w:rPr>
        <w:t xml:space="preserve">Extract of the 30 October </w:t>
      </w:r>
      <w:r>
        <w:rPr>
          <w:rFonts w:cs="Arial"/>
          <w:b/>
          <w:szCs w:val="24"/>
        </w:rPr>
        <w:t xml:space="preserve">2012 </w:t>
      </w:r>
      <w:r w:rsidRPr="00CA7244">
        <w:rPr>
          <w:rFonts w:cs="Arial"/>
          <w:b/>
          <w:szCs w:val="24"/>
        </w:rPr>
        <w:t>minutes</w:t>
      </w:r>
    </w:p>
    <w:p w:rsidR="007A1C4A" w:rsidRPr="00CA7244" w:rsidRDefault="007A1C4A" w:rsidP="00736B8D">
      <w:pPr>
        <w:pBdr>
          <w:top w:val="single" w:sz="12" w:space="1" w:color="7F7F7F"/>
          <w:left w:val="single" w:sz="12" w:space="4" w:color="7F7F7F"/>
          <w:bottom w:val="single" w:sz="12" w:space="1" w:color="7F7F7F"/>
          <w:right w:val="single" w:sz="12" w:space="4" w:color="7F7F7F"/>
        </w:pBdr>
        <w:spacing w:before="120" w:after="120" w:line="264" w:lineRule="auto"/>
        <w:jc w:val="both"/>
        <w:rPr>
          <w:rFonts w:cs="Arial"/>
          <w:b/>
          <w:szCs w:val="24"/>
        </w:rPr>
      </w:pPr>
      <w:r w:rsidRPr="00CA7244">
        <w:rPr>
          <w:rFonts w:cs="Arial"/>
          <w:b/>
          <w:szCs w:val="24"/>
        </w:rPr>
        <w:t>Action 1: JWP to agree on a definition of ‘quality’</w:t>
      </w:r>
    </w:p>
    <w:p w:rsidR="007A1C4A" w:rsidRDefault="007A1C4A" w:rsidP="00736B8D">
      <w:pPr>
        <w:pBdr>
          <w:top w:val="single" w:sz="12" w:space="1" w:color="7F7F7F"/>
          <w:left w:val="single" w:sz="12" w:space="4" w:color="7F7F7F"/>
          <w:bottom w:val="single" w:sz="12" w:space="1" w:color="7F7F7F"/>
          <w:right w:val="single" w:sz="12" w:space="4" w:color="7F7F7F"/>
        </w:pBdr>
        <w:spacing w:before="120" w:after="120" w:line="264" w:lineRule="auto"/>
        <w:jc w:val="both"/>
        <w:rPr>
          <w:rFonts w:cs="Arial"/>
        </w:rPr>
      </w:pPr>
      <w:r w:rsidRPr="00CA7244">
        <w:rPr>
          <w:rFonts w:cs="Arial"/>
        </w:rPr>
        <w:t>Members were of the view that the purpose of the JWP is to advise IHPA on the options</w:t>
      </w:r>
      <w:r>
        <w:rPr>
          <w:rFonts w:cs="Arial"/>
        </w:rPr>
        <w:t xml:space="preserve"> </w:t>
      </w:r>
      <w:r w:rsidRPr="00CA7244">
        <w:rPr>
          <w:rFonts w:cs="Arial"/>
        </w:rPr>
        <w:t>/</w:t>
      </w:r>
      <w:r>
        <w:rPr>
          <w:rFonts w:cs="Arial"/>
        </w:rPr>
        <w:t xml:space="preserve"> </w:t>
      </w:r>
      <w:r w:rsidRPr="00CA7244">
        <w:rPr>
          <w:rFonts w:cs="Arial"/>
        </w:rPr>
        <w:t>incentives that could be incorporated into pricing to drive quality improvement (i.e. to drive quality and safety through ABF).</w:t>
      </w:r>
    </w:p>
    <w:p w:rsidR="007A1C4A" w:rsidRPr="00CA7244" w:rsidRDefault="007A1C4A" w:rsidP="00736B8D">
      <w:pPr>
        <w:pBdr>
          <w:top w:val="single" w:sz="12" w:space="1" w:color="7F7F7F"/>
          <w:left w:val="single" w:sz="12" w:space="4" w:color="7F7F7F"/>
          <w:bottom w:val="single" w:sz="12" w:space="1" w:color="7F7F7F"/>
          <w:right w:val="single" w:sz="12" w:space="4" w:color="7F7F7F"/>
        </w:pBdr>
        <w:spacing w:before="120" w:after="120" w:line="264" w:lineRule="auto"/>
        <w:jc w:val="both"/>
        <w:rPr>
          <w:rFonts w:cs="Arial"/>
        </w:rPr>
      </w:pPr>
      <w:r>
        <w:rPr>
          <w:rFonts w:cs="Arial"/>
        </w:rPr>
        <w:t>Distinction between ‘safety’ and ‘quality’. Safety is an obvious one and this group should focus on ‘quality’ as a multi-dimensional concept. An agreed definition of quality is required.</w:t>
      </w:r>
    </w:p>
    <w:p w:rsidR="007A1C4A" w:rsidRPr="00584465" w:rsidRDefault="007A1C4A" w:rsidP="00736B8D">
      <w:pPr>
        <w:spacing w:before="120" w:after="120" w:line="264" w:lineRule="auto"/>
        <w:rPr>
          <w:rFonts w:cs="Arial"/>
          <w:szCs w:val="24"/>
        </w:rPr>
      </w:pPr>
      <w:r w:rsidRPr="00584465">
        <w:rPr>
          <w:rFonts w:cs="Arial"/>
          <w:szCs w:val="24"/>
        </w:rPr>
        <w:t>Developing an agreed definition is important for three two key reasons:</w:t>
      </w:r>
    </w:p>
    <w:p w:rsidR="007A1C4A" w:rsidRPr="00584465" w:rsidRDefault="007A1C4A" w:rsidP="00736B8D">
      <w:pPr>
        <w:numPr>
          <w:ilvl w:val="0"/>
          <w:numId w:val="5"/>
        </w:numPr>
        <w:tabs>
          <w:tab w:val="clear" w:pos="720"/>
          <w:tab w:val="num" w:pos="426"/>
        </w:tabs>
        <w:spacing w:before="120" w:after="120" w:line="264" w:lineRule="auto"/>
        <w:ind w:left="426" w:hanging="426"/>
        <w:rPr>
          <w:rFonts w:cs="Arial"/>
          <w:szCs w:val="24"/>
        </w:rPr>
      </w:pPr>
      <w:r w:rsidRPr="00584465">
        <w:rPr>
          <w:rFonts w:cs="Arial"/>
          <w:szCs w:val="24"/>
        </w:rPr>
        <w:t xml:space="preserve">Firstly, it will assist the JWP, the Commission and IHPA in articulating the goals and objectives of incorporating quality into hospital pricing systems. </w:t>
      </w:r>
    </w:p>
    <w:p w:rsidR="007A1C4A" w:rsidRDefault="007A1C4A" w:rsidP="00736B8D">
      <w:pPr>
        <w:numPr>
          <w:ilvl w:val="0"/>
          <w:numId w:val="5"/>
        </w:numPr>
        <w:tabs>
          <w:tab w:val="clear" w:pos="720"/>
          <w:tab w:val="num" w:pos="426"/>
        </w:tabs>
        <w:spacing w:before="120" w:after="120" w:line="264" w:lineRule="auto"/>
        <w:ind w:left="426" w:hanging="426"/>
        <w:rPr>
          <w:rFonts w:cs="Arial"/>
          <w:szCs w:val="24"/>
        </w:rPr>
      </w:pPr>
      <w:r w:rsidRPr="00584465">
        <w:rPr>
          <w:rFonts w:cs="Arial"/>
          <w:szCs w:val="24"/>
        </w:rPr>
        <w:t xml:space="preserve">Secondly, it will </w:t>
      </w:r>
      <w:r>
        <w:rPr>
          <w:rFonts w:cs="Arial"/>
          <w:szCs w:val="24"/>
        </w:rPr>
        <w:t>support</w:t>
      </w:r>
      <w:r w:rsidRPr="00584465">
        <w:rPr>
          <w:rFonts w:cs="Arial"/>
          <w:szCs w:val="24"/>
        </w:rPr>
        <w:t xml:space="preserve"> meaningful and structured evaluation of any mechanisms that may be considered.</w:t>
      </w:r>
    </w:p>
    <w:p w:rsidR="007A1C4A" w:rsidRPr="000C1D3B" w:rsidRDefault="007A1C4A" w:rsidP="00736B8D">
      <w:pPr>
        <w:pStyle w:val="Heading2"/>
        <w:spacing w:after="120" w:line="264" w:lineRule="auto"/>
        <w:rPr>
          <w:i w:val="0"/>
        </w:rPr>
      </w:pPr>
      <w:bookmarkStart w:id="4" w:name="_Toc372115650"/>
      <w:r>
        <w:rPr>
          <w:i w:val="0"/>
        </w:rPr>
        <w:t>2.2</w:t>
      </w:r>
      <w:r w:rsidRPr="000C1D3B">
        <w:rPr>
          <w:i w:val="0"/>
        </w:rPr>
        <w:tab/>
      </w:r>
      <w:r>
        <w:rPr>
          <w:i w:val="0"/>
        </w:rPr>
        <w:t>Proposed definitions</w:t>
      </w:r>
      <w:bookmarkEnd w:id="4"/>
      <w:r>
        <w:rPr>
          <w:i w:val="0"/>
        </w:rPr>
        <w:t xml:space="preserve"> </w:t>
      </w:r>
      <w:r w:rsidRPr="000C1D3B">
        <w:rPr>
          <w:i w:val="0"/>
        </w:rPr>
        <w:t xml:space="preserve"> </w:t>
      </w:r>
    </w:p>
    <w:p w:rsidR="007A1C4A" w:rsidRPr="00584465" w:rsidRDefault="007A1C4A" w:rsidP="00736B8D">
      <w:pPr>
        <w:spacing w:before="120" w:after="120" w:line="264" w:lineRule="auto"/>
        <w:rPr>
          <w:rFonts w:cs="Arial"/>
          <w:szCs w:val="24"/>
        </w:rPr>
      </w:pPr>
      <w:r w:rsidRPr="00584465">
        <w:rPr>
          <w:rFonts w:cs="Arial"/>
          <w:szCs w:val="24"/>
        </w:rPr>
        <w:t xml:space="preserve">There is no agreed definition of ‘quality’ in literature.  </w:t>
      </w:r>
      <w:r>
        <w:rPr>
          <w:rFonts w:cs="Arial"/>
          <w:szCs w:val="24"/>
        </w:rPr>
        <w:t>Four definitions are provided for discussion:</w:t>
      </w:r>
      <w:r w:rsidRPr="00584465">
        <w:rPr>
          <w:rFonts w:cs="Arial"/>
          <w:szCs w:val="24"/>
        </w:rPr>
        <w:t xml:space="preserve"> </w:t>
      </w:r>
      <w:r>
        <w:rPr>
          <w:rFonts w:cs="Arial"/>
          <w:szCs w:val="24"/>
        </w:rPr>
        <w:t xml:space="preserve">(1) the current definition used by Commission, (2) </w:t>
      </w:r>
      <w:r w:rsidRPr="00584465">
        <w:rPr>
          <w:rFonts w:cs="Arial"/>
          <w:szCs w:val="24"/>
        </w:rPr>
        <w:t>the World Health Organisation (WHO)</w:t>
      </w:r>
      <w:r>
        <w:rPr>
          <w:rFonts w:cs="Arial"/>
          <w:szCs w:val="24"/>
        </w:rPr>
        <w:t xml:space="preserve">, (3) the </w:t>
      </w:r>
      <w:r w:rsidRPr="00584465">
        <w:rPr>
          <w:rFonts w:cs="Arial"/>
          <w:szCs w:val="24"/>
        </w:rPr>
        <w:t>Institute of Medicine (IOM)</w:t>
      </w:r>
      <w:r>
        <w:rPr>
          <w:rFonts w:cs="Arial"/>
          <w:szCs w:val="24"/>
        </w:rPr>
        <w:t>, and (4) the German definition</w:t>
      </w:r>
      <w:r w:rsidRPr="00584465">
        <w:rPr>
          <w:rFonts w:cs="Arial"/>
          <w:szCs w:val="24"/>
        </w:rPr>
        <w:t xml:space="preserve">. </w:t>
      </w:r>
    </w:p>
    <w:p w:rsidR="007A1C4A" w:rsidRPr="007F05E6" w:rsidRDefault="007A1C4A" w:rsidP="00736B8D">
      <w:pPr>
        <w:spacing w:before="240" w:after="120" w:line="264" w:lineRule="auto"/>
        <w:rPr>
          <w:b/>
        </w:rPr>
      </w:pPr>
      <w:r w:rsidRPr="007F05E6">
        <w:rPr>
          <w:b/>
        </w:rPr>
        <w:t>2.2.1</w:t>
      </w:r>
      <w:r w:rsidRPr="007F05E6">
        <w:rPr>
          <w:b/>
        </w:rPr>
        <w:tab/>
      </w:r>
      <w:r w:rsidRPr="007F05E6">
        <w:rPr>
          <w:b/>
          <w:szCs w:val="24"/>
        </w:rPr>
        <w:t xml:space="preserve">The Commission </w:t>
      </w:r>
    </w:p>
    <w:p w:rsidR="007A1C4A" w:rsidRPr="00B54A21" w:rsidRDefault="007A1C4A" w:rsidP="00736B8D">
      <w:pPr>
        <w:spacing w:before="120" w:after="120" w:line="264" w:lineRule="auto"/>
      </w:pPr>
      <w:bookmarkStart w:id="5" w:name="_Toc346014538"/>
      <w:r w:rsidRPr="007F05E6">
        <w:t xml:space="preserve">The Commission defines patient safety as ‘the reduction of risk of unnecessary harm associated with healthcare to an acceptable minimum’, and quality as ‘the degree to which health services for individuals and </w:t>
      </w:r>
      <w:r w:rsidRPr="007F05E6">
        <w:rPr>
          <w:rFonts w:cs="Arial"/>
          <w:szCs w:val="24"/>
        </w:rPr>
        <w:t>populations</w:t>
      </w:r>
      <w:r w:rsidRPr="007F05E6">
        <w:t xml:space="preserve"> increase the likelihood of desired health outcomes and are consistent with current professional knowledge’.</w:t>
      </w:r>
      <w:r w:rsidRPr="007F05E6">
        <w:rPr>
          <w:vertAlign w:val="superscript"/>
        </w:rPr>
        <w:fldChar w:fldCharType="begin"/>
      </w:r>
      <w:r w:rsidRPr="007F05E6">
        <w:rPr>
          <w:vertAlign w:val="superscript"/>
        </w:rPr>
        <w:instrText xml:space="preserve"> ADDIN EN.CITE &lt;EndNote&gt;&lt;Cite&gt;&lt;Author&gt;Runciman&lt;/Author&gt;&lt;Year&gt;2009&lt;/Year&gt;&lt;RecNum&gt;11716&lt;/RecNum&gt;&lt;record&gt;&lt;rec-number&gt;11716&lt;/rec-number&gt;&lt;foreign-keys&gt;&lt;key app="EN" db-id="5r0eapxzsestz4er5zaxe5zqz99fvpawedp5"&gt;11716&lt;/key&gt;&lt;/foreign-keys&gt;&lt;ref-type name="Journal Article"&gt;17&lt;/ref-type&gt;&lt;contributors&gt;&lt;authors&gt;&lt;author&gt;Runciman, W.&lt;/author&gt;&lt;author&gt;Hibbert, P.&lt;/author&gt;&lt;author&gt;Thomson, R.&lt;/author&gt;&lt;author&gt;van der Schaaf, T.&lt;/author&gt;&lt;author&gt;Sherman, H.&lt;/author&gt;&lt;author&gt;Lewalle, P.&lt;/author&gt;&lt;/authors&gt;&lt;/contributors&gt;&lt;titles&gt;&lt;title&gt;Towards an International Classification for Patient Safety: key concepts and terms&lt;/title&gt;&lt;secondary-title&gt;International Journal for Quality in Health Care&lt;/secondary-title&gt;&lt;/titles&gt;&lt;periodical&gt;&lt;full-title&gt;International Journal for Quality in Health Care&lt;/full-title&gt;&lt;/periodical&gt;&lt;pages&gt;18-26&lt;/pages&gt;&lt;volume&gt;21&lt;/volume&gt;&lt;number&gt;1&lt;/number&gt;&lt;dates&gt;&lt;year&gt;2009&lt;/year&gt;&lt;/dates&gt;&lt;urls&gt;&lt;/urls&gt;&lt;/record&gt;&lt;/Cite&gt;&lt;/EndNote&gt;</w:instrText>
      </w:r>
      <w:r w:rsidRPr="007F05E6">
        <w:rPr>
          <w:vertAlign w:val="superscript"/>
        </w:rPr>
        <w:fldChar w:fldCharType="separate"/>
      </w:r>
      <w:r w:rsidRPr="007F05E6">
        <w:rPr>
          <w:vertAlign w:val="superscript"/>
        </w:rPr>
        <w:t>1</w:t>
      </w:r>
      <w:r w:rsidRPr="007F05E6">
        <w:rPr>
          <w:vertAlign w:val="superscript"/>
        </w:rPr>
        <w:fldChar w:fldCharType="end"/>
      </w:r>
      <w:bookmarkEnd w:id="5"/>
      <w:r>
        <w:t xml:space="preserve"> </w:t>
      </w:r>
    </w:p>
    <w:p w:rsidR="007A1C4A" w:rsidRPr="008D2173" w:rsidRDefault="007A1C4A" w:rsidP="00736B8D">
      <w:pPr>
        <w:spacing w:before="240" w:after="120" w:line="264" w:lineRule="auto"/>
        <w:rPr>
          <w:b/>
        </w:rPr>
      </w:pPr>
      <w:bookmarkStart w:id="6" w:name="_Toc346014539"/>
      <w:r w:rsidRPr="008D2173">
        <w:rPr>
          <w:b/>
        </w:rPr>
        <w:t>2.2.2</w:t>
      </w:r>
      <w:r w:rsidRPr="008D2173">
        <w:rPr>
          <w:b/>
        </w:rPr>
        <w:tab/>
        <w:t xml:space="preserve">WHO </w:t>
      </w:r>
      <w:r w:rsidRPr="003325A6">
        <w:rPr>
          <w:b/>
          <w:szCs w:val="24"/>
        </w:rPr>
        <w:t>definition</w:t>
      </w:r>
      <w:bookmarkEnd w:id="6"/>
      <w:r w:rsidRPr="008D2173">
        <w:rPr>
          <w:b/>
        </w:rPr>
        <w:t xml:space="preserve"> </w:t>
      </w:r>
    </w:p>
    <w:p w:rsidR="007A1C4A" w:rsidRPr="00584465" w:rsidRDefault="007A1C4A" w:rsidP="00736B8D">
      <w:pPr>
        <w:spacing w:before="120" w:after="120" w:line="264" w:lineRule="auto"/>
        <w:rPr>
          <w:rFonts w:cs="Arial"/>
          <w:szCs w:val="24"/>
        </w:rPr>
      </w:pPr>
      <w:r w:rsidRPr="00584465">
        <w:rPr>
          <w:rFonts w:cs="Arial"/>
          <w:szCs w:val="24"/>
        </w:rPr>
        <w:t>The WHO Framework for the International Cl</w:t>
      </w:r>
      <w:r>
        <w:rPr>
          <w:rFonts w:cs="Arial"/>
          <w:szCs w:val="24"/>
        </w:rPr>
        <w:t xml:space="preserve">assification for Patient Safety </w:t>
      </w:r>
      <w:r>
        <w:rPr>
          <w:rFonts w:cs="Arial"/>
          <w:szCs w:val="24"/>
        </w:rPr>
        <w:fldChar w:fldCharType="begin"/>
      </w:r>
      <w:r>
        <w:rPr>
          <w:rFonts w:cs="Arial"/>
          <w:szCs w:val="24"/>
        </w:rPr>
        <w:instrText xml:space="preserve"> ADDIN EN.CITE &lt;EndNote&gt;&lt;Cite&gt;&lt;Author&gt;World Health Organisation&lt;/Author&gt;&lt;Year&gt;2009&lt;/Year&gt;&lt;RecNum&gt;11932&lt;/RecNum&gt;&lt;record&gt;&lt;rec-number&gt;11932&lt;/rec-number&gt;&lt;foreign-keys&gt;&lt;key app="EN" db-id="5r0eapxzsestz4er5zaxe5zqz99fvpawedp5"&gt;11932&lt;/key&gt;&lt;/foreign-keys&gt;&lt;ref-type name="Report"&gt;27&lt;/ref-type&gt;&lt;contributors&gt;&lt;authors&gt;&lt;author&gt;World Health Organisation, &lt;/author&gt;&lt;/authors&gt;&lt;/contributors&gt;&lt;titles&gt;&lt;title&gt;The International Classification for Patient Safety &lt;/title&gt;&lt;/titles&gt;&lt;dates&gt;&lt;year&gt;2009&lt;/year&gt;&lt;/dates&gt;&lt;publisher&gt;WHO&lt;/publisher&gt;&lt;urls&gt;&lt;related-urls&gt;&lt;url&gt;http://www.who.int/patientsafety/taxonomy/icps_full_report.pdf &lt;/url&gt;&lt;/related-urls&gt;&lt;/urls&gt;&lt;/record&gt;&lt;/Cite&gt;&lt;/EndNote&gt;</w:instrText>
      </w:r>
      <w:r>
        <w:rPr>
          <w:rFonts w:cs="Arial"/>
          <w:szCs w:val="24"/>
        </w:rPr>
        <w:fldChar w:fldCharType="separate"/>
      </w:r>
      <w:r w:rsidRPr="00352602">
        <w:rPr>
          <w:rFonts w:cs="Arial"/>
          <w:noProof/>
          <w:szCs w:val="24"/>
          <w:vertAlign w:val="superscript"/>
        </w:rPr>
        <w:t>2</w:t>
      </w:r>
      <w:r>
        <w:rPr>
          <w:rFonts w:cs="Arial"/>
          <w:szCs w:val="24"/>
        </w:rPr>
        <w:fldChar w:fldCharType="end"/>
      </w:r>
      <w:r w:rsidRPr="00584465">
        <w:rPr>
          <w:rFonts w:cs="Arial"/>
          <w:szCs w:val="24"/>
        </w:rPr>
        <w:t xml:space="preserve"> </w:t>
      </w:r>
      <w:r>
        <w:rPr>
          <w:rFonts w:cs="Arial"/>
          <w:szCs w:val="24"/>
        </w:rPr>
        <w:t xml:space="preserve">expands on the Runciman and Hibbert definition </w:t>
      </w:r>
      <w:r w:rsidRPr="00584465">
        <w:rPr>
          <w:rFonts w:cs="Arial"/>
          <w:szCs w:val="24"/>
        </w:rPr>
        <w:t>defines ‘quality’ and ‘quality of care’ as follows.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7"/>
      </w:tblGrid>
      <w:tr w:rsidR="007A1C4A" w:rsidRPr="00584465" w:rsidTr="008D37E9">
        <w:tc>
          <w:tcPr>
            <w:tcW w:w="1908" w:type="dxa"/>
          </w:tcPr>
          <w:p w:rsidR="007A1C4A" w:rsidRPr="00584465" w:rsidRDefault="007A1C4A" w:rsidP="008D37E9">
            <w:pPr>
              <w:spacing w:before="120" w:after="120" w:line="264" w:lineRule="auto"/>
              <w:rPr>
                <w:rFonts w:cs="Arial"/>
                <w:szCs w:val="22"/>
              </w:rPr>
            </w:pPr>
            <w:r w:rsidRPr="00584465">
              <w:rPr>
                <w:rFonts w:cs="Arial"/>
                <w:sz w:val="22"/>
                <w:szCs w:val="22"/>
              </w:rPr>
              <w:t>Quality</w:t>
            </w:r>
          </w:p>
        </w:tc>
        <w:tc>
          <w:tcPr>
            <w:tcW w:w="6847" w:type="dxa"/>
          </w:tcPr>
          <w:p w:rsidR="007A1C4A" w:rsidRPr="00584465" w:rsidRDefault="007A1C4A" w:rsidP="008D37E9">
            <w:pPr>
              <w:spacing w:before="120" w:after="120" w:line="264" w:lineRule="auto"/>
              <w:rPr>
                <w:rFonts w:cs="Arial"/>
                <w:szCs w:val="22"/>
              </w:rPr>
            </w:pPr>
            <w:r w:rsidRPr="00584465">
              <w:rPr>
                <w:rFonts w:cs="Arial"/>
                <w:sz w:val="22"/>
                <w:szCs w:val="22"/>
              </w:rPr>
              <w:t>The degree to which health services for individuals and populations increase the likelihood of desired health outcomes and are consistent with current professional knowledge.</w:t>
            </w:r>
          </w:p>
        </w:tc>
      </w:tr>
      <w:tr w:rsidR="007A1C4A" w:rsidRPr="00584465" w:rsidTr="008D37E9">
        <w:tc>
          <w:tcPr>
            <w:tcW w:w="1908" w:type="dxa"/>
          </w:tcPr>
          <w:p w:rsidR="007A1C4A" w:rsidRPr="00584465" w:rsidRDefault="007A1C4A" w:rsidP="008D37E9">
            <w:pPr>
              <w:spacing w:before="120" w:after="120" w:line="264" w:lineRule="auto"/>
              <w:rPr>
                <w:rFonts w:cs="Arial"/>
                <w:szCs w:val="22"/>
              </w:rPr>
            </w:pPr>
            <w:r w:rsidRPr="00584465">
              <w:rPr>
                <w:rFonts w:cs="Arial"/>
                <w:sz w:val="22"/>
                <w:szCs w:val="22"/>
              </w:rPr>
              <w:lastRenderedPageBreak/>
              <w:t>Quality of care</w:t>
            </w:r>
          </w:p>
        </w:tc>
        <w:tc>
          <w:tcPr>
            <w:tcW w:w="6847" w:type="dxa"/>
          </w:tcPr>
          <w:p w:rsidR="007A1C4A" w:rsidRPr="00584465" w:rsidRDefault="007A1C4A" w:rsidP="008D37E9">
            <w:pPr>
              <w:spacing w:before="120" w:after="120" w:line="264" w:lineRule="auto"/>
              <w:rPr>
                <w:rFonts w:cs="Arial"/>
                <w:szCs w:val="22"/>
              </w:rPr>
            </w:pPr>
            <w:r w:rsidRPr="00584465">
              <w:rPr>
                <w:rFonts w:cs="Arial"/>
                <w:sz w:val="22"/>
                <w:szCs w:val="22"/>
              </w:rPr>
              <w:t xml:space="preserve">The degree of conformity with accepted principles and practices (standards), the degree of fitness for the patient’s needs, and the degree of attainment of achievable outcomes (results), consonant with the appropriate allocation or use of resources. </w:t>
            </w:r>
          </w:p>
          <w:p w:rsidR="007A1C4A" w:rsidRPr="00584465" w:rsidRDefault="007A1C4A" w:rsidP="008D37E9">
            <w:pPr>
              <w:spacing w:before="120" w:after="120" w:line="264" w:lineRule="auto"/>
              <w:rPr>
                <w:rFonts w:cs="Arial"/>
                <w:szCs w:val="22"/>
              </w:rPr>
            </w:pPr>
            <w:r w:rsidRPr="00584465">
              <w:rPr>
                <w:rFonts w:cs="Arial"/>
                <w:sz w:val="22"/>
                <w:szCs w:val="22"/>
              </w:rPr>
              <w:t xml:space="preserve">The phrase carries the concept that quality is not equivalent to “more” or “higher technology” or higher cost. </w:t>
            </w:r>
          </w:p>
          <w:p w:rsidR="007A1C4A" w:rsidRPr="00584465" w:rsidRDefault="007A1C4A" w:rsidP="008D37E9">
            <w:pPr>
              <w:spacing w:before="120" w:after="120" w:line="264" w:lineRule="auto"/>
              <w:rPr>
                <w:rFonts w:cs="Arial"/>
                <w:szCs w:val="22"/>
              </w:rPr>
            </w:pPr>
            <w:r w:rsidRPr="00584465">
              <w:rPr>
                <w:rFonts w:cs="Arial"/>
                <w:sz w:val="22"/>
                <w:szCs w:val="22"/>
              </w:rPr>
              <w:t xml:space="preserve">The degree of conformity with standards focuses on the provider’s performance, while the degree of fitness for the patient’s needs indicates that the patient may present conditions that override strict conformity with otherwise prescribed procedures. </w:t>
            </w:r>
          </w:p>
        </w:tc>
      </w:tr>
    </w:tbl>
    <w:p w:rsidR="007A1C4A" w:rsidRPr="00B870BB" w:rsidRDefault="007A1C4A" w:rsidP="00736B8D">
      <w:pPr>
        <w:spacing w:before="240" w:after="120" w:line="264" w:lineRule="auto"/>
        <w:rPr>
          <w:b/>
          <w:szCs w:val="24"/>
        </w:rPr>
      </w:pPr>
      <w:r w:rsidRPr="00B870BB">
        <w:rPr>
          <w:b/>
          <w:szCs w:val="24"/>
        </w:rPr>
        <w:t>2.2.3</w:t>
      </w:r>
      <w:r w:rsidRPr="00B870BB">
        <w:rPr>
          <w:b/>
          <w:szCs w:val="24"/>
        </w:rPr>
        <w:tab/>
        <w:t>Institute of Medicine definition</w:t>
      </w:r>
    </w:p>
    <w:p w:rsidR="007A1C4A" w:rsidRPr="00584465" w:rsidRDefault="007A1C4A" w:rsidP="00736B8D">
      <w:pPr>
        <w:keepNext/>
        <w:keepLines/>
        <w:spacing w:before="120" w:after="120" w:line="264" w:lineRule="auto"/>
        <w:rPr>
          <w:rFonts w:cs="Arial"/>
          <w:szCs w:val="24"/>
        </w:rPr>
      </w:pPr>
      <w:r w:rsidRPr="00584465">
        <w:rPr>
          <w:rFonts w:cs="Arial"/>
          <w:szCs w:val="24"/>
        </w:rPr>
        <w:t>The Institute of Medicine (IOM), in its 2001 report</w:t>
      </w:r>
      <w:r>
        <w:rPr>
          <w:rFonts w:cs="Arial"/>
          <w:szCs w:val="24"/>
        </w:rPr>
        <w:t xml:space="preserve"> </w:t>
      </w:r>
      <w:r>
        <w:rPr>
          <w:rFonts w:cs="Arial"/>
          <w:szCs w:val="24"/>
        </w:rPr>
        <w:fldChar w:fldCharType="begin"/>
      </w:r>
      <w:r>
        <w:rPr>
          <w:rFonts w:cs="Arial"/>
          <w:szCs w:val="24"/>
        </w:rPr>
        <w:instrText xml:space="preserve"> ADDIN EN.CITE &lt;EndNote&gt;&lt;Cite&gt;&lt;Author&gt;US Institute of Medicine&lt;/Author&gt;&lt;Year&gt;2001&lt;/Year&gt;&lt;RecNum&gt;2153&lt;/RecNum&gt;&lt;record&gt;&lt;rec-number&gt;2153&lt;/rec-number&gt;&lt;foreign-keys&gt;&lt;key app="EN" db-id="5r0eapxzsestz4er5zaxe5zqz99fvpawedp5"&gt;2153&lt;/key&gt;&lt;/foreign-keys&gt;&lt;ref-type name="Book"&gt;6&lt;/ref-type&gt;&lt;contributors&gt;&lt;authors&gt;&lt;author&gt;US Institute of Medicine,&lt;/author&gt;&lt;/authors&gt;&lt;/contributors&gt;&lt;titles&gt;&lt;title&gt;Crossing the quality chasm: a new health system for the 21st century&lt;/title&gt;&lt;/titles&gt;&lt;dates&gt;&lt;year&gt;2001&lt;/year&gt;&lt;/dates&gt;&lt;pub-location&gt;Washington&lt;/pub-location&gt;&lt;publisher&gt;National Academy Press&lt;/publisher&gt;&lt;urls&gt;&lt;/urls&gt;&lt;/record&gt;&lt;/Cite&gt;&lt;/EndNote&gt;</w:instrText>
      </w:r>
      <w:r>
        <w:rPr>
          <w:rFonts w:cs="Arial"/>
          <w:szCs w:val="24"/>
        </w:rPr>
        <w:fldChar w:fldCharType="separate"/>
      </w:r>
      <w:r w:rsidRPr="00352602">
        <w:rPr>
          <w:rFonts w:cs="Arial"/>
          <w:noProof/>
          <w:szCs w:val="24"/>
          <w:vertAlign w:val="superscript"/>
        </w:rPr>
        <w:t>3</w:t>
      </w:r>
      <w:r>
        <w:rPr>
          <w:rFonts w:cs="Arial"/>
          <w:szCs w:val="24"/>
        </w:rPr>
        <w:fldChar w:fldCharType="end"/>
      </w:r>
      <w:r>
        <w:rPr>
          <w:rFonts w:cs="Arial"/>
          <w:szCs w:val="24"/>
        </w:rPr>
        <w:t xml:space="preserve"> </w:t>
      </w:r>
      <w:r w:rsidRPr="00584465">
        <w:rPr>
          <w:rFonts w:cs="Arial"/>
          <w:szCs w:val="24"/>
        </w:rPr>
        <w:t>defines quality as consisting of six dimensions</w:t>
      </w:r>
      <w:r>
        <w:rPr>
          <w:rFonts w:cs="Arial"/>
          <w:szCs w:val="24"/>
        </w:rPr>
        <w:t>. These are</w:t>
      </w:r>
      <w:r w:rsidRPr="00584465">
        <w:rPr>
          <w:rFonts w:cs="Arial"/>
          <w:szCs w:val="24"/>
        </w:rPr>
        <w:t xml:space="preserve"> listed below.</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662"/>
      </w:tblGrid>
      <w:tr w:rsidR="007A1C4A" w:rsidRPr="00584465" w:rsidTr="008D37E9">
        <w:tc>
          <w:tcPr>
            <w:tcW w:w="2235" w:type="dxa"/>
          </w:tcPr>
          <w:p w:rsidR="007A1C4A" w:rsidRPr="00584465" w:rsidRDefault="007A1C4A" w:rsidP="008D37E9">
            <w:pPr>
              <w:numPr>
                <w:ilvl w:val="0"/>
                <w:numId w:val="4"/>
              </w:numPr>
              <w:spacing w:before="60" w:after="60" w:line="264" w:lineRule="auto"/>
              <w:rPr>
                <w:rFonts w:cs="Arial"/>
                <w:szCs w:val="22"/>
              </w:rPr>
            </w:pPr>
            <w:r w:rsidRPr="00584465">
              <w:rPr>
                <w:rFonts w:cs="Arial"/>
                <w:sz w:val="22"/>
                <w:szCs w:val="22"/>
              </w:rPr>
              <w:t>Safety</w:t>
            </w:r>
          </w:p>
        </w:tc>
        <w:tc>
          <w:tcPr>
            <w:tcW w:w="6662" w:type="dxa"/>
          </w:tcPr>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avoiding injuries to patients from the care that is intended to help them</w:t>
            </w:r>
          </w:p>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minimising risks and harm to service users</w:t>
            </w:r>
          </w:p>
        </w:tc>
      </w:tr>
      <w:tr w:rsidR="007A1C4A" w:rsidRPr="00584465" w:rsidTr="008D37E9">
        <w:tc>
          <w:tcPr>
            <w:tcW w:w="2235" w:type="dxa"/>
          </w:tcPr>
          <w:p w:rsidR="007A1C4A" w:rsidRPr="00584465" w:rsidRDefault="007A1C4A" w:rsidP="008D37E9">
            <w:pPr>
              <w:numPr>
                <w:ilvl w:val="0"/>
                <w:numId w:val="4"/>
              </w:numPr>
              <w:spacing w:before="60" w:after="60" w:line="264" w:lineRule="auto"/>
              <w:rPr>
                <w:rFonts w:cs="Arial"/>
                <w:szCs w:val="22"/>
              </w:rPr>
            </w:pPr>
            <w:r w:rsidRPr="00584465">
              <w:rPr>
                <w:rFonts w:cs="Arial"/>
                <w:sz w:val="22"/>
                <w:szCs w:val="22"/>
              </w:rPr>
              <w:t>Effectiveness</w:t>
            </w:r>
          </w:p>
        </w:tc>
        <w:tc>
          <w:tcPr>
            <w:tcW w:w="6662" w:type="dxa"/>
          </w:tcPr>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providing services based on scientific knowledge to all who could benefit and refraining from providing services to those not likely to benefit</w:t>
            </w:r>
          </w:p>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taking into account the preferences and aspirations of individual service users and the cultures of their communities</w:t>
            </w:r>
          </w:p>
        </w:tc>
      </w:tr>
      <w:tr w:rsidR="007A1C4A" w:rsidRPr="00584465" w:rsidTr="008D37E9">
        <w:tc>
          <w:tcPr>
            <w:tcW w:w="2235" w:type="dxa"/>
          </w:tcPr>
          <w:p w:rsidR="007A1C4A" w:rsidRPr="00584465" w:rsidRDefault="007A1C4A" w:rsidP="008D37E9">
            <w:pPr>
              <w:numPr>
                <w:ilvl w:val="0"/>
                <w:numId w:val="4"/>
              </w:numPr>
              <w:spacing w:before="60" w:after="60" w:line="264" w:lineRule="auto"/>
              <w:rPr>
                <w:rFonts w:cs="Arial"/>
                <w:szCs w:val="22"/>
              </w:rPr>
            </w:pPr>
            <w:r w:rsidRPr="00584465">
              <w:rPr>
                <w:rStyle w:val="Strong"/>
                <w:rFonts w:cs="Arial"/>
                <w:b w:val="0"/>
                <w:bCs/>
                <w:sz w:val="22"/>
                <w:szCs w:val="22"/>
              </w:rPr>
              <w:t>Patient- centeredness</w:t>
            </w:r>
          </w:p>
        </w:tc>
        <w:tc>
          <w:tcPr>
            <w:tcW w:w="6662" w:type="dxa"/>
          </w:tcPr>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providing care that is respectful and responsive to individual patient preferences, needs, and values</w:t>
            </w:r>
          </w:p>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taking into account the preferences and aspirations of individual service users and the cultures of their communities</w:t>
            </w:r>
          </w:p>
        </w:tc>
      </w:tr>
      <w:tr w:rsidR="007A1C4A" w:rsidRPr="00584465" w:rsidTr="008D37E9">
        <w:tc>
          <w:tcPr>
            <w:tcW w:w="2235" w:type="dxa"/>
          </w:tcPr>
          <w:p w:rsidR="007A1C4A" w:rsidRPr="00584465" w:rsidRDefault="007A1C4A" w:rsidP="008D37E9">
            <w:pPr>
              <w:numPr>
                <w:ilvl w:val="0"/>
                <w:numId w:val="4"/>
              </w:numPr>
              <w:spacing w:before="60" w:after="60" w:line="264" w:lineRule="auto"/>
              <w:rPr>
                <w:rFonts w:cs="Arial"/>
                <w:szCs w:val="22"/>
              </w:rPr>
            </w:pPr>
            <w:r w:rsidRPr="00584465">
              <w:rPr>
                <w:rStyle w:val="Strong"/>
                <w:rFonts w:cs="Arial"/>
                <w:b w:val="0"/>
                <w:bCs/>
                <w:sz w:val="22"/>
                <w:szCs w:val="22"/>
              </w:rPr>
              <w:t>Timeliness &amp; accessibility</w:t>
            </w:r>
          </w:p>
        </w:tc>
        <w:tc>
          <w:tcPr>
            <w:tcW w:w="6662" w:type="dxa"/>
          </w:tcPr>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 xml:space="preserve">reducing waits and sometimes harmful delays for both those who receive and those who give care </w:t>
            </w:r>
          </w:p>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health care that is timely, geographically reasonable, and provided in a setting where skills and resources are appropriate to medical need</w:t>
            </w:r>
          </w:p>
        </w:tc>
      </w:tr>
      <w:tr w:rsidR="007A1C4A" w:rsidRPr="00584465" w:rsidTr="008D37E9">
        <w:tc>
          <w:tcPr>
            <w:tcW w:w="2235" w:type="dxa"/>
          </w:tcPr>
          <w:p w:rsidR="007A1C4A" w:rsidRPr="00584465" w:rsidRDefault="007A1C4A" w:rsidP="008D37E9">
            <w:pPr>
              <w:numPr>
                <w:ilvl w:val="0"/>
                <w:numId w:val="4"/>
              </w:numPr>
              <w:spacing w:before="60" w:after="60" w:line="264" w:lineRule="auto"/>
              <w:rPr>
                <w:rStyle w:val="Strong"/>
                <w:rFonts w:cs="Arial"/>
                <w:b w:val="0"/>
                <w:bCs/>
                <w:szCs w:val="22"/>
              </w:rPr>
            </w:pPr>
            <w:r w:rsidRPr="00584465">
              <w:rPr>
                <w:rStyle w:val="Strong"/>
                <w:rFonts w:cs="Arial"/>
                <w:b w:val="0"/>
                <w:bCs/>
                <w:sz w:val="22"/>
                <w:szCs w:val="22"/>
              </w:rPr>
              <w:t>Efficiency</w:t>
            </w:r>
          </w:p>
        </w:tc>
        <w:tc>
          <w:tcPr>
            <w:tcW w:w="6662" w:type="dxa"/>
          </w:tcPr>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 xml:space="preserve">avoiding waste, including waste of equipment, supplies, ideas, and energy </w:t>
            </w:r>
          </w:p>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delivering care in a manner which maximizes resource use and avoids waste</w:t>
            </w:r>
          </w:p>
        </w:tc>
      </w:tr>
      <w:tr w:rsidR="007A1C4A" w:rsidRPr="00584465" w:rsidTr="008D37E9">
        <w:tc>
          <w:tcPr>
            <w:tcW w:w="2235" w:type="dxa"/>
          </w:tcPr>
          <w:p w:rsidR="007A1C4A" w:rsidRPr="00584465" w:rsidRDefault="007A1C4A" w:rsidP="008D37E9">
            <w:pPr>
              <w:numPr>
                <w:ilvl w:val="0"/>
                <w:numId w:val="4"/>
              </w:numPr>
              <w:spacing w:before="60" w:after="60" w:line="264" w:lineRule="auto"/>
              <w:rPr>
                <w:rStyle w:val="Strong"/>
                <w:rFonts w:cs="Arial"/>
                <w:b w:val="0"/>
                <w:bCs/>
                <w:szCs w:val="22"/>
              </w:rPr>
            </w:pPr>
            <w:r w:rsidRPr="00584465">
              <w:rPr>
                <w:rStyle w:val="Strong"/>
                <w:rFonts w:cs="Arial"/>
                <w:b w:val="0"/>
                <w:bCs/>
                <w:sz w:val="22"/>
                <w:szCs w:val="22"/>
              </w:rPr>
              <w:t>Equity</w:t>
            </w:r>
          </w:p>
        </w:tc>
        <w:tc>
          <w:tcPr>
            <w:tcW w:w="6662" w:type="dxa"/>
          </w:tcPr>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providing care that does not vary in quality because of personal characteristics such as gender, ethnicity, geographic location, and socioeconomic status</w:t>
            </w:r>
          </w:p>
          <w:p w:rsidR="007A1C4A" w:rsidRPr="00584465" w:rsidRDefault="007A1C4A" w:rsidP="008D37E9">
            <w:pPr>
              <w:numPr>
                <w:ilvl w:val="0"/>
                <w:numId w:val="3"/>
              </w:numPr>
              <w:spacing w:before="60" w:after="60" w:line="264" w:lineRule="auto"/>
              <w:rPr>
                <w:rFonts w:cs="Arial"/>
                <w:szCs w:val="22"/>
              </w:rPr>
            </w:pPr>
            <w:r w:rsidRPr="00584465">
              <w:rPr>
                <w:rFonts w:cs="Arial"/>
                <w:sz w:val="22"/>
                <w:szCs w:val="22"/>
              </w:rPr>
              <w:t>delivering care which does not vary in quality because of personal characteristics such as gender, race, ethnicity, geographical location, or socioeconomic status</w:t>
            </w:r>
          </w:p>
        </w:tc>
      </w:tr>
    </w:tbl>
    <w:p w:rsidR="007A1C4A" w:rsidRDefault="007A1C4A" w:rsidP="00736B8D">
      <w:pPr>
        <w:spacing w:before="120" w:after="120" w:line="264" w:lineRule="auto"/>
        <w:rPr>
          <w:szCs w:val="24"/>
        </w:rPr>
      </w:pPr>
      <w:r w:rsidRPr="000C1D3B">
        <w:rPr>
          <w:szCs w:val="24"/>
        </w:rPr>
        <w:lastRenderedPageBreak/>
        <w:t>The IOM definitio</w:t>
      </w:r>
      <w:r>
        <w:rPr>
          <w:szCs w:val="24"/>
        </w:rPr>
        <w:t>n exp</w:t>
      </w:r>
      <w:r w:rsidRPr="000C1D3B">
        <w:rPr>
          <w:szCs w:val="24"/>
        </w:rPr>
        <w:t>licitly includes safety as a dimension</w:t>
      </w:r>
      <w:r>
        <w:rPr>
          <w:szCs w:val="24"/>
        </w:rPr>
        <w:t xml:space="preserve"> and disaggregates </w:t>
      </w:r>
      <w:r w:rsidRPr="000C1D3B">
        <w:rPr>
          <w:szCs w:val="24"/>
        </w:rPr>
        <w:t>‘quality’ into six distinct domains</w:t>
      </w:r>
      <w:r>
        <w:rPr>
          <w:szCs w:val="24"/>
        </w:rPr>
        <w:t xml:space="preserve">.  This may provide </w:t>
      </w:r>
      <w:r w:rsidRPr="000C1D3B">
        <w:rPr>
          <w:szCs w:val="24"/>
        </w:rPr>
        <w:t>a sound framework for the</w:t>
      </w:r>
      <w:r>
        <w:rPr>
          <w:szCs w:val="24"/>
        </w:rPr>
        <w:t xml:space="preserve"> development and</w:t>
      </w:r>
      <w:r w:rsidRPr="000C1D3B">
        <w:rPr>
          <w:szCs w:val="24"/>
        </w:rPr>
        <w:t xml:space="preserve"> evaluation of </w:t>
      </w:r>
      <w:r>
        <w:rPr>
          <w:szCs w:val="24"/>
        </w:rPr>
        <w:t xml:space="preserve">any schemes adopted in </w:t>
      </w:r>
      <w:r w:rsidRPr="000C1D3B">
        <w:rPr>
          <w:szCs w:val="24"/>
        </w:rPr>
        <w:t>the Australian context</w:t>
      </w:r>
    </w:p>
    <w:p w:rsidR="007A1C4A" w:rsidRPr="001B11EA" w:rsidRDefault="007A1C4A" w:rsidP="00736B8D">
      <w:pPr>
        <w:spacing w:before="240" w:after="120" w:line="264" w:lineRule="auto"/>
        <w:rPr>
          <w:b/>
          <w:szCs w:val="24"/>
        </w:rPr>
      </w:pPr>
      <w:r>
        <w:rPr>
          <w:b/>
          <w:szCs w:val="24"/>
        </w:rPr>
        <w:t>2.2.4</w:t>
      </w:r>
      <w:r>
        <w:rPr>
          <w:b/>
          <w:szCs w:val="24"/>
        </w:rPr>
        <w:tab/>
        <w:t>BQS definition (Germany)</w:t>
      </w:r>
    </w:p>
    <w:p w:rsidR="007A1C4A" w:rsidRPr="008B572A" w:rsidRDefault="007A1C4A" w:rsidP="00736B8D">
      <w:pPr>
        <w:spacing w:before="120" w:after="120" w:line="264" w:lineRule="auto"/>
        <w:rPr>
          <w:rFonts w:cs="Arial"/>
          <w:szCs w:val="24"/>
          <w:vertAlign w:val="superscript"/>
        </w:rPr>
      </w:pPr>
      <w:r w:rsidRPr="001B11EA">
        <w:rPr>
          <w:rFonts w:cs="Arial"/>
          <w:szCs w:val="24"/>
        </w:rPr>
        <w:t xml:space="preserve">A recent report on applying </w:t>
      </w:r>
      <w:r>
        <w:rPr>
          <w:rFonts w:cs="Arial"/>
          <w:szCs w:val="24"/>
        </w:rPr>
        <w:t>‘pay for performance’ (</w:t>
      </w:r>
      <w:r w:rsidRPr="001B11EA">
        <w:rPr>
          <w:rFonts w:cs="Arial"/>
          <w:szCs w:val="24"/>
        </w:rPr>
        <w:t>P4P</w:t>
      </w:r>
      <w:r>
        <w:rPr>
          <w:rFonts w:cs="Arial"/>
          <w:szCs w:val="24"/>
        </w:rPr>
        <w:t>)</w:t>
      </w:r>
      <w:r w:rsidRPr="001B11EA">
        <w:rPr>
          <w:rFonts w:cs="Arial"/>
          <w:szCs w:val="24"/>
        </w:rPr>
        <w:t xml:space="preserve"> in health care</w:t>
      </w:r>
      <w:r>
        <w:rPr>
          <w:rFonts w:cs="Arial"/>
          <w:szCs w:val="24"/>
        </w:rPr>
        <w:t>,</w:t>
      </w:r>
      <w:r w:rsidRPr="001B11EA">
        <w:rPr>
          <w:rFonts w:cs="Arial"/>
          <w:szCs w:val="24"/>
        </w:rPr>
        <w:t xml:space="preserve"> produced by the German National Institute for Quality and Patient Safety in Health Care (BQS)</w:t>
      </w:r>
      <w:r>
        <w:rPr>
          <w:rFonts w:cs="Arial"/>
          <w:szCs w:val="24"/>
        </w:rPr>
        <w:t xml:space="preserve"> defines quality as comprising:</w:t>
      </w:r>
      <w:r>
        <w:rPr>
          <w:rFonts w:cs="Arial"/>
          <w:szCs w:val="24"/>
          <w:vertAlign w:val="superscript"/>
        </w:rPr>
        <w:t>4</w:t>
      </w:r>
    </w:p>
    <w:p w:rsidR="007A1C4A" w:rsidRPr="001B11EA" w:rsidRDefault="007A1C4A" w:rsidP="00736B8D">
      <w:pPr>
        <w:numPr>
          <w:ilvl w:val="0"/>
          <w:numId w:val="5"/>
        </w:numPr>
        <w:tabs>
          <w:tab w:val="clear" w:pos="720"/>
          <w:tab w:val="num" w:pos="426"/>
        </w:tabs>
        <w:spacing w:before="120" w:after="120" w:line="264" w:lineRule="auto"/>
        <w:ind w:left="426" w:hanging="426"/>
        <w:rPr>
          <w:rFonts w:cs="Arial"/>
          <w:szCs w:val="24"/>
        </w:rPr>
      </w:pPr>
      <w:r w:rsidRPr="001B11EA">
        <w:rPr>
          <w:rFonts w:cs="Arial"/>
          <w:szCs w:val="24"/>
        </w:rPr>
        <w:t>attainment of individual medical objectives</w:t>
      </w:r>
      <w:r>
        <w:rPr>
          <w:rFonts w:cs="Arial"/>
          <w:szCs w:val="24"/>
        </w:rPr>
        <w:t>,</w:t>
      </w:r>
      <w:r w:rsidRPr="001B11EA">
        <w:rPr>
          <w:rFonts w:cs="Arial"/>
          <w:szCs w:val="24"/>
        </w:rPr>
        <w:t xml:space="preserve"> including</w:t>
      </w:r>
      <w:r>
        <w:rPr>
          <w:rFonts w:cs="Arial"/>
          <w:szCs w:val="24"/>
        </w:rPr>
        <w:t>:</w:t>
      </w:r>
    </w:p>
    <w:p w:rsidR="007A1C4A" w:rsidRPr="001B11EA" w:rsidRDefault="007A1C4A" w:rsidP="00736B8D">
      <w:pPr>
        <w:numPr>
          <w:ilvl w:val="1"/>
          <w:numId w:val="5"/>
        </w:numPr>
        <w:tabs>
          <w:tab w:val="clear" w:pos="1440"/>
          <w:tab w:val="num" w:pos="900"/>
        </w:tabs>
        <w:spacing w:before="120" w:after="120" w:line="264" w:lineRule="auto"/>
        <w:ind w:left="900"/>
        <w:rPr>
          <w:rFonts w:cs="Arial"/>
          <w:szCs w:val="24"/>
        </w:rPr>
      </w:pPr>
      <w:r w:rsidRPr="001B11EA">
        <w:rPr>
          <w:rFonts w:cs="Arial"/>
          <w:szCs w:val="24"/>
        </w:rPr>
        <w:t xml:space="preserve">minimizing the impact and effects of illness, and freedom from </w:t>
      </w:r>
      <w:r>
        <w:rPr>
          <w:rFonts w:cs="Arial"/>
          <w:szCs w:val="24"/>
        </w:rPr>
        <w:t xml:space="preserve">its </w:t>
      </w:r>
      <w:r w:rsidRPr="001B11EA">
        <w:rPr>
          <w:rFonts w:cs="Arial"/>
          <w:szCs w:val="24"/>
        </w:rPr>
        <w:t>symptoms</w:t>
      </w:r>
    </w:p>
    <w:p w:rsidR="007A1C4A" w:rsidRPr="001B11EA" w:rsidRDefault="007A1C4A" w:rsidP="00736B8D">
      <w:pPr>
        <w:numPr>
          <w:ilvl w:val="1"/>
          <w:numId w:val="5"/>
        </w:numPr>
        <w:tabs>
          <w:tab w:val="clear" w:pos="1440"/>
          <w:tab w:val="num" w:pos="900"/>
        </w:tabs>
        <w:spacing w:before="120" w:after="120" w:line="264" w:lineRule="auto"/>
        <w:ind w:left="900"/>
        <w:rPr>
          <w:rFonts w:cs="Arial"/>
          <w:szCs w:val="24"/>
        </w:rPr>
      </w:pPr>
      <w:r w:rsidRPr="001B11EA">
        <w:rPr>
          <w:rFonts w:cs="Arial"/>
          <w:szCs w:val="24"/>
        </w:rPr>
        <w:t>re-establishment of normal physical and psychosocial function</w:t>
      </w:r>
    </w:p>
    <w:p w:rsidR="007A1C4A" w:rsidRPr="001B11EA" w:rsidRDefault="007A1C4A" w:rsidP="00736B8D">
      <w:pPr>
        <w:numPr>
          <w:ilvl w:val="1"/>
          <w:numId w:val="5"/>
        </w:numPr>
        <w:tabs>
          <w:tab w:val="clear" w:pos="1440"/>
          <w:tab w:val="num" w:pos="900"/>
        </w:tabs>
        <w:spacing w:before="120" w:after="120" w:line="264" w:lineRule="auto"/>
        <w:ind w:left="900"/>
        <w:rPr>
          <w:rFonts w:cs="Arial"/>
          <w:szCs w:val="24"/>
        </w:rPr>
      </w:pPr>
      <w:r w:rsidRPr="001B11EA">
        <w:rPr>
          <w:rFonts w:cs="Arial"/>
          <w:szCs w:val="24"/>
        </w:rPr>
        <w:t>healing and improvement of quality of life</w:t>
      </w:r>
    </w:p>
    <w:p w:rsidR="007A1C4A" w:rsidRPr="001B11EA" w:rsidRDefault="007A1C4A" w:rsidP="00736B8D">
      <w:pPr>
        <w:numPr>
          <w:ilvl w:val="0"/>
          <w:numId w:val="5"/>
        </w:numPr>
        <w:tabs>
          <w:tab w:val="clear" w:pos="720"/>
          <w:tab w:val="num" w:pos="426"/>
        </w:tabs>
        <w:spacing w:before="120" w:after="120" w:line="264" w:lineRule="auto"/>
        <w:ind w:left="426" w:hanging="426"/>
        <w:rPr>
          <w:rFonts w:cs="Arial"/>
          <w:szCs w:val="24"/>
        </w:rPr>
      </w:pPr>
      <w:r w:rsidRPr="001B11EA">
        <w:rPr>
          <w:rFonts w:cs="Arial"/>
          <w:szCs w:val="24"/>
        </w:rPr>
        <w:t>avoidance of preventable complications (patient safety)</w:t>
      </w:r>
    </w:p>
    <w:p w:rsidR="007A1C4A" w:rsidRDefault="007A1C4A" w:rsidP="00736B8D">
      <w:pPr>
        <w:numPr>
          <w:ilvl w:val="0"/>
          <w:numId w:val="5"/>
        </w:numPr>
        <w:tabs>
          <w:tab w:val="clear" w:pos="720"/>
          <w:tab w:val="num" w:pos="426"/>
        </w:tabs>
        <w:spacing w:before="120" w:after="120" w:line="264" w:lineRule="auto"/>
        <w:ind w:left="426" w:hanging="426"/>
        <w:rPr>
          <w:rFonts w:cs="Arial"/>
          <w:szCs w:val="24"/>
        </w:rPr>
      </w:pPr>
      <w:r w:rsidRPr="001B11EA">
        <w:rPr>
          <w:rFonts w:cs="Arial"/>
          <w:szCs w:val="24"/>
        </w:rPr>
        <w:t>level patient experience and satisfaction.</w:t>
      </w:r>
    </w:p>
    <w:p w:rsidR="007A1C4A" w:rsidRDefault="007A1C4A" w:rsidP="00736B8D">
      <w:pPr>
        <w:pStyle w:val="Heading2"/>
        <w:spacing w:before="360" w:after="120" w:line="264" w:lineRule="auto"/>
      </w:pPr>
      <w:bookmarkStart w:id="7" w:name="_Toc372115651"/>
      <w:r>
        <w:rPr>
          <w:i w:val="0"/>
        </w:rPr>
        <w:t>2.3</w:t>
      </w:r>
      <w:r w:rsidRPr="000C1D3B">
        <w:rPr>
          <w:i w:val="0"/>
        </w:rPr>
        <w:tab/>
      </w:r>
      <w:r w:rsidRPr="00D301BC">
        <w:rPr>
          <w:i w:val="0"/>
        </w:rPr>
        <w:t>References</w:t>
      </w:r>
      <w:bookmarkEnd w:id="7"/>
    </w:p>
    <w:p w:rsidR="007A1C4A" w:rsidRPr="00352602" w:rsidRDefault="007A1C4A" w:rsidP="00736B8D">
      <w:pPr>
        <w:tabs>
          <w:tab w:val="left" w:pos="709"/>
        </w:tabs>
        <w:spacing w:before="120" w:after="120" w:line="264" w:lineRule="auto"/>
        <w:ind w:left="426" w:hanging="426"/>
        <w:rPr>
          <w:rFonts w:cs="Arial"/>
          <w:noProof/>
        </w:rPr>
      </w:pPr>
      <w:r>
        <w:fldChar w:fldCharType="begin"/>
      </w:r>
      <w:r>
        <w:instrText xml:space="preserve"> ADDIN EN.REFLIST </w:instrText>
      </w:r>
      <w:r>
        <w:fldChar w:fldCharType="separate"/>
      </w:r>
      <w:r w:rsidRPr="00352602">
        <w:rPr>
          <w:rFonts w:cs="Arial"/>
          <w:noProof/>
        </w:rPr>
        <w:t>1.</w:t>
      </w:r>
      <w:r>
        <w:rPr>
          <w:rFonts w:cs="Arial"/>
          <w:noProof/>
        </w:rPr>
        <w:tab/>
      </w:r>
      <w:r>
        <w:rPr>
          <w:rFonts w:eastAsia="MS Mincho" w:cs="Arial"/>
          <w:szCs w:val="24"/>
          <w:lang w:val="en-US" w:eastAsia="ja-JP"/>
        </w:rPr>
        <w:t>Australian Commission on Safety and Quality in Health Care Annual Report 2011/12. Sydney. ACSQHC, 2012.</w:t>
      </w:r>
    </w:p>
    <w:p w:rsidR="007A1C4A" w:rsidRPr="00352602" w:rsidRDefault="007A1C4A" w:rsidP="00736B8D">
      <w:pPr>
        <w:tabs>
          <w:tab w:val="left" w:pos="709"/>
        </w:tabs>
        <w:spacing w:before="120" w:after="120" w:line="264" w:lineRule="auto"/>
        <w:ind w:left="426" w:hanging="426"/>
        <w:rPr>
          <w:rFonts w:cs="Arial"/>
          <w:noProof/>
        </w:rPr>
      </w:pPr>
      <w:r w:rsidRPr="00352602">
        <w:rPr>
          <w:rFonts w:cs="Arial"/>
          <w:noProof/>
        </w:rPr>
        <w:t>2.</w:t>
      </w:r>
      <w:r>
        <w:rPr>
          <w:rFonts w:cs="Arial"/>
          <w:noProof/>
        </w:rPr>
        <w:tab/>
      </w:r>
      <w:r w:rsidRPr="00352602">
        <w:rPr>
          <w:rFonts w:cs="Arial"/>
          <w:noProof/>
        </w:rPr>
        <w:t>World Health Organisation. The International Classification for Patient Safety WHO, 2009.</w:t>
      </w:r>
    </w:p>
    <w:p w:rsidR="007A1C4A" w:rsidRPr="0080663D" w:rsidRDefault="007A1C4A" w:rsidP="00736B8D">
      <w:pPr>
        <w:tabs>
          <w:tab w:val="left" w:pos="709"/>
        </w:tabs>
        <w:spacing w:before="120" w:after="120" w:line="264" w:lineRule="auto"/>
        <w:ind w:left="426" w:hanging="426"/>
        <w:rPr>
          <w:rFonts w:cs="Arial"/>
          <w:noProof/>
          <w:lang w:val="de-DE"/>
        </w:rPr>
      </w:pPr>
      <w:r w:rsidRPr="00352602">
        <w:rPr>
          <w:rFonts w:cs="Arial"/>
          <w:noProof/>
        </w:rPr>
        <w:t>3.</w:t>
      </w:r>
      <w:r>
        <w:rPr>
          <w:rFonts w:cs="Arial"/>
          <w:noProof/>
        </w:rPr>
        <w:tab/>
      </w:r>
      <w:r w:rsidRPr="00352602">
        <w:rPr>
          <w:rFonts w:cs="Arial"/>
          <w:noProof/>
        </w:rPr>
        <w:t xml:space="preserve">US Institute of Medicine. </w:t>
      </w:r>
      <w:r w:rsidRPr="00352602">
        <w:rPr>
          <w:rFonts w:cs="Arial"/>
          <w:i/>
          <w:noProof/>
        </w:rPr>
        <w:t>Crossing the quality chasm: a new health system for the 21st century</w:t>
      </w:r>
      <w:r w:rsidRPr="00352602">
        <w:rPr>
          <w:rFonts w:cs="Arial"/>
          <w:noProof/>
        </w:rPr>
        <w:t xml:space="preserve">. </w:t>
      </w:r>
      <w:r w:rsidRPr="0080663D">
        <w:rPr>
          <w:rFonts w:cs="Arial"/>
          <w:noProof/>
          <w:lang w:val="de-DE"/>
        </w:rPr>
        <w:t>Washington: National Academy Press, 2001.</w:t>
      </w:r>
    </w:p>
    <w:p w:rsidR="007A1C4A" w:rsidRPr="008B572A" w:rsidRDefault="007A1C4A" w:rsidP="00736B8D">
      <w:pPr>
        <w:tabs>
          <w:tab w:val="left" w:pos="709"/>
        </w:tabs>
        <w:spacing w:before="120" w:after="120" w:line="264" w:lineRule="auto"/>
        <w:ind w:left="426" w:hanging="426"/>
      </w:pPr>
      <w:r w:rsidRPr="0080663D">
        <w:rPr>
          <w:lang w:val="de-DE"/>
        </w:rPr>
        <w:t xml:space="preserve">4. </w:t>
      </w:r>
      <w:r w:rsidRPr="0080663D">
        <w:rPr>
          <w:lang w:val="de-DE"/>
        </w:rPr>
        <w:tab/>
      </w:r>
      <w:r w:rsidRPr="0080663D">
        <w:rPr>
          <w:rFonts w:cs="Arial"/>
          <w:noProof/>
          <w:lang w:val="de-DE"/>
        </w:rPr>
        <w:t xml:space="preserve">Veit C, Hertle D, Bungard S, Trummer A, Ganske V, Meyer-Hoffmann B. Pay-for-Performance im Gesundheitswesen: Sachstandsbericht zu Evidenz und Realisierung sowie Darlegung der Grundlagen fur eine kunftige Weiterentwicklung [P4P in health care: Review of the evidence and basis for future development]. </w:t>
      </w:r>
      <w:r w:rsidRPr="003304B8">
        <w:rPr>
          <w:rFonts w:cs="Arial"/>
          <w:noProof/>
        </w:rPr>
        <w:t>Dusseldorf. BQS Institut fur Qualitat &amp; Patientensicherheit [BQS Institute for Quality and Patient Safety], 2012.</w:t>
      </w:r>
    </w:p>
    <w:p w:rsidR="007A1C4A" w:rsidRDefault="007A1C4A" w:rsidP="00736B8D">
      <w:pPr>
        <w:spacing w:before="120" w:after="120" w:line="264" w:lineRule="auto"/>
        <w:ind w:left="720" w:hanging="720"/>
        <w:rPr>
          <w:noProof/>
        </w:rPr>
        <w:sectPr w:rsidR="007A1C4A" w:rsidSect="00DE0D1D">
          <w:footerReference w:type="default" r:id="rId11"/>
          <w:pgSz w:w="11906" w:h="16838"/>
          <w:pgMar w:top="1440" w:right="1800" w:bottom="1440" w:left="1800" w:header="708" w:footer="708" w:gutter="0"/>
          <w:cols w:space="708"/>
          <w:docGrid w:linePitch="360"/>
        </w:sectPr>
      </w:pPr>
    </w:p>
    <w:p w:rsidR="007A1C4A" w:rsidRPr="00E95FD4" w:rsidRDefault="007A1C4A" w:rsidP="00064D5F">
      <w:pPr>
        <w:pStyle w:val="Heading1"/>
        <w:numPr>
          <w:ilvl w:val="0"/>
          <w:numId w:val="2"/>
        </w:numPr>
        <w:tabs>
          <w:tab w:val="left" w:pos="180"/>
        </w:tabs>
        <w:spacing w:before="120" w:after="120" w:line="264" w:lineRule="auto"/>
        <w:ind w:hanging="720"/>
        <w:rPr>
          <w:rFonts w:cs="Arial"/>
          <w:color w:val="008080"/>
          <w:sz w:val="28"/>
          <w:szCs w:val="28"/>
          <w:lang w:eastAsia="en-AU"/>
        </w:rPr>
      </w:pPr>
      <w:r>
        <w:lastRenderedPageBreak/>
        <w:fldChar w:fldCharType="end"/>
      </w:r>
      <w:bookmarkStart w:id="8" w:name="_Toc372115652"/>
      <w:r w:rsidRPr="00E95FD4">
        <w:rPr>
          <w:color w:val="008080"/>
          <w:lang w:eastAsia="en-AU"/>
        </w:rPr>
        <w:t>Update on recent literature</w:t>
      </w:r>
      <w:bookmarkEnd w:id="8"/>
    </w:p>
    <w:p w:rsidR="007A1C4A" w:rsidRDefault="00A502B7" w:rsidP="00477D8B">
      <w:pPr>
        <w:jc w:val="both"/>
        <w:rPr>
          <w:rFonts w:cs="Arial"/>
        </w:rPr>
      </w:pPr>
      <w:r>
        <w:rPr>
          <w:rFonts w:cs="Arial"/>
        </w:rPr>
        <w:pict>
          <v:shape id="_x0000_i1030" type="#_x0000_t75" style="width:400.8pt;height:7.15pt" o:hrpct="0" o:hr="t">
            <v:imagedata r:id="rId10" o:title=""/>
          </v:shape>
        </w:pict>
      </w:r>
    </w:p>
    <w:p w:rsidR="007A1C4A" w:rsidRDefault="007A1C4A" w:rsidP="0090543C">
      <w:pPr>
        <w:pStyle w:val="Heading2"/>
        <w:tabs>
          <w:tab w:val="left" w:pos="62"/>
        </w:tabs>
        <w:spacing w:after="120" w:line="264" w:lineRule="auto"/>
        <w:rPr>
          <w:i w:val="0"/>
        </w:rPr>
      </w:pPr>
      <w:bookmarkStart w:id="9" w:name="_Toc372115653"/>
      <w:r>
        <w:rPr>
          <w:i w:val="0"/>
        </w:rPr>
        <w:t>3.1</w:t>
      </w:r>
      <w:r w:rsidRPr="000C1D3B">
        <w:rPr>
          <w:i w:val="0"/>
        </w:rPr>
        <w:tab/>
      </w:r>
      <w:r>
        <w:rPr>
          <w:i w:val="0"/>
        </w:rPr>
        <w:t>Overview</w:t>
      </w:r>
      <w:bookmarkEnd w:id="9"/>
    </w:p>
    <w:p w:rsidR="007A1C4A" w:rsidRDefault="007A1C4A" w:rsidP="0080663D">
      <w:pPr>
        <w:autoSpaceDE w:val="0"/>
        <w:autoSpaceDN w:val="0"/>
        <w:adjustRightInd w:val="0"/>
        <w:spacing w:before="120" w:after="120" w:line="264" w:lineRule="auto"/>
        <w:rPr>
          <w:rFonts w:cs="Arial"/>
        </w:rPr>
      </w:pPr>
      <w:r w:rsidRPr="0080663D">
        <w:rPr>
          <w:rFonts w:cs="Arial"/>
        </w:rPr>
        <w:t>The Commission and IHPA provide an update on recent, relevant literature published at each JWP meeting. There is continued international interest in this area both in terms of research and commentary.</w:t>
      </w:r>
      <w:r>
        <w:rPr>
          <w:rFonts w:cs="Arial"/>
        </w:rPr>
        <w:t xml:space="preserve"> </w:t>
      </w:r>
      <w:r w:rsidRPr="0080663D">
        <w:rPr>
          <w:rFonts w:cs="Arial"/>
        </w:rPr>
        <w:t>The summary provided here below focuses on research and evaluation papers of quality pricing and pay-for-performance schemes across entire healthcare systems or in the acute care sector. Literature</w:t>
      </w:r>
      <w:r>
        <w:rPr>
          <w:rFonts w:cs="Arial"/>
        </w:rPr>
        <w:t xml:space="preserve"> </w:t>
      </w:r>
      <w:r w:rsidRPr="0080663D">
        <w:rPr>
          <w:rFonts w:cs="Arial"/>
        </w:rPr>
        <w:t>published on primary care and population health has not been included as they are considered out of scope of the work of the JWP.</w:t>
      </w:r>
    </w:p>
    <w:p w:rsidR="007A1C4A" w:rsidRDefault="007A1C4A" w:rsidP="0080663D">
      <w:pPr>
        <w:autoSpaceDE w:val="0"/>
        <w:autoSpaceDN w:val="0"/>
        <w:adjustRightInd w:val="0"/>
        <w:spacing w:before="120" w:after="120" w:line="264" w:lineRule="auto"/>
        <w:rPr>
          <w:rFonts w:cs="Arial"/>
          <w:szCs w:val="24"/>
          <w:lang w:val="en-US"/>
        </w:rPr>
      </w:pPr>
      <w:r>
        <w:rPr>
          <w:rFonts w:cs="Arial"/>
          <w:szCs w:val="24"/>
          <w:lang w:val="en-US"/>
        </w:rPr>
        <w:t>The recent literature aligns broadly with the conclusions of the Literature Review and is summarised as follows:</w:t>
      </w:r>
    </w:p>
    <w:p w:rsidR="007A1C4A" w:rsidRDefault="007A1C4A" w:rsidP="00721A5B">
      <w:pPr>
        <w:numPr>
          <w:ilvl w:val="0"/>
          <w:numId w:val="26"/>
        </w:numPr>
        <w:autoSpaceDE w:val="0"/>
        <w:autoSpaceDN w:val="0"/>
        <w:adjustRightInd w:val="0"/>
        <w:spacing w:line="264" w:lineRule="auto"/>
        <w:rPr>
          <w:rFonts w:cs="Arial"/>
          <w:szCs w:val="24"/>
          <w:lang w:val="en-US"/>
        </w:rPr>
      </w:pPr>
      <w:r>
        <w:rPr>
          <w:rFonts w:cs="Arial"/>
          <w:szCs w:val="24"/>
          <w:lang w:val="en-US"/>
        </w:rPr>
        <w:t>Context and implementation (the ‘where’ and the ‘how’) are important factors: financial incentives appear to have the desired effect in some settings but not others.</w:t>
      </w:r>
    </w:p>
    <w:p w:rsidR="007A1C4A" w:rsidRDefault="007A1C4A" w:rsidP="00721A5B">
      <w:pPr>
        <w:numPr>
          <w:ilvl w:val="0"/>
          <w:numId w:val="27"/>
        </w:numPr>
        <w:autoSpaceDE w:val="0"/>
        <w:autoSpaceDN w:val="0"/>
        <w:adjustRightInd w:val="0"/>
        <w:spacing w:line="264" w:lineRule="auto"/>
        <w:rPr>
          <w:rFonts w:cs="Arial"/>
          <w:szCs w:val="24"/>
          <w:lang w:val="en-US"/>
        </w:rPr>
      </w:pPr>
      <w:r>
        <w:rPr>
          <w:rFonts w:cs="Arial"/>
          <w:szCs w:val="24"/>
          <w:lang w:val="en-US"/>
        </w:rPr>
        <w:t>Convincing evidence for any particular approach continues to be weak and subject to evaluations (with some exceptions).</w:t>
      </w:r>
    </w:p>
    <w:p w:rsidR="007A1C4A" w:rsidRDefault="007A1C4A" w:rsidP="00721A5B">
      <w:pPr>
        <w:numPr>
          <w:ilvl w:val="0"/>
          <w:numId w:val="27"/>
        </w:numPr>
        <w:autoSpaceDE w:val="0"/>
        <w:autoSpaceDN w:val="0"/>
        <w:adjustRightInd w:val="0"/>
        <w:spacing w:line="264" w:lineRule="auto"/>
        <w:rPr>
          <w:rFonts w:cs="Arial"/>
          <w:szCs w:val="24"/>
          <w:lang w:val="en-US"/>
        </w:rPr>
      </w:pPr>
      <w:r>
        <w:rPr>
          <w:rFonts w:cs="Arial"/>
          <w:szCs w:val="24"/>
          <w:lang w:val="en-US"/>
        </w:rPr>
        <w:t>Despite the lack of conclusive evidence, the application of financial incentive levers to influence quality continues, especially in the USA.</w:t>
      </w:r>
    </w:p>
    <w:p w:rsidR="007A1C4A" w:rsidRDefault="007A1C4A" w:rsidP="00721A5B">
      <w:pPr>
        <w:numPr>
          <w:ilvl w:val="0"/>
          <w:numId w:val="27"/>
        </w:numPr>
        <w:autoSpaceDE w:val="0"/>
        <w:autoSpaceDN w:val="0"/>
        <w:adjustRightInd w:val="0"/>
        <w:spacing w:line="264" w:lineRule="auto"/>
        <w:rPr>
          <w:rFonts w:cs="Arial"/>
          <w:szCs w:val="24"/>
          <w:lang w:val="en-US"/>
        </w:rPr>
      </w:pPr>
      <w:r>
        <w:rPr>
          <w:rFonts w:cs="Arial"/>
          <w:szCs w:val="24"/>
          <w:lang w:val="en-US"/>
        </w:rPr>
        <w:t>The unintended consequences of such schemes are of concern to researchers and commentators.</w:t>
      </w:r>
    </w:p>
    <w:p w:rsidR="007A1C4A" w:rsidRDefault="007A1C4A" w:rsidP="00721A5B">
      <w:pPr>
        <w:numPr>
          <w:ilvl w:val="0"/>
          <w:numId w:val="27"/>
        </w:numPr>
        <w:autoSpaceDE w:val="0"/>
        <w:autoSpaceDN w:val="0"/>
        <w:adjustRightInd w:val="0"/>
        <w:spacing w:line="264" w:lineRule="auto"/>
        <w:rPr>
          <w:rFonts w:cs="Arial"/>
          <w:szCs w:val="24"/>
          <w:lang w:val="en-US"/>
        </w:rPr>
      </w:pPr>
      <w:r>
        <w:rPr>
          <w:rFonts w:cs="Arial"/>
          <w:szCs w:val="24"/>
          <w:lang w:val="en-US"/>
        </w:rPr>
        <w:t>Of particular noting is the report published in German (see item 6 below), which contains a literature review and discussion of how P4P can be developed further. The findings of the German report align closely with those of the literature review, and the report raises similar issues to those discussed by the JWP (see Section 4.5 for more detail on the findings of this report).</w:t>
      </w:r>
    </w:p>
    <w:p w:rsidR="007A1C4A" w:rsidRDefault="007A1C4A" w:rsidP="00721A5B">
      <w:pPr>
        <w:numPr>
          <w:ilvl w:val="0"/>
          <w:numId w:val="28"/>
        </w:numPr>
        <w:autoSpaceDE w:val="0"/>
        <w:autoSpaceDN w:val="0"/>
        <w:adjustRightInd w:val="0"/>
        <w:spacing w:line="264" w:lineRule="auto"/>
        <w:rPr>
          <w:rFonts w:cs="Arial"/>
          <w:szCs w:val="24"/>
          <w:lang w:val="en-US"/>
        </w:rPr>
      </w:pPr>
      <w:r>
        <w:rPr>
          <w:rFonts w:cs="Arial"/>
          <w:szCs w:val="24"/>
          <w:lang w:val="en-US"/>
        </w:rPr>
        <w:t>The utility and value of benchmarking continues to be supported both empirically and in the commentary.</w:t>
      </w:r>
    </w:p>
    <w:p w:rsidR="007A1C4A" w:rsidRDefault="007A1C4A" w:rsidP="00721A5B">
      <w:pPr>
        <w:numPr>
          <w:ilvl w:val="0"/>
          <w:numId w:val="28"/>
        </w:numPr>
        <w:autoSpaceDE w:val="0"/>
        <w:autoSpaceDN w:val="0"/>
        <w:adjustRightInd w:val="0"/>
        <w:spacing w:line="264" w:lineRule="auto"/>
        <w:rPr>
          <w:rFonts w:cs="Arial"/>
          <w:szCs w:val="24"/>
          <w:lang w:val="en-US"/>
        </w:rPr>
      </w:pPr>
      <w:r>
        <w:rPr>
          <w:rFonts w:cs="Arial"/>
          <w:szCs w:val="24"/>
          <w:lang w:val="en-US"/>
        </w:rPr>
        <w:t>An evaluation of the Commissioning for Quality and Innovation (CQUIN) Framework concluded that its impact has been disappointing, predominantly due to excessive local variation and lack of clinician engagement (see No. 4 in the Table, Section 2). This appears to be an interesting example where the focus on local control and adaptation has created its own set of problems, and reduced the impact of the initiative as a whole.</w:t>
      </w:r>
    </w:p>
    <w:p w:rsidR="007A1C4A" w:rsidRDefault="007A1C4A" w:rsidP="00721A5B">
      <w:pPr>
        <w:numPr>
          <w:ilvl w:val="0"/>
          <w:numId w:val="29"/>
        </w:numPr>
        <w:autoSpaceDE w:val="0"/>
        <w:autoSpaceDN w:val="0"/>
        <w:adjustRightInd w:val="0"/>
        <w:spacing w:line="264" w:lineRule="auto"/>
        <w:rPr>
          <w:rFonts w:cs="Arial"/>
          <w:szCs w:val="24"/>
          <w:lang w:val="en-US"/>
        </w:rPr>
      </w:pPr>
      <w:r>
        <w:rPr>
          <w:rFonts w:cs="Arial"/>
          <w:szCs w:val="24"/>
          <w:lang w:val="en-US"/>
        </w:rPr>
        <w:t>The importance of stakeholder engagement, particularly clinicians, is a strong theme in the literature presented.</w:t>
      </w:r>
    </w:p>
    <w:p w:rsidR="007A1C4A" w:rsidRPr="00D04E8B" w:rsidRDefault="007A1C4A" w:rsidP="00721A5B">
      <w:pPr>
        <w:numPr>
          <w:ilvl w:val="0"/>
          <w:numId w:val="29"/>
        </w:numPr>
        <w:autoSpaceDE w:val="0"/>
        <w:autoSpaceDN w:val="0"/>
        <w:adjustRightInd w:val="0"/>
        <w:spacing w:line="264" w:lineRule="auto"/>
        <w:rPr>
          <w:rFonts w:cs="Arial"/>
          <w:szCs w:val="24"/>
          <w:lang w:val="en-US"/>
        </w:rPr>
      </w:pPr>
      <w:r>
        <w:t>More discussion is emerging on normative mechanisms (e.g. bundled payments, physician remuneration) to take care out of the acute setting, use more cost effective modalities, and foster innovation (NB there is a lot of literature emerging from the US focusing on cost containment).</w:t>
      </w:r>
    </w:p>
    <w:p w:rsidR="00D04E8B" w:rsidRPr="00D04E8B" w:rsidRDefault="00D04E8B" w:rsidP="00D04E8B">
      <w:pPr>
        <w:numPr>
          <w:ilvl w:val="0"/>
          <w:numId w:val="29"/>
        </w:numPr>
        <w:autoSpaceDE w:val="0"/>
        <w:autoSpaceDN w:val="0"/>
        <w:adjustRightInd w:val="0"/>
        <w:spacing w:line="264" w:lineRule="auto"/>
      </w:pPr>
      <w:r w:rsidRPr="00D04E8B">
        <w:t>The mixed results of pricing, pay-for-performance and other financial incentive schemes (or, more precisely, their evaluations) are becoming accepted as the norm. The literature and commentary has shifted towards examining the determinants of success, particularly factors regarding context, design and implementation. More thoughtful analysis is emerging, including acceptance that the behavioural assumptions underpinning P4P schemes may be too simplistic for the health care context, and the critical importance of:</w:t>
      </w:r>
    </w:p>
    <w:p w:rsidR="00D04E8B" w:rsidRPr="00D04E8B" w:rsidRDefault="00D04E8B" w:rsidP="00D04E8B">
      <w:pPr>
        <w:pStyle w:val="ListParagraph"/>
        <w:numPr>
          <w:ilvl w:val="1"/>
          <w:numId w:val="55"/>
        </w:numPr>
        <w:rPr>
          <w:rStyle w:val="Strong"/>
          <w:rFonts w:ascii="Arial" w:hAnsi="Arial" w:cs="Arial"/>
          <w:b w:val="0"/>
          <w:szCs w:val="22"/>
        </w:rPr>
      </w:pPr>
      <w:r w:rsidRPr="00D04E8B">
        <w:rPr>
          <w:rStyle w:val="Strong"/>
          <w:rFonts w:ascii="Arial" w:hAnsi="Arial" w:cs="Arial"/>
          <w:b w:val="0"/>
          <w:szCs w:val="22"/>
        </w:rPr>
        <w:t>nuanced design</w:t>
      </w:r>
    </w:p>
    <w:p w:rsidR="00D04E8B" w:rsidRPr="00D04E8B" w:rsidRDefault="00D04E8B" w:rsidP="00D04E8B">
      <w:pPr>
        <w:pStyle w:val="ListParagraph"/>
        <w:numPr>
          <w:ilvl w:val="1"/>
          <w:numId w:val="55"/>
        </w:numPr>
        <w:rPr>
          <w:rStyle w:val="Strong"/>
          <w:rFonts w:ascii="Arial" w:hAnsi="Arial" w:cs="Arial"/>
          <w:b w:val="0"/>
          <w:szCs w:val="22"/>
        </w:rPr>
      </w:pPr>
      <w:r w:rsidRPr="00D04E8B">
        <w:rPr>
          <w:rStyle w:val="Strong"/>
          <w:rFonts w:ascii="Arial" w:hAnsi="Arial" w:cs="Arial"/>
          <w:b w:val="0"/>
          <w:szCs w:val="22"/>
        </w:rPr>
        <w:t>gradual implementation</w:t>
      </w:r>
    </w:p>
    <w:p w:rsidR="00D04E8B" w:rsidRPr="00D04E8B" w:rsidRDefault="00D04E8B" w:rsidP="00D04E8B">
      <w:pPr>
        <w:pStyle w:val="ListParagraph"/>
        <w:numPr>
          <w:ilvl w:val="1"/>
          <w:numId w:val="55"/>
        </w:numPr>
        <w:rPr>
          <w:rStyle w:val="Strong"/>
          <w:rFonts w:ascii="Arial" w:hAnsi="Arial" w:cs="Arial"/>
          <w:b w:val="0"/>
          <w:szCs w:val="22"/>
        </w:rPr>
      </w:pPr>
      <w:r w:rsidRPr="00D04E8B">
        <w:rPr>
          <w:rStyle w:val="Strong"/>
          <w:rFonts w:ascii="Arial" w:hAnsi="Arial" w:cs="Arial"/>
          <w:b w:val="0"/>
          <w:szCs w:val="22"/>
        </w:rPr>
        <w:t>careful communication</w:t>
      </w:r>
    </w:p>
    <w:p w:rsidR="00D04E8B" w:rsidRPr="00D04E8B" w:rsidRDefault="00D04E8B" w:rsidP="00D04E8B">
      <w:pPr>
        <w:pStyle w:val="ListParagraph"/>
        <w:numPr>
          <w:ilvl w:val="1"/>
          <w:numId w:val="55"/>
        </w:numPr>
        <w:rPr>
          <w:rStyle w:val="Strong"/>
          <w:rFonts w:ascii="Arial" w:hAnsi="Arial" w:cs="Arial"/>
          <w:b w:val="0"/>
          <w:szCs w:val="22"/>
        </w:rPr>
      </w:pPr>
      <w:r w:rsidRPr="00D04E8B">
        <w:rPr>
          <w:rStyle w:val="Strong"/>
          <w:rFonts w:ascii="Arial" w:hAnsi="Arial" w:cs="Arial"/>
          <w:b w:val="0"/>
          <w:szCs w:val="22"/>
        </w:rPr>
        <w:t>aligning/incorporating schemes with/into broader quality improvement (QI) frameworks, and policy objectives.</w:t>
      </w:r>
    </w:p>
    <w:p w:rsidR="00D04E8B" w:rsidRPr="00D04E8B" w:rsidRDefault="00D04E8B" w:rsidP="00D04E8B">
      <w:pPr>
        <w:numPr>
          <w:ilvl w:val="0"/>
          <w:numId w:val="29"/>
        </w:numPr>
        <w:autoSpaceDE w:val="0"/>
        <w:autoSpaceDN w:val="0"/>
        <w:adjustRightInd w:val="0"/>
        <w:spacing w:line="264" w:lineRule="auto"/>
      </w:pPr>
      <w:r w:rsidRPr="00D04E8B">
        <w:t>Comparisons between the Premier Hospital Quality Demonstration (PHQID) in the US, and the Advancing Quality scheme in northern England are again made to illustrate the importance of context and implementation.</w:t>
      </w:r>
    </w:p>
    <w:p w:rsidR="00D04E8B" w:rsidRPr="00D04E8B" w:rsidRDefault="00D04E8B" w:rsidP="00D04E8B">
      <w:pPr>
        <w:numPr>
          <w:ilvl w:val="0"/>
          <w:numId w:val="29"/>
        </w:numPr>
        <w:autoSpaceDE w:val="0"/>
        <w:autoSpaceDN w:val="0"/>
        <w:adjustRightInd w:val="0"/>
        <w:spacing w:line="264" w:lineRule="auto"/>
      </w:pPr>
      <w:r w:rsidRPr="00D04E8B">
        <w:t xml:space="preserve">Isolated cases of successful local schemes continue to be reported. However, these generally tend to concern incentivizing a particular discrete activity that is performed by a practitioner in isolation (e.g. discharge summaries) as opposed to a multi-dimensional notion of quality requiring complex team-based tasks requiring proxy measures or indicators. </w:t>
      </w:r>
    </w:p>
    <w:p w:rsidR="00D04E8B" w:rsidRPr="00D04E8B" w:rsidRDefault="00D04E8B" w:rsidP="00D04E8B">
      <w:pPr>
        <w:numPr>
          <w:ilvl w:val="0"/>
          <w:numId w:val="29"/>
        </w:numPr>
        <w:autoSpaceDE w:val="0"/>
        <w:autoSpaceDN w:val="0"/>
        <w:adjustRightInd w:val="0"/>
        <w:spacing w:line="264" w:lineRule="auto"/>
      </w:pPr>
      <w:r w:rsidRPr="00D04E8B">
        <w:t>The Commissioning for Quality and Innovation (CQUIN) program continues to be judged unfavourably. The emphasis on local design and implementation has generally failed to involve important stakeholder groups, especially clinicians. The lack of central coordination and overarching design of the scheme, particularly regarding the technical aspects of indicators and measures is thought to be a major drawback of the scheme.</w:t>
      </w:r>
    </w:p>
    <w:p w:rsidR="00D04E8B" w:rsidRPr="00D04E8B" w:rsidRDefault="00D04E8B" w:rsidP="00D04E8B">
      <w:pPr>
        <w:numPr>
          <w:ilvl w:val="0"/>
          <w:numId w:val="29"/>
        </w:numPr>
        <w:autoSpaceDE w:val="0"/>
        <w:autoSpaceDN w:val="0"/>
        <w:adjustRightInd w:val="0"/>
        <w:spacing w:line="264" w:lineRule="auto"/>
      </w:pPr>
      <w:r w:rsidRPr="00D04E8B">
        <w:t xml:space="preserve">Non-financial levers such as benchmarked performance reporting continue to be regarded as powerful drivers of quality, both in combination with financial incentives and in their own right. </w:t>
      </w:r>
    </w:p>
    <w:p w:rsidR="00D04E8B" w:rsidRPr="00D04E8B" w:rsidRDefault="00D04E8B" w:rsidP="00D04E8B">
      <w:pPr>
        <w:numPr>
          <w:ilvl w:val="0"/>
          <w:numId w:val="29"/>
        </w:numPr>
        <w:autoSpaceDE w:val="0"/>
        <w:autoSpaceDN w:val="0"/>
        <w:adjustRightInd w:val="0"/>
        <w:spacing w:line="264" w:lineRule="auto"/>
      </w:pPr>
      <w:r w:rsidRPr="00D04E8B">
        <w:t>Overall, there continues to be a lack of quality studies on this topic, and there are calls for need for healthcare systems to introduce schemes gradually in order to allow better evaluation through traditional experimental designs.</w:t>
      </w:r>
    </w:p>
    <w:p w:rsidR="00D04E8B" w:rsidRPr="00D04E8B" w:rsidRDefault="00D04E8B" w:rsidP="00D04E8B">
      <w:pPr>
        <w:autoSpaceDE w:val="0"/>
        <w:autoSpaceDN w:val="0"/>
        <w:adjustRightInd w:val="0"/>
        <w:spacing w:line="264" w:lineRule="auto"/>
        <w:ind w:left="360"/>
        <w:rPr>
          <w:rFonts w:cs="Arial"/>
          <w:szCs w:val="24"/>
          <w:lang w:val="en-US"/>
        </w:rPr>
      </w:pPr>
    </w:p>
    <w:p w:rsidR="007A1C4A" w:rsidRPr="005E2E2C" w:rsidRDefault="007A1C4A" w:rsidP="005E2E2C">
      <w:pPr>
        <w:autoSpaceDE w:val="0"/>
        <w:autoSpaceDN w:val="0"/>
        <w:adjustRightInd w:val="0"/>
        <w:spacing w:before="120" w:after="120" w:line="264" w:lineRule="auto"/>
        <w:rPr>
          <w:rFonts w:cs="Arial"/>
          <w:szCs w:val="24"/>
          <w:lang w:val="en-US"/>
        </w:rPr>
      </w:pPr>
      <w:r w:rsidRPr="005E2E2C">
        <w:rPr>
          <w:rFonts w:cs="Arial"/>
          <w:szCs w:val="24"/>
          <w:lang w:val="en-US"/>
        </w:rPr>
        <w:t>Literature published over the period 1 October 2012 to 31 January 2013 is presented in Section 3.2. The period 1 February</w:t>
      </w:r>
      <w:r>
        <w:rPr>
          <w:rFonts w:cs="Arial"/>
          <w:szCs w:val="24"/>
          <w:lang w:val="en-US"/>
        </w:rPr>
        <w:t xml:space="preserve"> 2013</w:t>
      </w:r>
      <w:r w:rsidRPr="005E2E2C">
        <w:rPr>
          <w:rFonts w:cs="Arial"/>
          <w:szCs w:val="24"/>
          <w:lang w:val="en-US"/>
        </w:rPr>
        <w:t xml:space="preserve"> to 26 April 2013 is presented in Section 3.3.</w:t>
      </w:r>
      <w:r>
        <w:rPr>
          <w:rFonts w:cs="Arial"/>
          <w:szCs w:val="24"/>
          <w:lang w:val="en-US"/>
        </w:rPr>
        <w:t xml:space="preserve"> The period </w:t>
      </w:r>
      <w:r w:rsidRPr="0030048E">
        <w:rPr>
          <w:rFonts w:cs="Arial"/>
          <w:szCs w:val="24"/>
          <w:lang w:val="en-US"/>
        </w:rPr>
        <w:t>1 May 2013</w:t>
      </w:r>
      <w:r>
        <w:rPr>
          <w:rFonts w:cs="Arial"/>
          <w:szCs w:val="24"/>
          <w:lang w:val="en-US"/>
        </w:rPr>
        <w:t xml:space="preserve"> to</w:t>
      </w:r>
      <w:r w:rsidRPr="0030048E">
        <w:rPr>
          <w:rFonts w:cs="Arial"/>
          <w:szCs w:val="24"/>
          <w:lang w:val="en-US"/>
        </w:rPr>
        <w:t xml:space="preserve"> 30 September 2013</w:t>
      </w:r>
      <w:r w:rsidR="00D04E8B">
        <w:rPr>
          <w:rFonts w:cs="Arial"/>
          <w:szCs w:val="24"/>
          <w:lang w:val="en-US"/>
        </w:rPr>
        <w:t xml:space="preserve"> is presented in Section 3.4, and so on.</w:t>
      </w:r>
    </w:p>
    <w:p w:rsidR="007A1C4A" w:rsidRDefault="00D04E8B" w:rsidP="00284EB5">
      <w:pPr>
        <w:pStyle w:val="Heading2"/>
        <w:spacing w:after="240"/>
      </w:pPr>
      <w:bookmarkStart w:id="10" w:name="_Toc372115654"/>
      <w:r>
        <w:rPr>
          <w:i w:val="0"/>
        </w:rPr>
        <w:br w:type="page"/>
      </w:r>
      <w:r w:rsidR="007A1C4A">
        <w:rPr>
          <w:i w:val="0"/>
        </w:rPr>
        <w:lastRenderedPageBreak/>
        <w:t>3.2</w:t>
      </w:r>
      <w:r w:rsidR="007A1C4A" w:rsidRPr="000C1D3B">
        <w:rPr>
          <w:i w:val="0"/>
        </w:rPr>
        <w:tab/>
      </w:r>
      <w:r w:rsidR="007A1C4A" w:rsidRPr="0080663D">
        <w:rPr>
          <w:i w:val="0"/>
        </w:rPr>
        <w:t>Summary of literature 1 October 2012 – 31 January 2013</w:t>
      </w:r>
      <w:bookmarkEnd w:id="10"/>
    </w:p>
    <w:tbl>
      <w:tblPr>
        <w:tblW w:w="22473" w:type="dxa"/>
        <w:tblInd w:w="-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49"/>
        <w:gridCol w:w="2402"/>
        <w:gridCol w:w="1248"/>
        <w:gridCol w:w="1426"/>
        <w:gridCol w:w="1428"/>
        <w:gridCol w:w="1959"/>
        <w:gridCol w:w="1426"/>
        <w:gridCol w:w="1248"/>
        <w:gridCol w:w="1401"/>
        <w:gridCol w:w="1263"/>
        <w:gridCol w:w="1787"/>
        <w:gridCol w:w="3218"/>
        <w:gridCol w:w="42"/>
        <w:gridCol w:w="58"/>
        <w:gridCol w:w="3118"/>
      </w:tblGrid>
      <w:tr w:rsidR="007A1C4A" w:rsidRPr="000309E1" w:rsidTr="00DC6960">
        <w:trPr>
          <w:cantSplit/>
          <w:trHeight w:val="510"/>
          <w:tblHeader/>
        </w:trPr>
        <w:tc>
          <w:tcPr>
            <w:tcW w:w="449" w:type="dxa"/>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p>
        </w:tc>
        <w:tc>
          <w:tcPr>
            <w:tcW w:w="2402"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248"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426"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428"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959"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Model(s) investigated</w:t>
            </w:r>
          </w:p>
        </w:tc>
        <w:tc>
          <w:tcPr>
            <w:tcW w:w="1426"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Funding mechanism</w:t>
            </w:r>
          </w:p>
        </w:tc>
        <w:tc>
          <w:tcPr>
            <w:tcW w:w="1248"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401"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Area of focus</w:t>
            </w:r>
          </w:p>
        </w:tc>
        <w:tc>
          <w:tcPr>
            <w:tcW w:w="1263"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Context &amp; setting</w:t>
            </w:r>
          </w:p>
        </w:tc>
        <w:tc>
          <w:tcPr>
            <w:tcW w:w="1787"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Magnitude of the incentive</w:t>
            </w:r>
          </w:p>
        </w:tc>
        <w:tc>
          <w:tcPr>
            <w:tcW w:w="3318" w:type="dxa"/>
            <w:gridSpan w:val="3"/>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Results / impact</w:t>
            </w:r>
          </w:p>
        </w:tc>
        <w:tc>
          <w:tcPr>
            <w:tcW w:w="3118" w:type="dxa"/>
            <w:shd w:val="clear" w:color="000000" w:fill="8DB3E2"/>
          </w:tcPr>
          <w:p w:rsidR="007A1C4A" w:rsidRPr="000309E1" w:rsidRDefault="007A1C4A" w:rsidP="00754132">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Key points</w:t>
            </w:r>
          </w:p>
        </w:tc>
      </w:tr>
      <w:tr w:rsidR="007A1C4A" w:rsidRPr="000309E1" w:rsidTr="00DC6960">
        <w:trPr>
          <w:cantSplit/>
          <w:trHeight w:val="1198"/>
          <w:tblHeader/>
        </w:trPr>
        <w:tc>
          <w:tcPr>
            <w:tcW w:w="449" w:type="dxa"/>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1</w:t>
            </w:r>
          </w:p>
        </w:tc>
        <w:tc>
          <w:tcPr>
            <w:tcW w:w="2402" w:type="dxa"/>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Hospital Pay-For-Performance Programs In Maryland Produced Strong Results, Including Reduced Hospital-Acquired Conditions (2012) </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&lt;EndNote&gt;&lt;Cite&gt;&lt;Author&gt;Calikoglu&lt;/Author&gt;&lt;Year&gt;2012&lt;/Year&gt;&lt;RecNum&gt;13360&lt;/RecNum&gt;&lt;record&gt;&lt;rec-number&gt;13360&lt;/rec-number&gt;&lt;foreign-keys&gt;&lt;key app="EN" db-id="5r0eapxzsestz4er5zaxe5zqz99fvpawedp5"&gt;13360&lt;/key&gt;&lt;/foreign-keys&gt;&lt;ref-type name="Journal Article"&gt;17&lt;/ref-type&gt;&lt;contributors&gt;&lt;authors&gt;&lt;author&gt;Calikoglu, Sule&lt;/author&gt;&lt;author&gt;Murray, Robert&lt;/author&gt;&lt;author&gt;Feeney, Dianne&lt;/author&gt;&lt;/authors&gt;&lt;/contributors&gt;&lt;titles&gt;&lt;title&gt;Hospital Pay-For-Performance Programs In Maryland Produced Strong Results, Including Reduced Hospital-Acquired Conditions&lt;/title&gt;&lt;secondary-title&gt;Health Affairs&lt;/secondary-title&gt;&lt;/titles&gt;&lt;periodical&gt;&lt;full-title&gt;Health Affairs&lt;/full-title&gt;&lt;/periodical&gt;&lt;pages&gt;2649-2658&lt;/pages&gt;&lt;volume&gt;31&lt;/volume&gt;&lt;number&gt;12&lt;/number&gt;&lt;dates&gt;&lt;year&gt;2012&lt;/year&gt;&lt;pub-dates&gt;&lt;date&gt;December 1, 2012&lt;/date&gt;&lt;/pub-dates&gt;&lt;/dates&gt;&lt;urls&gt;&lt;related-urls&gt;&lt;url&gt;http://content.healthaffairs.org/content/31/12/2649.abstract&lt;/url&gt;&lt;/related-urls&gt;&lt;/urls&gt;&lt;electronic-resource-num&gt;10.1377/hlthaff.2012.0357&lt;/electronic-resource-num&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1</w:t>
            </w:r>
            <w:r w:rsidRPr="000309E1">
              <w:rPr>
                <w:rFonts w:ascii="Calibri" w:hAnsi="Calibri" w:cs="Arial"/>
                <w:sz w:val="21"/>
                <w:szCs w:val="21"/>
                <w:lang w:eastAsia="en-AU"/>
              </w:rPr>
              <w:fldChar w:fldCharType="end"/>
            </w:r>
          </w:p>
        </w:tc>
        <w:tc>
          <w:tcPr>
            <w:tcW w:w="1248" w:type="dxa"/>
          </w:tcPr>
          <w:p w:rsidR="007A1C4A" w:rsidRPr="000309E1" w:rsidRDefault="007A1C4A" w:rsidP="00754132">
            <w:pPr>
              <w:spacing w:before="20" w:after="20" w:line="264" w:lineRule="auto"/>
              <w:rPr>
                <w:rFonts w:ascii="Calibri" w:hAnsi="Calibri" w:cs="Arial"/>
                <w:sz w:val="21"/>
                <w:szCs w:val="21"/>
                <w:lang w:eastAsia="en-AU"/>
              </w:rPr>
            </w:pPr>
            <w:r w:rsidRPr="000309E1">
              <w:rPr>
                <w:rFonts w:ascii="Calibri" w:hAnsi="Calibri" w:cs="Arial"/>
                <w:sz w:val="21"/>
                <w:szCs w:val="21"/>
                <w:lang w:eastAsia="en-AU"/>
              </w:rPr>
              <w:t>Calikoglu S Murray R Feeney D</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Health Affairs</w:t>
            </w:r>
          </w:p>
        </w:tc>
        <w:tc>
          <w:tcPr>
            <w:tcW w:w="142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Before-after comparison  </w:t>
            </w:r>
          </w:p>
        </w:tc>
        <w:tc>
          <w:tcPr>
            <w:tcW w:w="1959"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Tournament-based  P4P; Bonuses / penalties for results based on (a)  process measures (b) 64 hospital acquired conditions</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Revenue neutral </w:t>
            </w:r>
            <w:r w:rsidRPr="000309E1">
              <w:rPr>
                <w:rFonts w:ascii="Calibri" w:hAnsi="Calibri" w:cs="Arial"/>
                <w:color w:val="000000"/>
                <w:sz w:val="21"/>
                <w:szCs w:val="21"/>
                <w:lang w:eastAsia="en-AU"/>
              </w:rPr>
              <w:br/>
              <w:t>Total re-distribution: USD7.5M</w:t>
            </w:r>
          </w:p>
        </w:tc>
        <w:tc>
          <w:tcPr>
            <w:tcW w:w="124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USA</w:t>
            </w:r>
          </w:p>
        </w:tc>
        <w:tc>
          <w:tcPr>
            <w:tcW w:w="1401"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Acute care - process and outcomes</w:t>
            </w:r>
          </w:p>
        </w:tc>
        <w:tc>
          <w:tcPr>
            <w:tcW w:w="1263"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Hospital</w:t>
            </w:r>
          </w:p>
        </w:tc>
        <w:tc>
          <w:tcPr>
            <w:tcW w:w="1787" w:type="dxa"/>
          </w:tcPr>
          <w:p w:rsidR="007A1C4A" w:rsidRPr="000309E1" w:rsidRDefault="007A1C4A" w:rsidP="00754132">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w:t>
            </w:r>
            <w:r w:rsidRPr="00986B08">
              <w:rPr>
                <w:rFonts w:ascii="Calibri" w:hAnsi="Calibri" w:cs="Arial"/>
                <w:color w:val="000000"/>
                <w:sz w:val="21"/>
                <w:szCs w:val="21"/>
                <w:lang w:eastAsia="en-AU"/>
              </w:rPr>
              <w:t>enalty</w:t>
            </w:r>
            <w:r w:rsidRPr="000309E1">
              <w:rPr>
                <w:rFonts w:ascii="Calibri" w:hAnsi="Calibri" w:cs="Arial"/>
                <w:color w:val="000000"/>
                <w:sz w:val="21"/>
                <w:szCs w:val="21"/>
                <w:lang w:eastAsia="en-AU"/>
              </w:rPr>
              <w:t xml:space="preserve"> 0.5% revenue  for worst-</w:t>
            </w:r>
            <w:r>
              <w:rPr>
                <w:rFonts w:ascii="Calibri" w:hAnsi="Calibri" w:cs="Arial"/>
                <w:color w:val="000000"/>
                <w:sz w:val="21"/>
                <w:szCs w:val="21"/>
                <w:lang w:eastAsia="en-AU"/>
              </w:rPr>
              <w:t>performers</w:t>
            </w:r>
            <w:r w:rsidRPr="00986B08">
              <w:rPr>
                <w:rFonts w:ascii="Calibri" w:hAnsi="Calibri" w:cs="Arial"/>
                <w:color w:val="000000"/>
                <w:sz w:val="21"/>
                <w:szCs w:val="21"/>
                <w:lang w:eastAsia="en-AU"/>
              </w:rPr>
              <w:t xml:space="preserve">; </w:t>
            </w:r>
            <w:r w:rsidRPr="00986B08">
              <w:rPr>
                <w:rFonts w:ascii="Calibri" w:hAnsi="Calibri" w:cs="Arial"/>
                <w:color w:val="000000"/>
                <w:sz w:val="21"/>
                <w:szCs w:val="21"/>
                <w:lang w:eastAsia="en-AU"/>
              </w:rPr>
              <w:br/>
            </w:r>
            <w:r>
              <w:rPr>
                <w:rFonts w:ascii="Calibri" w:hAnsi="Calibri" w:cs="Arial"/>
                <w:color w:val="000000"/>
                <w:sz w:val="21"/>
                <w:szCs w:val="21"/>
                <w:lang w:eastAsia="en-AU"/>
              </w:rPr>
              <w:t>B</w:t>
            </w:r>
            <w:r w:rsidRPr="00986B08">
              <w:rPr>
                <w:rFonts w:ascii="Calibri" w:hAnsi="Calibri" w:cs="Arial"/>
                <w:color w:val="000000"/>
                <w:sz w:val="21"/>
                <w:szCs w:val="21"/>
                <w:lang w:eastAsia="en-AU"/>
              </w:rPr>
              <w:t>onus</w:t>
            </w:r>
            <w:r w:rsidRPr="000309E1">
              <w:rPr>
                <w:rFonts w:ascii="Calibri" w:hAnsi="Calibri" w:cs="Arial"/>
                <w:color w:val="000000"/>
                <w:sz w:val="21"/>
                <w:szCs w:val="21"/>
                <w:lang w:eastAsia="en-AU"/>
              </w:rPr>
              <w:t xml:space="preserve"> 0.6% for best;</w:t>
            </w:r>
            <w:r w:rsidRPr="000309E1">
              <w:rPr>
                <w:rFonts w:ascii="Calibri" w:hAnsi="Calibri" w:cs="Arial"/>
                <w:color w:val="000000"/>
                <w:sz w:val="21"/>
                <w:szCs w:val="21"/>
                <w:lang w:eastAsia="en-AU"/>
              </w:rPr>
              <w:br/>
            </w:r>
            <w:r>
              <w:rPr>
                <w:rFonts w:ascii="Calibri" w:hAnsi="Calibri" w:cs="Arial"/>
                <w:color w:val="000000"/>
                <w:sz w:val="21"/>
                <w:szCs w:val="21"/>
                <w:lang w:eastAsia="en-AU"/>
              </w:rPr>
              <w:t>Distributed</w:t>
            </w:r>
            <w:r w:rsidRPr="000309E1">
              <w:rPr>
                <w:rFonts w:ascii="Calibri" w:hAnsi="Calibri" w:cs="Arial"/>
                <w:color w:val="000000"/>
                <w:sz w:val="21"/>
                <w:szCs w:val="21"/>
                <w:lang w:eastAsia="en-AU"/>
              </w:rPr>
              <w:t xml:space="preserve"> by</w:t>
            </w:r>
            <w:r>
              <w:rPr>
                <w:rFonts w:ascii="Calibri" w:hAnsi="Calibri" w:cs="Arial"/>
                <w:color w:val="000000"/>
                <w:sz w:val="21"/>
                <w:szCs w:val="21"/>
                <w:lang w:eastAsia="en-AU"/>
              </w:rPr>
              <w:t xml:space="preserve"> hospital</w:t>
            </w:r>
            <w:r w:rsidRPr="000309E1">
              <w:rPr>
                <w:rFonts w:ascii="Calibri" w:hAnsi="Calibri" w:cs="Arial"/>
                <w:color w:val="000000"/>
                <w:sz w:val="21"/>
                <w:szCs w:val="21"/>
                <w:lang w:eastAsia="en-AU"/>
              </w:rPr>
              <w:t xml:space="preserve"> ranking</w:t>
            </w:r>
          </w:p>
        </w:tc>
        <w:tc>
          <w:tcPr>
            <w:tcW w:w="3318" w:type="dxa"/>
            <w:gridSpan w:val="3"/>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Significant increase in compliance with process measures</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15% reduction in hospital acquired conditions</w:t>
            </w:r>
          </w:p>
        </w:tc>
        <w:tc>
          <w:tcPr>
            <w:tcW w:w="311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Successful application of national </w:t>
            </w:r>
            <w:r>
              <w:rPr>
                <w:rFonts w:ascii="Calibri" w:hAnsi="Calibri" w:cs="Arial"/>
                <w:color w:val="000000"/>
                <w:sz w:val="21"/>
                <w:szCs w:val="21"/>
                <w:lang w:eastAsia="en-AU"/>
              </w:rPr>
              <w:t>scheme</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Outcome measures by way of hospital acquired conditions derived from administrative data </w:t>
            </w:r>
          </w:p>
        </w:tc>
      </w:tr>
      <w:tr w:rsidR="007A1C4A" w:rsidRPr="000309E1" w:rsidTr="00DC6960">
        <w:trPr>
          <w:cantSplit/>
          <w:trHeight w:val="1530"/>
          <w:tblHeader/>
        </w:trPr>
        <w:tc>
          <w:tcPr>
            <w:tcW w:w="449" w:type="dxa"/>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2</w:t>
            </w:r>
          </w:p>
        </w:tc>
        <w:tc>
          <w:tcPr>
            <w:tcW w:w="2402" w:type="dxa"/>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Does Performance-Based Remu</w:t>
            </w:r>
            <w:r>
              <w:rPr>
                <w:rFonts w:ascii="Calibri" w:hAnsi="Calibri" w:cs="Arial"/>
                <w:sz w:val="21"/>
                <w:szCs w:val="21"/>
                <w:lang w:eastAsia="en-AU"/>
              </w:rPr>
              <w:t>neration for Individual Health C</w:t>
            </w:r>
            <w:r w:rsidRPr="000309E1">
              <w:rPr>
                <w:rFonts w:ascii="Calibri" w:hAnsi="Calibri" w:cs="Arial"/>
                <w:sz w:val="21"/>
                <w:szCs w:val="21"/>
                <w:lang w:eastAsia="en-AU"/>
              </w:rPr>
              <w:t>are Practitioners Affect Patient Care?</w:t>
            </w:r>
            <w:r>
              <w:rPr>
                <w:rFonts w:ascii="Calibri" w:hAnsi="Calibri" w:cs="Arial"/>
                <w:sz w:val="21"/>
                <w:szCs w:val="21"/>
                <w:lang w:eastAsia="en-AU"/>
              </w:rPr>
              <w:t xml:space="preserve"> </w:t>
            </w:r>
            <w:r w:rsidRPr="000309E1">
              <w:rPr>
                <w:rFonts w:ascii="Calibri" w:hAnsi="Calibri" w:cs="Arial"/>
                <w:sz w:val="21"/>
                <w:szCs w:val="21"/>
                <w:lang w:eastAsia="en-AU"/>
              </w:rPr>
              <w:t xml:space="preserve">A </w:t>
            </w:r>
            <w:r>
              <w:rPr>
                <w:rFonts w:ascii="Calibri" w:hAnsi="Calibri" w:cs="Arial"/>
                <w:sz w:val="21"/>
                <w:szCs w:val="21"/>
                <w:lang w:eastAsia="en-AU"/>
              </w:rPr>
              <w:t>systematic Review(</w:t>
            </w:r>
            <w:r w:rsidRPr="000309E1">
              <w:rPr>
                <w:rFonts w:ascii="Calibri" w:hAnsi="Calibri" w:cs="Arial"/>
                <w:sz w:val="21"/>
                <w:szCs w:val="21"/>
                <w:lang w:eastAsia="en-AU"/>
              </w:rPr>
              <w:t>2012)</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&lt;EndNote&gt;&lt;Cite&gt;&lt;Author&gt;Houle SKD&lt;/Author&gt;&lt;Year&gt;2012&lt;/Year&gt;&lt;RecNum&gt;13391&lt;/RecNum&gt;&lt;record&gt;&lt;rec-number&gt;13391&lt;/rec-number&gt;&lt;foreign-keys&gt;&lt;key app="EN" db-id="5r0eapxzsestz4er5zaxe5zqz99fvpawedp5"&gt;13391&lt;/key&gt;&lt;/foreign-keys&gt;&lt;ref-type name="Journal Article"&gt;17&lt;/ref-type&gt;&lt;contributors&gt;&lt;authors&gt;&lt;author&gt;Houle SKD,&lt;/author&gt;&lt;author&gt;McAlister FA,&lt;/author&gt;&lt;author&gt;Jackevicius CA,&lt;/author&gt;&lt;author&gt;Chuck AW,&lt;/author&gt;&lt;author&gt;Tsuyuki RT,&lt;/author&gt;&lt;/authors&gt;&lt;/contributors&gt;&lt;titles&gt;&lt;title&gt;Does Performance-Based Remuneration for Individual Health Care Practitioners Affect Patient Care?: A Systematic Review&lt;/title&gt;&lt;secondary-title&gt;Annals of Internal Medicine&lt;/secondary-title&gt;&lt;/titles&gt;&lt;periodical&gt;&lt;full-title&gt;Annals of Internal Medicine&lt;/full-title&gt;&lt;/periodical&gt;&lt;pages&gt;889-899&lt;/pages&gt;&lt;volume&gt;157&lt;/volume&gt;&lt;number&gt;12&lt;/number&gt;&lt;dates&gt;&lt;year&gt;2012&lt;/year&gt;&lt;/dates&gt;&lt;urls&gt;&lt;/urls&gt;&lt;/record&gt;&lt;/Cite&gt;&lt;/EndNote&gt;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2</w:t>
            </w:r>
            <w:r w:rsidRPr="000309E1">
              <w:rPr>
                <w:rFonts w:ascii="Calibri" w:hAnsi="Calibri" w:cs="Arial"/>
                <w:sz w:val="21"/>
                <w:szCs w:val="21"/>
                <w:lang w:eastAsia="en-AU"/>
              </w:rPr>
              <w:fldChar w:fldCharType="end"/>
            </w:r>
          </w:p>
        </w:tc>
        <w:tc>
          <w:tcPr>
            <w:tcW w:w="1248" w:type="dxa"/>
          </w:tcPr>
          <w:p w:rsidR="007A1C4A" w:rsidRPr="000309E1" w:rsidRDefault="007A1C4A" w:rsidP="00754132">
            <w:pPr>
              <w:spacing w:before="20" w:after="20" w:line="264" w:lineRule="auto"/>
              <w:rPr>
                <w:rFonts w:ascii="Calibri" w:hAnsi="Calibri" w:cs="Arial"/>
                <w:sz w:val="21"/>
                <w:szCs w:val="21"/>
                <w:lang w:eastAsia="en-AU"/>
              </w:rPr>
            </w:pPr>
            <w:r w:rsidRPr="000309E1">
              <w:rPr>
                <w:rFonts w:ascii="Calibri" w:hAnsi="Calibri" w:cs="Arial"/>
                <w:sz w:val="21"/>
                <w:szCs w:val="21"/>
                <w:lang w:eastAsia="en-AU"/>
              </w:rPr>
              <w:t xml:space="preserve">Houle S McAlister F Jackevicius C </w:t>
            </w:r>
            <w:r w:rsidRPr="000309E1">
              <w:rPr>
                <w:rFonts w:ascii="Calibri" w:hAnsi="Calibri" w:cs="Arial"/>
                <w:sz w:val="21"/>
                <w:szCs w:val="21"/>
                <w:lang w:eastAsia="en-AU"/>
              </w:rPr>
              <w:br/>
              <w:t>Chuck A Tsuyuki R</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Annals of Internal Medicine </w:t>
            </w:r>
          </w:p>
        </w:tc>
        <w:tc>
          <w:tcPr>
            <w:tcW w:w="142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Systematic review</w:t>
            </w:r>
          </w:p>
        </w:tc>
        <w:tc>
          <w:tcPr>
            <w:tcW w:w="1959" w:type="dxa"/>
          </w:tcPr>
          <w:p w:rsidR="007A1C4A" w:rsidRPr="000309E1" w:rsidRDefault="007A1C4A" w:rsidP="00754132">
            <w:pPr>
              <w:spacing w:before="20" w:after="20" w:line="264" w:lineRule="auto"/>
              <w:rPr>
                <w:rFonts w:ascii="Calibri" w:hAnsi="Calibri" w:cs="Arial"/>
                <w:b/>
                <w:bCs/>
                <w:color w:val="000000"/>
                <w:sz w:val="21"/>
                <w:szCs w:val="21"/>
                <w:lang w:eastAsia="en-AU"/>
              </w:rPr>
            </w:pPr>
            <w:r w:rsidRPr="000309E1">
              <w:rPr>
                <w:rFonts w:ascii="Calibri" w:hAnsi="Calibri" w:cs="Arial"/>
                <w:color w:val="000000"/>
                <w:sz w:val="21"/>
                <w:szCs w:val="21"/>
                <w:lang w:eastAsia="en-AU"/>
              </w:rPr>
              <w:t xml:space="preserve">P4P direct to individual practitioners </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Various</w:t>
            </w:r>
          </w:p>
        </w:tc>
        <w:tc>
          <w:tcPr>
            <w:tcW w:w="124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Various</w:t>
            </w:r>
          </w:p>
        </w:tc>
        <w:tc>
          <w:tcPr>
            <w:tcW w:w="1401"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Screening &amp; chronic disease care</w:t>
            </w:r>
          </w:p>
        </w:tc>
        <w:tc>
          <w:tcPr>
            <w:tcW w:w="1263"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Mainly primary care </w:t>
            </w:r>
          </w:p>
        </w:tc>
        <w:tc>
          <w:tcPr>
            <w:tcW w:w="1787" w:type="dxa"/>
          </w:tcPr>
          <w:p w:rsidR="007A1C4A" w:rsidRPr="000309E1" w:rsidRDefault="007A1C4A" w:rsidP="00754132">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Various</w:t>
            </w:r>
          </w:p>
        </w:tc>
        <w:tc>
          <w:tcPr>
            <w:tcW w:w="3318" w:type="dxa"/>
            <w:gridSpan w:val="3"/>
          </w:tcPr>
          <w:p w:rsidR="007A1C4A" w:rsidRPr="000309E1" w:rsidRDefault="007A1C4A" w:rsidP="00754132">
            <w:pPr>
              <w:spacing w:before="20" w:after="20" w:line="264" w:lineRule="auto"/>
              <w:rPr>
                <w:rFonts w:ascii="Calibri" w:hAnsi="Calibri" w:cs="Arial"/>
                <w:color w:val="000000"/>
                <w:sz w:val="21"/>
                <w:szCs w:val="21"/>
                <w:lang w:eastAsia="en-AU"/>
              </w:rPr>
            </w:pPr>
            <w:r w:rsidRPr="00986B08">
              <w:rPr>
                <w:rFonts w:ascii="Calibri" w:hAnsi="Calibri" w:cs="Arial"/>
                <w:color w:val="000000"/>
                <w:sz w:val="21"/>
                <w:szCs w:val="21"/>
                <w:lang w:eastAsia="en-AU"/>
              </w:rPr>
              <w:t>Conflicting</w:t>
            </w:r>
            <w:r w:rsidRPr="000309E1">
              <w:rPr>
                <w:rFonts w:ascii="Calibri" w:hAnsi="Calibri" w:cs="Arial"/>
                <w:color w:val="000000"/>
                <w:sz w:val="21"/>
                <w:szCs w:val="21"/>
                <w:lang w:eastAsia="en-AU"/>
              </w:rPr>
              <w:t xml:space="preserve"> results</w:t>
            </w:r>
            <w:r w:rsidRPr="00986B08">
              <w:rPr>
                <w:rFonts w:ascii="Calibri" w:hAnsi="Calibri" w:cs="Arial"/>
                <w:color w:val="000000"/>
                <w:sz w:val="21"/>
                <w:szCs w:val="21"/>
                <w:lang w:eastAsia="en-AU"/>
              </w:rPr>
              <w:t>: small incentives effective in some settings; large ineffective in  others</w:t>
            </w:r>
            <w:r>
              <w:rPr>
                <w:rFonts w:ascii="Calibri" w:hAnsi="Calibri" w:cs="Arial"/>
                <w:color w:val="000000"/>
                <w:sz w:val="21"/>
                <w:szCs w:val="21"/>
                <w:lang w:eastAsia="en-AU"/>
              </w:rPr>
              <w:t xml:space="preserve">; </w:t>
            </w:r>
            <w:r w:rsidRPr="000309E1">
              <w:rPr>
                <w:rFonts w:ascii="Calibri" w:hAnsi="Calibri" w:cs="Arial"/>
                <w:color w:val="000000"/>
                <w:sz w:val="21"/>
                <w:szCs w:val="21"/>
                <w:lang w:eastAsia="en-AU"/>
              </w:rPr>
              <w:t>Seems context and implementation dependent;</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Unintended consequences observed.</w:t>
            </w:r>
          </w:p>
        </w:tc>
        <w:tc>
          <w:tcPr>
            <w:tcW w:w="311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P4P models should be considered experimental and not yet evidence-based;</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Role of organisation factors must be examined</w:t>
            </w:r>
          </w:p>
        </w:tc>
      </w:tr>
      <w:tr w:rsidR="007A1C4A" w:rsidRPr="000309E1" w:rsidTr="00BA64A4">
        <w:trPr>
          <w:cantSplit/>
          <w:trHeight w:val="1530"/>
          <w:tblHeader/>
        </w:trPr>
        <w:tc>
          <w:tcPr>
            <w:tcW w:w="449" w:type="dxa"/>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3</w:t>
            </w:r>
          </w:p>
        </w:tc>
        <w:tc>
          <w:tcPr>
            <w:tcW w:w="2402" w:type="dxa"/>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Perceived impact of the Medicare policy to adjust payment for health care-associated infections (2012a) </w:t>
            </w:r>
            <w:r w:rsidRPr="000309E1">
              <w:rPr>
                <w:rFonts w:ascii="Calibri" w:hAnsi="Calibri" w:cs="Arial"/>
                <w:sz w:val="21"/>
                <w:szCs w:val="21"/>
                <w:lang w:eastAsia="en-AU"/>
              </w:rPr>
              <w:fldChar w:fldCharType="begin">
                <w:fldData xml:space="preserve">PEVuZE5vdGU+PENpdGU+PEF1dGhvcj5MZWU8L0F1dGhvcj48WWVhcj4yMDEyPC9ZZWFyPjxSZWNO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</w:fldData>
              </w:fldChar>
            </w:r>
            <w:r w:rsidRPr="000309E1">
              <w:rPr>
                <w:rFonts w:ascii="Calibri" w:hAnsi="Calibri" w:cs="Arial"/>
                <w:sz w:val="21"/>
                <w:szCs w:val="21"/>
                <w:lang w:eastAsia="en-AU"/>
              </w:rPr>
              <w:instrText xml:space="preserve"> ADDIN EN.CITE </w:instrText>
            </w:r>
            <w:r w:rsidRPr="000309E1">
              <w:rPr>
                <w:rFonts w:ascii="Calibri" w:hAnsi="Calibri" w:cs="Arial"/>
                <w:sz w:val="21"/>
                <w:szCs w:val="21"/>
                <w:lang w:eastAsia="en-AU"/>
              </w:rPr>
              <w:fldChar w:fldCharType="begin">
                <w:fldData xml:space="preserve">PEVuZE5vdGU+PENpdGU+PEF1dGhvcj5MZWU8L0F1dGhvcj48WWVhcj4yMDEyPC9ZZWFyPjxSZWNO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</w:fldData>
              </w:fldChar>
            </w:r>
            <w:r w:rsidRPr="000309E1">
              <w:rPr>
                <w:rFonts w:ascii="Calibri" w:hAnsi="Calibri" w:cs="Arial"/>
                <w:sz w:val="21"/>
                <w:szCs w:val="21"/>
                <w:lang w:eastAsia="en-AU"/>
              </w:rPr>
              <w:instrText xml:space="preserve"> ADDIN EN.CITE.DATA </w:instrText>
            </w:r>
            <w:r w:rsidRPr="000309E1">
              <w:rPr>
                <w:rFonts w:ascii="Calibri" w:hAnsi="Calibri" w:cs="Arial"/>
                <w:sz w:val="21"/>
                <w:szCs w:val="21"/>
                <w:lang w:eastAsia="en-AU"/>
              </w:rPr>
            </w:r>
            <w:r w:rsidRPr="000309E1">
              <w:rPr>
                <w:rFonts w:ascii="Calibri" w:hAnsi="Calibri" w:cs="Arial"/>
                <w:sz w:val="21"/>
                <w:szCs w:val="21"/>
                <w:lang w:eastAsia="en-AU"/>
              </w:rPr>
              <w:fldChar w:fldCharType="end"/>
            </w:r>
            <w:r w:rsidRPr="000309E1">
              <w:rPr>
                <w:rFonts w:ascii="Calibri" w:hAnsi="Calibri" w:cs="Arial"/>
                <w:sz w:val="21"/>
                <w:szCs w:val="21"/>
                <w:lang w:eastAsia="en-AU"/>
              </w:rPr>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3</w:t>
            </w:r>
            <w:r w:rsidRPr="000309E1">
              <w:rPr>
                <w:rFonts w:ascii="Calibri" w:hAnsi="Calibri" w:cs="Arial"/>
                <w:sz w:val="21"/>
                <w:szCs w:val="21"/>
                <w:lang w:eastAsia="en-AU"/>
              </w:rPr>
              <w:fldChar w:fldCharType="end"/>
            </w:r>
          </w:p>
        </w:tc>
        <w:tc>
          <w:tcPr>
            <w:tcW w:w="1248" w:type="dxa"/>
          </w:tcPr>
          <w:p w:rsidR="007A1C4A" w:rsidRPr="0080663D" w:rsidRDefault="007A1C4A" w:rsidP="00754132">
            <w:pPr>
              <w:spacing w:before="20" w:after="20" w:line="264" w:lineRule="auto"/>
              <w:rPr>
                <w:rFonts w:ascii="Calibri" w:hAnsi="Calibri" w:cs="Arial"/>
                <w:sz w:val="21"/>
                <w:szCs w:val="21"/>
                <w:lang w:val="de-DE" w:eastAsia="en-AU"/>
              </w:rPr>
            </w:pPr>
            <w:r w:rsidRPr="0080663D">
              <w:rPr>
                <w:rFonts w:ascii="Calibri" w:hAnsi="Calibri" w:cs="Arial"/>
                <w:sz w:val="21"/>
                <w:szCs w:val="21"/>
                <w:lang w:val="de-DE" w:eastAsia="en-AU"/>
              </w:rPr>
              <w:t xml:space="preserve">Lee GM Hartmann C Graham D  </w:t>
            </w:r>
            <w:r w:rsidRPr="0080663D">
              <w:rPr>
                <w:rFonts w:ascii="Calibri" w:hAnsi="Calibri" w:cs="Arial"/>
                <w:sz w:val="21"/>
                <w:szCs w:val="21"/>
                <w:lang w:val="de-DE" w:eastAsia="en-AU"/>
              </w:rPr>
              <w:br/>
              <w:t>et al</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American Journal of Infection Control</w:t>
            </w:r>
          </w:p>
        </w:tc>
        <w:tc>
          <w:tcPr>
            <w:tcW w:w="142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Qualitative survey</w:t>
            </w:r>
          </w:p>
        </w:tc>
        <w:tc>
          <w:tcPr>
            <w:tcW w:w="1959"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P4P </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Non-payment for HAI</w:t>
            </w:r>
          </w:p>
        </w:tc>
        <w:tc>
          <w:tcPr>
            <w:tcW w:w="124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USA</w:t>
            </w:r>
          </w:p>
        </w:tc>
        <w:tc>
          <w:tcPr>
            <w:tcW w:w="1401"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Acute care - HAI</w:t>
            </w:r>
          </w:p>
        </w:tc>
        <w:tc>
          <w:tcPr>
            <w:tcW w:w="1263"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Hospital</w:t>
            </w:r>
          </w:p>
        </w:tc>
        <w:tc>
          <w:tcPr>
            <w:tcW w:w="1787"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Not stated </w:t>
            </w:r>
          </w:p>
        </w:tc>
        <w:tc>
          <w:tcPr>
            <w:tcW w:w="3318" w:type="dxa"/>
            <w:gridSpan w:val="3"/>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More attention on HAIs targeted and less attention to non-targeted HAI; Reported change in behaviour as a result of policy; resource shifting in large hospitals</w:t>
            </w:r>
          </w:p>
        </w:tc>
        <w:tc>
          <w:tcPr>
            <w:tcW w:w="311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Non-payment policy has changed attention and behaviour, which may result in both positive and negative consequences for overall quality</w:t>
            </w:r>
          </w:p>
        </w:tc>
      </w:tr>
      <w:tr w:rsidR="007A1C4A" w:rsidRPr="000309E1" w:rsidTr="00DC6960">
        <w:trPr>
          <w:cantSplit/>
          <w:trHeight w:val="1070"/>
          <w:tblHeader/>
        </w:trPr>
        <w:tc>
          <w:tcPr>
            <w:tcW w:w="449" w:type="dxa"/>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4</w:t>
            </w:r>
          </w:p>
        </w:tc>
        <w:tc>
          <w:tcPr>
            <w:tcW w:w="2402" w:type="dxa"/>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Effect of Nonpayment for Preventable Infections in U.S. Hospitals (2012b) </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&lt;EndNote&gt;&lt;Cite&gt;&lt;Author&gt;Lee&lt;/Author&gt;&lt;Year&gt;2012&lt;/Year&gt;&lt;RecNum&gt;12222&lt;/RecNum&gt;&lt;record&gt;&lt;rec-number&gt;12222&lt;/rec-number&gt;&lt;foreign-keys&gt;&lt;key app="EN" db-id="5r0eapxzsestz4er5zaxe5zqz99fvpawedp5"&gt;12222&lt;/key&gt;&lt;/foreign-keys&gt;&lt;ref-type name="Journal Article"&gt;17&lt;/ref-type&gt;&lt;contributors&gt;&lt;authors&gt;&lt;author&gt;Lee, Grace M.&lt;/author&gt;&lt;author&gt;Kleinman, Ken&lt;/author&gt;&lt;author&gt;Soumerai, Stephen B.&lt;/author&gt;&lt;author&gt;Tse, Alison&lt;/author&gt;&lt;author&gt;Cole, David&lt;/author&gt;&lt;author&gt;Fridkin, Scott K.&lt;/author&gt;&lt;author&gt;Horan, Teresa&lt;/author&gt;&lt;author&gt;Platt, Richard&lt;/author&gt;&lt;author&gt;Gay, Charlene&lt;/author&gt;&lt;author&gt;Kassler, William&lt;/author&gt;&lt;author&gt;Goldmann, Donald A.&lt;/author&gt;&lt;author&gt;Jernigan, John&lt;/author&gt;&lt;author&gt;Jha, Ashish K.&lt;/author&gt;&lt;/authors&gt;&lt;/contributors&gt;&lt;titles&gt;&lt;title&gt;Effect of Nonpayment for Preventable Infections in U.S. Hospitals&lt;/title&gt;&lt;secondary-title&gt;New England Journal of Medicine&lt;/secondary-title&gt;&lt;/titles&gt;&lt;periodical&gt;&lt;full-title&gt;New England Journal of Medicine&lt;/full-title&gt;&lt;/periodical&gt;&lt;pages&gt;1428-1437&lt;/pages&gt;&lt;volume&gt;367&lt;/volume&gt;&lt;number&gt;15&lt;/number&gt;&lt;dates&gt;&lt;year&gt;2012&lt;/year&gt;&lt;/dates&gt;&lt;urls&gt;&lt;related-urls&gt;&lt;url&gt;http://www.nejm.org/doi/full/10.1056/NEJMsa1202419&lt;/url&gt;&lt;/related-urls&gt;&lt;/urls&gt;&lt;electronic-resource-num&gt;doi:10.1056/NEJMsa1202419&lt;/electronic-resource-num&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4</w:t>
            </w:r>
            <w:r w:rsidRPr="000309E1">
              <w:rPr>
                <w:rFonts w:ascii="Calibri" w:hAnsi="Calibri" w:cs="Arial"/>
                <w:sz w:val="21"/>
                <w:szCs w:val="21"/>
                <w:lang w:eastAsia="en-AU"/>
              </w:rPr>
              <w:fldChar w:fldCharType="end"/>
            </w:r>
          </w:p>
        </w:tc>
        <w:tc>
          <w:tcPr>
            <w:tcW w:w="1248" w:type="dxa"/>
          </w:tcPr>
          <w:p w:rsidR="007A1C4A" w:rsidRPr="000309E1" w:rsidRDefault="007A1C4A" w:rsidP="00754132">
            <w:pPr>
              <w:spacing w:before="20" w:after="20" w:line="264" w:lineRule="auto"/>
              <w:rPr>
                <w:rFonts w:ascii="Calibri" w:hAnsi="Calibri" w:cs="Arial"/>
                <w:sz w:val="21"/>
                <w:szCs w:val="21"/>
                <w:lang w:val="fr-FR" w:eastAsia="en-AU"/>
              </w:rPr>
            </w:pPr>
            <w:r w:rsidRPr="000309E1">
              <w:rPr>
                <w:rFonts w:ascii="Calibri" w:hAnsi="Calibri" w:cs="Arial"/>
                <w:sz w:val="21"/>
                <w:szCs w:val="21"/>
                <w:lang w:val="fr-FR" w:eastAsia="en-AU"/>
              </w:rPr>
              <w:t>Lee G Kleinman K Soumerai S et al</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New England Journal of Medicine</w:t>
            </w:r>
          </w:p>
        </w:tc>
        <w:tc>
          <w:tcPr>
            <w:tcW w:w="142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Quasi-experimental interrupted time series</w:t>
            </w:r>
          </w:p>
        </w:tc>
        <w:tc>
          <w:tcPr>
            <w:tcW w:w="1959"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P4P </w:t>
            </w:r>
          </w:p>
        </w:tc>
        <w:tc>
          <w:tcPr>
            <w:tcW w:w="1426"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Non-payment for HAI</w:t>
            </w:r>
          </w:p>
        </w:tc>
        <w:tc>
          <w:tcPr>
            <w:tcW w:w="124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USA</w:t>
            </w:r>
          </w:p>
        </w:tc>
        <w:tc>
          <w:tcPr>
            <w:tcW w:w="1401"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Acute care - HAI (CAUTI &amp; CLABSI)</w:t>
            </w:r>
          </w:p>
        </w:tc>
        <w:tc>
          <w:tcPr>
            <w:tcW w:w="1263"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Hospital</w:t>
            </w:r>
          </w:p>
        </w:tc>
        <w:tc>
          <w:tcPr>
            <w:tcW w:w="1787"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&lt;2% revenue</w:t>
            </w:r>
          </w:p>
        </w:tc>
        <w:tc>
          <w:tcPr>
            <w:tcW w:w="3318" w:type="dxa"/>
            <w:gridSpan w:val="3"/>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No significant changes or difference observed; decreasing secular trends observed; no evidence that non-payment policy has measurable effect</w:t>
            </w:r>
          </w:p>
        </w:tc>
        <w:tc>
          <w:tcPr>
            <w:tcW w:w="3118" w:type="dxa"/>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Disincentive of non-payment appears not have any effect on reducing the two HAIs examined in this study</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6"/>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4a</w:t>
            </w:r>
          </w:p>
        </w:tc>
        <w:tc>
          <w:tcPr>
            <w:tcW w:w="2402"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Nonpayment for preventable Infections in US hospitals </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&lt;EndNote&gt;&lt;Cite&gt;&lt;Year&gt;2013&lt;/Year&gt;&lt;RecNum&gt;13403&lt;/RecNum&gt;&lt;record&gt;&lt;rec-number&gt;13403&lt;/rec-number&gt;&lt;foreign-keys&gt;&lt;key app="EN" db-id="5r0eapxzsestz4er5zaxe5zqz99fvpawedp5"&gt;13403&lt;/key&gt;&lt;/foreign-keys&gt;&lt;ref-type name="Journal Article"&gt;17&lt;/ref-type&gt;&lt;contributors&gt;&lt;/contributors&gt;&lt;titles&gt;&lt;title&gt;Nonpayment for Preventable Infections in U.S. Hospitals&lt;/title&gt;&lt;secondary-title&gt;New England Journal of Medicine&lt;/secondary-title&gt;&lt;/titles&gt;&lt;periodical&gt;&lt;full-title&gt;New England Journal of Medicine&lt;/full-title&gt;&lt;/periodical&gt;&lt;pages&gt;191-192&lt;/pages&gt;&lt;volume&gt;368&lt;/volume&gt;&lt;number&gt;2&lt;/number&gt;&lt;dates&gt;&lt;year&gt;2013&lt;/year&gt;&lt;/dates&gt;&lt;urls&gt;&lt;related-urls&gt;&lt;url&gt;http://www.nejm.org/doi/full/10.1056/NEJMc1213732&lt;/url&gt;&lt;/related-urls&gt;&lt;/urls&gt;&lt;electronic-resource-num&gt;doi:10.1056/NEJMc1213732&lt;/electronic-resource-num&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5</w:t>
            </w:r>
            <w:r w:rsidRPr="000309E1">
              <w:rPr>
                <w:rFonts w:ascii="Calibri" w:hAnsi="Calibri" w:cs="Arial"/>
                <w:sz w:val="21"/>
                <w:szCs w:val="21"/>
                <w:lang w:eastAsia="en-AU"/>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i/>
                <w:sz w:val="21"/>
                <w:szCs w:val="21"/>
                <w:lang w:eastAsia="en-AU"/>
              </w:rPr>
            </w:pPr>
            <w:r w:rsidRPr="000309E1">
              <w:rPr>
                <w:rFonts w:ascii="Calibri" w:hAnsi="Calibri" w:cs="Arial"/>
                <w:i/>
                <w:sz w:val="21"/>
                <w:szCs w:val="21"/>
                <w:lang w:eastAsia="en-AU"/>
              </w:rPr>
              <w:t>Correspondence to Lee et al (2012b)</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New England Journal of Medicine</w:t>
            </w:r>
          </w:p>
        </w:tc>
        <w:tc>
          <w:tcPr>
            <w:tcW w:w="142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i/>
                <w:color w:val="000000"/>
                <w:sz w:val="21"/>
                <w:szCs w:val="21"/>
                <w:lang w:eastAsia="en-AU"/>
              </w:rPr>
            </w:pPr>
            <w:r w:rsidRPr="000309E1">
              <w:rPr>
                <w:rFonts w:ascii="Calibri" w:hAnsi="Calibri" w:cs="Arial"/>
                <w:i/>
                <w:color w:val="000000"/>
                <w:sz w:val="21"/>
                <w:szCs w:val="21"/>
                <w:lang w:eastAsia="en-AU"/>
              </w:rPr>
              <w:t>Commentary</w:t>
            </w:r>
          </w:p>
        </w:tc>
        <w:tc>
          <w:tcPr>
            <w:tcW w:w="1959"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tabs>
                <w:tab w:val="right" w:pos="1764"/>
              </w:tabs>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t>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t>
            </w:r>
          </w:p>
        </w:tc>
        <w:tc>
          <w:tcPr>
            <w:tcW w:w="1401"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t>
            </w:r>
          </w:p>
        </w:tc>
        <w:tc>
          <w:tcPr>
            <w:tcW w:w="1263"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t>
            </w:r>
          </w:p>
        </w:tc>
        <w:tc>
          <w:tcPr>
            <w:tcW w:w="1787"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DRG payment system can be ‘gamed’ to achieve maximum reimbursement despite presence of HAI</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Hospitals commenced strategies to reduce HAI before the study baseline period </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5</w:t>
            </w:r>
          </w:p>
        </w:tc>
        <w:tc>
          <w:tcPr>
            <w:tcW w:w="2402"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A Qualitative and Quantitative Evaluation of the Introduction of Best Practice Tariffs (2012)</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&lt;EndNote&gt;&lt;Cite&gt;&lt;Author&gt;McDonald R&lt;/Author&gt;&lt;Year&gt;2012&lt;/Year&gt;&lt;RecNum&gt;13355&lt;/RecNum&gt;&lt;record&gt;&lt;rec-number&gt;13355&lt;/rec-number&gt;&lt;foreign-keys&gt;&lt;key app="EN" db-id="5r0eapxzsestz4er5zaxe5zqz99fvpawedp5"&gt;13355&lt;/key&gt;&lt;/foreign-keys&gt;&lt;ref-type name="Report"&gt;27&lt;/ref-type&gt;&lt;contributors&gt;&lt;authors&gt;&lt;author&gt;McDonald R,&lt;/author&gt;&lt;author&gt;Allen T, &lt;/author&gt;&lt;author&gt;Zaidi S,&lt;/author&gt;&lt;author&gt;Sutton M,&lt;/author&gt;&lt;author&gt;Todd S,&lt;/author&gt;&lt;author&gt;Fichera E,&lt;/author&gt;&lt;author&gt;Konteh F,&lt;/author&gt;&lt;/authors&gt;&lt;/contributors&gt;&lt;titles&gt;&lt;title&gt;A Qualitative and Quantitative Evaluation of the Introduction of Best Practice Tariffs&lt;/title&gt;&lt;/titles&gt;&lt;dates&gt;&lt;year&gt;2012&lt;/year&gt;&lt;/dates&gt;&lt;publisher&gt;University of Nottingham&lt;/publisher&gt;&lt;urls&gt;&lt;/urls&gt;&lt;/record&gt;&lt;/Cite&gt;&lt;/EndNote&gt;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6</w:t>
            </w:r>
            <w:r w:rsidRPr="000309E1">
              <w:rPr>
                <w:rFonts w:ascii="Calibri" w:hAnsi="Calibri" w:cs="Arial"/>
                <w:sz w:val="21"/>
                <w:szCs w:val="21"/>
                <w:lang w:eastAsia="en-AU"/>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lang w:eastAsia="en-AU"/>
              </w:rPr>
            </w:pPr>
            <w:r w:rsidRPr="000309E1">
              <w:rPr>
                <w:rFonts w:ascii="Calibri" w:hAnsi="Calibri" w:cs="Arial"/>
                <w:sz w:val="21"/>
                <w:szCs w:val="21"/>
                <w:lang w:eastAsia="en-AU"/>
              </w:rPr>
              <w:t>McDonald R Allen T</w:t>
            </w:r>
            <w:r w:rsidRPr="000309E1">
              <w:rPr>
                <w:rFonts w:ascii="Calibri" w:hAnsi="Calibri" w:cs="Arial"/>
                <w:sz w:val="21"/>
                <w:szCs w:val="21"/>
                <w:lang w:eastAsia="en-AU"/>
              </w:rPr>
              <w:br/>
              <w:t>Zaidi S</w:t>
            </w:r>
            <w:r w:rsidRPr="000309E1">
              <w:rPr>
                <w:rFonts w:ascii="Calibri" w:hAnsi="Calibri" w:cs="Arial"/>
                <w:sz w:val="21"/>
                <w:szCs w:val="21"/>
                <w:lang w:eastAsia="en-AU"/>
              </w:rPr>
              <w:br/>
              <w:t xml:space="preserve">Sutton M   et al </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Report (Nottingham University)</w:t>
            </w:r>
          </w:p>
        </w:tc>
        <w:tc>
          <w:tcPr>
            <w:tcW w:w="142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Qualitative survey; difference-in-difference quantitative analysis</w:t>
            </w:r>
          </w:p>
        </w:tc>
        <w:tc>
          <w:tcPr>
            <w:tcW w:w="1959"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P4P</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Normative pricing</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Best practice tariffs (BPTs)</w:t>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UK</w:t>
            </w:r>
          </w:p>
        </w:tc>
        <w:tc>
          <w:tcPr>
            <w:tcW w:w="1401"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Acute care, surgery, day procedures, diabetes care</w:t>
            </w:r>
          </w:p>
        </w:tc>
        <w:tc>
          <w:tcPr>
            <w:tcW w:w="1263"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Hospital and outpatient</w:t>
            </w:r>
          </w:p>
        </w:tc>
        <w:tc>
          <w:tcPr>
            <w:tcW w:w="1787"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Bonuses up to 24% </w:t>
            </w:r>
          </w:p>
        </w:tc>
        <w:tc>
          <w:tcPr>
            <w:tcW w:w="3260" w:type="dxa"/>
            <w:gridSpan w:val="2"/>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Widespread support for BPTs;</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Significant increase in response to increase tariff for daycase cholecystectomy; no additional impact observed in stroke care; modest improvements in outcomes in management of hip # observed</w:t>
            </w:r>
          </w:p>
        </w:tc>
        <w:tc>
          <w:tcPr>
            <w:tcW w:w="3176" w:type="dxa"/>
            <w:gridSpan w:val="2"/>
            <w:tcBorders>
              <w:top w:val="single" w:sz="4" w:space="0" w:color="999999"/>
              <w:left w:val="single" w:sz="4" w:space="0" w:color="999999"/>
              <w:bottom w:val="single" w:sz="4" w:space="0" w:color="999999"/>
              <w:right w:val="single" w:sz="4" w:space="0" w:color="999999"/>
            </w:tcBorders>
          </w:tcPr>
          <w:p w:rsidR="007A1C4A"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BPT is shown to i</w:t>
            </w:r>
            <w:r>
              <w:rPr>
                <w:rFonts w:ascii="Calibri" w:hAnsi="Calibri" w:cs="Arial"/>
                <w:color w:val="000000"/>
                <w:sz w:val="21"/>
                <w:szCs w:val="21"/>
                <w:lang w:eastAsia="en-AU"/>
              </w:rPr>
              <w:t>ncentivise quality improvement</w:t>
            </w:r>
          </w:p>
          <w:p w:rsidR="007A1C4A" w:rsidRPr="000309E1" w:rsidRDefault="007A1C4A" w:rsidP="00754132">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Structuring</w:t>
            </w:r>
            <w:r w:rsidRPr="000309E1">
              <w:rPr>
                <w:rFonts w:ascii="Calibri" w:hAnsi="Calibri" w:cs="Arial"/>
                <w:color w:val="000000"/>
                <w:sz w:val="21"/>
                <w:szCs w:val="21"/>
                <w:lang w:eastAsia="en-AU"/>
              </w:rPr>
              <w:t xml:space="preserve"> of the tariff appear to affect the results</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6</w:t>
            </w:r>
          </w:p>
        </w:tc>
        <w:tc>
          <w:tcPr>
            <w:tcW w:w="2402"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sz w:val="21"/>
                <w:szCs w:val="21"/>
                <w:lang w:eastAsia="en-AU"/>
              </w:rPr>
            </w:pPr>
            <w:r w:rsidRPr="00F55406">
              <w:rPr>
                <w:rFonts w:ascii="Calibri" w:hAnsi="Calibri" w:cs="Arial"/>
                <w:sz w:val="21"/>
                <w:szCs w:val="21"/>
                <w:lang w:eastAsia="en-AU"/>
              </w:rPr>
              <w:t>Best practice tariffs and their impact (2012)</w:t>
            </w:r>
            <w:r w:rsidRPr="00F55406">
              <w:rPr>
                <w:rFonts w:ascii="Calibri" w:hAnsi="Calibri" w:cs="Arial"/>
                <w:sz w:val="21"/>
                <w:szCs w:val="21"/>
                <w:lang w:eastAsia="en-AU"/>
              </w:rPr>
              <w:fldChar w:fldCharType="begin"/>
            </w:r>
            <w:r w:rsidRPr="00F55406">
              <w:rPr>
                <w:rFonts w:ascii="Calibri" w:hAnsi="Calibri" w:cs="Arial"/>
                <w:sz w:val="21"/>
                <w:szCs w:val="21"/>
                <w:lang w:eastAsia="en-AU"/>
              </w:rPr>
              <w:instrText xml:space="preserve"> ADDIN EN.CITE &lt;EndNote&gt;&lt;Cite&gt;&lt;Author&gt;Audit Commission&lt;/Author&gt;&lt;Year&gt;2012&lt;/Year&gt;&lt;RecNum&gt;13404&lt;/RecNum&gt;&lt;record&gt;&lt;rec-number&gt;13404&lt;/rec-number&gt;&lt;foreign-keys&gt;&lt;key app="EN" db-id="5r0eapxzsestz4er5zaxe5zqz99fvpawedp5"&gt;13404&lt;/key&gt;&lt;/foreign-keys&gt;&lt;ref-type name="Report"&gt;27&lt;/ref-type&gt;&lt;contributors&gt;&lt;authors&gt;&lt;author&gt;Audit Commission,&lt;/author&gt;&lt;/authors&gt;&lt;/contributors&gt;&lt;titles&gt;&lt;title&gt;Best practice tariffs and their impact&lt;/title&gt;&lt;/titles&gt;&lt;dates&gt;&lt;year&gt;2012&lt;/year&gt;&lt;/dates&gt;&lt;pub-location&gt;London&lt;/pub-location&gt;&lt;urls&gt;&lt;/urls&gt;&lt;/record&gt;&lt;/Cite&gt;&lt;/EndNote&gt;</w:instrText>
            </w:r>
            <w:r w:rsidRPr="00F55406">
              <w:rPr>
                <w:rFonts w:ascii="Calibri" w:hAnsi="Calibri" w:cs="Arial"/>
                <w:sz w:val="21"/>
                <w:szCs w:val="21"/>
                <w:lang w:eastAsia="en-AU"/>
              </w:rPr>
              <w:fldChar w:fldCharType="separate"/>
            </w:r>
            <w:r w:rsidRPr="00F55406">
              <w:rPr>
                <w:rFonts w:ascii="Calibri" w:hAnsi="Calibri" w:cs="Arial"/>
                <w:noProof/>
                <w:sz w:val="21"/>
                <w:szCs w:val="21"/>
                <w:vertAlign w:val="superscript"/>
                <w:lang w:eastAsia="en-AU"/>
              </w:rPr>
              <w:t>7</w:t>
            </w:r>
            <w:r w:rsidRPr="00F55406">
              <w:rPr>
                <w:rFonts w:ascii="Calibri" w:hAnsi="Calibri" w:cs="Arial"/>
                <w:sz w:val="21"/>
                <w:szCs w:val="21"/>
                <w:lang w:eastAsia="en-AU"/>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sz w:val="21"/>
                <w:szCs w:val="21"/>
                <w:lang w:eastAsia="en-AU"/>
              </w:rPr>
            </w:pPr>
            <w:r w:rsidRPr="00F55406">
              <w:rPr>
                <w:rFonts w:ascii="Calibri" w:hAnsi="Calibri" w:cs="Arial"/>
                <w:sz w:val="21"/>
                <w:szCs w:val="21"/>
                <w:lang w:eastAsia="en-AU"/>
              </w:rPr>
              <w:t>Audit Commission</w:t>
            </w:r>
          </w:p>
        </w:tc>
        <w:tc>
          <w:tcPr>
            <w:tcW w:w="1426"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Report</w:t>
            </w:r>
          </w:p>
        </w:tc>
        <w:tc>
          <w:tcPr>
            <w:tcW w:w="1428"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Qualitative &amp; quantitative evaluation (process measures)</w:t>
            </w:r>
          </w:p>
        </w:tc>
        <w:tc>
          <w:tcPr>
            <w:tcW w:w="1959"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P4P</w:t>
            </w:r>
          </w:p>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Normative pricing</w:t>
            </w:r>
          </w:p>
        </w:tc>
        <w:tc>
          <w:tcPr>
            <w:tcW w:w="1426"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BPTs</w:t>
            </w:r>
          </w:p>
        </w:tc>
        <w:tc>
          <w:tcPr>
            <w:tcW w:w="1248"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UK</w:t>
            </w:r>
          </w:p>
        </w:tc>
        <w:tc>
          <w:tcPr>
            <w:tcW w:w="1401"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Acute care, surgery, day procedures, diabetes care</w:t>
            </w:r>
          </w:p>
        </w:tc>
        <w:tc>
          <w:tcPr>
            <w:tcW w:w="1263"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Hospital and outpatient</w:t>
            </w:r>
          </w:p>
        </w:tc>
        <w:tc>
          <w:tcPr>
            <w:tcW w:w="1787" w:type="dxa"/>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 xml:space="preserve">Bonuses up to 24% </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F55406" w:rsidRDefault="007A1C4A" w:rsidP="00754132">
            <w:pPr>
              <w:spacing w:before="20" w:after="20" w:line="264" w:lineRule="auto"/>
              <w:ind w:left="72"/>
              <w:rPr>
                <w:rFonts w:ascii="Calibri" w:hAnsi="Calibri" w:cs="Arial"/>
                <w:color w:val="000000"/>
                <w:sz w:val="21"/>
                <w:szCs w:val="21"/>
                <w:lang w:eastAsia="en-AU"/>
              </w:rPr>
            </w:pPr>
            <w:r w:rsidRPr="00F55406">
              <w:rPr>
                <w:rFonts w:ascii="Calibri" w:hAnsi="Calibri" w:cs="Arial"/>
                <w:color w:val="000000"/>
                <w:sz w:val="21"/>
                <w:szCs w:val="21"/>
                <w:lang w:eastAsia="en-AU"/>
              </w:rPr>
              <w:t>BPTs have had a variable impact:</w:t>
            </w:r>
          </w:p>
          <w:p w:rsidR="007A1C4A" w:rsidRPr="00F55406" w:rsidRDefault="007A1C4A" w:rsidP="00754132">
            <w:pPr>
              <w:numPr>
                <w:ilvl w:val="0"/>
                <w:numId w:val="18"/>
              </w:numPr>
              <w:spacing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across the various BPTs</w:t>
            </w:r>
          </w:p>
          <w:p w:rsidR="007A1C4A" w:rsidRPr="00F55406" w:rsidRDefault="007A1C4A" w:rsidP="00754132">
            <w:pPr>
              <w:numPr>
                <w:ilvl w:val="0"/>
                <w:numId w:val="18"/>
              </w:numPr>
              <w:spacing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between hospitals.</w:t>
            </w:r>
          </w:p>
          <w:p w:rsidR="007A1C4A" w:rsidRPr="00F55406" w:rsidRDefault="007A1C4A" w:rsidP="00754132">
            <w:pPr>
              <w:spacing w:line="264" w:lineRule="auto"/>
              <w:ind w:left="72"/>
              <w:rPr>
                <w:rFonts w:ascii="Calibri" w:hAnsi="Calibri" w:cs="Arial"/>
                <w:color w:val="000000"/>
                <w:sz w:val="21"/>
                <w:szCs w:val="21"/>
                <w:lang w:eastAsia="en-AU"/>
              </w:rPr>
            </w:pPr>
            <w:r w:rsidRPr="00F55406">
              <w:rPr>
                <w:rFonts w:ascii="Calibri" w:hAnsi="Calibri" w:cs="Arial"/>
                <w:color w:val="000000"/>
                <w:sz w:val="21"/>
                <w:szCs w:val="21"/>
                <w:lang w:eastAsia="en-AU"/>
              </w:rPr>
              <w:t>Financial incentives just one of several factors considered by providers</w:t>
            </w:r>
          </w:p>
          <w:p w:rsidR="007A1C4A" w:rsidRPr="00F55406" w:rsidRDefault="007A1C4A" w:rsidP="00754132">
            <w:pPr>
              <w:spacing w:line="264" w:lineRule="auto"/>
              <w:ind w:left="72"/>
              <w:rPr>
                <w:rFonts w:ascii="Calibri" w:hAnsi="Calibri" w:cs="Arial"/>
                <w:color w:val="000000"/>
                <w:sz w:val="21"/>
                <w:szCs w:val="21"/>
                <w:lang w:eastAsia="en-AU"/>
              </w:rPr>
            </w:pPr>
            <w:r w:rsidRPr="00F55406">
              <w:rPr>
                <w:rFonts w:ascii="Calibri" w:hAnsi="Calibri" w:cs="Arial"/>
                <w:color w:val="000000"/>
                <w:sz w:val="21"/>
                <w:szCs w:val="21"/>
                <w:lang w:eastAsia="en-AU"/>
              </w:rPr>
              <w:t xml:space="preserve">Complexity of BPTs was a barrier </w:t>
            </w:r>
          </w:p>
          <w:p w:rsidR="007A1C4A" w:rsidRPr="00F55406" w:rsidRDefault="007A1C4A" w:rsidP="00754132">
            <w:pPr>
              <w:spacing w:line="264" w:lineRule="auto"/>
              <w:ind w:left="72"/>
              <w:rPr>
                <w:rFonts w:ascii="Calibri" w:hAnsi="Calibri" w:cs="Arial"/>
                <w:color w:val="000000"/>
                <w:sz w:val="21"/>
                <w:szCs w:val="21"/>
                <w:lang w:eastAsia="en-AU"/>
              </w:rPr>
            </w:pPr>
            <w:r w:rsidRPr="00F55406">
              <w:rPr>
                <w:rFonts w:ascii="Calibri" w:hAnsi="Calibri" w:cs="Arial"/>
                <w:color w:val="000000"/>
                <w:sz w:val="21"/>
                <w:szCs w:val="21"/>
                <w:lang w:eastAsia="en-AU"/>
              </w:rPr>
              <w:t>Higher performing hospitals had:</w:t>
            </w:r>
          </w:p>
          <w:p w:rsidR="007A1C4A" w:rsidRPr="00F55406" w:rsidRDefault="007A1C4A" w:rsidP="00754132">
            <w:pPr>
              <w:numPr>
                <w:ilvl w:val="0"/>
                <w:numId w:val="18"/>
              </w:numPr>
              <w:spacing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strong clinical engagement, understanding and support</w:t>
            </w:r>
          </w:p>
          <w:p w:rsidR="007A1C4A" w:rsidRPr="00F55406" w:rsidRDefault="007A1C4A" w:rsidP="00754132">
            <w:pPr>
              <w:numPr>
                <w:ilvl w:val="0"/>
                <w:numId w:val="18"/>
              </w:numPr>
              <w:spacing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senior management and board involvement</w:t>
            </w:r>
          </w:p>
          <w:p w:rsidR="007A1C4A" w:rsidRPr="00F55406" w:rsidRDefault="007A1C4A" w:rsidP="00754132">
            <w:pPr>
              <w:numPr>
                <w:ilvl w:val="0"/>
                <w:numId w:val="18"/>
              </w:numPr>
              <w:spacing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frequent and accurate reporting of activity and financial data</w:t>
            </w:r>
          </w:p>
          <w:p w:rsidR="007A1C4A" w:rsidRPr="00F55406" w:rsidRDefault="007A1C4A" w:rsidP="00754132">
            <w:pPr>
              <w:numPr>
                <w:ilvl w:val="0"/>
                <w:numId w:val="18"/>
              </w:numPr>
              <w:spacing w:line="264" w:lineRule="auto"/>
              <w:rPr>
                <w:rFonts w:ascii="Calibri" w:hAnsi="Calibri" w:cs="Arial"/>
                <w:color w:val="000000"/>
                <w:sz w:val="21"/>
                <w:szCs w:val="21"/>
                <w:lang w:eastAsia="en-AU"/>
              </w:rPr>
            </w:pPr>
            <w:r w:rsidRPr="00F55406">
              <w:rPr>
                <w:rFonts w:ascii="Calibri" w:hAnsi="Calibri" w:cs="Arial"/>
                <w:color w:val="000000"/>
                <w:sz w:val="21"/>
                <w:szCs w:val="21"/>
                <w:lang w:eastAsia="en-AU"/>
              </w:rPr>
              <w:t>follow-up of individual  cases where best practice had not been delivered</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lastRenderedPageBreak/>
              <w:t>7</w:t>
            </w:r>
          </w:p>
        </w:tc>
        <w:tc>
          <w:tcPr>
            <w:tcW w:w="2402"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Pay-for-performance (P4P) in health care: Review of the evidence and basis for future development </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&lt;EndNote&gt;&lt;Cite&gt;&lt;Author&gt;Veit C&lt;/Author&gt;&lt;Year&gt;2012&lt;/Year&gt;&lt;RecNum&gt;13394&lt;/RecNum&gt;&lt;record&gt;&lt;rec-number&gt;13394&lt;/rec-number&gt;&lt;foreign-keys&gt;&lt;key app="EN" db-id="5r0eapxzsestz4er5zaxe5zqz99fvpawedp5"&gt;13394&lt;/key&gt;&lt;/foreign-keys&gt;&lt;ref-type name="Report"&gt;27&lt;/ref-type&gt;&lt;contributors&gt;&lt;authors&gt;&lt;author&gt;Veit C,&lt;/author&gt;&lt;author&gt;Hertle D,&lt;/author&gt;&lt;author&gt;Bungard S,&lt;/author&gt;&lt;author&gt;Trummer A,&lt;/author&gt;&lt;author&gt;Ganske V,&lt;/author&gt;&lt;author&gt;Meyer-Hoffmann B,&lt;/author&gt;&lt;/authors&gt;&lt;/contributors&gt;&lt;titles&gt;&lt;title&gt;Pay-for-Performance im Gesundheitswesen: Sachstandsbericht zu Evidenz und Realisierung sowie Darlegung der Grundlagen fur eine kunftige Weiterentwicklung [P4P in health care: Review of the evidence and basis for future development]&lt;/title&gt;&lt;/titles&gt;&lt;dates&gt;&lt;year&gt;2012&lt;/year&gt;&lt;/dates&gt;&lt;pub-location&gt;Dusseldorf&lt;/pub-location&gt;&lt;publisher&gt;BQS Institut fur Qualitat &amp;amp; Patientensicherheit [BQS Institute for Quality and Patient Safety]&lt;/publisher&gt;&lt;urls&gt;&lt;/urls&gt;&lt;/record&gt;&lt;/Cite&gt;&lt;/EndNote&gt;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8</w:t>
            </w:r>
            <w:r w:rsidRPr="000309E1">
              <w:rPr>
                <w:rFonts w:ascii="Calibri" w:hAnsi="Calibri" w:cs="Arial"/>
                <w:sz w:val="21"/>
                <w:szCs w:val="21"/>
                <w:lang w:eastAsia="en-AU"/>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lang w:eastAsia="en-AU"/>
              </w:rPr>
            </w:pPr>
            <w:r w:rsidRPr="000309E1">
              <w:rPr>
                <w:rFonts w:ascii="Calibri" w:hAnsi="Calibri" w:cs="Arial"/>
                <w:sz w:val="21"/>
                <w:szCs w:val="21"/>
                <w:lang w:eastAsia="en-AU"/>
              </w:rPr>
              <w:t xml:space="preserve">Veit C </w:t>
            </w:r>
            <w:r w:rsidRPr="000309E1">
              <w:rPr>
                <w:rFonts w:ascii="Calibri" w:hAnsi="Calibri" w:cs="Arial"/>
                <w:sz w:val="21"/>
                <w:szCs w:val="21"/>
                <w:lang w:eastAsia="en-AU"/>
              </w:rPr>
              <w:br/>
              <w:t xml:space="preserve">Hertle D Bungard S </w:t>
            </w:r>
            <w:r w:rsidRPr="000309E1">
              <w:rPr>
                <w:rFonts w:ascii="Calibri" w:hAnsi="Calibri" w:cs="Arial"/>
                <w:sz w:val="21"/>
                <w:szCs w:val="21"/>
                <w:lang w:eastAsia="en-AU"/>
              </w:rPr>
              <w:br/>
              <w:t>et al</w:t>
            </w:r>
          </w:p>
        </w:tc>
        <w:tc>
          <w:tcPr>
            <w:tcW w:w="1426" w:type="dxa"/>
            <w:tcBorders>
              <w:top w:val="single" w:sz="4" w:space="0" w:color="999999"/>
              <w:left w:val="single" w:sz="4" w:space="0" w:color="999999"/>
              <w:bottom w:val="single" w:sz="4" w:space="0" w:color="999999"/>
              <w:right w:val="single" w:sz="4" w:space="0" w:color="999999"/>
            </w:tcBorders>
          </w:tcPr>
          <w:p w:rsidR="007A1C4A" w:rsidRPr="0080663D" w:rsidRDefault="007A1C4A" w:rsidP="00754132">
            <w:pPr>
              <w:spacing w:before="20" w:after="20" w:line="264" w:lineRule="auto"/>
              <w:rPr>
                <w:rFonts w:ascii="Calibri" w:hAnsi="Calibri" w:cs="Arial"/>
                <w:color w:val="000000"/>
                <w:sz w:val="21"/>
                <w:szCs w:val="21"/>
                <w:lang w:val="de-DE" w:eastAsia="en-AU"/>
              </w:rPr>
            </w:pPr>
            <w:r w:rsidRPr="0080663D">
              <w:rPr>
                <w:rFonts w:ascii="Calibri" w:hAnsi="Calibri" w:cs="Arial"/>
                <w:color w:val="000000"/>
                <w:sz w:val="21"/>
                <w:szCs w:val="21"/>
                <w:lang w:val="de-DE" w:eastAsia="en-AU"/>
              </w:rPr>
              <w:t xml:space="preserve">Bundes-geschaft-stelle Qalitats-sicherung </w:t>
            </w:r>
            <w:r w:rsidRPr="000309E1">
              <w:rPr>
                <w:rStyle w:val="FootnoteReference"/>
                <w:rFonts w:ascii="Calibri" w:hAnsi="Calibri" w:cs="Arial"/>
                <w:color w:val="000000"/>
                <w:sz w:val="21"/>
                <w:szCs w:val="21"/>
                <w:lang w:eastAsia="en-AU"/>
              </w:rPr>
              <w:footnoteReference w:id="2"/>
            </w:r>
            <w:r w:rsidRPr="0080663D">
              <w:rPr>
                <w:rFonts w:ascii="Calibri" w:hAnsi="Calibri" w:cs="Arial"/>
                <w:color w:val="000000"/>
                <w:sz w:val="21"/>
                <w:szCs w:val="21"/>
                <w:lang w:val="de-DE" w:eastAsia="en-AU"/>
              </w:rPr>
              <w:t xml:space="preserve"> (BQS) </w:t>
            </w:r>
          </w:p>
        </w:tc>
        <w:tc>
          <w:tcPr>
            <w:tcW w:w="142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Report: literature review and discussion </w:t>
            </w:r>
          </w:p>
        </w:tc>
        <w:tc>
          <w:tcPr>
            <w:tcW w:w="1959"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P4P</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P4-structure</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P4-competence</w:t>
            </w:r>
          </w:p>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P4-transparency</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Various</w:t>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Germany</w:t>
            </w:r>
          </w:p>
        </w:tc>
        <w:tc>
          <w:tcPr>
            <w:tcW w:w="1401"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Entire healthcare system</w:t>
            </w:r>
          </w:p>
        </w:tc>
        <w:tc>
          <w:tcPr>
            <w:tcW w:w="1263"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All</w:t>
            </w:r>
          </w:p>
        </w:tc>
        <w:tc>
          <w:tcPr>
            <w:tcW w:w="1787"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Various</w:t>
            </w:r>
          </w:p>
        </w:tc>
        <w:tc>
          <w:tcPr>
            <w:tcW w:w="3260" w:type="dxa"/>
            <w:gridSpan w:val="2"/>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Evidence equivocal; P4P is effective in some settings; size of incentive matters </w:t>
            </w:r>
            <w:r w:rsidRPr="000309E1">
              <w:rPr>
                <w:rFonts w:ascii="Calibri" w:hAnsi="Calibri" w:cs="Arial"/>
                <w:color w:val="000000"/>
                <w:sz w:val="21"/>
                <w:szCs w:val="21"/>
                <w:u w:val="single"/>
                <w:lang w:eastAsia="en-AU"/>
              </w:rPr>
              <w:t>but</w:t>
            </w:r>
            <w:r w:rsidRPr="000309E1">
              <w:rPr>
                <w:rFonts w:ascii="Calibri" w:hAnsi="Calibri" w:cs="Arial"/>
                <w:color w:val="000000"/>
                <w:sz w:val="21"/>
                <w:szCs w:val="21"/>
                <w:lang w:eastAsia="en-AU"/>
              </w:rPr>
              <w:t xml:space="preserve">  P4P is but one of many levers to affect behaviour; difficulties with chronic illness management; Risk of unintended consequences</w:t>
            </w:r>
          </w:p>
        </w:tc>
        <w:tc>
          <w:tcPr>
            <w:tcW w:w="3176" w:type="dxa"/>
            <w:gridSpan w:val="2"/>
            <w:tcBorders>
              <w:top w:val="single" w:sz="4" w:space="0" w:color="999999"/>
              <w:left w:val="single" w:sz="4" w:space="0" w:color="999999"/>
              <w:bottom w:val="single" w:sz="4" w:space="0" w:color="999999"/>
              <w:right w:val="single" w:sz="4" w:space="0" w:color="999999"/>
            </w:tcBorders>
          </w:tcPr>
          <w:p w:rsidR="007A1C4A"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Findings simil</w:t>
            </w:r>
            <w:r>
              <w:rPr>
                <w:rFonts w:ascii="Calibri" w:hAnsi="Calibri" w:cs="Arial"/>
                <w:color w:val="000000"/>
                <w:sz w:val="21"/>
                <w:szCs w:val="21"/>
                <w:lang w:eastAsia="en-AU"/>
              </w:rPr>
              <w:t>ar to other reviews and reports.</w:t>
            </w:r>
            <w:r w:rsidRPr="000309E1">
              <w:rPr>
                <w:rFonts w:ascii="Calibri" w:hAnsi="Calibri" w:cs="Arial"/>
                <w:color w:val="000000"/>
                <w:sz w:val="21"/>
                <w:szCs w:val="21"/>
                <w:lang w:eastAsia="en-AU"/>
              </w:rPr>
              <w:t xml:space="preserve"> </w:t>
            </w:r>
          </w:p>
          <w:p w:rsidR="007A1C4A" w:rsidRPr="000309E1" w:rsidRDefault="007A1C4A" w:rsidP="00754132">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M</w:t>
            </w:r>
            <w:r w:rsidRPr="000309E1">
              <w:rPr>
                <w:rFonts w:ascii="Calibri" w:hAnsi="Calibri" w:cs="Arial"/>
                <w:color w:val="000000"/>
                <w:sz w:val="21"/>
                <w:szCs w:val="21"/>
                <w:lang w:eastAsia="en-AU"/>
              </w:rPr>
              <w:t>ore research and evidence required</w:t>
            </w:r>
          </w:p>
        </w:tc>
      </w:tr>
      <w:tr w:rsidR="007A1C4A" w:rsidRPr="000309E1" w:rsidTr="007E2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754132">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8</w:t>
            </w:r>
          </w:p>
        </w:tc>
        <w:tc>
          <w:tcPr>
            <w:tcW w:w="2402"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Pay-for-Performance in Health Care: What Can We Learn From International Experience? (2013) </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&lt;EndNote&gt;&lt;Cite&gt;&lt;Author&gt;Wilson KJ&lt;/Author&gt;&lt;Year&gt;2013&lt;/Year&gt;&lt;RecNum&gt;13393&lt;/RecNum&gt;&lt;record&gt;&lt;rec-number&gt;13393&lt;/rec-number&gt;&lt;foreign-keys&gt;&lt;key app="EN" db-id="5r0eapxzsestz4er5zaxe5zqz99fvpawedp5"&gt;13393&lt;/key&gt;&lt;/foreign-keys&gt;&lt;ref-type name="Journal Article"&gt;17&lt;/ref-type&gt;&lt;contributors&gt;&lt;authors&gt;&lt;author&gt;Wilson KJ,&lt;/author&gt;&lt;/authors&gt;&lt;/contributors&gt;&lt;titles&gt;&lt;title&gt;Pay-for-Performance in Health Care: What Can We Learn From International Experience?&lt;/title&gt;&lt;secondary-title&gt;Quality Management in Health Care&lt;/secondary-title&gt;&lt;/titles&gt;&lt;periodical&gt;&lt;full-title&gt;Quality Management in Health Care&lt;/full-title&gt;&lt;/periodical&gt;&lt;pages&gt;2-15&lt;/pages&gt;&lt;volume&gt;22&lt;/volume&gt;&lt;number&gt;1&lt;/number&gt;&lt;dates&gt;&lt;year&gt;2013&lt;/year&gt;&lt;/dates&gt;&lt;urls&gt;&lt;related-urls&gt;&lt;url&gt;http://journals.lww.com/qmhcjournal/pages/default.aspx&lt;/url&gt;&lt;/related-urls&gt;&lt;/urls&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9</w:t>
            </w:r>
            <w:r w:rsidRPr="000309E1">
              <w:rPr>
                <w:rFonts w:ascii="Calibri" w:hAnsi="Calibri" w:cs="Arial"/>
                <w:sz w:val="21"/>
                <w:szCs w:val="21"/>
                <w:lang w:eastAsia="en-AU"/>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Wilson KJ</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Quality </w:t>
            </w:r>
            <w:r>
              <w:rPr>
                <w:rFonts w:ascii="Calibri" w:hAnsi="Calibri" w:cs="Arial"/>
                <w:color w:val="000000"/>
                <w:sz w:val="21"/>
                <w:szCs w:val="21"/>
                <w:lang w:eastAsia="en-AU"/>
              </w:rPr>
              <w:t>Manage</w:t>
            </w:r>
            <w:r w:rsidRPr="00986B08">
              <w:rPr>
                <w:rFonts w:ascii="Calibri" w:hAnsi="Calibri" w:cs="Arial"/>
                <w:color w:val="000000"/>
                <w:sz w:val="21"/>
                <w:szCs w:val="21"/>
                <w:lang w:eastAsia="en-AU"/>
              </w:rPr>
              <w:t>ment</w:t>
            </w:r>
            <w:r w:rsidRPr="000309E1">
              <w:rPr>
                <w:rFonts w:ascii="Calibri" w:hAnsi="Calibri" w:cs="Arial"/>
                <w:color w:val="000000"/>
                <w:sz w:val="21"/>
                <w:szCs w:val="21"/>
                <w:lang w:eastAsia="en-AU"/>
              </w:rPr>
              <w:t xml:space="preserve"> in Health Care</w:t>
            </w:r>
          </w:p>
        </w:tc>
        <w:tc>
          <w:tcPr>
            <w:tcW w:w="142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Opinion piece</w:t>
            </w:r>
            <w:r w:rsidRPr="000309E1">
              <w:rPr>
                <w:rFonts w:ascii="Calibri" w:hAnsi="Calibri" w:cs="Arial"/>
                <w:color w:val="000000"/>
                <w:sz w:val="21"/>
                <w:szCs w:val="21"/>
                <w:lang w:eastAsia="en-AU"/>
              </w:rPr>
              <w:br/>
              <w:t>Summary</w:t>
            </w:r>
          </w:p>
        </w:tc>
        <w:tc>
          <w:tcPr>
            <w:tcW w:w="1959"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N/A</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N/A</w:t>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various</w:t>
            </w:r>
          </w:p>
        </w:tc>
        <w:tc>
          <w:tcPr>
            <w:tcW w:w="1401"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N/A</w:t>
            </w:r>
          </w:p>
        </w:tc>
        <w:tc>
          <w:tcPr>
            <w:tcW w:w="1263"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N/A</w:t>
            </w:r>
          </w:p>
        </w:tc>
        <w:tc>
          <w:tcPr>
            <w:tcW w:w="1787" w:type="dxa"/>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N/A</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0309E1" w:rsidRDefault="007A1C4A" w:rsidP="00754132">
            <w:pPr>
              <w:spacing w:before="20" w:after="20" w:line="264" w:lineRule="auto"/>
              <w:rPr>
                <w:rFonts w:ascii="Calibri" w:hAnsi="Calibri" w:cs="Arial"/>
                <w:sz w:val="21"/>
                <w:szCs w:val="21"/>
                <w:lang w:eastAsia="en-AU"/>
              </w:rPr>
            </w:pPr>
            <w:r w:rsidRPr="000309E1">
              <w:rPr>
                <w:rFonts w:ascii="Calibri" w:hAnsi="Calibri" w:cs="Arial"/>
                <w:sz w:val="21"/>
                <w:szCs w:val="21"/>
                <w:lang w:eastAsia="en-AU"/>
              </w:rPr>
              <w:t>Despite broad international experience with pay-for-performance, evidence of its impact is limited, frequently conflicting, focuses largely on improvements in the provision and structure of care rather than health outcomes, and tends to generate more questions than it does answers.</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9</w:t>
            </w:r>
          </w:p>
        </w:tc>
        <w:tc>
          <w:tcPr>
            <w:tcW w:w="2402"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sz w:val="21"/>
                <w:szCs w:val="21"/>
                <w:vertAlign w:val="superscript"/>
                <w:lang w:eastAsia="en-AU"/>
              </w:rPr>
            </w:pPr>
            <w:r w:rsidRPr="000309E1">
              <w:rPr>
                <w:rFonts w:ascii="Calibri" w:hAnsi="Calibri" w:cs="Arial"/>
                <w:sz w:val="21"/>
                <w:szCs w:val="21"/>
                <w:lang w:eastAsia="en-AU"/>
              </w:rPr>
              <w:t xml:space="preserve">Managing Pay for Performance: Aligning social science research with budget predictability (2012) </w:t>
            </w:r>
            <w:r w:rsidRPr="000309E1">
              <w:rPr>
                <w:rFonts w:ascii="Calibri" w:hAnsi="Calibri" w:cs="Arial"/>
                <w:sz w:val="21"/>
                <w:szCs w:val="21"/>
                <w:lang w:eastAsia="en-AU"/>
              </w:rPr>
              <w:fldChar w:fldCharType="begin"/>
            </w:r>
            <w:r w:rsidRPr="000309E1">
              <w:rPr>
                <w:rFonts w:ascii="Calibri" w:hAnsi="Calibri" w:cs="Arial"/>
                <w:sz w:val="21"/>
                <w:szCs w:val="21"/>
                <w:lang w:eastAsia="en-AU"/>
              </w:rPr>
              <w:instrText xml:space="preserve"> ADDIN EN.CITE &lt;EndNote&gt;&lt;Cite&gt;&lt;Author&gt;Rosenau&lt;/Author&gt;&lt;Year&gt;2012&lt;/Year&gt;&lt;RecNum&gt;13400&lt;/RecNum&gt;&lt;record&gt;&lt;rec-number&gt;13400&lt;/rec-number&gt;&lt;foreign-keys&gt;&lt;key app="EN" db-id="5r0eapxzsestz4er5zaxe5zqz99fvpawedp5"&gt;13400&lt;/key&gt;&lt;/foreign-keys&gt;&lt;ref-type name="Journal Article"&gt;17&lt;/ref-type&gt;&lt;contributors&gt;&lt;authors&gt;&lt;author&gt;Rosenau, Pauline Vaillancourt&lt;/author&gt;&lt;author&gt;Lal, Lincy S.&lt;/author&gt;&lt;author&gt;Lako, Christiaan&lt;/author&gt;&lt;/authors&gt;&lt;/contributors&gt;&lt;titles&gt;&lt;title&gt;Managing Pay for Performance: Aligning Social Science Research with Budget Predictability&lt;/title&gt;&lt;secondary-title&gt;Journal of Healthcare Management&lt;/secondary-title&gt;&lt;/titles&gt;&lt;periodical&gt;&lt;full-title&gt;Journal of Healthcare Management&lt;/full-title&gt;&lt;/periodical&gt;&lt;pages&gt;391-404&lt;/pages&gt;&lt;volume&gt;57&lt;/volume&gt;&lt;number&gt;6&lt;/number&gt;&lt;keywords&gt;&lt;keyword&gt;BUDGET&lt;/keyword&gt;&lt;keyword&gt;INCENTIVES in industry&lt;/keyword&gt;&lt;keyword&gt;INVESTMENTS&lt;/keyword&gt;&lt;keyword&gt;MEDICAL care cost control&lt;/keyword&gt;&lt;keyword&gt;PAY for performance&lt;/keyword&gt;&lt;keyword&gt;HUMAN services programs -- Methodology&lt;/keyword&gt;&lt;keyword&gt;BEHAVIOR modification&lt;/keyword&gt;&lt;keyword&gt;COOPERATIVENESS&lt;/keyword&gt;&lt;keyword&gt;MOTIVATION (Psychology)&lt;/keyword&gt;&lt;keyword&gt;REINFORCEMENT (Psychology)&lt;/keyword&gt;&lt;keyword&gt;REWARD (Psychology)&lt;/keyword&gt;&lt;keyword&gt;TIME&lt;/keyword&gt;&lt;keyword&gt;PREDICTIVE validity&lt;/keyword&gt;&lt;/keywords&gt;&lt;dates&gt;&lt;year&gt;2012&lt;/year&gt;&lt;/dates&gt;&lt;publisher&gt;American College of Healthcare Executives&lt;/publisher&gt;&lt;isbn&gt;10969012&lt;/isbn&gt;&lt;work-type&gt;Article&lt;/work-type&gt;&lt;urls&gt;&lt;related-urls&gt;&lt;url&gt;http://search.ebscohost.com/login.aspx?direct=true&amp;amp;db=buh&amp;amp;AN=83778565&amp;amp;site=bsi-live&lt;/url&gt;&lt;/related-urls&gt;&lt;/urls&gt;&lt;remote-database-name&gt;buh&lt;/remote-database-name&gt;&lt;remote-database-provider&gt;EBSCOhost&lt;/remote-database-provider&gt;&lt;/record&gt;&lt;/Cite&gt;&lt;/EndNote&gt;</w:instrText>
            </w:r>
            <w:r w:rsidRPr="000309E1">
              <w:rPr>
                <w:rFonts w:ascii="Calibri" w:hAnsi="Calibri" w:cs="Arial"/>
                <w:sz w:val="21"/>
                <w:szCs w:val="21"/>
                <w:lang w:eastAsia="en-AU"/>
              </w:rPr>
              <w:fldChar w:fldCharType="separate"/>
            </w:r>
            <w:r w:rsidRPr="000309E1">
              <w:rPr>
                <w:rFonts w:ascii="Calibri" w:hAnsi="Calibri" w:cs="Arial"/>
                <w:noProof/>
                <w:sz w:val="21"/>
                <w:szCs w:val="21"/>
                <w:vertAlign w:val="superscript"/>
                <w:lang w:eastAsia="en-AU"/>
              </w:rPr>
              <w:t>10</w:t>
            </w:r>
            <w:r w:rsidRPr="000309E1">
              <w:rPr>
                <w:rFonts w:ascii="Calibri" w:hAnsi="Calibri" w:cs="Arial"/>
                <w:sz w:val="21"/>
                <w:szCs w:val="21"/>
                <w:lang w:eastAsia="en-AU"/>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80663D" w:rsidRDefault="007A1C4A" w:rsidP="00346E2C">
            <w:pPr>
              <w:spacing w:before="20" w:after="20" w:line="264" w:lineRule="auto"/>
              <w:rPr>
                <w:rFonts w:ascii="Calibri" w:hAnsi="Calibri" w:cs="Arial"/>
                <w:color w:val="000000"/>
                <w:sz w:val="21"/>
                <w:szCs w:val="21"/>
                <w:lang w:val="fr-FR" w:eastAsia="en-AU"/>
              </w:rPr>
            </w:pPr>
            <w:r w:rsidRPr="0080663D">
              <w:rPr>
                <w:rFonts w:ascii="Calibri" w:hAnsi="Calibri" w:cs="Arial"/>
                <w:sz w:val="21"/>
                <w:szCs w:val="21"/>
                <w:lang w:val="fr-FR" w:eastAsia="en-AU"/>
              </w:rPr>
              <w:t>Rosenau PV Lal LS          Lako C</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Journal of Healthcare Management </w:t>
            </w:r>
          </w:p>
        </w:tc>
        <w:tc>
          <w:tcPr>
            <w:tcW w:w="1428"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Synopsis of research on P4P implement-tation </w:t>
            </w:r>
          </w:p>
        </w:tc>
        <w:tc>
          <w:tcPr>
            <w:tcW w:w="1959"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P4P</w:t>
            </w:r>
          </w:p>
        </w:tc>
        <w:tc>
          <w:tcPr>
            <w:tcW w:w="1426"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Various </w:t>
            </w:r>
          </w:p>
        </w:tc>
        <w:tc>
          <w:tcPr>
            <w:tcW w:w="1248"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USA</w:t>
            </w:r>
          </w:p>
        </w:tc>
        <w:tc>
          <w:tcPr>
            <w:tcW w:w="1401"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Individual health service organisations</w:t>
            </w:r>
          </w:p>
        </w:tc>
        <w:tc>
          <w:tcPr>
            <w:tcW w:w="1263"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All</w:t>
            </w:r>
          </w:p>
        </w:tc>
        <w:tc>
          <w:tcPr>
            <w:tcW w:w="1787" w:type="dxa"/>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Various </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P4P is a ‘blunt tool</w:t>
            </w:r>
          </w:p>
          <w:p w:rsidR="007A1C4A" w:rsidRPr="000309E1"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E</w:t>
            </w:r>
            <w:r w:rsidRPr="000309E1">
              <w:rPr>
                <w:rFonts w:ascii="Calibri" w:hAnsi="Calibri" w:cs="Arial"/>
                <w:color w:val="000000"/>
                <w:sz w:val="21"/>
                <w:szCs w:val="21"/>
                <w:lang w:eastAsia="en-AU"/>
              </w:rPr>
              <w:t>vidence for its efficacy is inconclusive</w:t>
            </w:r>
          </w:p>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Implementation difficult in resource-constrained environment and fixed budgets</w:t>
            </w:r>
          </w:p>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Evidence from other disciplines presented</w:t>
            </w:r>
          </w:p>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Ideally P4P systems should focus on (a) rewards not penalties and (b) align quality improvement with cost reduction </w:t>
            </w:r>
          </w:p>
          <w:p w:rsidR="007A1C4A" w:rsidRPr="000309E1" w:rsidRDefault="007A1C4A" w:rsidP="00346E2C">
            <w:pPr>
              <w:spacing w:before="20" w:after="20" w:line="264" w:lineRule="auto"/>
              <w:rPr>
                <w:rFonts w:ascii="Calibri" w:hAnsi="Calibri" w:cs="Arial"/>
                <w:color w:val="000000"/>
                <w:sz w:val="21"/>
                <w:szCs w:val="21"/>
                <w:lang w:eastAsia="en-AU"/>
              </w:rPr>
            </w:pPr>
            <w:r w:rsidRPr="000309E1">
              <w:rPr>
                <w:rFonts w:ascii="Calibri" w:hAnsi="Calibri" w:cs="Arial"/>
                <w:color w:val="000000"/>
                <w:sz w:val="21"/>
                <w:szCs w:val="21"/>
                <w:lang w:eastAsia="en-AU"/>
              </w:rPr>
              <w:t xml:space="preserve">Mainly focused on applying P4P </w:t>
            </w:r>
            <w:r w:rsidRPr="000309E1">
              <w:rPr>
                <w:rFonts w:ascii="Calibri" w:hAnsi="Calibri" w:cs="Arial"/>
                <w:i/>
                <w:color w:val="000000"/>
                <w:sz w:val="21"/>
                <w:szCs w:val="21"/>
                <w:lang w:eastAsia="en-AU"/>
              </w:rPr>
              <w:t xml:space="preserve">within </w:t>
            </w:r>
            <w:r w:rsidRPr="000309E1">
              <w:rPr>
                <w:rFonts w:ascii="Calibri" w:hAnsi="Calibri" w:cs="Arial"/>
                <w:color w:val="000000"/>
                <w:sz w:val="21"/>
                <w:szCs w:val="21"/>
                <w:lang w:eastAsia="en-AU"/>
              </w:rPr>
              <w:t>organisation</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986B08">
              <w:rPr>
                <w:rFonts w:ascii="Calibri" w:hAnsi="Calibri" w:cs="Arial"/>
                <w:b/>
                <w:color w:val="FFFFFF"/>
                <w:sz w:val="21"/>
                <w:szCs w:val="21"/>
                <w:lang w:eastAsia="en-AU"/>
              </w:rPr>
              <w:t>10</w:t>
            </w:r>
          </w:p>
        </w:tc>
        <w:tc>
          <w:tcPr>
            <w:tcW w:w="2402"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sz w:val="21"/>
              </w:rPr>
            </w:pPr>
            <w:r w:rsidRPr="00085D0F">
              <w:rPr>
                <w:rFonts w:ascii="Calibri" w:eastAsia="MS Mincho" w:hAnsi="Calibri"/>
                <w:sz w:val="21"/>
                <w:lang w:val="en-US"/>
              </w:rPr>
              <w:t>Time to Get Serious About Pay for Performance (2013)</w:t>
            </w:r>
            <w:r w:rsidRPr="00085D0F">
              <w:rPr>
                <w:rFonts w:ascii="Calibri" w:eastAsia="MS Mincho" w:hAnsi="Calibri"/>
                <w:sz w:val="21"/>
                <w:lang w:val="en-US"/>
              </w:rPr>
              <w:fldChar w:fldCharType="begin"/>
            </w:r>
            <w:r w:rsidRPr="00085D0F">
              <w:rPr>
                <w:rFonts w:ascii="Calibri" w:eastAsia="MS Mincho" w:hAnsi="Calibri"/>
                <w:sz w:val="21"/>
                <w:lang w:val="en-US"/>
              </w:rPr>
              <w:instrText xml:space="preserve"> ADDIN EN.CITE &lt;EndNote&gt;&lt;Cite&gt;&lt;Author&gt;Jha AK&lt;/Author&gt;&lt;Year&gt;2013&lt;/Year&gt;&lt;RecNum&gt;13406&lt;/RecNum&gt;&lt;record&gt;&lt;rec-number&gt;13406&lt;/rec-number&gt;&lt;foreign-keys&gt;&lt;key app="EN" db-id="5r0eapxzsestz4er5zaxe5zqz99fvpawedp5"&gt;13406&lt;/key&gt;&lt;/foreign-keys&gt;&lt;ref-type name="Journal Article"&gt;17&lt;/ref-type&gt;&lt;contributors&gt;&lt;authors&gt;&lt;author&gt;Jha AK,&lt;/author&gt;&lt;/authors&gt;&lt;/contributors&gt;&lt;titles&gt;&lt;title&gt;Time to Get Serious About Pay for Performance&lt;/title&gt;&lt;secondary-title&gt;Journal of the American Medical Association&lt;/secondary-title&gt;&lt;/titles&gt;&lt;periodical&gt;&lt;full-title&gt;Journal of the American Medical Association&lt;/full-title&gt;&lt;/periodical&gt;&lt;pages&gt;347-348&lt;/pages&gt;&lt;volume&gt;309&lt;/volume&gt;&lt;number&gt;4&lt;/number&gt;&lt;dates&gt;&lt;year&gt;2013&lt;/year&gt;&lt;/dates&gt;&lt;urls&gt;&lt;/urls&gt;&lt;/record&gt;&lt;/Cite&gt;&lt;/EndNote&gt;</w:instrText>
            </w:r>
            <w:r w:rsidRPr="00085D0F">
              <w:rPr>
                <w:rFonts w:ascii="Calibri" w:eastAsia="MS Mincho" w:hAnsi="Calibri"/>
                <w:sz w:val="21"/>
                <w:lang w:val="en-US"/>
              </w:rPr>
              <w:fldChar w:fldCharType="separate"/>
            </w:r>
            <w:r w:rsidRPr="00085D0F">
              <w:rPr>
                <w:rFonts w:ascii="Calibri" w:eastAsia="MS Mincho" w:hAnsi="Calibri"/>
                <w:sz w:val="21"/>
                <w:vertAlign w:val="superscript"/>
                <w:lang w:val="en-US"/>
              </w:rPr>
              <w:t>11</w:t>
            </w:r>
            <w:r w:rsidRPr="00085D0F">
              <w:rPr>
                <w:rFonts w:ascii="Calibri" w:eastAsia="MS Mincho" w:hAnsi="Calibri"/>
                <w:sz w:val="21"/>
                <w:lang w:val="en-US"/>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sz w:val="21"/>
              </w:rPr>
            </w:pPr>
            <w:r w:rsidRPr="00085D0F">
              <w:rPr>
                <w:rFonts w:ascii="Calibri" w:hAnsi="Calibri"/>
                <w:sz w:val="21"/>
              </w:rPr>
              <w:t>Jha AK</w:t>
            </w:r>
          </w:p>
        </w:tc>
        <w:tc>
          <w:tcPr>
            <w:tcW w:w="1426"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Journal of the American Medical Association</w:t>
            </w:r>
          </w:p>
        </w:tc>
        <w:tc>
          <w:tcPr>
            <w:tcW w:w="1428"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Opinion piece</w:t>
            </w:r>
          </w:p>
        </w:tc>
        <w:tc>
          <w:tcPr>
            <w:tcW w:w="1959"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P4P</w:t>
            </w:r>
          </w:p>
        </w:tc>
        <w:tc>
          <w:tcPr>
            <w:tcW w:w="1426"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 xml:space="preserve">Various </w:t>
            </w:r>
          </w:p>
        </w:tc>
        <w:tc>
          <w:tcPr>
            <w:tcW w:w="1248"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USA</w:t>
            </w:r>
          </w:p>
        </w:tc>
        <w:tc>
          <w:tcPr>
            <w:tcW w:w="1401"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Acute care</w:t>
            </w:r>
          </w:p>
        </w:tc>
        <w:tc>
          <w:tcPr>
            <w:tcW w:w="1263"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Hospitals</w:t>
            </w:r>
          </w:p>
        </w:tc>
        <w:tc>
          <w:tcPr>
            <w:tcW w:w="1787"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Various</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rPr>
            </w:pPr>
            <w:r w:rsidRPr="00085D0F">
              <w:rPr>
                <w:rFonts w:ascii="Calibri" w:hAnsi="Calibri"/>
                <w:color w:val="000000"/>
                <w:sz w:val="22"/>
              </w:rPr>
              <w:t>This is a review/opinion piece on P4P by a prominent researcher in this area. Key points include:</w:t>
            </w:r>
          </w:p>
          <w:p w:rsidR="007A1C4A" w:rsidRPr="00085D0F" w:rsidRDefault="007A1C4A" w:rsidP="00346E2C">
            <w:pPr>
              <w:numPr>
                <w:ilvl w:val="0"/>
                <w:numId w:val="21"/>
              </w:numPr>
              <w:tabs>
                <w:tab w:val="clear" w:pos="360"/>
                <w:tab w:val="num" w:pos="612"/>
              </w:tabs>
              <w:autoSpaceDE w:val="0"/>
              <w:autoSpaceDN w:val="0"/>
              <w:adjustRightInd w:val="0"/>
              <w:ind w:left="612"/>
              <w:rPr>
                <w:rFonts w:ascii="Calibri" w:eastAsia="MS Mincho" w:hAnsi="Calibri"/>
                <w:color w:val="231F20"/>
                <w:lang w:val="en-US"/>
              </w:rPr>
            </w:pPr>
            <w:r w:rsidRPr="00085D0F">
              <w:rPr>
                <w:rFonts w:ascii="Calibri" w:eastAsia="MS Mincho" w:hAnsi="Calibri"/>
                <w:color w:val="231F20"/>
                <w:sz w:val="22"/>
                <w:lang w:val="en-US"/>
              </w:rPr>
              <w:t>Incentives need to be more rationally designed when they target organizations (as opposed to individuals).</w:t>
            </w:r>
          </w:p>
          <w:p w:rsidR="007A1C4A" w:rsidRPr="00085D0F" w:rsidRDefault="007A1C4A" w:rsidP="00346E2C">
            <w:pPr>
              <w:numPr>
                <w:ilvl w:val="0"/>
                <w:numId w:val="21"/>
              </w:numPr>
              <w:tabs>
                <w:tab w:val="clear" w:pos="360"/>
                <w:tab w:val="num" w:pos="612"/>
              </w:tabs>
              <w:autoSpaceDE w:val="0"/>
              <w:autoSpaceDN w:val="0"/>
              <w:adjustRightInd w:val="0"/>
              <w:ind w:left="612"/>
              <w:rPr>
                <w:rFonts w:ascii="Calibri" w:eastAsia="MS Mincho" w:hAnsi="Calibri"/>
                <w:color w:val="231F20"/>
                <w:lang w:val="en-US"/>
              </w:rPr>
            </w:pPr>
            <w:r w:rsidRPr="00085D0F">
              <w:rPr>
                <w:rFonts w:ascii="Calibri" w:eastAsia="MS Mincho" w:hAnsi="Calibri"/>
                <w:color w:val="231F20"/>
                <w:sz w:val="22"/>
                <w:lang w:val="en-US"/>
              </w:rPr>
              <w:t>Incentive structures need to be as simple as possible. Complex formulas that are not intuitively easy to understand or implement are unlikely to engage clinicians in quality improvement and reduce the transparency of an already opaque payment system.</w:t>
            </w:r>
          </w:p>
          <w:p w:rsidR="007A1C4A" w:rsidRPr="00085D0F" w:rsidRDefault="007A1C4A" w:rsidP="00346E2C">
            <w:pPr>
              <w:numPr>
                <w:ilvl w:val="0"/>
                <w:numId w:val="21"/>
              </w:numPr>
              <w:tabs>
                <w:tab w:val="clear" w:pos="360"/>
                <w:tab w:val="num" w:pos="612"/>
              </w:tabs>
              <w:autoSpaceDE w:val="0"/>
              <w:autoSpaceDN w:val="0"/>
              <w:adjustRightInd w:val="0"/>
              <w:ind w:left="612"/>
              <w:rPr>
                <w:rFonts w:ascii="Calibri" w:eastAsia="MS Mincho" w:hAnsi="Calibri"/>
                <w:color w:val="231F20"/>
                <w:lang w:val="en-US"/>
              </w:rPr>
            </w:pPr>
            <w:r w:rsidRPr="00085D0F">
              <w:rPr>
                <w:rFonts w:ascii="Calibri" w:eastAsia="MS Mincho" w:hAnsi="Calibri"/>
                <w:color w:val="231F20"/>
                <w:sz w:val="22"/>
                <w:lang w:val="en-US"/>
              </w:rPr>
              <w:t>Metrics chosen for incentives represent important aspects of hospital care and be clinically meaningful. Both clinicians and patients need to determine which metrics matter most to them.</w:t>
            </w:r>
          </w:p>
          <w:p w:rsidR="007A1C4A" w:rsidRPr="00085D0F" w:rsidRDefault="007A1C4A" w:rsidP="00346E2C">
            <w:pPr>
              <w:numPr>
                <w:ilvl w:val="0"/>
                <w:numId w:val="21"/>
              </w:numPr>
              <w:tabs>
                <w:tab w:val="clear" w:pos="360"/>
                <w:tab w:val="num" w:pos="612"/>
              </w:tabs>
              <w:autoSpaceDE w:val="0"/>
              <w:autoSpaceDN w:val="0"/>
              <w:adjustRightInd w:val="0"/>
              <w:ind w:left="612"/>
              <w:rPr>
                <w:rFonts w:ascii="Calibri" w:eastAsia="MS Mincho" w:hAnsi="Calibri"/>
                <w:color w:val="231F20"/>
                <w:lang w:val="en-US"/>
              </w:rPr>
            </w:pPr>
            <w:r w:rsidRPr="00085D0F">
              <w:rPr>
                <w:rFonts w:ascii="Calibri" w:eastAsia="MS Mincho" w:hAnsi="Calibri"/>
                <w:color w:val="231F20"/>
                <w:sz w:val="22"/>
                <w:lang w:val="en-US"/>
              </w:rPr>
              <w:t xml:space="preserve">Performance and the payment losses associated with that performance should be published in as close to real time as possible. </w:t>
            </w:r>
          </w:p>
          <w:p w:rsidR="007A1C4A" w:rsidRPr="00085D0F" w:rsidRDefault="007A1C4A" w:rsidP="00346E2C">
            <w:pPr>
              <w:numPr>
                <w:ilvl w:val="0"/>
                <w:numId w:val="21"/>
              </w:numPr>
              <w:tabs>
                <w:tab w:val="clear" w:pos="360"/>
                <w:tab w:val="num" w:pos="612"/>
              </w:tabs>
              <w:autoSpaceDE w:val="0"/>
              <w:autoSpaceDN w:val="0"/>
              <w:adjustRightInd w:val="0"/>
              <w:ind w:left="612"/>
              <w:rPr>
                <w:rFonts w:ascii="Calibri" w:eastAsia="MS Mincho" w:hAnsi="Calibri"/>
                <w:color w:val="231F20"/>
                <w:lang w:val="en-US"/>
              </w:rPr>
            </w:pPr>
            <w:r w:rsidRPr="00085D0F">
              <w:rPr>
                <w:rFonts w:ascii="Calibri" w:eastAsia="MS Mincho" w:hAnsi="Calibri"/>
                <w:color w:val="231F20"/>
                <w:sz w:val="22"/>
                <w:lang w:val="en-US"/>
              </w:rPr>
              <w:t>Clinicians should be provided with that information.</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11</w:t>
            </w:r>
          </w:p>
        </w:tc>
        <w:tc>
          <w:tcPr>
            <w:tcW w:w="2402"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eastAsia="MS Mincho" w:hAnsi="Calibri"/>
                <w:sz w:val="21"/>
                <w:lang w:val="en-US"/>
              </w:rPr>
            </w:pPr>
            <w:r w:rsidRPr="00085D0F">
              <w:rPr>
                <w:rFonts w:ascii="Calibri" w:eastAsia="MS Mincho" w:hAnsi="Calibri"/>
                <w:sz w:val="21"/>
                <w:lang w:val="en-US"/>
              </w:rPr>
              <w:t>Tension Between Quality Measurement, Public Quality Reporting, and Pay for Performance (2013)</w:t>
            </w:r>
            <w:r w:rsidRPr="00085D0F">
              <w:rPr>
                <w:rFonts w:ascii="Calibri" w:eastAsia="MS Mincho" w:hAnsi="Calibri"/>
                <w:sz w:val="21"/>
                <w:lang w:val="en-US"/>
              </w:rPr>
              <w:fldChar w:fldCharType="begin"/>
            </w:r>
            <w:r w:rsidRPr="00085D0F">
              <w:rPr>
                <w:rFonts w:ascii="Calibri" w:eastAsia="MS Mincho" w:hAnsi="Calibri"/>
                <w:sz w:val="21"/>
                <w:lang w:val="en-US"/>
              </w:rPr>
              <w:instrText xml:space="preserve"> ADDIN EN.CITE &lt;EndNote&gt;&lt;Cite&gt;&lt;Author&gt;Farmer SA&lt;/Author&gt;&lt;Year&gt;2013&lt;/Year&gt;&lt;RecNum&gt;13405&lt;/RecNum&gt;&lt;record&gt;&lt;rec-number&gt;13405&lt;/rec-number&gt;&lt;foreign-keys&gt;&lt;key app="EN" db-id="5r0eapxzsestz4er5zaxe5zqz99fvpawedp5"&gt;13405&lt;/key&gt;&lt;/foreign-keys&gt;&lt;ref-type name="Journal Article"&gt;17&lt;/ref-type&gt;&lt;contributors&gt;&lt;authors&gt;&lt;author&gt;Farmer SA,&lt;/author&gt;&lt;author&gt;Black B,&lt;/author&gt;&lt;author&gt;Bonow RO,&lt;/author&gt;&lt;/authors&gt;&lt;/contributors&gt;&lt;titles&gt;&lt;title&gt;Tension Between Quality Measurement, Public Quality Reporting, and Pay for Performance&lt;/title&gt;&lt;secondary-title&gt;Journal of the American Medical Association&lt;/secondary-title&gt;&lt;/titles&gt;&lt;periodical&gt;&lt;full-title&gt;Journal of the American Medical Association&lt;/full-title&gt;&lt;/periodical&gt;&lt;pages&gt;349-350&lt;/pages&gt;&lt;volume&gt;309&lt;/volume&gt;&lt;number&gt;4&lt;/number&gt;&lt;dates&gt;&lt;year&gt;2013&lt;/year&gt;&lt;/dates&gt;&lt;urls&gt;&lt;/urls&gt;&lt;/record&gt;&lt;/Cite&gt;&lt;/EndNote&gt;</w:instrText>
            </w:r>
            <w:r w:rsidRPr="00085D0F">
              <w:rPr>
                <w:rFonts w:ascii="Calibri" w:eastAsia="MS Mincho" w:hAnsi="Calibri"/>
                <w:sz w:val="21"/>
                <w:lang w:val="en-US"/>
              </w:rPr>
              <w:fldChar w:fldCharType="separate"/>
            </w:r>
            <w:r w:rsidRPr="00085D0F">
              <w:rPr>
                <w:rFonts w:ascii="Calibri" w:eastAsia="MS Mincho" w:hAnsi="Calibri"/>
                <w:sz w:val="21"/>
                <w:vertAlign w:val="superscript"/>
                <w:lang w:val="en-US"/>
              </w:rPr>
              <w:t>12</w:t>
            </w:r>
            <w:r w:rsidRPr="00085D0F">
              <w:rPr>
                <w:rFonts w:ascii="Calibri" w:eastAsia="MS Mincho" w:hAnsi="Calibri"/>
                <w:sz w:val="21"/>
                <w:lang w:val="en-US"/>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sz w:val="21"/>
                <w:lang w:val="en-US"/>
              </w:rPr>
            </w:pPr>
            <w:r w:rsidRPr="00085D0F">
              <w:rPr>
                <w:rFonts w:ascii="Calibri" w:eastAsia="MS Mincho" w:hAnsi="Calibri"/>
                <w:sz w:val="21"/>
                <w:lang w:val="en-US"/>
              </w:rPr>
              <w:t>Farmer SA Black B Bonow RO</w:t>
            </w:r>
          </w:p>
        </w:tc>
        <w:tc>
          <w:tcPr>
            <w:tcW w:w="1426"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lang w:val="en-US"/>
              </w:rPr>
            </w:pPr>
            <w:r w:rsidRPr="00085D0F">
              <w:rPr>
                <w:rFonts w:ascii="Calibri" w:hAnsi="Calibri"/>
                <w:color w:val="000000"/>
                <w:sz w:val="21"/>
              </w:rPr>
              <w:t>Journal of the American Medical Association</w:t>
            </w:r>
          </w:p>
        </w:tc>
        <w:tc>
          <w:tcPr>
            <w:tcW w:w="1428"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Opinion citing studies on data reliability</w:t>
            </w:r>
          </w:p>
        </w:tc>
        <w:tc>
          <w:tcPr>
            <w:tcW w:w="1959"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P4P</w:t>
            </w:r>
          </w:p>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Public reporting</w:t>
            </w:r>
          </w:p>
        </w:tc>
        <w:tc>
          <w:tcPr>
            <w:tcW w:w="1426"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Various</w:t>
            </w:r>
          </w:p>
        </w:tc>
        <w:tc>
          <w:tcPr>
            <w:tcW w:w="1248"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USA</w:t>
            </w:r>
          </w:p>
        </w:tc>
        <w:tc>
          <w:tcPr>
            <w:tcW w:w="1401"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Acute care</w:t>
            </w:r>
          </w:p>
        </w:tc>
        <w:tc>
          <w:tcPr>
            <w:tcW w:w="1263"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Hospitals</w:t>
            </w:r>
          </w:p>
        </w:tc>
        <w:tc>
          <w:tcPr>
            <w:tcW w:w="1787" w:type="dxa"/>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20" w:after="20" w:line="264" w:lineRule="auto"/>
              <w:rPr>
                <w:rFonts w:ascii="Calibri" w:hAnsi="Calibri"/>
                <w:color w:val="000000"/>
                <w:sz w:val="21"/>
              </w:rPr>
            </w:pPr>
            <w:r w:rsidRPr="00085D0F">
              <w:rPr>
                <w:rFonts w:ascii="Calibri" w:hAnsi="Calibri"/>
                <w:color w:val="000000"/>
                <w:sz w:val="21"/>
              </w:rPr>
              <w:t>Various</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085D0F" w:rsidRDefault="007A1C4A" w:rsidP="00346E2C">
            <w:pPr>
              <w:spacing w:before="40" w:after="20" w:line="264" w:lineRule="auto"/>
              <w:rPr>
                <w:rFonts w:ascii="Calibri" w:hAnsi="Calibri"/>
                <w:color w:val="000000"/>
              </w:rPr>
            </w:pPr>
            <w:r w:rsidRPr="00085D0F">
              <w:rPr>
                <w:rFonts w:ascii="Calibri" w:hAnsi="Calibri"/>
                <w:color w:val="000000"/>
                <w:sz w:val="22"/>
              </w:rPr>
              <w:t xml:space="preserve">There are inherent risks of gaming when using administrative data for ‘performance’ purposes. </w:t>
            </w:r>
          </w:p>
          <w:p w:rsidR="007A1C4A" w:rsidRPr="00085D0F" w:rsidRDefault="007A1C4A" w:rsidP="00346E2C">
            <w:pPr>
              <w:spacing w:before="40" w:after="20" w:line="264" w:lineRule="auto"/>
              <w:rPr>
                <w:rFonts w:ascii="Calibri" w:hAnsi="Calibri"/>
                <w:color w:val="000000"/>
              </w:rPr>
            </w:pPr>
            <w:r w:rsidRPr="00085D0F">
              <w:rPr>
                <w:rFonts w:ascii="Calibri" w:hAnsi="Calibri"/>
                <w:color w:val="000000"/>
                <w:sz w:val="22"/>
              </w:rPr>
              <w:t xml:space="preserve">Questions hang over the reliability of these data to accurately reflect outcomes when also used to indicate performance. </w:t>
            </w:r>
          </w:p>
          <w:p w:rsidR="007A1C4A" w:rsidRPr="00085D0F" w:rsidRDefault="007A1C4A" w:rsidP="00346E2C">
            <w:pPr>
              <w:spacing w:before="40" w:after="20" w:line="264" w:lineRule="auto"/>
              <w:rPr>
                <w:rFonts w:ascii="Calibri" w:hAnsi="Calibri"/>
                <w:color w:val="000000"/>
              </w:rPr>
            </w:pPr>
            <w:r w:rsidRPr="00085D0F">
              <w:rPr>
                <w:rFonts w:ascii="Calibri" w:hAnsi="Calibri"/>
                <w:color w:val="000000"/>
                <w:sz w:val="22"/>
              </w:rPr>
              <w:t>Coding for foreign objects left in the body (PSI-5) and CLABSI (PSI-7) both reduced by 50% when non-payment for these outcomes was introduced in 2008. However, independent audit indicates no change in PSI-5 and a slight increase in PSI-7 at that time.</w:t>
            </w:r>
          </w:p>
          <w:p w:rsidR="007A1C4A" w:rsidRDefault="007A1C4A" w:rsidP="00346E2C">
            <w:pPr>
              <w:spacing w:before="20" w:after="20" w:line="264" w:lineRule="auto"/>
              <w:rPr>
                <w:rFonts w:ascii="Calibri" w:hAnsi="Calibri" w:cs="Arial"/>
                <w:color w:val="000000"/>
                <w:szCs w:val="22"/>
                <w:highlight w:val="yellow"/>
                <w:lang w:eastAsia="en-AU"/>
              </w:rPr>
            </w:pPr>
            <w:r w:rsidRPr="00085D0F">
              <w:rPr>
                <w:rFonts w:ascii="Calibri" w:hAnsi="Calibri"/>
                <w:color w:val="000000"/>
                <w:sz w:val="22"/>
              </w:rPr>
              <w:t xml:space="preserve">Subjecting coded data to P4P and/or public reporting can undermine the accuracy of information if no alternatives are available. </w:t>
            </w:r>
          </w:p>
          <w:p w:rsidR="007A1C4A" w:rsidRPr="00085D0F" w:rsidRDefault="007A1C4A" w:rsidP="00346E2C">
            <w:pPr>
              <w:spacing w:before="40" w:after="20" w:line="264" w:lineRule="auto"/>
              <w:rPr>
                <w:rFonts w:ascii="Calibri" w:hAnsi="Calibri"/>
                <w:color w:val="000000"/>
              </w:rPr>
            </w:pPr>
            <w:r w:rsidRPr="00085D0F">
              <w:rPr>
                <w:rFonts w:ascii="Calibri" w:hAnsi="Calibri"/>
                <w:color w:val="000000"/>
                <w:sz w:val="22"/>
              </w:rPr>
              <w:t xml:space="preserve">This can undermine the aim of quality improvement. </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2"/>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7E7C0A" w:rsidRDefault="007A1C4A" w:rsidP="00346E2C">
            <w:pPr>
              <w:spacing w:before="20" w:after="20" w:line="264" w:lineRule="auto"/>
              <w:rPr>
                <w:rFonts w:ascii="Calibri" w:hAnsi="Calibri" w:cs="Arial"/>
                <w:b/>
                <w:color w:val="FFFFFF"/>
                <w:sz w:val="21"/>
                <w:szCs w:val="21"/>
                <w:lang w:eastAsia="en-AU"/>
              </w:rPr>
            </w:pPr>
          </w:p>
        </w:tc>
        <w:tc>
          <w:tcPr>
            <w:tcW w:w="2402"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248"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426"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428"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959"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Model(s) investigated</w:t>
            </w:r>
          </w:p>
        </w:tc>
        <w:tc>
          <w:tcPr>
            <w:tcW w:w="1426"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Funding mechanism</w:t>
            </w:r>
          </w:p>
        </w:tc>
        <w:tc>
          <w:tcPr>
            <w:tcW w:w="1248"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401"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Area of focus</w:t>
            </w:r>
          </w:p>
        </w:tc>
        <w:tc>
          <w:tcPr>
            <w:tcW w:w="1263"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Context &amp; setting</w:t>
            </w:r>
          </w:p>
        </w:tc>
        <w:tc>
          <w:tcPr>
            <w:tcW w:w="1787"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Magnitude of the incentive</w:t>
            </w:r>
          </w:p>
        </w:tc>
        <w:tc>
          <w:tcPr>
            <w:tcW w:w="3218"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Results / impact</w:t>
            </w:r>
          </w:p>
        </w:tc>
        <w:tc>
          <w:tcPr>
            <w:tcW w:w="3218" w:type="dxa"/>
            <w:gridSpan w:val="3"/>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DC6960">
              <w:rPr>
                <w:rFonts w:ascii="Calibri" w:hAnsi="Calibri" w:cs="Arial"/>
                <w:b/>
                <w:color w:val="FFFFFF"/>
                <w:sz w:val="21"/>
                <w:szCs w:val="21"/>
                <w:lang w:eastAsia="en-AU"/>
              </w:rPr>
              <w:t>Key points</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7E7C0A" w:rsidRDefault="007A1C4A" w:rsidP="00346E2C">
            <w:pPr>
              <w:spacing w:before="20" w:after="20" w:line="264" w:lineRule="auto"/>
              <w:rPr>
                <w:rFonts w:ascii="Calibri" w:hAnsi="Calibri" w:cs="Arial"/>
                <w:b/>
                <w:color w:val="FFFFFF"/>
                <w:sz w:val="21"/>
                <w:szCs w:val="21"/>
                <w:lang w:eastAsia="en-AU"/>
              </w:rPr>
            </w:pPr>
            <w:r w:rsidRPr="007E7C0A">
              <w:rPr>
                <w:rFonts w:ascii="Calibri" w:hAnsi="Calibri" w:cs="Arial"/>
                <w:b/>
                <w:color w:val="FFFFFF"/>
                <w:sz w:val="21"/>
                <w:szCs w:val="21"/>
                <w:lang w:eastAsia="en-AU"/>
              </w:rPr>
              <w:t>12</w:t>
            </w:r>
          </w:p>
        </w:tc>
        <w:tc>
          <w:tcPr>
            <w:tcW w:w="2402"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eastAsia="MS Mincho" w:hAnsi="Calibri" w:cs="Arial"/>
                <w:sz w:val="21"/>
                <w:szCs w:val="21"/>
                <w:lang w:val="en-US" w:eastAsia="ja-JP"/>
              </w:rPr>
            </w:pPr>
            <w:r w:rsidRPr="007E7C0A">
              <w:rPr>
                <w:rFonts w:ascii="Calibri" w:eastAsia="MS Mincho" w:hAnsi="Calibri" w:cs="Arial"/>
                <w:sz w:val="21"/>
                <w:szCs w:val="21"/>
                <w:lang w:val="en-US" w:eastAsia="ja-JP"/>
              </w:rPr>
              <w:t>Effects of pay for performance in health care: A systematic review of systematic reviews (2013)</w:t>
            </w:r>
            <w:r>
              <w:rPr>
                <w:rFonts w:ascii="Calibri" w:eastAsia="MS Mincho" w:hAnsi="Calibri" w:cs="Arial"/>
                <w:sz w:val="21"/>
                <w:szCs w:val="21"/>
                <w:lang w:val="en-US" w:eastAsia="ja-JP"/>
              </w:rPr>
              <w:fldChar w:fldCharType="begin"/>
            </w:r>
            <w:r>
              <w:rPr>
                <w:rFonts w:ascii="Calibri" w:eastAsia="MS Mincho" w:hAnsi="Calibri" w:cs="Arial"/>
                <w:sz w:val="21"/>
                <w:szCs w:val="21"/>
                <w:lang w:val="en-US" w:eastAsia="ja-JP"/>
              </w:rPr>
              <w:instrText xml:space="preserve"> ADDIN EN.CITE &lt;EndNote&gt;&lt;Cite&gt;&lt;Author&gt;Eijkenaar&lt;/Author&gt;&lt;RecNum&gt;13411&lt;/RecNum&gt;&lt;record&gt;&lt;rec-number&gt;13411&lt;/rec-number&gt;&lt;foreign-keys&gt;&lt;key app="EN" db-id="5r0eapxzsestz4er5zaxe5zqz99fvpawedp5"&gt;13411&lt;/key&gt;&lt;/foreign-keys&gt;&lt;ref-type name="Journal Article"&gt;17&lt;/ref-type&gt;&lt;contributors&gt;&lt;authors&gt;&lt;author&gt;Eijkenaar, Frank&lt;/author&gt;&lt;author&gt;Emmert, Martin&lt;/author&gt;&lt;author&gt;Scheppach, Manfred&lt;/author&gt;&lt;author&gt;Schöffski, Oliver&lt;/author&gt;&lt;/authors&gt;&lt;/contributors&gt;&lt;titles&gt;&lt;title&gt;Effects of pay for performance in health care: A systematic review of systematic reviews&lt;/title&gt;&lt;secondary-title&gt;Health Policy&lt;/secondary-title&gt;&lt;/titles&gt;&lt;periodical&gt;&lt;full-title&gt;Health Policy&lt;/full-title&gt;&lt;/periodical&gt;&lt;volume&gt;in print&lt;/volume&gt;&lt;keywords&gt;&lt;keyword&gt;Pay-for-performance&lt;/keyword&gt;&lt;keyword&gt;Systematic review&lt;/keyword&gt;&lt;keyword&gt;Effects&lt;/keyword&gt;&lt;keyword&gt;Effectiveness&lt;/keyword&gt;&lt;keyword&gt;Cost-effectiveness&lt;/keyword&gt;&lt;keyword&gt;Unintended consequences&lt;/keyword&gt;&lt;/keywords&gt;&lt;dates&gt;&lt;year&gt;2013&lt;/year&gt;&lt;/dates&gt;&lt;isbn&gt;0168-8510&lt;/isbn&gt;&lt;urls&gt;&lt;related-urls&gt;&lt;url&gt;http://www.sciencedirect.com/science/article/pii/S0168851013000183&lt;/url&gt;&lt;/related-urls&gt;&lt;/urls&gt;&lt;electronic-resource-num&gt;http://dx.doi.org/10.1016/j.healthpol.2013.01.008&lt;/electronic-resource-num&gt;&lt;/record&gt;&lt;/Cite&gt;&lt;/EndNote&gt;</w:instrText>
            </w:r>
            <w:r>
              <w:rPr>
                <w:rFonts w:ascii="Calibri" w:eastAsia="MS Mincho" w:hAnsi="Calibri" w:cs="Arial"/>
                <w:sz w:val="21"/>
                <w:szCs w:val="21"/>
                <w:lang w:val="en-US" w:eastAsia="ja-JP"/>
              </w:rPr>
              <w:fldChar w:fldCharType="separate"/>
            </w:r>
            <w:r w:rsidRPr="007E7C0A">
              <w:rPr>
                <w:rFonts w:ascii="Calibri" w:eastAsia="MS Mincho" w:hAnsi="Calibri" w:cs="Arial"/>
                <w:noProof/>
                <w:sz w:val="21"/>
                <w:szCs w:val="21"/>
                <w:vertAlign w:val="superscript"/>
                <w:lang w:val="en-US" w:eastAsia="ja-JP"/>
              </w:rPr>
              <w:t>13</w:t>
            </w:r>
            <w:r>
              <w:rPr>
                <w:rFonts w:ascii="Calibri" w:eastAsia="MS Mincho" w:hAnsi="Calibri" w:cs="Arial"/>
                <w:sz w:val="21"/>
                <w:szCs w:val="21"/>
                <w:lang w:val="en-US" w:eastAsia="ja-JP"/>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80663D" w:rsidRDefault="007A1C4A" w:rsidP="00346E2C">
            <w:pPr>
              <w:spacing w:before="20" w:after="20" w:line="264" w:lineRule="auto"/>
              <w:rPr>
                <w:rFonts w:ascii="Calibri" w:eastAsia="MS Mincho" w:hAnsi="Calibri" w:cs="Arial"/>
                <w:sz w:val="21"/>
                <w:szCs w:val="21"/>
                <w:lang w:val="de-DE" w:eastAsia="ja-JP"/>
              </w:rPr>
            </w:pPr>
            <w:r w:rsidRPr="0080663D">
              <w:rPr>
                <w:rFonts w:ascii="Calibri" w:eastAsia="MS Mincho" w:hAnsi="Calibri" w:cs="Arial"/>
                <w:sz w:val="21"/>
                <w:szCs w:val="21"/>
                <w:lang w:val="de-DE" w:eastAsia="ja-JP"/>
              </w:rPr>
              <w:t xml:space="preserve">Eijkenaar F Emmert M Scheppach M Schoffski </w:t>
            </w:r>
          </w:p>
        </w:tc>
        <w:tc>
          <w:tcPr>
            <w:tcW w:w="1426"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 xml:space="preserve">Health Policy </w:t>
            </w:r>
          </w:p>
        </w:tc>
        <w:tc>
          <w:tcPr>
            <w:tcW w:w="1428"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Systematic review :</w:t>
            </w:r>
          </w:p>
          <w:p w:rsidR="007A1C4A" w:rsidRPr="007E7C0A" w:rsidRDefault="007A1C4A" w:rsidP="00346E2C">
            <w:pPr>
              <w:spacing w:before="20" w:after="20" w:line="264" w:lineRule="auto"/>
              <w:rPr>
                <w:rFonts w:ascii="Calibri" w:hAnsi="Calibri" w:cs="Arial"/>
                <w:b/>
                <w:color w:val="000000"/>
                <w:sz w:val="21"/>
                <w:szCs w:val="21"/>
                <w:lang w:eastAsia="en-AU"/>
              </w:rPr>
            </w:pPr>
            <w:r w:rsidRPr="007E7C0A">
              <w:rPr>
                <w:rFonts w:ascii="Calibri" w:hAnsi="Calibri" w:cs="Arial"/>
                <w:color w:val="000000"/>
                <w:sz w:val="21"/>
                <w:szCs w:val="21"/>
                <w:lang w:eastAsia="en-AU"/>
              </w:rPr>
              <w:t>(Note:</w:t>
            </w:r>
            <w:r w:rsidRPr="007E7C0A">
              <w:rPr>
                <w:rFonts w:ascii="Calibri" w:hAnsi="Calibri" w:cs="Arial"/>
                <w:b/>
                <w:color w:val="000000"/>
                <w:sz w:val="21"/>
                <w:szCs w:val="21"/>
                <w:lang w:eastAsia="en-AU"/>
              </w:rPr>
              <w:t xml:space="preserve"> </w:t>
            </w:r>
            <w:r w:rsidRPr="007E7C0A">
              <w:rPr>
                <w:rFonts w:ascii="Calibri" w:hAnsi="Calibri" w:cs="Arial"/>
                <w:color w:val="000000"/>
                <w:sz w:val="21"/>
                <w:szCs w:val="21"/>
                <w:lang w:eastAsia="en-AU"/>
              </w:rPr>
              <w:t>Jan ‘00 to Jun ’11)</w:t>
            </w:r>
          </w:p>
        </w:tc>
        <w:tc>
          <w:tcPr>
            <w:tcW w:w="1959"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P4P</w:t>
            </w:r>
          </w:p>
        </w:tc>
        <w:tc>
          <w:tcPr>
            <w:tcW w:w="1426"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Various</w:t>
            </w:r>
          </w:p>
        </w:tc>
        <w:tc>
          <w:tcPr>
            <w:tcW w:w="1248"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Various (mainly USA &amp; UK)</w:t>
            </w:r>
          </w:p>
        </w:tc>
        <w:tc>
          <w:tcPr>
            <w:tcW w:w="1401"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Various</w:t>
            </w:r>
          </w:p>
        </w:tc>
        <w:tc>
          <w:tcPr>
            <w:tcW w:w="1263"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 xml:space="preserve">Various </w:t>
            </w:r>
          </w:p>
        </w:tc>
        <w:tc>
          <w:tcPr>
            <w:tcW w:w="1787"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sidRPr="007E7C0A">
              <w:rPr>
                <w:rFonts w:ascii="Calibri" w:hAnsi="Calibri" w:cs="Arial"/>
                <w:color w:val="000000"/>
                <w:sz w:val="21"/>
                <w:szCs w:val="21"/>
                <w:lang w:eastAsia="en-AU"/>
              </w:rPr>
              <w:t>Various</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Cs w:val="22"/>
                <w:lang w:eastAsia="en-AU"/>
              </w:rPr>
            </w:pPr>
            <w:r w:rsidRPr="007E7C0A">
              <w:rPr>
                <w:rFonts w:ascii="Calibri" w:hAnsi="Calibri" w:cs="Arial"/>
                <w:color w:val="000000"/>
                <w:sz w:val="22"/>
                <w:szCs w:val="22"/>
                <w:lang w:eastAsia="en-AU"/>
              </w:rPr>
              <w:t>There is insufficient evidence to support the use of P4P. Initiatives are more effective when:</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measures with more room for improvement are used, that are easy to track</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directed at individual physicians or small groups</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rewards are based on providers’ absolute performance</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the program is designed collaboratively with providers</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hAnsi="Calibri" w:cs="Arial"/>
                <w:color w:val="000000"/>
                <w:szCs w:val="22"/>
                <w:lang w:eastAsia="en-AU"/>
              </w:rPr>
            </w:pPr>
            <w:r w:rsidRPr="007E7C0A">
              <w:rPr>
                <w:rFonts w:ascii="Calibri" w:eastAsia="MS Mincho" w:hAnsi="Calibri" w:cs="Berkeley-Medium"/>
                <w:color w:val="231F20"/>
                <w:sz w:val="22"/>
                <w:szCs w:val="22"/>
                <w:lang w:val="en-US" w:eastAsia="ja-JP"/>
              </w:rPr>
              <w:t>larger payments are used</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hAnsi="Calibri" w:cs="Arial"/>
                <w:color w:val="000000"/>
                <w:szCs w:val="22"/>
                <w:lang w:eastAsia="en-AU"/>
              </w:rPr>
            </w:pPr>
            <w:r w:rsidRPr="007E7C0A">
              <w:rPr>
                <w:rFonts w:ascii="Calibri" w:eastAsia="MS Mincho" w:hAnsi="Calibri" w:cs="Berkeley-Medium"/>
                <w:color w:val="231F20"/>
                <w:sz w:val="22"/>
                <w:szCs w:val="22"/>
                <w:lang w:val="en-US" w:eastAsia="ja-JP"/>
              </w:rPr>
              <w:t>use ‘new money’ (i.e. are not  revenue neutral)</w:t>
            </w:r>
          </w:p>
          <w:p w:rsidR="007A1C4A" w:rsidRPr="007E7C0A" w:rsidRDefault="007A1C4A" w:rsidP="00346E2C">
            <w:pPr>
              <w:autoSpaceDE w:val="0"/>
              <w:autoSpaceDN w:val="0"/>
              <w:adjustRightInd w:val="0"/>
              <w:rPr>
                <w:rFonts w:ascii="Calibri" w:hAnsi="Calibri" w:cs="Arial"/>
                <w:color w:val="000000"/>
                <w:szCs w:val="22"/>
                <w:lang w:eastAsia="en-AU"/>
              </w:rPr>
            </w:pPr>
            <w:r w:rsidRPr="007E7C0A">
              <w:rPr>
                <w:rFonts w:ascii="Calibri" w:hAnsi="Calibri" w:cs="Arial"/>
                <w:color w:val="000000"/>
                <w:sz w:val="22"/>
                <w:szCs w:val="22"/>
                <w:lang w:eastAsia="en-AU"/>
              </w:rPr>
              <w:t>Important preconditions need to be fulfilled including:</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provider engagement and support</w:t>
            </w:r>
          </w:p>
          <w:p w:rsidR="007A1C4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 xml:space="preserve">risk adjustment </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eastAsia="MS Mincho" w:hAnsi="Calibri" w:cs="Berkeley-Medium"/>
                <w:color w:val="231F20"/>
                <w:szCs w:val="22"/>
                <w:lang w:val="en-US" w:eastAsia="ja-JP"/>
              </w:rPr>
            </w:pPr>
            <w:r w:rsidRPr="007E7C0A">
              <w:rPr>
                <w:rFonts w:ascii="Calibri" w:eastAsia="MS Mincho" w:hAnsi="Calibri" w:cs="Berkeley-Medium"/>
                <w:color w:val="231F20"/>
                <w:sz w:val="22"/>
                <w:szCs w:val="22"/>
                <w:lang w:val="en-US" w:eastAsia="ja-JP"/>
              </w:rPr>
              <w:t xml:space="preserve">transparent information and data system </w:t>
            </w:r>
          </w:p>
          <w:p w:rsidR="007A1C4A" w:rsidRPr="007E7C0A" w:rsidRDefault="007A1C4A" w:rsidP="00346E2C">
            <w:pPr>
              <w:numPr>
                <w:ilvl w:val="0"/>
                <w:numId w:val="21"/>
              </w:numPr>
              <w:tabs>
                <w:tab w:val="clear" w:pos="360"/>
                <w:tab w:val="num" w:pos="612"/>
              </w:tabs>
              <w:autoSpaceDE w:val="0"/>
              <w:autoSpaceDN w:val="0"/>
              <w:adjustRightInd w:val="0"/>
              <w:ind w:left="612"/>
              <w:rPr>
                <w:rFonts w:ascii="Calibri" w:hAnsi="Calibri" w:cs="Arial"/>
                <w:color w:val="000000"/>
                <w:szCs w:val="22"/>
                <w:lang w:eastAsia="en-AU"/>
              </w:rPr>
            </w:pPr>
            <w:r w:rsidRPr="007E7C0A">
              <w:rPr>
                <w:rFonts w:ascii="Calibri" w:eastAsia="MS Mincho" w:hAnsi="Calibri" w:cs="Berkeley-Medium"/>
                <w:color w:val="231F20"/>
                <w:sz w:val="22"/>
                <w:szCs w:val="22"/>
                <w:lang w:val="en-US" w:eastAsia="ja-JP"/>
              </w:rPr>
              <w:t>context-specific design</w:t>
            </w:r>
          </w:p>
        </w:tc>
      </w:tr>
      <w:tr w:rsidR="007A1C4A" w:rsidRPr="000309E1"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5"/>
          <w:tblHeader/>
        </w:trPr>
        <w:tc>
          <w:tcPr>
            <w:tcW w:w="449" w:type="dxa"/>
            <w:tcBorders>
              <w:top w:val="single" w:sz="4" w:space="0" w:color="999999"/>
              <w:left w:val="single" w:sz="4" w:space="0" w:color="999999"/>
              <w:bottom w:val="single" w:sz="4" w:space="0" w:color="999999"/>
              <w:right w:val="single" w:sz="4" w:space="0" w:color="999999"/>
            </w:tcBorders>
            <w:shd w:val="clear" w:color="auto" w:fill="8DB3E2"/>
          </w:tcPr>
          <w:p w:rsidR="007A1C4A" w:rsidRPr="007E7C0A" w:rsidRDefault="007A1C4A" w:rsidP="00346E2C">
            <w:pPr>
              <w:spacing w:before="20" w:after="20" w:line="264" w:lineRule="auto"/>
              <w:rPr>
                <w:rFonts w:ascii="Calibri" w:hAnsi="Calibri" w:cs="Arial"/>
                <w:b/>
                <w:color w:val="FFFFFF"/>
                <w:sz w:val="21"/>
                <w:szCs w:val="21"/>
                <w:lang w:eastAsia="en-AU"/>
              </w:rPr>
            </w:pPr>
            <w:r w:rsidRPr="007E7C0A">
              <w:rPr>
                <w:rFonts w:ascii="Calibri" w:hAnsi="Calibri" w:cs="Arial"/>
                <w:b/>
                <w:color w:val="FFFFFF"/>
                <w:sz w:val="21"/>
                <w:szCs w:val="21"/>
                <w:lang w:eastAsia="en-AU"/>
              </w:rPr>
              <w:t>13</w:t>
            </w:r>
          </w:p>
        </w:tc>
        <w:tc>
          <w:tcPr>
            <w:tcW w:w="2402"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eastAsia="MS Mincho" w:hAnsi="Calibri" w:cs="Arial"/>
                <w:sz w:val="21"/>
                <w:szCs w:val="21"/>
                <w:lang w:val="en-US" w:eastAsia="ja-JP"/>
              </w:rPr>
            </w:pPr>
            <w:r w:rsidRPr="007E7C0A">
              <w:rPr>
                <w:rFonts w:ascii="Calibri" w:eastAsia="MS Mincho" w:hAnsi="Calibri" w:cs="Arial"/>
                <w:sz w:val="21"/>
                <w:szCs w:val="21"/>
                <w:lang w:val="en-US" w:eastAsia="ja-JP"/>
              </w:rPr>
              <w:t>Report of the Mid Staffordshire NHS Foundation Trust Public Inquiry</w:t>
            </w:r>
            <w:r>
              <w:rPr>
                <w:rFonts w:ascii="Calibri" w:eastAsia="MS Mincho" w:hAnsi="Calibri" w:cs="Arial"/>
                <w:sz w:val="21"/>
                <w:szCs w:val="21"/>
                <w:lang w:val="en-US" w:eastAsia="ja-JP"/>
              </w:rPr>
              <w:t xml:space="preserve"> (2013)</w:t>
            </w:r>
            <w:r>
              <w:rPr>
                <w:rFonts w:ascii="Calibri" w:eastAsia="MS Mincho" w:hAnsi="Calibri" w:cs="Arial"/>
                <w:sz w:val="21"/>
                <w:szCs w:val="21"/>
                <w:lang w:val="en-US" w:eastAsia="ja-JP"/>
              </w:rPr>
              <w:fldChar w:fldCharType="begin"/>
            </w:r>
            <w:r>
              <w:rPr>
                <w:rFonts w:ascii="Calibri" w:eastAsia="MS Mincho" w:hAnsi="Calibri" w:cs="Arial"/>
                <w:sz w:val="21"/>
                <w:szCs w:val="21"/>
                <w:lang w:val="en-US" w:eastAsia="ja-JP"/>
              </w:rPr>
              <w:instrText xml:space="preserve"> ADDIN EN.CITE &lt;EndNote&gt;&lt;Cite&gt;&lt;Author&gt;Francis R&lt;/Author&gt;&lt;Year&gt;2013&lt;/Year&gt;&lt;RecNum&gt;13412&lt;/RecNum&gt;&lt;record&gt;&lt;rec-number&gt;13412&lt;/rec-number&gt;&lt;foreign-keys&gt;&lt;key app="EN" db-id="5r0eapxzsestz4er5zaxe5zqz99fvpawedp5"&gt;13412&lt;/key&gt;&lt;/foreign-keys&gt;&lt;ref-type name="Report"&gt;27&lt;/ref-type&gt;&lt;contributors&gt;&lt;authors&gt;&lt;author&gt;Francis R,&lt;/author&gt;&lt;/authors&gt;&lt;/contributors&gt;&lt;titles&gt;&lt;title&gt;Report of the Mid Staffordshire NHS Foundation Trust Public Inquiry&lt;/title&gt;&lt;/titles&gt;&lt;dates&gt;&lt;year&gt;2013&lt;/year&gt;&lt;/dates&gt;&lt;pub-location&gt;London&lt;/pub-location&gt;&lt;publisher&gt;The Stationery Office&lt;/publisher&gt;&lt;urls&gt;&lt;/urls&gt;&lt;/record&gt;&lt;/Cite&gt;&lt;/EndNote&gt;</w:instrText>
            </w:r>
            <w:r>
              <w:rPr>
                <w:rFonts w:ascii="Calibri" w:eastAsia="MS Mincho" w:hAnsi="Calibri" w:cs="Arial"/>
                <w:sz w:val="21"/>
                <w:szCs w:val="21"/>
                <w:lang w:val="en-US" w:eastAsia="ja-JP"/>
              </w:rPr>
              <w:fldChar w:fldCharType="separate"/>
            </w:r>
            <w:r w:rsidRPr="007E7C0A">
              <w:rPr>
                <w:rFonts w:ascii="Calibri" w:eastAsia="MS Mincho" w:hAnsi="Calibri" w:cs="Arial"/>
                <w:noProof/>
                <w:sz w:val="21"/>
                <w:szCs w:val="21"/>
                <w:vertAlign w:val="superscript"/>
                <w:lang w:val="en-US" w:eastAsia="ja-JP"/>
              </w:rPr>
              <w:t>14</w:t>
            </w:r>
            <w:r>
              <w:rPr>
                <w:rFonts w:ascii="Calibri" w:eastAsia="MS Mincho" w:hAnsi="Calibri" w:cs="Arial"/>
                <w:sz w:val="21"/>
                <w:szCs w:val="21"/>
                <w:lang w:val="en-US" w:eastAsia="ja-JP"/>
              </w:rPr>
              <w:fldChar w:fldCharType="end"/>
            </w:r>
          </w:p>
        </w:tc>
        <w:tc>
          <w:tcPr>
            <w:tcW w:w="1248"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eastAsia="MS Mincho" w:hAnsi="Calibri" w:cs="Arial"/>
                <w:sz w:val="21"/>
                <w:szCs w:val="21"/>
                <w:lang w:val="en-US" w:eastAsia="ja-JP"/>
              </w:rPr>
            </w:pPr>
            <w:r w:rsidRPr="007E7C0A">
              <w:rPr>
                <w:rFonts w:ascii="Calibri" w:eastAsia="MS Mincho" w:hAnsi="Calibri" w:cs="Arial"/>
                <w:sz w:val="21"/>
                <w:szCs w:val="21"/>
                <w:lang w:val="en-US" w:eastAsia="ja-JP"/>
              </w:rPr>
              <w:t>Francis R</w:t>
            </w:r>
          </w:p>
        </w:tc>
        <w:tc>
          <w:tcPr>
            <w:tcW w:w="1426"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Stationery Office, London</w:t>
            </w:r>
          </w:p>
        </w:tc>
        <w:tc>
          <w:tcPr>
            <w:tcW w:w="1428"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Report</w:t>
            </w:r>
          </w:p>
        </w:tc>
        <w:tc>
          <w:tcPr>
            <w:tcW w:w="1959"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n/a</w:t>
            </w:r>
          </w:p>
        </w:tc>
        <w:tc>
          <w:tcPr>
            <w:tcW w:w="1426"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n/a</w:t>
            </w:r>
          </w:p>
        </w:tc>
        <w:tc>
          <w:tcPr>
            <w:tcW w:w="1248"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UK</w:t>
            </w:r>
          </w:p>
        </w:tc>
        <w:tc>
          <w:tcPr>
            <w:tcW w:w="1401"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Acute care</w:t>
            </w:r>
          </w:p>
        </w:tc>
        <w:tc>
          <w:tcPr>
            <w:tcW w:w="1263"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Hospitals </w:t>
            </w:r>
          </w:p>
        </w:tc>
        <w:tc>
          <w:tcPr>
            <w:tcW w:w="1787" w:type="dxa"/>
            <w:tcBorders>
              <w:top w:val="single" w:sz="4" w:space="0" w:color="999999"/>
              <w:left w:val="single" w:sz="4" w:space="0" w:color="999999"/>
              <w:bottom w:val="single" w:sz="4" w:space="0" w:color="999999"/>
              <w:right w:val="single" w:sz="4" w:space="0" w:color="999999"/>
            </w:tcBorders>
          </w:tcPr>
          <w:p w:rsidR="007A1C4A" w:rsidRPr="007E7C0A" w:rsidRDefault="007A1C4A" w:rsidP="00346E2C">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n/a</w:t>
            </w:r>
          </w:p>
        </w:tc>
        <w:tc>
          <w:tcPr>
            <w:tcW w:w="6436" w:type="dxa"/>
            <w:gridSpan w:val="4"/>
            <w:tcBorders>
              <w:top w:val="single" w:sz="4" w:space="0" w:color="999999"/>
              <w:left w:val="single" w:sz="4" w:space="0" w:color="999999"/>
              <w:bottom w:val="single" w:sz="4" w:space="0" w:color="999999"/>
              <w:right w:val="single" w:sz="4" w:space="0" w:color="999999"/>
            </w:tcBorders>
          </w:tcPr>
          <w:p w:rsidR="007A1C4A" w:rsidRPr="00845DF2" w:rsidRDefault="007A1C4A" w:rsidP="00346E2C">
            <w:pPr>
              <w:spacing w:before="20" w:after="20" w:line="264" w:lineRule="auto"/>
              <w:rPr>
                <w:rFonts w:ascii="Calibri" w:hAnsi="Calibri" w:cs="Arial"/>
                <w:color w:val="000000"/>
                <w:szCs w:val="22"/>
                <w:lang w:eastAsia="en-AU"/>
              </w:rPr>
            </w:pPr>
            <w:r>
              <w:rPr>
                <w:rFonts w:ascii="Calibri" w:hAnsi="Calibri" w:cs="Arial"/>
                <w:color w:val="000000"/>
                <w:sz w:val="22"/>
                <w:szCs w:val="22"/>
                <w:lang w:eastAsia="en-AU"/>
              </w:rPr>
              <w:t xml:space="preserve">A report of the inquiry into systemic safety and quality lapses in the main hospital of Stafford (UK). Several of the report’s 290 recommendations address </w:t>
            </w:r>
            <w:r w:rsidRPr="00FF1A55">
              <w:rPr>
                <w:rFonts w:ascii="Calibri" w:eastAsia="MS Mincho" w:hAnsi="Calibri" w:cs="Berkeley-Medium"/>
                <w:i/>
                <w:color w:val="231F20"/>
                <w:sz w:val="22"/>
                <w:szCs w:val="22"/>
                <w:lang w:val="en-US" w:eastAsia="ja-JP"/>
              </w:rPr>
              <w:t>transparency, use and sharing of information</w:t>
            </w:r>
            <w:r>
              <w:rPr>
                <w:rFonts w:ascii="Calibri" w:eastAsia="MS Mincho" w:hAnsi="Calibri" w:cs="Berkeley-Medium"/>
                <w:i/>
                <w:color w:val="231F20"/>
                <w:sz w:val="22"/>
                <w:szCs w:val="22"/>
                <w:lang w:val="en-US" w:eastAsia="ja-JP"/>
              </w:rPr>
              <w:t xml:space="preserve"> </w:t>
            </w:r>
            <w:r>
              <w:rPr>
                <w:rFonts w:ascii="Calibri" w:eastAsia="MS Mincho" w:hAnsi="Calibri" w:cs="Berkeley-Medium"/>
                <w:color w:val="231F20"/>
                <w:sz w:val="22"/>
                <w:szCs w:val="22"/>
                <w:lang w:val="en-US" w:eastAsia="ja-JP"/>
              </w:rPr>
              <w:t>including Recommendation 102</w:t>
            </w:r>
            <w:r>
              <w:rPr>
                <w:rFonts w:ascii="Calibri" w:eastAsia="MS Mincho" w:hAnsi="Calibri" w:cs="Berkeley-Medium"/>
                <w:color w:val="231F20"/>
                <w:sz w:val="22"/>
                <w:szCs w:val="22"/>
                <w:lang w:eastAsia="ja-JP"/>
              </w:rPr>
              <w:t xml:space="preserve">: </w:t>
            </w:r>
          </w:p>
          <w:p w:rsidR="007A1C4A" w:rsidRPr="00845DF2" w:rsidRDefault="007A1C4A" w:rsidP="00346E2C">
            <w:pPr>
              <w:numPr>
                <w:ilvl w:val="0"/>
                <w:numId w:val="21"/>
              </w:numPr>
              <w:tabs>
                <w:tab w:val="clear" w:pos="360"/>
                <w:tab w:val="num" w:pos="612"/>
              </w:tabs>
              <w:autoSpaceDE w:val="0"/>
              <w:autoSpaceDN w:val="0"/>
              <w:adjustRightInd w:val="0"/>
              <w:ind w:left="612"/>
              <w:rPr>
                <w:rFonts w:ascii="Dax-Light" w:eastAsia="MS Mincho" w:hAnsi="Dax-Light" w:cs="Dax-Light"/>
                <w:sz w:val="18"/>
                <w:szCs w:val="18"/>
                <w:lang w:val="en-US" w:eastAsia="ja-JP"/>
              </w:rPr>
            </w:pPr>
            <w:r w:rsidRPr="00845DF2">
              <w:rPr>
                <w:rFonts w:ascii="Calibri" w:eastAsia="MS Mincho" w:hAnsi="Calibri" w:cs="Berkeley-Medium"/>
                <w:color w:val="231F20"/>
                <w:sz w:val="22"/>
                <w:szCs w:val="22"/>
                <w:lang w:val="en-US" w:eastAsia="ja-JP"/>
              </w:rPr>
              <w:t>Data held by the National Patient Safety Agency or its successor should be open to analysis for a particular purpose, or others facilitated in that task.</w:t>
            </w:r>
          </w:p>
        </w:tc>
      </w:tr>
    </w:tbl>
    <w:p w:rsidR="007A1C4A" w:rsidRDefault="007A1C4A" w:rsidP="00FF1A55"/>
    <w:p w:rsidR="007A1C4A" w:rsidRPr="00606A38" w:rsidRDefault="007A1C4A" w:rsidP="00606A38">
      <w:pPr>
        <w:spacing w:before="240" w:after="240" w:line="264" w:lineRule="auto"/>
      </w:pPr>
      <w:r w:rsidRPr="009E4EA6">
        <w:rPr>
          <w:b/>
          <w:sz w:val="28"/>
          <w:szCs w:val="28"/>
        </w:rPr>
        <w:t xml:space="preserve">3.2.1 </w:t>
      </w:r>
      <w:r w:rsidRPr="009E4EA6">
        <w:rPr>
          <w:b/>
          <w:sz w:val="28"/>
          <w:szCs w:val="28"/>
        </w:rPr>
        <w:tab/>
        <w:t>References</w:t>
      </w:r>
    </w:p>
    <w:p w:rsidR="007A1C4A" w:rsidRDefault="007A1C4A" w:rsidP="00721A5B">
      <w:pPr>
        <w:numPr>
          <w:ilvl w:val="0"/>
          <w:numId w:val="42"/>
        </w:numPr>
        <w:spacing w:line="264" w:lineRule="auto"/>
        <w:ind w:left="360"/>
        <w:rPr>
          <w:rFonts w:cs="Arial"/>
          <w:noProof/>
          <w:szCs w:val="24"/>
        </w:rPr>
      </w:pPr>
      <w:r w:rsidRPr="00ED6432">
        <w:rPr>
          <w:rFonts w:cs="Arial"/>
          <w:szCs w:val="24"/>
        </w:rPr>
        <w:fldChar w:fldCharType="begin"/>
      </w:r>
      <w:r w:rsidRPr="00ED6432">
        <w:rPr>
          <w:rFonts w:cs="Arial"/>
          <w:szCs w:val="24"/>
        </w:rPr>
        <w:instrText xml:space="preserve"> ADDIN EN.REFLIST </w:instrText>
      </w:r>
      <w:r w:rsidRPr="00ED6432">
        <w:rPr>
          <w:rFonts w:cs="Arial"/>
          <w:szCs w:val="24"/>
        </w:rPr>
        <w:fldChar w:fldCharType="separate"/>
      </w:r>
      <w:r w:rsidRPr="00ED6432">
        <w:rPr>
          <w:rFonts w:cs="Arial"/>
          <w:noProof/>
          <w:szCs w:val="24"/>
        </w:rPr>
        <w:fldChar w:fldCharType="begin"/>
      </w:r>
      <w:r w:rsidRPr="00ED6432">
        <w:rPr>
          <w:rFonts w:cs="Arial"/>
          <w:noProof/>
          <w:szCs w:val="24"/>
        </w:rPr>
        <w:instrText xml:space="preserve"> ADDIN EN.REFLIST </w:instrText>
      </w:r>
      <w:r w:rsidRPr="00ED6432">
        <w:rPr>
          <w:rFonts w:cs="Arial"/>
          <w:noProof/>
          <w:szCs w:val="24"/>
        </w:rPr>
        <w:fldChar w:fldCharType="separate"/>
      </w:r>
      <w:r>
        <w:rPr>
          <w:rFonts w:cs="Arial"/>
          <w:noProof/>
          <w:szCs w:val="24"/>
        </w:rPr>
        <w:t xml:space="preserve">Calikoglu S, Murray R, Feeney D. Hospital Pay-For-Performance Programs In Maryland Produced Strong Results, Including Reduced Hospital-Acquired Conditions. </w:t>
      </w:r>
      <w:r w:rsidRPr="00DF7D37">
        <w:rPr>
          <w:rFonts w:cs="Arial"/>
          <w:noProof/>
          <w:szCs w:val="24"/>
        </w:rPr>
        <w:t>Health Affairs</w:t>
      </w:r>
      <w:r>
        <w:rPr>
          <w:rFonts w:cs="Arial"/>
          <w:noProof/>
          <w:szCs w:val="24"/>
        </w:rPr>
        <w:t xml:space="preserve"> 2012;31(12):2649-2658.</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Houle SKD, McAlister FA, Jackevicius CA, Chuck AW, Tsuyuki RT. Does Performance-Based Remuneration for Individual Health Care Practitioners Affect Patient Care?: A Systematic Review. </w:t>
      </w:r>
      <w:r w:rsidRPr="00DF7D37">
        <w:rPr>
          <w:rFonts w:cs="Arial"/>
          <w:noProof/>
          <w:szCs w:val="24"/>
        </w:rPr>
        <w:t>Annals of Internal Medicine</w:t>
      </w:r>
      <w:r>
        <w:rPr>
          <w:rFonts w:cs="Arial"/>
          <w:noProof/>
          <w:szCs w:val="24"/>
        </w:rPr>
        <w:t xml:space="preserve"> 2012;157(12):889-899.</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Lee GM, Hartmann CW, Graham D, Kassler W, Dutta Linn M, Krein S, et al. Perceived impact of the Medicare policy to adjust payment for health care-associated infections. </w:t>
      </w:r>
      <w:r w:rsidRPr="00DF7D37">
        <w:rPr>
          <w:rFonts w:cs="Arial"/>
          <w:noProof/>
          <w:szCs w:val="24"/>
        </w:rPr>
        <w:t>Am J Infect Control</w:t>
      </w:r>
      <w:r>
        <w:rPr>
          <w:rFonts w:cs="Arial"/>
          <w:noProof/>
          <w:szCs w:val="24"/>
        </w:rPr>
        <w:t xml:space="preserve"> 2012;40(4):314-319.</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Lee GM, Kleinman K, Soumerai SB, Tse A, Cole D, Fridkin SK, et al. Effect of Nonpayment for Preventable Infections in U.S. Hospitals. </w:t>
      </w:r>
      <w:r w:rsidRPr="00DF7D37">
        <w:rPr>
          <w:rFonts w:cs="Arial"/>
          <w:noProof/>
          <w:szCs w:val="24"/>
        </w:rPr>
        <w:t>New England Journal of Medicine</w:t>
      </w:r>
      <w:r>
        <w:rPr>
          <w:rFonts w:cs="Arial"/>
          <w:noProof/>
          <w:szCs w:val="24"/>
        </w:rPr>
        <w:t xml:space="preserve"> 2012;367(15):1428-1437.</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Nonpayment for Preventable Infections in U.S. Hospitals. </w:t>
      </w:r>
      <w:r w:rsidRPr="00DF7D37">
        <w:rPr>
          <w:rFonts w:cs="Arial"/>
          <w:noProof/>
          <w:szCs w:val="24"/>
        </w:rPr>
        <w:t>New England Journal of Medicine</w:t>
      </w:r>
      <w:r>
        <w:rPr>
          <w:rFonts w:cs="Arial"/>
          <w:noProof/>
          <w:szCs w:val="24"/>
        </w:rPr>
        <w:t xml:space="preserve"> 2013;368(2):191-192.</w:t>
      </w:r>
    </w:p>
    <w:p w:rsidR="007A1C4A" w:rsidRDefault="007A1C4A" w:rsidP="00721A5B">
      <w:pPr>
        <w:numPr>
          <w:ilvl w:val="0"/>
          <w:numId w:val="42"/>
        </w:numPr>
        <w:spacing w:line="264" w:lineRule="auto"/>
        <w:ind w:left="360"/>
        <w:rPr>
          <w:rFonts w:cs="Arial"/>
          <w:noProof/>
          <w:szCs w:val="24"/>
        </w:rPr>
      </w:pPr>
      <w:r>
        <w:rPr>
          <w:rFonts w:cs="Arial"/>
          <w:noProof/>
          <w:szCs w:val="24"/>
        </w:rPr>
        <w:t>McDonald R, Allen T, Zaidi S, Sutton M, Todd S, Fichera E, et al. A Qualitative and Quantitative Evaluation of the Introduction of Best Practice Tariffs. University of Nottingham, 2012.</w:t>
      </w:r>
    </w:p>
    <w:p w:rsidR="007A1C4A" w:rsidRDefault="007A1C4A" w:rsidP="00721A5B">
      <w:pPr>
        <w:numPr>
          <w:ilvl w:val="0"/>
          <w:numId w:val="42"/>
        </w:numPr>
        <w:spacing w:line="264" w:lineRule="auto"/>
        <w:ind w:left="360"/>
        <w:rPr>
          <w:rFonts w:cs="Arial"/>
          <w:noProof/>
          <w:szCs w:val="24"/>
        </w:rPr>
      </w:pPr>
      <w:r>
        <w:rPr>
          <w:rFonts w:cs="Arial"/>
          <w:noProof/>
          <w:szCs w:val="24"/>
        </w:rPr>
        <w:t>Audit Commission. Best practice tariffs and their impact. London, 2012.</w:t>
      </w:r>
    </w:p>
    <w:p w:rsidR="007A1C4A" w:rsidRDefault="007A1C4A" w:rsidP="00721A5B">
      <w:pPr>
        <w:numPr>
          <w:ilvl w:val="0"/>
          <w:numId w:val="42"/>
        </w:numPr>
        <w:spacing w:line="264" w:lineRule="auto"/>
        <w:ind w:left="360"/>
        <w:rPr>
          <w:rFonts w:cs="Arial"/>
          <w:noProof/>
          <w:szCs w:val="24"/>
        </w:rPr>
      </w:pPr>
      <w:r>
        <w:rPr>
          <w:rFonts w:cs="Arial"/>
          <w:noProof/>
          <w:szCs w:val="24"/>
        </w:rPr>
        <w:t>Veit C, Hertle D, Bungard S, Trummer A, Ganske V, Meyer-Hoffmann B. Pay-for-Performance im Gesundheitswesen: Sachstandsbericht zu Evidenz und Realisierung sowie Darlegung der Grundlagen fur eine kunftige Weiterentwicklung [P4P in health care: Review of the evidence and basis for future development]. Dusseldorf. BQS Institut fur Qualitat &amp; Patientensicherheit [BQS Institute for Quality and Patient Safety], 2012.</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Wilson KJ. Pay-for-Performance in Health Care: What Can We Learn From International Experience? </w:t>
      </w:r>
      <w:r w:rsidRPr="00DF7D37">
        <w:rPr>
          <w:rFonts w:cs="Arial"/>
          <w:noProof/>
          <w:szCs w:val="24"/>
        </w:rPr>
        <w:t>Quality Management in Health Care</w:t>
      </w:r>
      <w:r>
        <w:rPr>
          <w:rFonts w:cs="Arial"/>
          <w:noProof/>
          <w:szCs w:val="24"/>
        </w:rPr>
        <w:t xml:space="preserve"> 2013;22(1):2-15.</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Rosenau PV, Lal LS, Lako C. Managing Pay for Performance: Aligning Social Science Research with Budget Predictability. </w:t>
      </w:r>
      <w:r w:rsidRPr="00DF7D37">
        <w:rPr>
          <w:rFonts w:cs="Arial"/>
          <w:noProof/>
          <w:szCs w:val="24"/>
        </w:rPr>
        <w:t>Journal of Healthcare Management</w:t>
      </w:r>
      <w:r>
        <w:rPr>
          <w:rFonts w:cs="Arial"/>
          <w:noProof/>
          <w:szCs w:val="24"/>
        </w:rPr>
        <w:t xml:space="preserve"> 2012;57(6):391-404.</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Jha AK. Time to Get Serious About Pay for Performance. </w:t>
      </w:r>
      <w:r w:rsidRPr="00DF7D37">
        <w:rPr>
          <w:rFonts w:cs="Arial"/>
          <w:noProof/>
          <w:szCs w:val="24"/>
        </w:rPr>
        <w:t>Journal of the American Medical Association</w:t>
      </w:r>
      <w:r>
        <w:rPr>
          <w:rFonts w:cs="Arial"/>
          <w:noProof/>
          <w:szCs w:val="24"/>
        </w:rPr>
        <w:t xml:space="preserve"> 2013;309(4):347-348.</w:t>
      </w:r>
    </w:p>
    <w:p w:rsidR="007A1C4A" w:rsidRDefault="007A1C4A" w:rsidP="00721A5B">
      <w:pPr>
        <w:numPr>
          <w:ilvl w:val="0"/>
          <w:numId w:val="42"/>
        </w:numPr>
        <w:spacing w:line="264" w:lineRule="auto"/>
        <w:ind w:left="360"/>
        <w:rPr>
          <w:rFonts w:cs="Arial"/>
          <w:noProof/>
          <w:szCs w:val="24"/>
        </w:rPr>
      </w:pPr>
      <w:r>
        <w:rPr>
          <w:rFonts w:cs="Arial"/>
          <w:noProof/>
          <w:szCs w:val="24"/>
        </w:rPr>
        <w:t xml:space="preserve">Farmer SA, Black B, Bonow RO. Tension Between Quality Measurement, Public Quality Reporting, and Pay for Performance. </w:t>
      </w:r>
      <w:r w:rsidRPr="00DF7D37">
        <w:rPr>
          <w:rFonts w:cs="Arial"/>
          <w:noProof/>
          <w:szCs w:val="24"/>
        </w:rPr>
        <w:t>Journal of the American Medical Association</w:t>
      </w:r>
      <w:r>
        <w:rPr>
          <w:rFonts w:cs="Arial"/>
          <w:noProof/>
          <w:szCs w:val="24"/>
        </w:rPr>
        <w:t xml:space="preserve"> 2013;309(4):349-350.</w:t>
      </w:r>
    </w:p>
    <w:p w:rsidR="007A1C4A" w:rsidRDefault="007A1C4A" w:rsidP="00721A5B">
      <w:pPr>
        <w:numPr>
          <w:ilvl w:val="0"/>
          <w:numId w:val="42"/>
        </w:numPr>
        <w:spacing w:line="264" w:lineRule="auto"/>
        <w:ind w:left="360"/>
        <w:rPr>
          <w:rFonts w:eastAsia="MS Mincho" w:cs="Arial"/>
          <w:szCs w:val="24"/>
          <w:lang w:val="en-US" w:eastAsia="ja-JP"/>
        </w:rPr>
      </w:pPr>
      <w:r>
        <w:rPr>
          <w:rFonts w:eastAsia="MS Mincho" w:cs="Arial"/>
          <w:szCs w:val="24"/>
          <w:lang w:val="en-US" w:eastAsia="ja-JP"/>
        </w:rPr>
        <w:t xml:space="preserve">Eijkenaar F, Emmert M, Scheppach M, Schöffski O. Effects of pay for performance in health care: A systematic review of systematic reviews. </w:t>
      </w:r>
      <w:r>
        <w:rPr>
          <w:rFonts w:eastAsia="MS Mincho" w:cs="Arial"/>
          <w:i/>
          <w:iCs/>
          <w:szCs w:val="24"/>
          <w:lang w:val="en-US" w:eastAsia="ja-JP"/>
        </w:rPr>
        <w:t>Health Policy</w:t>
      </w:r>
      <w:r>
        <w:rPr>
          <w:rFonts w:eastAsia="MS Mincho" w:cs="Arial"/>
          <w:szCs w:val="24"/>
          <w:lang w:val="en-US" w:eastAsia="ja-JP"/>
        </w:rPr>
        <w:t xml:space="preserve"> 2013;in print.</w:t>
      </w:r>
    </w:p>
    <w:p w:rsidR="007A1C4A" w:rsidRPr="007F05E6" w:rsidRDefault="007A1C4A" w:rsidP="00721A5B">
      <w:pPr>
        <w:numPr>
          <w:ilvl w:val="0"/>
          <w:numId w:val="42"/>
        </w:numPr>
        <w:spacing w:line="264" w:lineRule="auto"/>
        <w:ind w:left="360"/>
        <w:rPr>
          <w:rFonts w:eastAsia="MS Mincho" w:cs="Arial"/>
          <w:szCs w:val="24"/>
          <w:lang w:val="en-US" w:eastAsia="ja-JP"/>
        </w:rPr>
      </w:pPr>
      <w:r>
        <w:rPr>
          <w:rFonts w:eastAsia="MS Mincho" w:cs="Arial"/>
          <w:szCs w:val="24"/>
          <w:lang w:val="en-US" w:eastAsia="ja-JP"/>
        </w:rPr>
        <w:t>Francis R. Report of the Mid Staffordshire NHS Foundation Trust Public Inquiry. London. The Stationery Office, 2013.</w:t>
      </w:r>
    </w:p>
    <w:p w:rsidR="00D04E8B" w:rsidRDefault="007A1C4A" w:rsidP="00D04E8B">
      <w:pPr>
        <w:spacing w:line="264" w:lineRule="auto"/>
        <w:ind w:left="360"/>
        <w:rPr>
          <w:rFonts w:cs="Arial"/>
          <w:szCs w:val="24"/>
        </w:rPr>
      </w:pPr>
      <w:r w:rsidRPr="00ED6432">
        <w:rPr>
          <w:rFonts w:cs="Arial"/>
          <w:noProof/>
          <w:szCs w:val="24"/>
        </w:rPr>
        <w:fldChar w:fldCharType="end"/>
      </w:r>
      <w:r w:rsidRPr="00ED6432">
        <w:rPr>
          <w:rFonts w:cs="Arial"/>
          <w:szCs w:val="24"/>
        </w:rPr>
        <w:fldChar w:fldCharType="end"/>
      </w:r>
    </w:p>
    <w:p w:rsidR="00D04E8B" w:rsidRDefault="00D04E8B" w:rsidP="00D04E8B">
      <w:pPr>
        <w:spacing w:line="264" w:lineRule="auto"/>
        <w:ind w:left="360"/>
        <w:rPr>
          <w:rFonts w:cs="Arial"/>
          <w:szCs w:val="24"/>
        </w:rPr>
      </w:pPr>
    </w:p>
    <w:p w:rsidR="007A1C4A" w:rsidRDefault="007A1C4A" w:rsidP="00D04E8B">
      <w:pPr>
        <w:spacing w:line="264" w:lineRule="auto"/>
        <w:ind w:left="360"/>
        <w:rPr>
          <w:rFonts w:cs="Arial"/>
          <w:szCs w:val="24"/>
        </w:rPr>
      </w:pPr>
      <w:r>
        <w:rPr>
          <w:rFonts w:cs="Arial"/>
          <w:szCs w:val="24"/>
        </w:rPr>
        <w:br w:type="page"/>
      </w:r>
    </w:p>
    <w:p w:rsidR="007A1C4A" w:rsidRPr="005E2E2C" w:rsidRDefault="007A1C4A" w:rsidP="00284EB5">
      <w:pPr>
        <w:pStyle w:val="Heading2"/>
        <w:spacing w:after="240"/>
        <w:rPr>
          <w:i w:val="0"/>
        </w:rPr>
      </w:pPr>
      <w:bookmarkStart w:id="11" w:name="_Toc372115655"/>
      <w:r>
        <w:rPr>
          <w:i w:val="0"/>
        </w:rPr>
        <w:t>3.3</w:t>
      </w:r>
      <w:r w:rsidRPr="000C1D3B">
        <w:rPr>
          <w:i w:val="0"/>
        </w:rPr>
        <w:tab/>
      </w:r>
      <w:r w:rsidRPr="0080663D">
        <w:rPr>
          <w:i w:val="0"/>
        </w:rPr>
        <w:t xml:space="preserve">Summary of </w:t>
      </w:r>
      <w:r w:rsidRPr="005E2E2C">
        <w:rPr>
          <w:i w:val="0"/>
        </w:rPr>
        <w:t xml:space="preserve">literature 1 February </w:t>
      </w:r>
      <w:r>
        <w:rPr>
          <w:i w:val="0"/>
        </w:rPr>
        <w:t xml:space="preserve">2013 </w:t>
      </w:r>
      <w:r w:rsidRPr="005E2E2C">
        <w:rPr>
          <w:i w:val="0"/>
        </w:rPr>
        <w:t>– 26 April 2013</w:t>
      </w:r>
      <w:bookmarkEnd w:id="11"/>
    </w:p>
    <w:tbl>
      <w:tblPr>
        <w:tblW w:w="28980" w:type="dxa"/>
        <w:tblInd w:w="-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50"/>
        <w:gridCol w:w="2070"/>
        <w:gridCol w:w="1980"/>
        <w:gridCol w:w="1260"/>
        <w:gridCol w:w="1440"/>
        <w:gridCol w:w="1440"/>
        <w:gridCol w:w="1080"/>
        <w:gridCol w:w="1260"/>
        <w:gridCol w:w="4320"/>
        <w:gridCol w:w="1260"/>
        <w:gridCol w:w="5580"/>
        <w:gridCol w:w="6840"/>
      </w:tblGrid>
      <w:tr w:rsidR="007A1C4A" w:rsidRPr="000309E1" w:rsidTr="003D52BA">
        <w:trPr>
          <w:gridAfter w:val="1"/>
          <w:wAfter w:w="6840" w:type="dxa"/>
          <w:trHeight w:val="510"/>
          <w:tblHeader/>
        </w:trPr>
        <w:tc>
          <w:tcPr>
            <w:tcW w:w="450"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p>
        </w:tc>
        <w:tc>
          <w:tcPr>
            <w:tcW w:w="207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98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26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44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44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Model(s) </w:t>
            </w:r>
            <w:r>
              <w:rPr>
                <w:rFonts w:ascii="Calibri" w:hAnsi="Calibri" w:cs="Arial"/>
                <w:b/>
                <w:color w:val="FFFFFF"/>
                <w:sz w:val="21"/>
                <w:szCs w:val="21"/>
                <w:lang w:eastAsia="en-AU"/>
              </w:rPr>
              <w:t xml:space="preserve"> &amp; mechanism</w:t>
            </w:r>
          </w:p>
        </w:tc>
        <w:tc>
          <w:tcPr>
            <w:tcW w:w="108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26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Area, context &amp; setting</w:t>
            </w:r>
          </w:p>
        </w:tc>
        <w:tc>
          <w:tcPr>
            <w:tcW w:w="432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Results / impact</w:t>
            </w:r>
          </w:p>
        </w:tc>
        <w:tc>
          <w:tcPr>
            <w:tcW w:w="6840" w:type="dxa"/>
            <w:gridSpan w:val="2"/>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Key points</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710"/>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Pr="00986B08"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1</w:t>
            </w:r>
          </w:p>
        </w:tc>
        <w:tc>
          <w:tcPr>
            <w:tcW w:w="207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rPr>
                <w:rFonts w:ascii="Calibri" w:hAnsi="Calibri" w:cs="Arial"/>
                <w:sz w:val="21"/>
                <w:szCs w:val="21"/>
                <w:lang w:eastAsia="en-AU"/>
              </w:rPr>
            </w:pPr>
            <w:r w:rsidRPr="008B22D6">
              <w:rPr>
                <w:rFonts w:ascii="Calibri" w:eastAsia="MS Mincho" w:hAnsi="Calibri" w:cs="Arial"/>
                <w:sz w:val="21"/>
                <w:szCs w:val="21"/>
                <w:lang w:val="en-US" w:eastAsia="ja-JP"/>
              </w:rPr>
              <w:t xml:space="preserve">Ethical Physician Incentives — From Carrots and Sticks to Shared Purpose </w:t>
            </w:r>
            <w:r>
              <w:rPr>
                <w:rFonts w:ascii="Calibri" w:eastAsia="MS Mincho" w:hAnsi="Calibri" w:cs="Arial"/>
                <w:sz w:val="21"/>
                <w:szCs w:val="21"/>
                <w:lang w:val="en-US" w:eastAsia="ja-JP"/>
              </w:rPr>
              <w:fldChar w:fldCharType="begin"/>
            </w:r>
            <w:r>
              <w:rPr>
                <w:rFonts w:ascii="Calibri" w:eastAsia="MS Mincho" w:hAnsi="Calibri" w:cs="Arial"/>
                <w:sz w:val="21"/>
                <w:szCs w:val="21"/>
                <w:lang w:val="en-US" w:eastAsia="ja-JP"/>
              </w:rPr>
              <w:instrText xml:space="preserve"> ADDIN EN.CITE &lt;EndNote&gt;&lt;Cite&gt;&lt;Author&gt;Biller-Andorno&lt;/Author&gt;&lt;Year&gt;2013&lt;/Year&gt;&lt;RecNum&gt;13421&lt;/RecNum&gt;&lt;record&gt;&lt;rec-number&gt;13421&lt;/rec-number&gt;&lt;foreign-keys&gt;&lt;key app="EN" db-id="5r0eapxzsestz4er5zaxe5zqz99fvpawedp5"&gt;13421&lt;/key&gt;&lt;/foreign-keys&gt;&lt;ref-type name="Journal Article"&gt;17&lt;/ref-type&gt;&lt;contributors&gt;&lt;authors&gt;&lt;author&gt;Biller-Andorno, Nikola&lt;/author&gt;&lt;author&gt;Lee, Thomas H.&lt;/author&gt;&lt;/authors&gt;&lt;/contributors&gt;&lt;titles&gt;&lt;title&gt;Ethical Physician Incentives — From Carrots and Sticks to Shared Purpose&lt;/title&gt;&lt;secondary-title&gt;New England Journal of Medicine&lt;/secondary-title&gt;&lt;/titles&gt;&lt;periodical&gt;&lt;full-title&gt;New England Journal of Medicine&lt;/full-title&gt;&lt;/periodical&gt;&lt;pages&gt;980-982&lt;/pages&gt;&lt;volume&gt;368&lt;/volume&gt;&lt;number&gt;11&lt;/number&gt;&lt;dates&gt;&lt;year&gt;2013&lt;/year&gt;&lt;/dates&gt;&lt;accession-num&gt;23484824&lt;/accession-num&gt;&lt;urls&gt;&lt;related-urls&gt;&lt;url&gt;http://www.nejm.org/doi/full/10.1056/NEJMp1300373&lt;/url&gt;&lt;/related-urls&gt;&lt;/urls&gt;&lt;electronic-resource-num&gt;doi:10.1056/NEJMp1300373&lt;/electronic-resource-num&gt;&lt;/record&gt;&lt;/Cite&gt;&lt;/EndNote&gt;</w:instrText>
            </w:r>
            <w:r>
              <w:rPr>
                <w:rFonts w:ascii="Calibri" w:eastAsia="MS Mincho" w:hAnsi="Calibri" w:cs="Arial"/>
                <w:sz w:val="21"/>
                <w:szCs w:val="21"/>
                <w:lang w:val="en-US" w:eastAsia="ja-JP"/>
              </w:rPr>
              <w:fldChar w:fldCharType="separate"/>
            </w:r>
            <w:r w:rsidRPr="008B22D6">
              <w:rPr>
                <w:rFonts w:ascii="Calibri" w:eastAsia="MS Mincho" w:hAnsi="Calibri" w:cs="Arial"/>
                <w:noProof/>
                <w:sz w:val="21"/>
                <w:szCs w:val="21"/>
                <w:vertAlign w:val="superscript"/>
                <w:lang w:val="en-US" w:eastAsia="ja-JP"/>
              </w:rPr>
              <w:t>1</w:t>
            </w:r>
            <w:r>
              <w:rPr>
                <w:rFonts w:ascii="Calibri" w:eastAsia="MS Mincho" w:hAnsi="Calibri" w:cs="Arial"/>
                <w:sz w:val="21"/>
                <w:szCs w:val="21"/>
                <w:lang w:val="en-US" w:eastAsia="ja-JP"/>
              </w:rPr>
              <w:fldChar w:fldCharType="end"/>
            </w:r>
          </w:p>
        </w:tc>
        <w:tc>
          <w:tcPr>
            <w:tcW w:w="198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rPr>
                <w:rFonts w:ascii="Calibri" w:hAnsi="Calibri" w:cs="Arial"/>
                <w:sz w:val="21"/>
                <w:szCs w:val="21"/>
                <w:lang w:eastAsia="en-AU"/>
              </w:rPr>
            </w:pPr>
            <w:r w:rsidRPr="008B22D6">
              <w:rPr>
                <w:rFonts w:ascii="Calibri" w:eastAsia="MS Mincho" w:hAnsi="Calibri" w:cs="Arial"/>
                <w:sz w:val="21"/>
                <w:szCs w:val="21"/>
                <w:lang w:val="en-US" w:eastAsia="ja-JP"/>
              </w:rPr>
              <w:t>Biller-Andorno N</w:t>
            </w:r>
            <w:r>
              <w:rPr>
                <w:rFonts w:ascii="Calibri" w:eastAsia="MS Mincho" w:hAnsi="Calibri" w:cs="Arial"/>
                <w:sz w:val="21"/>
                <w:szCs w:val="21"/>
                <w:lang w:val="en-US" w:eastAsia="ja-JP"/>
              </w:rPr>
              <w:t>,</w:t>
            </w:r>
            <w:r w:rsidRPr="008B22D6">
              <w:rPr>
                <w:rFonts w:ascii="Calibri" w:eastAsia="MS Mincho" w:hAnsi="Calibri" w:cs="Arial"/>
                <w:sz w:val="21"/>
                <w:szCs w:val="21"/>
                <w:lang w:val="en-US" w:eastAsia="ja-JP"/>
              </w:rPr>
              <w:t xml:space="preserve"> Lee TH</w:t>
            </w:r>
            <w:r>
              <w:rPr>
                <w:rFonts w:ascii="Calibri" w:eastAsia="MS Mincho" w:hAnsi="Calibri" w:cs="Arial"/>
                <w:sz w:val="21"/>
                <w:szCs w:val="21"/>
                <w:lang w:val="en-US" w:eastAsia="ja-JP"/>
              </w:rPr>
              <w:t>.</w:t>
            </w:r>
          </w:p>
        </w:tc>
        <w:tc>
          <w:tcPr>
            <w:tcW w:w="1260" w:type="dxa"/>
            <w:tcBorders>
              <w:top w:val="single" w:sz="4" w:space="0" w:color="999999"/>
              <w:left w:val="single" w:sz="4" w:space="0" w:color="999999"/>
              <w:bottom w:val="single" w:sz="4" w:space="0" w:color="999999"/>
              <w:right w:val="single" w:sz="4" w:space="0" w:color="999999"/>
            </w:tcBorders>
          </w:tcPr>
          <w:p w:rsidR="007A1C4A" w:rsidRPr="00B96D06" w:rsidRDefault="007A1C4A" w:rsidP="00DE127A">
            <w:pPr>
              <w:spacing w:before="20" w:after="20"/>
              <w:rPr>
                <w:rFonts w:ascii="Calibri" w:hAnsi="Calibri" w:cs="Arial"/>
                <w:i/>
                <w:sz w:val="21"/>
                <w:szCs w:val="21"/>
                <w:lang w:eastAsia="en-AU"/>
              </w:rPr>
            </w:pPr>
            <w:r w:rsidRPr="00B96D06">
              <w:rPr>
                <w:rFonts w:ascii="Calibri" w:eastAsia="MS Mincho" w:hAnsi="Calibri" w:cs="Arial"/>
                <w:i/>
                <w:iCs/>
                <w:sz w:val="21"/>
                <w:szCs w:val="21"/>
                <w:lang w:val="en-US" w:eastAsia="ja-JP"/>
              </w:rPr>
              <w:t>New England Journal of Medicine</w:t>
            </w:r>
          </w:p>
        </w:tc>
        <w:tc>
          <w:tcPr>
            <w:tcW w:w="144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rPr>
                <w:rFonts w:ascii="Calibri" w:hAnsi="Calibri" w:cs="Arial"/>
                <w:sz w:val="21"/>
                <w:szCs w:val="21"/>
                <w:lang w:eastAsia="en-AU"/>
              </w:rPr>
            </w:pPr>
            <w:r w:rsidRPr="008B22D6">
              <w:rPr>
                <w:rFonts w:ascii="Calibri" w:hAnsi="Calibri" w:cs="Arial"/>
                <w:sz w:val="21"/>
                <w:szCs w:val="21"/>
                <w:lang w:eastAsia="en-AU"/>
              </w:rPr>
              <w:t>Theoretical</w:t>
            </w:r>
            <w:r>
              <w:rPr>
                <w:rFonts w:ascii="Calibri" w:hAnsi="Calibri" w:cs="Arial"/>
                <w:sz w:val="21"/>
                <w:szCs w:val="21"/>
                <w:lang w:eastAsia="en-AU"/>
              </w:rPr>
              <w:t xml:space="preserve"> / </w:t>
            </w:r>
            <w:r w:rsidRPr="008B22D6">
              <w:rPr>
                <w:rFonts w:ascii="Calibri" w:hAnsi="Calibri" w:cs="Arial"/>
                <w:sz w:val="21"/>
                <w:szCs w:val="21"/>
                <w:lang w:eastAsia="en-AU"/>
              </w:rPr>
              <w:t>commentary</w:t>
            </w:r>
          </w:p>
        </w:tc>
        <w:tc>
          <w:tcPr>
            <w:tcW w:w="144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hAnsi="Calibri" w:cs="Arial"/>
                <w:sz w:val="21"/>
                <w:szCs w:val="21"/>
                <w:lang w:eastAsia="en-AU"/>
              </w:rPr>
            </w:pPr>
            <w:r w:rsidRPr="008B22D6">
              <w:rPr>
                <w:rFonts w:ascii="Calibri" w:hAnsi="Calibri" w:cs="Arial"/>
                <w:sz w:val="21"/>
                <w:szCs w:val="21"/>
                <w:lang w:eastAsia="en-AU"/>
              </w:rPr>
              <w:t>Incentives / disincentives</w:t>
            </w:r>
          </w:p>
        </w:tc>
        <w:tc>
          <w:tcPr>
            <w:tcW w:w="108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USA</w:t>
            </w:r>
          </w:p>
        </w:tc>
        <w:tc>
          <w:tcPr>
            <w:tcW w:w="126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All </w:t>
            </w:r>
          </w:p>
        </w:tc>
        <w:tc>
          <w:tcPr>
            <w:tcW w:w="11160" w:type="dxa"/>
            <w:gridSpan w:val="3"/>
            <w:tcBorders>
              <w:top w:val="single" w:sz="4" w:space="0" w:color="999999"/>
              <w:left w:val="single" w:sz="4" w:space="0" w:color="999999"/>
              <w:bottom w:val="single" w:sz="4" w:space="0" w:color="999999"/>
              <w:right w:val="single" w:sz="4" w:space="0" w:color="999999"/>
            </w:tcBorders>
          </w:tcPr>
          <w:p w:rsidR="007A1C4A" w:rsidRDefault="007A1C4A" w:rsidP="00DE127A">
            <w:pPr>
              <w:numPr>
                <w:ilvl w:val="0"/>
                <w:numId w:val="5"/>
              </w:numPr>
              <w:tabs>
                <w:tab w:val="clear" w:pos="720"/>
                <w:tab w:val="num" w:pos="252"/>
              </w:tabs>
              <w:spacing w:before="20" w:after="60" w:line="264" w:lineRule="auto"/>
              <w:ind w:left="252" w:hanging="252"/>
              <w:rPr>
                <w:rFonts w:ascii="Calibri" w:hAnsi="Calibri" w:cs="Arial"/>
                <w:sz w:val="21"/>
                <w:szCs w:val="21"/>
                <w:lang w:eastAsia="en-AU"/>
              </w:rPr>
            </w:pPr>
            <w:r>
              <w:rPr>
                <w:rFonts w:ascii="Calibri" w:hAnsi="Calibri" w:cs="Arial"/>
                <w:sz w:val="21"/>
                <w:szCs w:val="21"/>
                <w:lang w:eastAsia="en-AU"/>
              </w:rPr>
              <w:t>Examines the value and potential effects of financial incentives as part of a broader incentive scheme using the four dimensions of Max Weber’s typology of motives as a framework: (1) traditional (2) self-interest (3) affective, and (4) shared purpose motives.</w:t>
            </w:r>
          </w:p>
          <w:p w:rsidR="007A1C4A" w:rsidRDefault="007A1C4A" w:rsidP="00DE127A">
            <w:pPr>
              <w:numPr>
                <w:ilvl w:val="0"/>
                <w:numId w:val="5"/>
              </w:numPr>
              <w:tabs>
                <w:tab w:val="clear" w:pos="720"/>
                <w:tab w:val="num" w:pos="252"/>
              </w:tabs>
              <w:spacing w:before="20" w:after="60" w:line="264" w:lineRule="auto"/>
              <w:ind w:left="252" w:hanging="252"/>
              <w:rPr>
                <w:rFonts w:ascii="Calibri" w:hAnsi="Calibri" w:cs="Arial"/>
                <w:sz w:val="21"/>
                <w:szCs w:val="21"/>
                <w:lang w:eastAsia="en-AU"/>
              </w:rPr>
            </w:pPr>
            <w:r>
              <w:rPr>
                <w:rFonts w:ascii="Calibri" w:hAnsi="Calibri" w:cs="Arial"/>
                <w:sz w:val="21"/>
                <w:szCs w:val="21"/>
                <w:lang w:eastAsia="en-AU"/>
              </w:rPr>
              <w:t xml:space="preserve">Argues for a shift away from simple, one lever-models. </w:t>
            </w:r>
          </w:p>
          <w:p w:rsidR="007A1C4A" w:rsidRDefault="007A1C4A" w:rsidP="00DE127A">
            <w:pPr>
              <w:numPr>
                <w:ilvl w:val="0"/>
                <w:numId w:val="5"/>
              </w:numPr>
              <w:tabs>
                <w:tab w:val="clear" w:pos="720"/>
                <w:tab w:val="num" w:pos="252"/>
              </w:tabs>
              <w:spacing w:before="20" w:after="60" w:line="264" w:lineRule="auto"/>
              <w:ind w:left="252" w:hanging="252"/>
              <w:rPr>
                <w:rFonts w:ascii="Calibri" w:hAnsi="Calibri" w:cs="Arial"/>
                <w:sz w:val="21"/>
                <w:szCs w:val="21"/>
                <w:lang w:eastAsia="en-AU"/>
              </w:rPr>
            </w:pPr>
            <w:r>
              <w:rPr>
                <w:rFonts w:ascii="Calibri" w:hAnsi="Calibri" w:cs="Arial"/>
                <w:sz w:val="21"/>
                <w:szCs w:val="21"/>
                <w:lang w:eastAsia="en-AU"/>
              </w:rPr>
              <w:t xml:space="preserve">A successful scheme should comprise all four dimensions, especially ‘shared purpose’. </w:t>
            </w:r>
          </w:p>
          <w:p w:rsidR="007A1C4A" w:rsidRDefault="007A1C4A" w:rsidP="00DE127A">
            <w:pPr>
              <w:numPr>
                <w:ilvl w:val="0"/>
                <w:numId w:val="5"/>
              </w:numPr>
              <w:tabs>
                <w:tab w:val="clear" w:pos="720"/>
                <w:tab w:val="num" w:pos="252"/>
              </w:tabs>
              <w:spacing w:before="20" w:after="60" w:line="264" w:lineRule="auto"/>
              <w:ind w:left="252" w:hanging="252"/>
              <w:rPr>
                <w:rFonts w:ascii="Calibri" w:hAnsi="Calibri" w:cs="Arial"/>
                <w:sz w:val="21"/>
                <w:szCs w:val="21"/>
                <w:lang w:eastAsia="en-AU"/>
              </w:rPr>
            </w:pPr>
            <w:r>
              <w:rPr>
                <w:rFonts w:ascii="Calibri" w:hAnsi="Calibri" w:cs="Arial"/>
                <w:sz w:val="21"/>
                <w:szCs w:val="21"/>
                <w:lang w:eastAsia="en-AU"/>
              </w:rPr>
              <w:t xml:space="preserve">Financial (dis)incentives are valuable tools that can enhance a scheme. In isolation, they can have deleterious effects. </w:t>
            </w:r>
          </w:p>
          <w:p w:rsidR="007A1C4A" w:rsidRPr="008B22D6" w:rsidRDefault="007A1C4A" w:rsidP="00DE127A">
            <w:pPr>
              <w:numPr>
                <w:ilvl w:val="0"/>
                <w:numId w:val="5"/>
              </w:numPr>
              <w:tabs>
                <w:tab w:val="clear" w:pos="720"/>
                <w:tab w:val="num" w:pos="252"/>
              </w:tabs>
              <w:spacing w:before="20" w:after="60" w:line="264" w:lineRule="auto"/>
              <w:ind w:left="252" w:hanging="252"/>
              <w:rPr>
                <w:rFonts w:ascii="Calibri" w:hAnsi="Calibri" w:cs="Arial"/>
                <w:sz w:val="21"/>
                <w:szCs w:val="21"/>
                <w:lang w:eastAsia="en-AU"/>
              </w:rPr>
            </w:pPr>
            <w:r>
              <w:rPr>
                <w:rFonts w:ascii="Calibri" w:hAnsi="Calibri" w:cs="Arial"/>
                <w:sz w:val="21"/>
                <w:szCs w:val="21"/>
                <w:lang w:eastAsia="en-AU"/>
              </w:rPr>
              <w:t xml:space="preserve">Local design and adaptation of schemes is critical to ensure shared-purpose is generated. </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Pr="007E7C0A"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2</w:t>
            </w:r>
          </w:p>
        </w:tc>
        <w:tc>
          <w:tcPr>
            <w:tcW w:w="207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eastAsia="MS Mincho" w:hAnsi="Calibri" w:cs="Arial"/>
                <w:sz w:val="21"/>
                <w:szCs w:val="21"/>
                <w:lang w:val="en-US" w:eastAsia="ja-JP"/>
              </w:rPr>
            </w:pPr>
            <w:r>
              <w:rPr>
                <w:rFonts w:ascii="Calibri" w:eastAsia="MS Mincho" w:hAnsi="Calibri" w:cs="Arial"/>
                <w:sz w:val="21"/>
                <w:szCs w:val="21"/>
                <w:lang w:val="en-US" w:eastAsia="ja-JP"/>
              </w:rPr>
              <w:t xml:space="preserve">What can we learn from the U.S. expanded end-stage renal disease (ESRD) bundle </w:t>
            </w:r>
            <w:r>
              <w:rPr>
                <w:rFonts w:ascii="Calibri" w:eastAsia="MS Mincho" w:hAnsi="Calibri" w:cs="Arial"/>
                <w:sz w:val="21"/>
                <w:szCs w:val="21"/>
                <w:lang w:val="en-US" w:eastAsia="ja-JP"/>
              </w:rPr>
              <w:fldChar w:fldCharType="begin"/>
            </w:r>
            <w:r>
              <w:rPr>
                <w:rFonts w:ascii="Calibri" w:eastAsia="MS Mincho" w:hAnsi="Calibri" w:cs="Arial"/>
                <w:sz w:val="21"/>
                <w:szCs w:val="21"/>
                <w:lang w:val="en-US" w:eastAsia="ja-JP"/>
              </w:rPr>
              <w:instrText xml:space="preserve"> ADDIN EN.CITE &lt;EndNote&gt;&lt;Cite&gt;&lt;Author&gt;Chambers&lt;/Author&gt;&lt;Year&gt;2013&lt;/Year&gt;&lt;RecNum&gt;13437&lt;/RecNum&gt;&lt;record&gt;&lt;rec-number&gt;13437&lt;/rec-number&gt;&lt;foreign-keys&gt;&lt;key app="EN" db-id="5r0eapxzsestz4er5zaxe5zqz99fvpawedp5"&gt;13437&lt;/key&gt;&lt;/foreign-keys&gt;&lt;ref-type name="Journal Article"&gt;17&lt;/ref-type&gt;&lt;contributors&gt;&lt;authors&gt;&lt;author&gt;Chambers, James D.&lt;/author&gt;&lt;author&gt;Weiner, Daniel E.&lt;/author&gt;&lt;author&gt;Bliss, Sarah K.&lt;/author&gt;&lt;author&gt;Neumann, Peter J.&lt;/author&gt;&lt;/authors&gt;&lt;/contributors&gt;&lt;titles&gt;&lt;title&gt;What can we learn from the U.S. expanded end-stage renal disease bundle?&lt;/title&gt;&lt;secondary-title&gt;Health Policy&lt;/secondary-title&gt;&lt;/titles&gt;&lt;periodical&gt;&lt;full-title&gt;Health Policy&lt;/full-title&gt;&lt;/periodical&gt;&lt;pages&gt;164-171&lt;/pages&gt;&lt;volume&gt;110&lt;/volume&gt;&lt;number&gt;2–3&lt;/number&gt;&lt;keywords&gt;&lt;keyword&gt;Payment reform&lt;/keyword&gt;&lt;keyword&gt;Episode-based payment&lt;/keyword&gt;&lt;keyword&gt;Bundled payment&lt;/keyword&gt;&lt;keyword&gt;End-stage renal disease&lt;/keyword&gt;&lt;keyword&gt;Medicare&lt;/keyword&gt;&lt;/keywords&gt;&lt;dates&gt;&lt;year&gt;2013&lt;/year&gt;&lt;/dates&gt;&lt;isbn&gt;0168-8510&lt;/isbn&gt;&lt;urls&gt;&lt;related-urls&gt;&lt;url&gt;http://www.sciencedirect.com/science/article/pii/S0168851013000213&lt;/url&gt;&lt;/related-urls&gt;&lt;/urls&gt;&lt;electronic-resource-num&gt;http://dx.doi.org/10.1016/j.healthpol.2013.01.011&lt;/electronic-resource-num&gt;&lt;/record&gt;&lt;/Cite&gt;&lt;/EndNote&gt;</w:instrText>
            </w:r>
            <w:r>
              <w:rPr>
                <w:rFonts w:ascii="Calibri" w:eastAsia="MS Mincho" w:hAnsi="Calibri" w:cs="Arial"/>
                <w:sz w:val="21"/>
                <w:szCs w:val="21"/>
                <w:lang w:val="en-US" w:eastAsia="ja-JP"/>
              </w:rPr>
              <w:fldChar w:fldCharType="separate"/>
            </w:r>
            <w:r w:rsidRPr="00FB3780">
              <w:rPr>
                <w:rFonts w:ascii="Calibri" w:eastAsia="MS Mincho" w:hAnsi="Calibri" w:cs="Arial"/>
                <w:noProof/>
                <w:sz w:val="21"/>
                <w:szCs w:val="21"/>
                <w:vertAlign w:val="superscript"/>
                <w:lang w:val="en-US" w:eastAsia="ja-JP"/>
              </w:rPr>
              <w:t>2</w:t>
            </w:r>
            <w:r>
              <w:rPr>
                <w:rFonts w:ascii="Calibri" w:eastAsia="MS Mincho" w:hAnsi="Calibri" w:cs="Arial"/>
                <w:sz w:val="21"/>
                <w:szCs w:val="21"/>
                <w:lang w:val="en-US" w:eastAsia="ja-JP"/>
              </w:rPr>
              <w:fldChar w:fldCharType="end"/>
            </w:r>
          </w:p>
        </w:tc>
        <w:tc>
          <w:tcPr>
            <w:tcW w:w="1980" w:type="dxa"/>
            <w:tcBorders>
              <w:top w:val="single" w:sz="4" w:space="0" w:color="999999"/>
              <w:left w:val="single" w:sz="4" w:space="0" w:color="999999"/>
              <w:bottom w:val="single" w:sz="4" w:space="0" w:color="999999"/>
              <w:right w:val="single" w:sz="4" w:space="0" w:color="999999"/>
            </w:tcBorders>
          </w:tcPr>
          <w:p w:rsidR="007A1C4A" w:rsidRPr="00064D5F" w:rsidRDefault="007A1C4A" w:rsidP="00DE127A">
            <w:pPr>
              <w:spacing w:before="20" w:after="20" w:line="264" w:lineRule="auto"/>
              <w:rPr>
                <w:rFonts w:ascii="Calibri" w:eastAsia="MS Mincho" w:hAnsi="Calibri" w:cs="Arial"/>
                <w:sz w:val="21"/>
                <w:szCs w:val="21"/>
                <w:lang w:val="fr-FR" w:eastAsia="ja-JP"/>
              </w:rPr>
            </w:pPr>
            <w:r w:rsidRPr="00064D5F">
              <w:rPr>
                <w:rFonts w:ascii="Calibri" w:eastAsia="MS Mincho" w:hAnsi="Calibri" w:cs="Arial"/>
                <w:sz w:val="21"/>
                <w:szCs w:val="21"/>
                <w:lang w:val="fr-FR" w:eastAsia="ja-JP"/>
              </w:rPr>
              <w:t>Chambers JD,</w:t>
            </w:r>
          </w:p>
          <w:p w:rsidR="007A1C4A" w:rsidRPr="00064D5F" w:rsidRDefault="007A1C4A" w:rsidP="00DE127A">
            <w:pPr>
              <w:spacing w:before="20" w:after="20" w:line="264" w:lineRule="auto"/>
              <w:rPr>
                <w:rFonts w:ascii="Calibri" w:eastAsia="MS Mincho" w:hAnsi="Calibri" w:cs="Arial"/>
                <w:sz w:val="21"/>
                <w:szCs w:val="21"/>
                <w:lang w:val="fr-FR" w:eastAsia="ja-JP"/>
              </w:rPr>
            </w:pPr>
            <w:r w:rsidRPr="00064D5F">
              <w:rPr>
                <w:rFonts w:ascii="Calibri" w:eastAsia="MS Mincho" w:hAnsi="Calibri" w:cs="Arial"/>
                <w:sz w:val="21"/>
                <w:szCs w:val="21"/>
                <w:lang w:val="fr-FR" w:eastAsia="ja-JP"/>
              </w:rPr>
              <w:t>Weiner DE,</w:t>
            </w:r>
          </w:p>
          <w:p w:rsidR="007A1C4A" w:rsidRPr="00064D5F" w:rsidRDefault="007A1C4A" w:rsidP="00DE127A">
            <w:pPr>
              <w:spacing w:before="20" w:after="20" w:line="264" w:lineRule="auto"/>
              <w:rPr>
                <w:rFonts w:ascii="Calibri" w:eastAsia="MS Mincho" w:hAnsi="Calibri" w:cs="Arial"/>
                <w:sz w:val="21"/>
                <w:szCs w:val="21"/>
                <w:lang w:val="fr-FR" w:eastAsia="ja-JP"/>
              </w:rPr>
            </w:pPr>
            <w:r w:rsidRPr="00064D5F">
              <w:rPr>
                <w:rFonts w:ascii="Calibri" w:eastAsia="MS Mincho" w:hAnsi="Calibri" w:cs="Arial"/>
                <w:sz w:val="21"/>
                <w:szCs w:val="21"/>
                <w:lang w:val="fr-FR" w:eastAsia="ja-JP"/>
              </w:rPr>
              <w:t>Bliss SK,</w:t>
            </w:r>
          </w:p>
          <w:p w:rsidR="007A1C4A" w:rsidRPr="008B22D6" w:rsidRDefault="007A1C4A" w:rsidP="00DE127A">
            <w:pPr>
              <w:spacing w:before="20" w:after="20" w:line="264" w:lineRule="auto"/>
              <w:rPr>
                <w:rFonts w:ascii="Calibri" w:eastAsia="MS Mincho" w:hAnsi="Calibri" w:cs="Arial"/>
                <w:sz w:val="21"/>
                <w:szCs w:val="21"/>
                <w:lang w:val="en-US" w:eastAsia="ja-JP"/>
              </w:rPr>
            </w:pPr>
            <w:r>
              <w:rPr>
                <w:rFonts w:ascii="Calibri" w:eastAsia="MS Mincho" w:hAnsi="Calibri" w:cs="Arial"/>
                <w:sz w:val="21"/>
                <w:szCs w:val="21"/>
                <w:lang w:val="en-US" w:eastAsia="ja-JP"/>
              </w:rPr>
              <w:t>Neumann PJ.</w:t>
            </w:r>
          </w:p>
        </w:tc>
        <w:tc>
          <w:tcPr>
            <w:tcW w:w="1260" w:type="dxa"/>
            <w:tcBorders>
              <w:top w:val="single" w:sz="4" w:space="0" w:color="999999"/>
              <w:left w:val="single" w:sz="4" w:space="0" w:color="999999"/>
              <w:bottom w:val="single" w:sz="4" w:space="0" w:color="999999"/>
              <w:right w:val="single" w:sz="4" w:space="0" w:color="999999"/>
            </w:tcBorders>
          </w:tcPr>
          <w:p w:rsidR="007A1C4A" w:rsidRPr="00B96D06" w:rsidRDefault="007A1C4A" w:rsidP="00DE127A">
            <w:pPr>
              <w:spacing w:before="20" w:after="20" w:line="264" w:lineRule="auto"/>
              <w:rPr>
                <w:rFonts w:ascii="Calibri" w:hAnsi="Calibri" w:cs="Arial"/>
                <w:i/>
                <w:sz w:val="21"/>
                <w:szCs w:val="21"/>
                <w:lang w:eastAsia="en-AU"/>
              </w:rPr>
            </w:pPr>
            <w:r w:rsidRPr="00B96D06">
              <w:rPr>
                <w:rFonts w:ascii="Calibri" w:hAnsi="Calibri" w:cs="Arial"/>
                <w:i/>
                <w:sz w:val="21"/>
                <w:szCs w:val="21"/>
                <w:lang w:eastAsia="en-AU"/>
              </w:rPr>
              <w:t>Health Policy</w:t>
            </w:r>
          </w:p>
        </w:tc>
        <w:tc>
          <w:tcPr>
            <w:tcW w:w="144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Retrospective review / analysis</w:t>
            </w:r>
          </w:p>
        </w:tc>
        <w:tc>
          <w:tcPr>
            <w:tcW w:w="144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Bundled payment for care: </w:t>
            </w:r>
          </w:p>
          <w:p w:rsidR="007A1C4A" w:rsidRPr="008B22D6"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best-practice &amp; normative pricing</w:t>
            </w:r>
          </w:p>
        </w:tc>
        <w:tc>
          <w:tcPr>
            <w:tcW w:w="108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USA</w:t>
            </w:r>
          </w:p>
        </w:tc>
        <w:tc>
          <w:tcPr>
            <w:tcW w:w="1260" w:type="dxa"/>
            <w:tcBorders>
              <w:top w:val="single" w:sz="4" w:space="0" w:color="999999"/>
              <w:left w:val="single" w:sz="4" w:space="0" w:color="999999"/>
              <w:bottom w:val="single" w:sz="4" w:space="0" w:color="999999"/>
              <w:right w:val="single" w:sz="4" w:space="0" w:color="999999"/>
            </w:tcBorders>
          </w:tcPr>
          <w:p w:rsidR="007A1C4A" w:rsidRPr="008B22D6"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Dialysis: inpatient, outpatient and domiciliary</w:t>
            </w:r>
          </w:p>
        </w:tc>
        <w:tc>
          <w:tcPr>
            <w:tcW w:w="11160" w:type="dxa"/>
            <w:gridSpan w:val="3"/>
            <w:tcBorders>
              <w:top w:val="single" w:sz="4" w:space="0" w:color="999999"/>
              <w:left w:val="single" w:sz="4" w:space="0" w:color="999999"/>
              <w:bottom w:val="single" w:sz="4" w:space="0" w:color="999999"/>
              <w:right w:val="single" w:sz="4" w:space="0" w:color="999999"/>
            </w:tcBorders>
          </w:tcPr>
          <w:p w:rsidR="007A1C4A" w:rsidRPr="00DD3504" w:rsidRDefault="007A1C4A" w:rsidP="00DE127A">
            <w:pPr>
              <w:spacing w:before="20" w:after="60" w:line="264" w:lineRule="auto"/>
              <w:rPr>
                <w:rFonts w:ascii="Calibri" w:hAnsi="Calibri" w:cs="Arial"/>
                <w:sz w:val="21"/>
                <w:szCs w:val="21"/>
                <w:lang w:eastAsia="en-AU"/>
              </w:rPr>
            </w:pPr>
            <w:r w:rsidRPr="00DD3504">
              <w:rPr>
                <w:rFonts w:ascii="Calibri" w:eastAsia="MS Mincho" w:hAnsi="Calibri" w:cs="Dax-Light"/>
                <w:sz w:val="21"/>
                <w:szCs w:val="21"/>
                <w:lang w:val="en-US" w:eastAsia="ja-JP"/>
              </w:rPr>
              <w:t xml:space="preserve">Considers the </w:t>
            </w:r>
            <w:r>
              <w:rPr>
                <w:rFonts w:ascii="Calibri" w:eastAsia="MS Mincho" w:hAnsi="Calibri" w:cs="Dax-Light"/>
                <w:sz w:val="21"/>
                <w:szCs w:val="21"/>
                <w:lang w:val="en-US" w:eastAsia="ja-JP"/>
              </w:rPr>
              <w:t>lessons 2 years after implementation of</w:t>
            </w:r>
            <w:r w:rsidRPr="00DD3504">
              <w:rPr>
                <w:rFonts w:ascii="Calibri" w:eastAsia="MS Mincho" w:hAnsi="Calibri" w:cs="Dax-Light"/>
                <w:sz w:val="21"/>
                <w:szCs w:val="21"/>
                <w:lang w:val="en-US" w:eastAsia="ja-JP"/>
              </w:rPr>
              <w:t xml:space="preserve"> the ESRD payment </w:t>
            </w:r>
            <w:r>
              <w:rPr>
                <w:rFonts w:ascii="Calibri" w:eastAsia="MS Mincho" w:hAnsi="Calibri" w:cs="Dax-Light"/>
                <w:sz w:val="21"/>
                <w:szCs w:val="21"/>
                <w:lang w:val="en-US" w:eastAsia="ja-JP"/>
              </w:rPr>
              <w:t>bundle</w:t>
            </w:r>
            <w:r w:rsidRPr="00DD3504">
              <w:rPr>
                <w:rFonts w:ascii="Calibri" w:eastAsia="MS Mincho" w:hAnsi="Calibri" w:cs="Dax-Light"/>
                <w:sz w:val="21"/>
                <w:szCs w:val="21"/>
                <w:lang w:val="en-US" w:eastAsia="ja-JP"/>
              </w:rPr>
              <w:t xml:space="preserve">. </w:t>
            </w:r>
            <w:r>
              <w:rPr>
                <w:rFonts w:ascii="Calibri" w:eastAsia="MS Mincho" w:hAnsi="Calibri" w:cs="Dax-Light"/>
                <w:sz w:val="21"/>
                <w:szCs w:val="21"/>
                <w:lang w:val="en-US" w:eastAsia="ja-JP"/>
              </w:rPr>
              <w:t>While much if the paper is out of scope, t</w:t>
            </w:r>
            <w:r w:rsidRPr="00DD3504">
              <w:rPr>
                <w:rFonts w:ascii="Calibri" w:eastAsia="MS Mincho" w:hAnsi="Calibri" w:cs="Dax-Light"/>
                <w:sz w:val="21"/>
                <w:szCs w:val="21"/>
                <w:lang w:val="en-US" w:eastAsia="ja-JP"/>
              </w:rPr>
              <w:t xml:space="preserve">he following points are </w:t>
            </w:r>
            <w:r w:rsidRPr="00DD3504">
              <w:rPr>
                <w:rFonts w:ascii="Calibri" w:hAnsi="Calibri" w:cs="Arial"/>
                <w:sz w:val="21"/>
                <w:szCs w:val="21"/>
                <w:lang w:eastAsia="en-AU"/>
              </w:rPr>
              <w:t>noteworthy:</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Expensive services have been </w:t>
            </w:r>
            <w:r w:rsidRPr="00C23D18">
              <w:rPr>
                <w:rFonts w:ascii="Calibri" w:eastAsia="MS Mincho" w:hAnsi="Calibri" w:cs="Dax-Light"/>
                <w:b/>
                <w:sz w:val="21"/>
                <w:szCs w:val="21"/>
                <w:lang w:val="en-US" w:eastAsia="ja-JP"/>
              </w:rPr>
              <w:t>substituted</w:t>
            </w:r>
            <w:r>
              <w:rPr>
                <w:rFonts w:ascii="Calibri" w:eastAsia="MS Mincho" w:hAnsi="Calibri" w:cs="Dax-Light"/>
                <w:sz w:val="21"/>
                <w:szCs w:val="21"/>
                <w:lang w:val="en-US" w:eastAsia="ja-JP"/>
              </w:rPr>
              <w:t xml:space="preserve"> with cheaper, equally effective ones.</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Bundling is likely to change the </w:t>
            </w:r>
            <w:r w:rsidRPr="00C23D18">
              <w:rPr>
                <w:rFonts w:ascii="Calibri" w:eastAsia="MS Mincho" w:hAnsi="Calibri" w:cs="Dax-Light"/>
                <w:b/>
                <w:sz w:val="21"/>
                <w:szCs w:val="21"/>
                <w:lang w:val="en-US" w:eastAsia="ja-JP"/>
              </w:rPr>
              <w:t>location</w:t>
            </w:r>
            <w:r>
              <w:rPr>
                <w:rFonts w:ascii="Calibri" w:eastAsia="MS Mincho" w:hAnsi="Calibri" w:cs="Dax-Light"/>
                <w:sz w:val="21"/>
                <w:szCs w:val="21"/>
                <w:lang w:val="en-US" w:eastAsia="ja-JP"/>
              </w:rPr>
              <w:t xml:space="preserve"> of care delivery.</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Monitoring of </w:t>
            </w:r>
            <w:r w:rsidRPr="00C23D18">
              <w:rPr>
                <w:rFonts w:ascii="Calibri" w:eastAsia="MS Mincho" w:hAnsi="Calibri" w:cs="Dax-Light"/>
                <w:b/>
                <w:sz w:val="21"/>
                <w:szCs w:val="21"/>
                <w:lang w:val="en-US" w:eastAsia="ja-JP"/>
              </w:rPr>
              <w:t>clinical outcomes</w:t>
            </w:r>
            <w:r>
              <w:rPr>
                <w:rFonts w:ascii="Calibri" w:eastAsia="MS Mincho" w:hAnsi="Calibri" w:cs="Dax-Light"/>
                <w:sz w:val="21"/>
                <w:szCs w:val="21"/>
                <w:lang w:val="en-US" w:eastAsia="ja-JP"/>
              </w:rPr>
              <w:t xml:space="preserve"> is critical.</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Metrics must </w:t>
            </w:r>
            <w:r w:rsidRPr="00C23D18">
              <w:rPr>
                <w:rFonts w:ascii="Calibri" w:eastAsia="MS Mincho" w:hAnsi="Calibri" w:cs="Dax-Light"/>
                <w:b/>
                <w:sz w:val="21"/>
                <w:szCs w:val="21"/>
                <w:lang w:val="en-US" w:eastAsia="ja-JP"/>
              </w:rPr>
              <w:t>be objective, unambiguous, real time</w:t>
            </w:r>
            <w:r>
              <w:rPr>
                <w:rFonts w:ascii="Calibri" w:eastAsia="MS Mincho" w:hAnsi="Calibri" w:cs="Dax-Light"/>
                <w:sz w:val="21"/>
                <w:szCs w:val="21"/>
                <w:lang w:val="en-US" w:eastAsia="ja-JP"/>
              </w:rPr>
              <w:t xml:space="preserve"> and not </w:t>
            </w:r>
            <w:r w:rsidRPr="00C23D18">
              <w:rPr>
                <w:rFonts w:ascii="Calibri" w:eastAsia="MS Mincho" w:hAnsi="Calibri" w:cs="Dax-Light"/>
                <w:b/>
                <w:sz w:val="21"/>
                <w:szCs w:val="21"/>
                <w:lang w:val="en-US" w:eastAsia="ja-JP"/>
              </w:rPr>
              <w:t>burdensome</w:t>
            </w:r>
            <w:r>
              <w:rPr>
                <w:rFonts w:ascii="Calibri" w:eastAsia="MS Mincho" w:hAnsi="Calibri" w:cs="Dax-Light"/>
                <w:sz w:val="21"/>
                <w:szCs w:val="21"/>
                <w:lang w:val="en-US" w:eastAsia="ja-JP"/>
              </w:rPr>
              <w:t>.</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sidRPr="00C23D18">
              <w:rPr>
                <w:rFonts w:ascii="Calibri" w:eastAsia="MS Mincho" w:hAnsi="Calibri" w:cs="Dax-Light"/>
                <w:b/>
                <w:sz w:val="21"/>
                <w:szCs w:val="21"/>
                <w:lang w:val="en-US" w:eastAsia="ja-JP"/>
              </w:rPr>
              <w:t>Stakeholder</w:t>
            </w:r>
            <w:r>
              <w:rPr>
                <w:rFonts w:ascii="Calibri" w:eastAsia="MS Mincho" w:hAnsi="Calibri" w:cs="Dax-Light"/>
                <w:sz w:val="21"/>
                <w:szCs w:val="21"/>
                <w:lang w:val="en-US" w:eastAsia="ja-JP"/>
              </w:rPr>
              <w:t xml:space="preserve"> (esp clinician) </w:t>
            </w:r>
            <w:r w:rsidRPr="00C23D18">
              <w:rPr>
                <w:rFonts w:ascii="Calibri" w:eastAsia="MS Mincho" w:hAnsi="Calibri" w:cs="Dax-Light"/>
                <w:b/>
                <w:sz w:val="21"/>
                <w:szCs w:val="21"/>
                <w:lang w:val="en-US" w:eastAsia="ja-JP"/>
              </w:rPr>
              <w:t>input</w:t>
            </w:r>
            <w:r>
              <w:rPr>
                <w:rFonts w:ascii="Calibri" w:eastAsia="MS Mincho" w:hAnsi="Calibri" w:cs="Dax-Light"/>
                <w:sz w:val="21"/>
                <w:szCs w:val="21"/>
                <w:lang w:val="en-US" w:eastAsia="ja-JP"/>
              </w:rPr>
              <w:t xml:space="preserve"> in the design of schemes is critical.</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sidRPr="00C23D18">
              <w:rPr>
                <w:rFonts w:ascii="Calibri" w:eastAsia="MS Mincho" w:hAnsi="Calibri" w:cs="Dax-Light"/>
                <w:b/>
                <w:sz w:val="21"/>
                <w:szCs w:val="21"/>
                <w:lang w:val="en-US" w:eastAsia="ja-JP"/>
              </w:rPr>
              <w:t>Implementation</w:t>
            </w:r>
            <w:r>
              <w:rPr>
                <w:rFonts w:ascii="Calibri" w:eastAsia="MS Mincho" w:hAnsi="Calibri" w:cs="Dax-Light"/>
                <w:sz w:val="21"/>
                <w:szCs w:val="21"/>
                <w:lang w:val="en-US" w:eastAsia="ja-JP"/>
              </w:rPr>
              <w:t xml:space="preserve"> of schemes should be </w:t>
            </w:r>
            <w:r w:rsidRPr="00C23D18">
              <w:rPr>
                <w:rFonts w:ascii="Calibri" w:eastAsia="MS Mincho" w:hAnsi="Calibri" w:cs="Dax-Light"/>
                <w:b/>
                <w:sz w:val="21"/>
                <w:szCs w:val="21"/>
                <w:lang w:val="en-US" w:eastAsia="ja-JP"/>
              </w:rPr>
              <w:t>slow and phased</w:t>
            </w:r>
            <w:r>
              <w:rPr>
                <w:rFonts w:ascii="Calibri" w:eastAsia="MS Mincho" w:hAnsi="Calibri" w:cs="Dax-Light"/>
                <w:sz w:val="21"/>
                <w:szCs w:val="21"/>
                <w:lang w:val="en-US" w:eastAsia="ja-JP"/>
              </w:rPr>
              <w:t xml:space="preserve">. </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Implementation also creates </w:t>
            </w:r>
            <w:r w:rsidRPr="00C23D18">
              <w:rPr>
                <w:rFonts w:ascii="Calibri" w:eastAsia="MS Mincho" w:hAnsi="Calibri" w:cs="Dax-Light"/>
                <w:b/>
                <w:sz w:val="21"/>
                <w:szCs w:val="21"/>
                <w:lang w:val="en-US" w:eastAsia="ja-JP"/>
              </w:rPr>
              <w:t>opportunities</w:t>
            </w:r>
            <w:r>
              <w:rPr>
                <w:rFonts w:ascii="Calibri" w:eastAsia="MS Mincho" w:hAnsi="Calibri" w:cs="Dax-Light"/>
                <w:sz w:val="21"/>
                <w:szCs w:val="21"/>
                <w:lang w:val="en-US" w:eastAsia="ja-JP"/>
              </w:rPr>
              <w:t xml:space="preserve"> for research.</w:t>
            </w:r>
          </w:p>
          <w:p w:rsidR="007A1C4A"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There may be u</w:t>
            </w:r>
            <w:r w:rsidRPr="00C23D18">
              <w:rPr>
                <w:rFonts w:ascii="Calibri" w:eastAsia="MS Mincho" w:hAnsi="Calibri" w:cs="Dax-Light"/>
                <w:b/>
                <w:sz w:val="21"/>
                <w:szCs w:val="21"/>
                <w:lang w:val="en-US" w:eastAsia="ja-JP"/>
              </w:rPr>
              <w:t>nintended, system-wide consequences</w:t>
            </w:r>
            <w:r>
              <w:rPr>
                <w:rFonts w:ascii="Calibri" w:eastAsia="MS Mincho" w:hAnsi="Calibri" w:cs="Dax-Light"/>
                <w:sz w:val="21"/>
                <w:szCs w:val="21"/>
                <w:lang w:val="en-US" w:eastAsia="ja-JP"/>
              </w:rPr>
              <w:t xml:space="preserve"> (e.g. cost shifting), which should be considered and monitored.</w:t>
            </w:r>
          </w:p>
          <w:p w:rsidR="007A1C4A" w:rsidRPr="00DD3504" w:rsidRDefault="007A1C4A" w:rsidP="00721A5B">
            <w:pPr>
              <w:numPr>
                <w:ilvl w:val="0"/>
                <w:numId w:val="30"/>
              </w:numPr>
              <w:tabs>
                <w:tab w:val="clear" w:pos="360"/>
                <w:tab w:val="num" w:pos="252"/>
              </w:tabs>
              <w:spacing w:before="20" w:after="60" w:line="264" w:lineRule="auto"/>
              <w:ind w:left="252" w:hanging="252"/>
              <w:rPr>
                <w:rFonts w:ascii="Calibri" w:eastAsia="MS Mincho" w:hAnsi="Calibri" w:cs="Dax-Light"/>
                <w:sz w:val="21"/>
                <w:szCs w:val="21"/>
                <w:lang w:val="en-US" w:eastAsia="ja-JP"/>
              </w:rPr>
            </w:pPr>
            <w:r>
              <w:rPr>
                <w:rFonts w:ascii="Calibri" w:eastAsia="MS Mincho" w:hAnsi="Calibri" w:cs="Dax-Light"/>
                <w:sz w:val="21"/>
                <w:szCs w:val="21"/>
                <w:lang w:val="en-US" w:eastAsia="ja-JP"/>
              </w:rPr>
              <w:t>Bundling may be a</w:t>
            </w:r>
            <w:r w:rsidRPr="00C23D18">
              <w:rPr>
                <w:rFonts w:ascii="Calibri" w:eastAsia="MS Mincho" w:hAnsi="Calibri" w:cs="Dax-Light"/>
                <w:b/>
                <w:sz w:val="21"/>
                <w:szCs w:val="21"/>
                <w:lang w:val="en-US" w:eastAsia="ja-JP"/>
              </w:rPr>
              <w:t xml:space="preserve"> transitional step towards </w:t>
            </w:r>
            <w:r>
              <w:rPr>
                <w:rFonts w:ascii="Calibri" w:eastAsia="MS Mincho" w:hAnsi="Calibri" w:cs="Dax-Light"/>
                <w:sz w:val="21"/>
                <w:szCs w:val="21"/>
                <w:lang w:val="en-US" w:eastAsia="ja-JP"/>
              </w:rPr>
              <w:t xml:space="preserve">more comprehensive reforms such as capitated payment systems. </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3</w:t>
            </w:r>
          </w:p>
        </w:tc>
        <w:tc>
          <w:tcPr>
            <w:tcW w:w="207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eastAsia="MS Mincho" w:hAnsi="Calibri" w:cs="Arial"/>
                <w:sz w:val="21"/>
                <w:szCs w:val="21"/>
                <w:lang w:val="en-US" w:eastAsia="ja-JP"/>
              </w:rPr>
            </w:pPr>
            <w:r w:rsidRPr="000D3AFE">
              <w:rPr>
                <w:rFonts w:ascii="Calibri" w:eastAsia="MS Mincho" w:hAnsi="Calibri" w:cs="Arial"/>
                <w:sz w:val="21"/>
                <w:szCs w:val="21"/>
                <w:lang w:val="en-US" w:eastAsia="ja-JP"/>
              </w:rPr>
              <w:t>Paying for Value: Replacing Medicare's Sustainable Growth Rate Formula with incentives to improve care</w:t>
            </w:r>
            <w:r>
              <w:rPr>
                <w:rFonts w:ascii="Calibri" w:eastAsia="MS Mincho" w:hAnsi="Calibri" w:cs="Arial"/>
                <w:sz w:val="21"/>
                <w:szCs w:val="21"/>
                <w:lang w:val="en-US" w:eastAsia="ja-JP"/>
              </w:rPr>
              <w:t xml:space="preserve"> </w:t>
            </w:r>
            <w:r>
              <w:rPr>
                <w:rFonts w:ascii="Calibri" w:eastAsia="MS Mincho" w:hAnsi="Calibri" w:cs="Arial"/>
                <w:sz w:val="21"/>
                <w:szCs w:val="21"/>
                <w:vertAlign w:val="superscript"/>
                <w:lang w:val="en-US" w:eastAsia="ja-JP"/>
              </w:rPr>
              <w:fldChar w:fldCharType="begin"/>
            </w:r>
            <w:r>
              <w:rPr>
                <w:rFonts w:ascii="Calibri" w:eastAsia="MS Mincho" w:hAnsi="Calibri" w:cs="Arial"/>
                <w:sz w:val="21"/>
                <w:szCs w:val="21"/>
                <w:vertAlign w:val="superscript"/>
                <w:lang w:val="en-US" w:eastAsia="ja-JP"/>
              </w:rPr>
              <w:instrText xml:space="preserve"> ADDIN EN.CITE &lt;EndNote&gt;&lt;Cite&gt;&lt;Author&gt;Guterman S&lt;/Author&gt;&lt;Year&gt;2013&lt;/Year&gt;&lt;RecNum&gt;13442&lt;/RecNum&gt;&lt;record&gt;&lt;rec-number&gt;13442&lt;/rec-number&gt;&lt;foreign-keys&gt;&lt;key app="EN" db-id="5r0eapxzsestz4er5zaxe5zqz99fvpawedp5"&gt;13442&lt;/key&gt;&lt;/foreign-keys&gt;&lt;ref-type name="Report"&gt;27&lt;/ref-type&gt;&lt;contributors&gt;&lt;authors&gt;&lt;author&gt;Guterman S,&lt;/author&gt;&lt;author&gt;Zezza MA,&lt;/author&gt;&lt;author&gt;Schoen C,&lt;/author&gt;&lt;/authors&gt;&lt;/contributors&gt;&lt;titles&gt;&lt;title&gt;Paying for Value: Replacing Medicare&amp;apos;s Sustainable Growth Rate Formula with incentives to improve care&lt;/title&gt;&lt;/titles&gt;&lt;volume&gt;16&lt;/volume&gt;&lt;number&gt;1678&lt;/number&gt;&lt;dates&gt;&lt;year&gt;2013&lt;/year&gt;&lt;/dates&gt;&lt;publisher&gt;Commonwealth Fund&lt;/publisher&gt;&lt;urls&gt;&lt;/urls&gt;&lt;/record&gt;&lt;/Cite&gt;&lt;/EndNote&gt;</w:instrText>
            </w:r>
            <w:r>
              <w:rPr>
                <w:rFonts w:ascii="Calibri" w:eastAsia="MS Mincho" w:hAnsi="Calibri" w:cs="Arial"/>
                <w:sz w:val="21"/>
                <w:szCs w:val="21"/>
                <w:vertAlign w:val="superscript"/>
                <w:lang w:val="en-US" w:eastAsia="ja-JP"/>
              </w:rPr>
              <w:fldChar w:fldCharType="separate"/>
            </w:r>
            <w:r>
              <w:rPr>
                <w:rFonts w:ascii="Calibri" w:eastAsia="MS Mincho" w:hAnsi="Calibri" w:cs="Arial"/>
                <w:noProof/>
                <w:sz w:val="21"/>
                <w:szCs w:val="21"/>
                <w:vertAlign w:val="superscript"/>
                <w:lang w:val="en-US" w:eastAsia="ja-JP"/>
              </w:rPr>
              <w:t>3</w:t>
            </w:r>
            <w:r>
              <w:rPr>
                <w:rFonts w:ascii="Calibri" w:eastAsia="MS Mincho" w:hAnsi="Calibri" w:cs="Arial"/>
                <w:sz w:val="21"/>
                <w:szCs w:val="21"/>
                <w:vertAlign w:val="superscript"/>
                <w:lang w:val="en-US" w:eastAsia="ja-JP"/>
              </w:rPr>
              <w:fldChar w:fldCharType="end"/>
            </w:r>
          </w:p>
        </w:tc>
        <w:tc>
          <w:tcPr>
            <w:tcW w:w="1980" w:type="dxa"/>
            <w:tcBorders>
              <w:top w:val="single" w:sz="4" w:space="0" w:color="999999"/>
              <w:left w:val="single" w:sz="4" w:space="0" w:color="999999"/>
              <w:bottom w:val="single" w:sz="4" w:space="0" w:color="999999"/>
              <w:right w:val="single" w:sz="4" w:space="0" w:color="999999"/>
            </w:tcBorders>
          </w:tcPr>
          <w:p w:rsidR="007A1C4A" w:rsidRPr="00064D5F" w:rsidRDefault="007A1C4A" w:rsidP="00DE127A">
            <w:pPr>
              <w:spacing w:before="20" w:after="20" w:line="264" w:lineRule="auto"/>
              <w:rPr>
                <w:rFonts w:ascii="Calibri" w:eastAsia="MS Mincho" w:hAnsi="Calibri" w:cs="Arial"/>
                <w:sz w:val="21"/>
                <w:szCs w:val="21"/>
                <w:lang w:val="de-DE" w:eastAsia="ja-JP"/>
              </w:rPr>
            </w:pPr>
            <w:r w:rsidRPr="00064D5F">
              <w:rPr>
                <w:rFonts w:ascii="Calibri" w:eastAsia="MS Mincho" w:hAnsi="Calibri" w:cs="Arial"/>
                <w:sz w:val="21"/>
                <w:szCs w:val="21"/>
                <w:lang w:val="de-DE" w:eastAsia="ja-JP"/>
              </w:rPr>
              <w:t>Guterman S,</w:t>
            </w:r>
          </w:p>
          <w:p w:rsidR="007A1C4A" w:rsidRPr="00064D5F" w:rsidRDefault="007A1C4A" w:rsidP="00DE127A">
            <w:pPr>
              <w:spacing w:before="20" w:after="20" w:line="264" w:lineRule="auto"/>
              <w:rPr>
                <w:rFonts w:ascii="Calibri" w:eastAsia="MS Mincho" w:hAnsi="Calibri" w:cs="Arial"/>
                <w:sz w:val="21"/>
                <w:szCs w:val="21"/>
                <w:lang w:val="de-DE" w:eastAsia="ja-JP"/>
              </w:rPr>
            </w:pPr>
            <w:r w:rsidRPr="00064D5F">
              <w:rPr>
                <w:rFonts w:ascii="Calibri" w:eastAsia="MS Mincho" w:hAnsi="Calibri" w:cs="Arial"/>
                <w:sz w:val="21"/>
                <w:szCs w:val="21"/>
                <w:lang w:val="de-DE" w:eastAsia="ja-JP"/>
              </w:rPr>
              <w:t>Zezza MA,</w:t>
            </w:r>
          </w:p>
          <w:p w:rsidR="007A1C4A" w:rsidRPr="00064D5F" w:rsidRDefault="007A1C4A" w:rsidP="00DE127A">
            <w:pPr>
              <w:spacing w:before="20" w:after="20" w:line="264" w:lineRule="auto"/>
              <w:rPr>
                <w:rFonts w:ascii="Calibri" w:eastAsia="MS Mincho" w:hAnsi="Calibri" w:cs="Arial"/>
                <w:sz w:val="21"/>
                <w:szCs w:val="21"/>
                <w:lang w:val="de-DE" w:eastAsia="ja-JP"/>
              </w:rPr>
            </w:pPr>
            <w:r w:rsidRPr="00064D5F">
              <w:rPr>
                <w:rFonts w:ascii="Calibri" w:eastAsia="MS Mincho" w:hAnsi="Calibri" w:cs="Arial"/>
                <w:sz w:val="21"/>
                <w:szCs w:val="21"/>
                <w:lang w:val="de-DE" w:eastAsia="ja-JP"/>
              </w:rPr>
              <w:t>Schoen C.</w:t>
            </w:r>
          </w:p>
        </w:tc>
        <w:tc>
          <w:tcPr>
            <w:tcW w:w="1260" w:type="dxa"/>
            <w:tcBorders>
              <w:top w:val="single" w:sz="4" w:space="0" w:color="999999"/>
              <w:left w:val="single" w:sz="4" w:space="0" w:color="999999"/>
              <w:bottom w:val="single" w:sz="4" w:space="0" w:color="999999"/>
              <w:right w:val="single" w:sz="4" w:space="0" w:color="999999"/>
            </w:tcBorders>
          </w:tcPr>
          <w:p w:rsidR="007A1C4A" w:rsidRPr="000D3AFE" w:rsidRDefault="007A1C4A" w:rsidP="00DE127A">
            <w:pPr>
              <w:spacing w:before="20" w:after="20" w:line="264" w:lineRule="auto"/>
              <w:rPr>
                <w:rFonts w:ascii="Calibri" w:hAnsi="Calibri" w:cs="Arial"/>
                <w:sz w:val="21"/>
                <w:szCs w:val="21"/>
                <w:lang w:val="en-US" w:eastAsia="en-AU"/>
              </w:rPr>
            </w:pPr>
            <w:r>
              <w:rPr>
                <w:rFonts w:ascii="Calibri" w:hAnsi="Calibri" w:cs="Arial"/>
                <w:sz w:val="21"/>
                <w:szCs w:val="21"/>
                <w:lang w:val="en-US" w:eastAsia="en-AU"/>
              </w:rPr>
              <w:t>Common-wealth Fund</w:t>
            </w:r>
          </w:p>
        </w:tc>
        <w:tc>
          <w:tcPr>
            <w:tcW w:w="144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Analysis and modelling </w:t>
            </w:r>
          </w:p>
        </w:tc>
        <w:tc>
          <w:tcPr>
            <w:tcW w:w="144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Various</w:t>
            </w:r>
          </w:p>
        </w:tc>
        <w:tc>
          <w:tcPr>
            <w:tcW w:w="108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USA</w:t>
            </w:r>
          </w:p>
        </w:tc>
        <w:tc>
          <w:tcPr>
            <w:tcW w:w="126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All</w:t>
            </w:r>
          </w:p>
        </w:tc>
        <w:tc>
          <w:tcPr>
            <w:tcW w:w="11160" w:type="dxa"/>
            <w:gridSpan w:val="3"/>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Proposes the following payment system reforms to encourage value-based purchasing to cultivate innovation and care coordination:</w:t>
            </w:r>
          </w:p>
          <w:p w:rsidR="007A1C4A" w:rsidRDefault="007A1C4A" w:rsidP="00721A5B">
            <w:pPr>
              <w:numPr>
                <w:ilvl w:val="0"/>
                <w:numId w:val="31"/>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Replace  the Medicare ‘Sustainable growth rate’ (SGR) with a </w:t>
            </w:r>
            <w:r w:rsidRPr="00AD28DE">
              <w:rPr>
                <w:rFonts w:ascii="Calibri" w:eastAsia="MS Mincho" w:hAnsi="Calibri" w:cs="Dax-Light"/>
                <w:b/>
                <w:sz w:val="21"/>
                <w:szCs w:val="21"/>
                <w:lang w:val="en-US" w:eastAsia="ja-JP"/>
              </w:rPr>
              <w:t>payment system focused on value</w:t>
            </w:r>
            <w:r>
              <w:rPr>
                <w:rFonts w:ascii="Calibri" w:eastAsia="MS Mincho" w:hAnsi="Calibri" w:cs="Dax-Light"/>
                <w:sz w:val="21"/>
                <w:szCs w:val="21"/>
                <w:lang w:val="en-US" w:eastAsia="ja-JP"/>
              </w:rPr>
              <w:t xml:space="preserve"> through a variety of polices including:</w:t>
            </w:r>
          </w:p>
          <w:p w:rsidR="007A1C4A" w:rsidRDefault="007A1C4A" w:rsidP="00721A5B">
            <w:pPr>
              <w:numPr>
                <w:ilvl w:val="0"/>
                <w:numId w:val="32"/>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recalibrating costs and outcomes periodically</w:t>
            </w:r>
          </w:p>
          <w:p w:rsidR="007A1C4A" w:rsidRDefault="007A1C4A" w:rsidP="00721A5B">
            <w:pPr>
              <w:numPr>
                <w:ilvl w:val="0"/>
                <w:numId w:val="32"/>
              </w:numPr>
              <w:spacing w:before="20" w:after="60" w:line="264" w:lineRule="auto"/>
              <w:rPr>
                <w:rFonts w:ascii="Calibri" w:eastAsia="MS Mincho" w:hAnsi="Calibri" w:cs="Dax-Light"/>
                <w:sz w:val="21"/>
                <w:szCs w:val="21"/>
                <w:lang w:val="en-US" w:eastAsia="ja-JP"/>
              </w:rPr>
            </w:pPr>
            <w:r w:rsidRPr="00AD28DE">
              <w:rPr>
                <w:rFonts w:ascii="Calibri" w:eastAsia="MS Mincho" w:hAnsi="Calibri" w:cs="Dax-Light"/>
                <w:b/>
                <w:sz w:val="21"/>
                <w:szCs w:val="21"/>
                <w:lang w:val="en-US" w:eastAsia="ja-JP"/>
              </w:rPr>
              <w:t>normative pricing</w:t>
            </w:r>
            <w:r>
              <w:rPr>
                <w:rFonts w:ascii="Calibri" w:eastAsia="MS Mincho" w:hAnsi="Calibri" w:cs="Dax-Light"/>
                <w:sz w:val="21"/>
                <w:szCs w:val="21"/>
                <w:lang w:val="en-US" w:eastAsia="ja-JP"/>
              </w:rPr>
              <w:t xml:space="preserve"> to encourage lower-cost alternatives</w:t>
            </w:r>
          </w:p>
          <w:p w:rsidR="007A1C4A" w:rsidRDefault="007A1C4A" w:rsidP="00721A5B">
            <w:pPr>
              <w:numPr>
                <w:ilvl w:val="0"/>
                <w:numId w:val="32"/>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stricter inclusion/exclusion criteria for some  payment rates</w:t>
            </w:r>
          </w:p>
          <w:p w:rsidR="007A1C4A" w:rsidRDefault="007A1C4A" w:rsidP="00721A5B">
            <w:pPr>
              <w:numPr>
                <w:ilvl w:val="0"/>
                <w:numId w:val="32"/>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encourage the use of generic drugs</w:t>
            </w:r>
          </w:p>
          <w:p w:rsidR="007A1C4A" w:rsidRDefault="007A1C4A" w:rsidP="00721A5B">
            <w:pPr>
              <w:numPr>
                <w:ilvl w:val="0"/>
                <w:numId w:val="31"/>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Support for</w:t>
            </w:r>
            <w:r w:rsidRPr="00AD28DE">
              <w:rPr>
                <w:rFonts w:ascii="Calibri" w:eastAsia="MS Mincho" w:hAnsi="Calibri" w:cs="Dax-Light"/>
                <w:b/>
                <w:sz w:val="21"/>
                <w:szCs w:val="21"/>
                <w:lang w:val="en-US" w:eastAsia="ja-JP"/>
              </w:rPr>
              <w:t xml:space="preserve"> primary care</w:t>
            </w:r>
            <w:r>
              <w:rPr>
                <w:rFonts w:ascii="Calibri" w:eastAsia="MS Mincho" w:hAnsi="Calibri" w:cs="Dax-Light"/>
                <w:sz w:val="21"/>
                <w:szCs w:val="21"/>
                <w:lang w:val="en-US" w:eastAsia="ja-JP"/>
              </w:rPr>
              <w:t xml:space="preserve">, health care </w:t>
            </w:r>
            <w:r w:rsidRPr="00AD28DE">
              <w:rPr>
                <w:rFonts w:ascii="Calibri" w:eastAsia="MS Mincho" w:hAnsi="Calibri" w:cs="Dax-Light"/>
                <w:b/>
                <w:sz w:val="21"/>
                <w:szCs w:val="21"/>
                <w:lang w:val="en-US" w:eastAsia="ja-JP"/>
              </w:rPr>
              <w:t>teams</w:t>
            </w:r>
            <w:r>
              <w:rPr>
                <w:rFonts w:ascii="Calibri" w:eastAsia="MS Mincho" w:hAnsi="Calibri" w:cs="Dax-Light"/>
                <w:sz w:val="21"/>
                <w:szCs w:val="21"/>
                <w:lang w:val="en-US" w:eastAsia="ja-JP"/>
              </w:rPr>
              <w:t xml:space="preserve"> and </w:t>
            </w:r>
            <w:r w:rsidRPr="00AD28DE">
              <w:rPr>
                <w:rFonts w:ascii="Calibri" w:eastAsia="MS Mincho" w:hAnsi="Calibri" w:cs="Dax-Light"/>
                <w:b/>
                <w:sz w:val="21"/>
                <w:szCs w:val="21"/>
                <w:lang w:val="en-US" w:eastAsia="ja-JP"/>
              </w:rPr>
              <w:t>innovative</w:t>
            </w:r>
            <w:r>
              <w:rPr>
                <w:rFonts w:ascii="Calibri" w:eastAsia="MS Mincho" w:hAnsi="Calibri" w:cs="Dax-Light"/>
                <w:sz w:val="21"/>
                <w:szCs w:val="21"/>
                <w:lang w:val="en-US" w:eastAsia="ja-JP"/>
              </w:rPr>
              <w:t xml:space="preserve"> delivery:</w:t>
            </w:r>
          </w:p>
          <w:p w:rsidR="007A1C4A" w:rsidRDefault="007A1C4A" w:rsidP="00721A5B">
            <w:pPr>
              <w:numPr>
                <w:ilvl w:val="0"/>
                <w:numId w:val="33"/>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Bonus payments for care delivered in non-acute settings</w:t>
            </w:r>
          </w:p>
          <w:p w:rsidR="007A1C4A" w:rsidRDefault="007A1C4A" w:rsidP="00721A5B">
            <w:pPr>
              <w:numPr>
                <w:ilvl w:val="0"/>
                <w:numId w:val="33"/>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Additional payment for innovation such as bundling in non-acute services</w:t>
            </w:r>
          </w:p>
          <w:p w:rsidR="007A1C4A" w:rsidRDefault="007A1C4A" w:rsidP="00721A5B">
            <w:pPr>
              <w:numPr>
                <w:ilvl w:val="0"/>
                <w:numId w:val="31"/>
              </w:numPr>
              <w:spacing w:before="20" w:after="60" w:line="264" w:lineRule="auto"/>
              <w:rPr>
                <w:rFonts w:ascii="Calibri" w:eastAsia="MS Mincho" w:hAnsi="Calibri" w:cs="Dax-Light"/>
                <w:sz w:val="21"/>
                <w:szCs w:val="21"/>
                <w:lang w:val="en-US" w:eastAsia="ja-JP"/>
              </w:rPr>
            </w:pPr>
            <w:r w:rsidRPr="00AD28DE">
              <w:rPr>
                <w:rFonts w:ascii="Calibri" w:eastAsia="MS Mincho" w:hAnsi="Calibri" w:cs="Dax-Light"/>
                <w:b/>
                <w:sz w:val="21"/>
                <w:szCs w:val="21"/>
                <w:lang w:val="en-US" w:eastAsia="ja-JP"/>
              </w:rPr>
              <w:t>Bundled</w:t>
            </w:r>
            <w:r>
              <w:rPr>
                <w:rFonts w:ascii="Calibri" w:eastAsia="MS Mincho" w:hAnsi="Calibri" w:cs="Dax-Light"/>
                <w:sz w:val="21"/>
                <w:szCs w:val="21"/>
                <w:lang w:val="en-US" w:eastAsia="ja-JP"/>
              </w:rPr>
              <w:t xml:space="preserve"> </w:t>
            </w:r>
            <w:r w:rsidRPr="00AD28DE">
              <w:rPr>
                <w:rFonts w:ascii="Calibri" w:eastAsia="MS Mincho" w:hAnsi="Calibri" w:cs="Dax-Light"/>
                <w:b/>
                <w:sz w:val="21"/>
                <w:szCs w:val="21"/>
                <w:lang w:val="en-US" w:eastAsia="ja-JP"/>
              </w:rPr>
              <w:t>payments</w:t>
            </w:r>
            <w:r>
              <w:rPr>
                <w:rFonts w:ascii="Calibri" w:eastAsia="MS Mincho" w:hAnsi="Calibri" w:cs="Dax-Light"/>
                <w:sz w:val="21"/>
                <w:szCs w:val="21"/>
                <w:lang w:val="en-US" w:eastAsia="ja-JP"/>
              </w:rPr>
              <w:t xml:space="preserve"> for coordinated acute care:</w:t>
            </w:r>
          </w:p>
          <w:p w:rsidR="007A1C4A" w:rsidRDefault="007A1C4A" w:rsidP="00721A5B">
            <w:pPr>
              <w:numPr>
                <w:ilvl w:val="0"/>
                <w:numId w:val="34"/>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Incorporate post-acute care and transition to other care settings</w:t>
            </w:r>
          </w:p>
          <w:p w:rsidR="007A1C4A" w:rsidRDefault="007A1C4A" w:rsidP="00721A5B">
            <w:pPr>
              <w:numPr>
                <w:ilvl w:val="0"/>
                <w:numId w:val="34"/>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Including related readmissions</w:t>
            </w:r>
          </w:p>
          <w:p w:rsidR="007A1C4A" w:rsidRDefault="007A1C4A" w:rsidP="00721A5B">
            <w:pPr>
              <w:numPr>
                <w:ilvl w:val="0"/>
                <w:numId w:val="31"/>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Coordination across public and private sectors</w:t>
            </w:r>
          </w:p>
          <w:p w:rsidR="007A1C4A" w:rsidRPr="00DD3504"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Estimated impacts of these changes are $1.3 trillion nation wide over ten years.</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b/>
                <w:color w:val="FFFFFF"/>
                <w:sz w:val="21"/>
                <w:szCs w:val="21"/>
                <w:lang w:eastAsia="en-AU"/>
              </w:rPr>
            </w:pPr>
          </w:p>
        </w:tc>
        <w:tc>
          <w:tcPr>
            <w:tcW w:w="2070" w:type="dxa"/>
            <w:tcBorders>
              <w:top w:val="single" w:sz="4" w:space="0" w:color="999999"/>
              <w:bottom w:val="single" w:sz="4" w:space="0" w:color="999999"/>
            </w:tcBorders>
            <w:shd w:val="clear" w:color="auto" w:fill="FFFFFF"/>
          </w:tcPr>
          <w:p w:rsidR="007A1C4A" w:rsidRPr="00003F48" w:rsidRDefault="007A1C4A" w:rsidP="00DE127A">
            <w:pPr>
              <w:spacing w:before="20" w:after="20" w:line="264" w:lineRule="auto"/>
              <w:rPr>
                <w:rFonts w:ascii="Calibri" w:eastAsia="MS Mincho" w:hAnsi="Calibri" w:cs="Arial"/>
                <w:sz w:val="21"/>
                <w:szCs w:val="21"/>
                <w:lang w:val="en-US" w:eastAsia="ja-JP"/>
              </w:rPr>
            </w:pPr>
          </w:p>
        </w:tc>
        <w:tc>
          <w:tcPr>
            <w:tcW w:w="1980" w:type="dxa"/>
            <w:tcBorders>
              <w:top w:val="single" w:sz="4" w:space="0" w:color="999999"/>
              <w:bottom w:val="single" w:sz="4" w:space="0" w:color="999999"/>
            </w:tcBorders>
            <w:shd w:val="clear" w:color="auto" w:fill="FFFFFF"/>
          </w:tcPr>
          <w:p w:rsidR="007A1C4A" w:rsidRPr="00BA64A4" w:rsidRDefault="007A1C4A" w:rsidP="00DE127A">
            <w:pPr>
              <w:spacing w:before="20" w:after="20" w:line="264" w:lineRule="auto"/>
              <w:rPr>
                <w:rFonts w:ascii="Calibri" w:eastAsia="MS Mincho" w:hAnsi="Calibri" w:cs="Arial"/>
                <w:sz w:val="21"/>
                <w:szCs w:val="21"/>
                <w:lang w:val="en-US" w:eastAsia="ja-JP"/>
              </w:rPr>
            </w:pPr>
          </w:p>
        </w:tc>
        <w:tc>
          <w:tcPr>
            <w:tcW w:w="126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val="en-US" w:eastAsia="en-AU"/>
              </w:rPr>
            </w:pPr>
          </w:p>
        </w:tc>
        <w:tc>
          <w:tcPr>
            <w:tcW w:w="1440" w:type="dxa"/>
            <w:tcBorders>
              <w:top w:val="single" w:sz="4" w:space="0" w:color="999999"/>
              <w:bottom w:val="single" w:sz="4" w:space="0" w:color="999999"/>
            </w:tcBorders>
            <w:shd w:val="clear" w:color="auto" w:fill="FFFFFF"/>
          </w:tcPr>
          <w:p w:rsidR="007A1C4A" w:rsidRPr="00BA64A4" w:rsidRDefault="007A1C4A" w:rsidP="00DE127A">
            <w:pPr>
              <w:spacing w:before="20" w:after="20" w:line="264" w:lineRule="auto"/>
              <w:rPr>
                <w:rFonts w:ascii="Calibri" w:hAnsi="Calibri" w:cs="Arial"/>
                <w:sz w:val="21"/>
                <w:szCs w:val="21"/>
                <w:lang w:val="en-US" w:eastAsia="en-AU"/>
              </w:rPr>
            </w:pPr>
          </w:p>
        </w:tc>
        <w:tc>
          <w:tcPr>
            <w:tcW w:w="144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08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26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1160" w:type="dxa"/>
            <w:gridSpan w:val="3"/>
            <w:tcBorders>
              <w:top w:val="single" w:sz="4" w:space="0" w:color="999999"/>
              <w:bottom w:val="single" w:sz="4" w:space="0" w:color="999999"/>
            </w:tcBorders>
            <w:shd w:val="clear" w:color="auto" w:fill="FFFFFF"/>
          </w:tcPr>
          <w:p w:rsidR="007A1C4A" w:rsidRDefault="007A1C4A" w:rsidP="00DE127A">
            <w:pPr>
              <w:spacing w:before="20" w:after="60" w:line="264" w:lineRule="auto"/>
              <w:rPr>
                <w:rFonts w:ascii="Calibri" w:eastAsia="MS Mincho" w:hAnsi="Calibri" w:cs="Dax-Light"/>
                <w:sz w:val="21"/>
                <w:szCs w:val="21"/>
                <w:lang w:val="en-US" w:eastAsia="ja-JP"/>
              </w:rPr>
            </w:pP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p>
        </w:tc>
        <w:tc>
          <w:tcPr>
            <w:tcW w:w="207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98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26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44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44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Model(s) </w:t>
            </w:r>
            <w:r>
              <w:rPr>
                <w:rFonts w:ascii="Calibri" w:hAnsi="Calibri" w:cs="Arial"/>
                <w:b/>
                <w:color w:val="FFFFFF"/>
                <w:sz w:val="21"/>
                <w:szCs w:val="21"/>
                <w:lang w:eastAsia="en-AU"/>
              </w:rPr>
              <w:t xml:space="preserve"> &amp; mechanism</w:t>
            </w:r>
          </w:p>
        </w:tc>
        <w:tc>
          <w:tcPr>
            <w:tcW w:w="108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26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Area, context &amp; setting</w:t>
            </w:r>
          </w:p>
        </w:tc>
        <w:tc>
          <w:tcPr>
            <w:tcW w:w="5580" w:type="dxa"/>
            <w:gridSpan w:val="2"/>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Results / impact</w:t>
            </w:r>
          </w:p>
        </w:tc>
        <w:tc>
          <w:tcPr>
            <w:tcW w:w="558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3D52BA">
              <w:rPr>
                <w:rFonts w:ascii="Calibri" w:hAnsi="Calibri" w:cs="Arial"/>
                <w:b/>
                <w:color w:val="FFFFFF"/>
                <w:sz w:val="21"/>
                <w:szCs w:val="21"/>
                <w:lang w:eastAsia="en-AU"/>
              </w:rPr>
              <w:t>Key points</w:t>
            </w:r>
          </w:p>
        </w:tc>
        <w:tc>
          <w:tcPr>
            <w:tcW w:w="6840" w:type="dxa"/>
          </w:tcPr>
          <w:p w:rsidR="007A1C4A" w:rsidRPr="000309E1" w:rsidRDefault="007A1C4A" w:rsidP="00346E2C">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Key points</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4</w:t>
            </w:r>
          </w:p>
        </w:tc>
        <w:tc>
          <w:tcPr>
            <w:tcW w:w="2070" w:type="dxa"/>
            <w:tcBorders>
              <w:top w:val="single" w:sz="4" w:space="0" w:color="999999"/>
              <w:left w:val="single" w:sz="4" w:space="0" w:color="999999"/>
              <w:bottom w:val="single" w:sz="4" w:space="0" w:color="999999"/>
              <w:right w:val="single" w:sz="4" w:space="0" w:color="999999"/>
            </w:tcBorders>
          </w:tcPr>
          <w:p w:rsidR="007A1C4A" w:rsidRPr="000D3AFE" w:rsidRDefault="007A1C4A" w:rsidP="00DE127A">
            <w:pPr>
              <w:spacing w:before="20" w:after="20" w:line="264" w:lineRule="auto"/>
              <w:rPr>
                <w:rFonts w:ascii="Calibri" w:eastAsia="MS Mincho" w:hAnsi="Calibri" w:cs="Arial"/>
                <w:sz w:val="21"/>
                <w:szCs w:val="21"/>
                <w:lang w:val="en-US" w:eastAsia="ja-JP"/>
              </w:rPr>
            </w:pPr>
            <w:r w:rsidRPr="00003F48">
              <w:rPr>
                <w:rFonts w:ascii="Calibri" w:eastAsia="MS Mincho" w:hAnsi="Calibri" w:cs="Arial"/>
                <w:sz w:val="21"/>
                <w:szCs w:val="21"/>
                <w:lang w:val="en-US" w:eastAsia="ja-JP"/>
              </w:rPr>
              <w:t xml:space="preserve">Evaluation of the Commissioning for Quality and Innovation </w:t>
            </w:r>
            <w:r>
              <w:rPr>
                <w:rFonts w:ascii="Calibri" w:eastAsia="MS Mincho" w:hAnsi="Calibri" w:cs="Arial"/>
                <w:sz w:val="21"/>
                <w:szCs w:val="21"/>
                <w:lang w:val="en-US" w:eastAsia="ja-JP"/>
              </w:rPr>
              <w:t xml:space="preserve">(CQUIN) </w:t>
            </w:r>
            <w:r w:rsidRPr="00003F48">
              <w:rPr>
                <w:rFonts w:ascii="Calibri" w:eastAsia="MS Mincho" w:hAnsi="Calibri" w:cs="Arial"/>
                <w:sz w:val="21"/>
                <w:szCs w:val="21"/>
                <w:lang w:val="en-US" w:eastAsia="ja-JP"/>
              </w:rPr>
              <w:t>Framework: Final Report</w:t>
            </w:r>
            <w:r>
              <w:rPr>
                <w:rFonts w:ascii="Calibri" w:eastAsia="MS Mincho" w:hAnsi="Calibri" w:cs="Arial"/>
                <w:sz w:val="21"/>
                <w:szCs w:val="21"/>
                <w:lang w:val="en-US" w:eastAsia="ja-JP"/>
              </w:rPr>
              <w:t xml:space="preserve"> </w:t>
            </w:r>
            <w:r>
              <w:rPr>
                <w:rFonts w:ascii="Calibri" w:eastAsia="MS Mincho" w:hAnsi="Calibri" w:cs="Arial"/>
                <w:sz w:val="21"/>
                <w:szCs w:val="21"/>
                <w:vertAlign w:val="superscript"/>
                <w:lang w:val="en-US" w:eastAsia="ja-JP"/>
              </w:rPr>
              <w:fldChar w:fldCharType="begin"/>
            </w:r>
            <w:r>
              <w:rPr>
                <w:rFonts w:ascii="Calibri" w:eastAsia="MS Mincho" w:hAnsi="Calibri" w:cs="Arial"/>
                <w:sz w:val="21"/>
                <w:szCs w:val="21"/>
                <w:vertAlign w:val="superscript"/>
                <w:lang w:val="en-US" w:eastAsia="ja-JP"/>
              </w:rPr>
              <w:instrText xml:space="preserve"> ADDIN EN.CITE &lt;EndNote&gt;&lt;Cite&gt;&lt;Author&gt;McDonald&lt;/Author&gt;&lt;Year&gt;2013&lt;/Year&gt;&lt;RecNum&gt;13439&lt;/RecNum&gt;&lt;record&gt;&lt;rec-number&gt;13439&lt;/rec-number&gt;&lt;foreign-keys&gt;&lt;key app="EN" db-id="5r0eapxzsestz4er5zaxe5zqz99fvpawedp5"&gt;13439&lt;/key&gt;&lt;/foreign-keys&gt;&lt;ref-type name="Report"&gt;27&lt;/ref-type&gt;&lt;contributors&gt;&lt;authors&gt;&lt;author&gt;Ruth McDonald&lt;/author&gt;&lt;author&gt;Søren Rud Kristensen&lt;/author&gt;&lt;author&gt;Sabeeh Zaidi&lt;/author&gt;&lt;author&gt;Matthew Sutton&lt;/author&gt;&lt;author&gt;Sarah Todd&lt;/author&gt;&lt;author&gt;Frederick Konteh&lt;/author&gt;&lt;author&gt;Kasser Hussein&lt;/author&gt;&lt;author&gt;Sue Brown&lt;/author&gt;&lt;/authors&gt;&lt;/contributors&gt;&lt;titles&gt;&lt;title&gt;Evaluation of the Commissioning for Quality and Innovation Framework: Final Report&lt;/title&gt;&lt;/titles&gt;&lt;dates&gt;&lt;year&gt;2013&lt;/year&gt;&lt;/dates&gt;&lt;pub-location&gt;Nottingham&lt;/pub-location&gt;&lt;publisher&gt;University of Nottingham &amp;amp; University of Manchester&lt;/publisher&gt;&lt;urls&gt;&lt;/urls&gt;&lt;/record&gt;&lt;/Cite&gt;&lt;/EndNote&gt;</w:instrText>
            </w:r>
            <w:r>
              <w:rPr>
                <w:rFonts w:ascii="Calibri" w:eastAsia="MS Mincho" w:hAnsi="Calibri" w:cs="Arial"/>
                <w:sz w:val="21"/>
                <w:szCs w:val="21"/>
                <w:vertAlign w:val="superscript"/>
                <w:lang w:val="en-US" w:eastAsia="ja-JP"/>
              </w:rPr>
              <w:fldChar w:fldCharType="separate"/>
            </w:r>
            <w:r>
              <w:rPr>
                <w:rFonts w:ascii="Calibri" w:eastAsia="MS Mincho" w:hAnsi="Calibri" w:cs="Arial"/>
                <w:noProof/>
                <w:sz w:val="21"/>
                <w:szCs w:val="21"/>
                <w:vertAlign w:val="superscript"/>
                <w:lang w:val="en-US" w:eastAsia="ja-JP"/>
              </w:rPr>
              <w:t>4</w:t>
            </w:r>
            <w:r>
              <w:rPr>
                <w:rFonts w:ascii="Calibri" w:eastAsia="MS Mincho" w:hAnsi="Calibri" w:cs="Arial"/>
                <w:sz w:val="21"/>
                <w:szCs w:val="21"/>
                <w:vertAlign w:val="superscript"/>
                <w:lang w:val="en-US" w:eastAsia="ja-JP"/>
              </w:rPr>
              <w:fldChar w:fldCharType="end"/>
            </w:r>
          </w:p>
        </w:tc>
        <w:tc>
          <w:tcPr>
            <w:tcW w:w="1980" w:type="dxa"/>
            <w:tcBorders>
              <w:top w:val="single" w:sz="4" w:space="0" w:color="999999"/>
              <w:left w:val="single" w:sz="4" w:space="0" w:color="999999"/>
              <w:bottom w:val="single" w:sz="4" w:space="0" w:color="999999"/>
              <w:right w:val="single" w:sz="4" w:space="0" w:color="999999"/>
            </w:tcBorders>
          </w:tcPr>
          <w:p w:rsidR="007A1C4A" w:rsidRPr="00064D5F" w:rsidRDefault="007A1C4A" w:rsidP="00DE127A">
            <w:pPr>
              <w:spacing w:before="20" w:after="20" w:line="264" w:lineRule="auto"/>
              <w:rPr>
                <w:rFonts w:ascii="Calibri" w:eastAsia="MS Mincho" w:hAnsi="Calibri" w:cs="Arial"/>
                <w:sz w:val="21"/>
                <w:szCs w:val="21"/>
                <w:lang w:val="de-DE" w:eastAsia="ja-JP"/>
              </w:rPr>
            </w:pPr>
            <w:r w:rsidRPr="00064D5F">
              <w:rPr>
                <w:rFonts w:ascii="Calibri" w:eastAsia="MS Mincho" w:hAnsi="Calibri" w:cs="Arial"/>
                <w:sz w:val="21"/>
                <w:szCs w:val="21"/>
                <w:lang w:val="de-DE" w:eastAsia="ja-JP"/>
              </w:rPr>
              <w:t xml:space="preserve">McDonald R, Kristensen SR, </w:t>
            </w:r>
          </w:p>
          <w:p w:rsidR="007A1C4A" w:rsidRPr="00064D5F" w:rsidRDefault="007A1C4A" w:rsidP="00DE127A">
            <w:pPr>
              <w:spacing w:before="20" w:after="20" w:line="264" w:lineRule="auto"/>
              <w:rPr>
                <w:rFonts w:ascii="Calibri" w:eastAsia="MS Mincho" w:hAnsi="Calibri" w:cs="Arial"/>
                <w:sz w:val="21"/>
                <w:szCs w:val="21"/>
                <w:lang w:val="de-DE" w:eastAsia="ja-JP"/>
              </w:rPr>
            </w:pPr>
            <w:r w:rsidRPr="00064D5F">
              <w:rPr>
                <w:rFonts w:ascii="Calibri" w:eastAsia="MS Mincho" w:hAnsi="Calibri" w:cs="Arial"/>
                <w:sz w:val="21"/>
                <w:szCs w:val="21"/>
                <w:lang w:val="de-DE" w:eastAsia="ja-JP"/>
              </w:rPr>
              <w:t xml:space="preserve">Zaidi S, </w:t>
            </w:r>
          </w:p>
          <w:p w:rsidR="007A1C4A" w:rsidRDefault="007A1C4A" w:rsidP="00DE127A">
            <w:pPr>
              <w:spacing w:before="20" w:after="20" w:line="264" w:lineRule="auto"/>
              <w:rPr>
                <w:rFonts w:ascii="Calibri" w:eastAsia="MS Mincho" w:hAnsi="Calibri" w:cs="Arial"/>
                <w:sz w:val="21"/>
                <w:szCs w:val="21"/>
                <w:lang w:val="en-US" w:eastAsia="ja-JP"/>
              </w:rPr>
            </w:pPr>
            <w:r w:rsidRPr="00003F48">
              <w:rPr>
                <w:rFonts w:ascii="Calibri" w:eastAsia="MS Mincho" w:hAnsi="Calibri" w:cs="Arial"/>
                <w:sz w:val="21"/>
                <w:szCs w:val="21"/>
                <w:lang w:val="en-US" w:eastAsia="ja-JP"/>
              </w:rPr>
              <w:t xml:space="preserve">Sutton M, </w:t>
            </w:r>
          </w:p>
          <w:p w:rsidR="007A1C4A" w:rsidRDefault="007A1C4A" w:rsidP="00DE127A">
            <w:pPr>
              <w:spacing w:before="20" w:after="20" w:line="264" w:lineRule="auto"/>
              <w:rPr>
                <w:rFonts w:ascii="Calibri" w:eastAsia="MS Mincho" w:hAnsi="Calibri" w:cs="Arial"/>
                <w:sz w:val="21"/>
                <w:szCs w:val="21"/>
                <w:lang w:val="en-US" w:eastAsia="ja-JP"/>
              </w:rPr>
            </w:pPr>
            <w:r w:rsidRPr="00003F48">
              <w:rPr>
                <w:rFonts w:ascii="Calibri" w:eastAsia="MS Mincho" w:hAnsi="Calibri" w:cs="Arial"/>
                <w:sz w:val="21"/>
                <w:szCs w:val="21"/>
                <w:lang w:val="en-US" w:eastAsia="ja-JP"/>
              </w:rPr>
              <w:t xml:space="preserve">Todd S, Konteh F, </w:t>
            </w:r>
          </w:p>
          <w:p w:rsidR="007A1C4A" w:rsidRDefault="007A1C4A" w:rsidP="00DE127A">
            <w:pPr>
              <w:spacing w:before="20" w:after="20" w:line="264" w:lineRule="auto"/>
              <w:rPr>
                <w:rFonts w:ascii="Calibri" w:eastAsia="MS Mincho" w:hAnsi="Calibri" w:cs="Arial"/>
                <w:sz w:val="21"/>
                <w:szCs w:val="21"/>
                <w:lang w:val="en-US" w:eastAsia="ja-JP"/>
              </w:rPr>
            </w:pPr>
            <w:r w:rsidRPr="00003F48">
              <w:rPr>
                <w:rFonts w:ascii="Calibri" w:eastAsia="MS Mincho" w:hAnsi="Calibri" w:cs="Arial"/>
                <w:sz w:val="21"/>
                <w:szCs w:val="21"/>
                <w:lang w:val="en-US" w:eastAsia="ja-JP"/>
              </w:rPr>
              <w:t>et a</w:t>
            </w:r>
            <w:r w:rsidRPr="00003F48">
              <w:rPr>
                <w:rFonts w:cs="Arial"/>
                <w:noProof/>
              </w:rPr>
              <w:t>l</w:t>
            </w:r>
            <w:r>
              <w:rPr>
                <w:rFonts w:cs="Arial"/>
                <w:noProof/>
              </w:rPr>
              <w:t>.</w:t>
            </w:r>
          </w:p>
        </w:tc>
        <w:tc>
          <w:tcPr>
            <w:tcW w:w="126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val="en-US" w:eastAsia="en-AU"/>
              </w:rPr>
            </w:pPr>
            <w:r>
              <w:rPr>
                <w:rFonts w:ascii="Calibri" w:hAnsi="Calibri" w:cs="Arial"/>
                <w:sz w:val="21"/>
                <w:szCs w:val="21"/>
                <w:lang w:val="en-US" w:eastAsia="en-AU"/>
              </w:rPr>
              <w:t>University Nottingham</w:t>
            </w:r>
          </w:p>
          <w:p w:rsidR="007A1C4A" w:rsidRDefault="007A1C4A" w:rsidP="00DE127A">
            <w:pPr>
              <w:spacing w:before="20" w:after="20" w:line="264" w:lineRule="auto"/>
              <w:rPr>
                <w:rFonts w:ascii="Calibri" w:hAnsi="Calibri" w:cs="Arial"/>
                <w:sz w:val="21"/>
                <w:szCs w:val="21"/>
                <w:lang w:val="en-US" w:eastAsia="en-AU"/>
              </w:rPr>
            </w:pPr>
          </w:p>
          <w:p w:rsidR="007A1C4A" w:rsidRDefault="007A1C4A" w:rsidP="00DE127A">
            <w:pPr>
              <w:spacing w:before="20" w:after="20" w:line="264" w:lineRule="auto"/>
              <w:rPr>
                <w:rFonts w:ascii="Calibri" w:hAnsi="Calibri" w:cs="Arial"/>
                <w:sz w:val="21"/>
                <w:szCs w:val="21"/>
                <w:lang w:val="en-US" w:eastAsia="en-AU"/>
              </w:rPr>
            </w:pPr>
            <w:r>
              <w:rPr>
                <w:rFonts w:ascii="Calibri" w:hAnsi="Calibri" w:cs="Arial"/>
                <w:sz w:val="21"/>
                <w:szCs w:val="21"/>
                <w:lang w:val="en-US" w:eastAsia="en-AU"/>
              </w:rPr>
              <w:t xml:space="preserve">University Manchester </w:t>
            </w:r>
          </w:p>
        </w:tc>
        <w:tc>
          <w:tcPr>
            <w:tcW w:w="1440" w:type="dxa"/>
            <w:tcBorders>
              <w:top w:val="single" w:sz="4" w:space="0" w:color="999999"/>
              <w:left w:val="single" w:sz="4" w:space="0" w:color="999999"/>
              <w:bottom w:val="single" w:sz="4" w:space="0" w:color="999999"/>
              <w:right w:val="single" w:sz="4" w:space="0" w:color="999999"/>
            </w:tcBorders>
          </w:tcPr>
          <w:p w:rsidR="007A1C4A" w:rsidRPr="00064D5F" w:rsidRDefault="007A1C4A" w:rsidP="00DE127A">
            <w:pPr>
              <w:spacing w:before="20" w:after="20" w:line="264" w:lineRule="auto"/>
              <w:rPr>
                <w:rFonts w:ascii="Calibri" w:hAnsi="Calibri" w:cs="Arial"/>
                <w:sz w:val="21"/>
                <w:szCs w:val="21"/>
                <w:lang w:val="fr-FR" w:eastAsia="en-AU"/>
              </w:rPr>
            </w:pPr>
            <w:r w:rsidRPr="00064D5F">
              <w:rPr>
                <w:rFonts w:ascii="Calibri" w:hAnsi="Calibri" w:cs="Arial"/>
                <w:sz w:val="21"/>
                <w:szCs w:val="21"/>
                <w:lang w:val="fr-FR" w:eastAsia="en-AU"/>
              </w:rPr>
              <w:t>Realistic Evaluation: qualitative &amp; quantitative  analysis</w:t>
            </w:r>
          </w:p>
        </w:tc>
        <w:tc>
          <w:tcPr>
            <w:tcW w:w="144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P4P </w:t>
            </w:r>
          </w:p>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(2.5% of budget ‘at risk’)</w:t>
            </w:r>
          </w:p>
        </w:tc>
        <w:tc>
          <w:tcPr>
            <w:tcW w:w="108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UK</w:t>
            </w:r>
          </w:p>
        </w:tc>
        <w:tc>
          <w:tcPr>
            <w:tcW w:w="126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NHS: mainly inpatient setting </w:t>
            </w:r>
          </w:p>
        </w:tc>
        <w:tc>
          <w:tcPr>
            <w:tcW w:w="11160" w:type="dxa"/>
            <w:gridSpan w:val="3"/>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This evaluation concludes that the CQUIN Framework’s “impact has been disappointing”. Poor implementation is the overarching factor among a series of global and local problems. Limited clinician engagement and ownership is blamed for many of these. Notably, the local nature of the scheme is criticised. Among the reasons cited is that predicted standardisation of indicators did not eventuate, and unique, local goals make benchmarking impossible. </w:t>
            </w:r>
          </w:p>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Findings from a similar analysis of Best Practice Tariffs (BPTs) and the Advancing Quality (AQ) initiative are also presented. </w:t>
            </w:r>
            <w:r>
              <w:rPr>
                <w:rStyle w:val="FootnoteReference"/>
                <w:rFonts w:ascii="Calibri" w:eastAsia="MS Mincho" w:hAnsi="Calibri"/>
                <w:sz w:val="21"/>
                <w:szCs w:val="21"/>
                <w:lang w:val="en-US" w:eastAsia="ja-JP"/>
              </w:rPr>
              <w:footnoteReference w:id="3"/>
            </w:r>
            <w:r>
              <w:rPr>
                <w:rFonts w:ascii="Calibri" w:eastAsia="MS Mincho" w:hAnsi="Calibri" w:cs="Dax-Light"/>
                <w:sz w:val="21"/>
                <w:szCs w:val="21"/>
                <w:lang w:val="en-US" w:eastAsia="ja-JP"/>
              </w:rPr>
              <w:t xml:space="preserve"> </w:t>
            </w:r>
          </w:p>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The collective lessons from CQUIN, BPTs and AQ are:</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cs="Dax-Light"/>
                <w:b/>
                <w:sz w:val="21"/>
                <w:szCs w:val="21"/>
                <w:lang w:val="en-US" w:eastAsia="ja-JP"/>
              </w:rPr>
              <w:t xml:space="preserve">Longer horizon </w:t>
            </w:r>
            <w:r w:rsidRPr="00EA08B8">
              <w:rPr>
                <w:rFonts w:ascii="Calibri" w:eastAsia="MS Mincho" w:hAnsi="Calibri" w:cs="Dax-Light"/>
                <w:sz w:val="21"/>
                <w:szCs w:val="21"/>
                <w:lang w:val="en-US" w:eastAsia="ja-JP"/>
              </w:rPr>
              <w:t>“</w:t>
            </w:r>
            <w:r>
              <w:rPr>
                <w:rFonts w:ascii="Calibri" w:eastAsia="MS Mincho" w:hAnsi="Calibri" w:cs="Dax-Light"/>
                <w:sz w:val="21"/>
                <w:szCs w:val="21"/>
                <w:lang w:val="en-US" w:eastAsia="ja-JP"/>
              </w:rPr>
              <w:t>S</w:t>
            </w:r>
            <w:r w:rsidRPr="00EA08B8">
              <w:rPr>
                <w:rFonts w:ascii="Calibri" w:eastAsia="MS Mincho" w:hAnsi="Calibri" w:cs="Dax-Light"/>
                <w:sz w:val="21"/>
                <w:szCs w:val="21"/>
                <w:lang w:val="en-US" w:eastAsia="ja-JP"/>
              </w:rPr>
              <w:t>chemes and indicators should adopt a longer terms perspective than the current annual cycle”</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cs="Dax-Light"/>
                <w:b/>
                <w:sz w:val="21"/>
                <w:szCs w:val="21"/>
                <w:lang w:val="en-US" w:eastAsia="ja-JP"/>
              </w:rPr>
              <w:t xml:space="preserve">Avoid local indicators </w:t>
            </w:r>
            <w:r w:rsidRPr="00EA08B8">
              <w:rPr>
                <w:rFonts w:ascii="Calibri" w:eastAsia="MS Mincho" w:hAnsi="Calibri" w:cs="Dax-Light"/>
                <w:sz w:val="21"/>
                <w:szCs w:val="21"/>
                <w:lang w:val="en-US" w:eastAsia="ja-JP"/>
              </w:rPr>
              <w:t>“Where possible, local indicator development should be avoided”</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cs="Dax-Light"/>
                <w:b/>
                <w:sz w:val="21"/>
                <w:szCs w:val="21"/>
                <w:lang w:val="en-US" w:eastAsia="ja-JP"/>
              </w:rPr>
              <w:t>Less is more</w:t>
            </w:r>
            <w:r>
              <w:rPr>
                <w:rFonts w:ascii="Calibri" w:eastAsia="MS Mincho" w:hAnsi="Calibri" w:cs="Dax-Light"/>
                <w:sz w:val="21"/>
                <w:szCs w:val="21"/>
                <w:lang w:val="en-US" w:eastAsia="ja-JP"/>
              </w:rPr>
              <w:t xml:space="preserve"> </w:t>
            </w:r>
            <w:r w:rsidRPr="00EA08B8">
              <w:rPr>
                <w:rFonts w:ascii="Calibri" w:eastAsia="MS Mincho" w:hAnsi="Calibri" w:cs="Dax-Light"/>
                <w:sz w:val="21"/>
                <w:szCs w:val="21"/>
                <w:lang w:val="en-US" w:eastAsia="ja-JP"/>
              </w:rPr>
              <w:t>“</w:t>
            </w:r>
            <w:r>
              <w:rPr>
                <w:rFonts w:ascii="Calibri" w:eastAsia="MS Mincho" w:hAnsi="Calibri" w:cs="Dax-Light"/>
                <w:sz w:val="21"/>
                <w:szCs w:val="21"/>
                <w:lang w:val="en-US" w:eastAsia="ja-JP"/>
              </w:rPr>
              <w:t>A</w:t>
            </w:r>
            <w:r w:rsidRPr="00EA08B8">
              <w:rPr>
                <w:rFonts w:ascii="Calibri" w:eastAsia="MS Mincho" w:hAnsi="Calibri" w:cs="Dax-Light"/>
                <w:sz w:val="21"/>
                <w:szCs w:val="21"/>
                <w:lang w:val="en-US" w:eastAsia="ja-JP"/>
              </w:rPr>
              <w:t xml:space="preserve"> small number of indicators linked to high impact changes are preferable to a large number of indicators covering a wide range of conditions”</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cs="Dax-Light"/>
                <w:b/>
                <w:sz w:val="21"/>
                <w:szCs w:val="21"/>
                <w:lang w:val="en-US" w:eastAsia="ja-JP"/>
              </w:rPr>
              <w:t xml:space="preserve">Clinician engagement </w:t>
            </w:r>
            <w:r w:rsidRPr="00EA08B8">
              <w:rPr>
                <w:rFonts w:ascii="Calibri" w:eastAsia="MS Mincho" w:hAnsi="Calibri" w:cs="Dax-Light"/>
                <w:sz w:val="21"/>
                <w:szCs w:val="21"/>
                <w:lang w:val="en-US" w:eastAsia="ja-JP"/>
              </w:rPr>
              <w:t>“</w:t>
            </w:r>
            <w:r>
              <w:rPr>
                <w:rFonts w:ascii="Calibri" w:eastAsia="MS Mincho" w:hAnsi="Calibri" w:cs="Dax-Light"/>
                <w:sz w:val="21"/>
                <w:szCs w:val="21"/>
                <w:lang w:val="en-US" w:eastAsia="ja-JP"/>
              </w:rPr>
              <w:t>M</w:t>
            </w:r>
            <w:r w:rsidRPr="00EA08B8">
              <w:rPr>
                <w:rFonts w:ascii="Calibri" w:eastAsia="MS Mincho" w:hAnsi="Calibri" w:cs="Dax-Light"/>
                <w:sz w:val="21"/>
                <w:szCs w:val="21"/>
                <w:lang w:val="en-US" w:eastAsia="ja-JP"/>
              </w:rPr>
              <w:t>echanisms for engaging clinicians should be clearly identified”</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cs="Dax-Light"/>
                <w:b/>
                <w:sz w:val="21"/>
                <w:szCs w:val="21"/>
                <w:lang w:eastAsia="ja-JP"/>
              </w:rPr>
              <w:t xml:space="preserve">Align incentives </w:t>
            </w:r>
            <w:r w:rsidRPr="00EA08B8">
              <w:rPr>
                <w:rFonts w:ascii="Calibri" w:eastAsia="MS Mincho" w:hAnsi="Calibri" w:cs="Dax-Light"/>
                <w:sz w:val="21"/>
                <w:szCs w:val="21"/>
                <w:lang w:eastAsia="ja-JP"/>
              </w:rPr>
              <w:t>“</w:t>
            </w:r>
            <w:r w:rsidRPr="00EA08B8">
              <w:rPr>
                <w:rFonts w:ascii="Calibri" w:eastAsia="MS Mincho" w:hAnsi="Calibri"/>
                <w:sz w:val="21"/>
                <w:szCs w:val="21"/>
                <w:lang w:eastAsia="ja-JP"/>
              </w:rPr>
              <w:t>Indicators and reward structures should be designed and used in a way which complements other incentives and levers in the system”</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cs="Dax-Light"/>
                <w:b/>
                <w:sz w:val="21"/>
                <w:szCs w:val="21"/>
                <w:lang w:eastAsia="ja-JP"/>
              </w:rPr>
              <w:t>Modulated payments</w:t>
            </w:r>
            <w:r w:rsidRPr="00EA08B8">
              <w:rPr>
                <w:rFonts w:ascii="Calibri" w:eastAsia="MS Mincho" w:hAnsi="Calibri" w:cs="Dax-Light"/>
                <w:sz w:val="21"/>
                <w:szCs w:val="21"/>
                <w:lang w:eastAsia="ja-JP"/>
              </w:rPr>
              <w:t xml:space="preserve"> “</w:t>
            </w:r>
            <w:r w:rsidRPr="00EA08B8">
              <w:rPr>
                <w:rFonts w:ascii="Calibri" w:eastAsia="MS Mincho" w:hAnsi="Calibri"/>
                <w:sz w:val="21"/>
                <w:szCs w:val="21"/>
                <w:lang w:eastAsia="ja-JP"/>
              </w:rPr>
              <w:t>‘All or nothing’ payment rules should be avoided”</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sidRPr="00EA08B8">
              <w:rPr>
                <w:rFonts w:ascii="Calibri" w:eastAsia="MS Mincho" w:hAnsi="Calibri"/>
                <w:b/>
                <w:sz w:val="21"/>
                <w:szCs w:val="21"/>
                <w:lang w:eastAsia="ja-JP"/>
              </w:rPr>
              <w:t xml:space="preserve">Weighing of rewards </w:t>
            </w:r>
            <w:r w:rsidRPr="00EA08B8">
              <w:rPr>
                <w:rFonts w:ascii="Calibri" w:eastAsia="MS Mincho" w:hAnsi="Calibri"/>
                <w:sz w:val="21"/>
                <w:szCs w:val="21"/>
                <w:lang w:eastAsia="ja-JP"/>
              </w:rPr>
              <w:t xml:space="preserve">“Careful thought needs to be given to weighting of rewards” </w:t>
            </w:r>
          </w:p>
          <w:p w:rsidR="007A1C4A" w:rsidRPr="00EA08B8" w:rsidRDefault="007A1C4A" w:rsidP="00721A5B">
            <w:pPr>
              <w:numPr>
                <w:ilvl w:val="0"/>
                <w:numId w:val="35"/>
              </w:numPr>
              <w:spacing w:before="20" w:after="60" w:line="264" w:lineRule="auto"/>
              <w:rPr>
                <w:rFonts w:ascii="Calibri" w:eastAsia="MS Mincho" w:hAnsi="Calibri" w:cs="Dax-Light"/>
                <w:sz w:val="21"/>
                <w:szCs w:val="21"/>
                <w:lang w:val="en-US" w:eastAsia="ja-JP"/>
              </w:rPr>
            </w:pPr>
            <w:r>
              <w:rPr>
                <w:rFonts w:ascii="Calibri" w:eastAsia="MS Mincho" w:hAnsi="Calibri"/>
                <w:b/>
                <w:sz w:val="21"/>
                <w:szCs w:val="21"/>
                <w:lang w:val="en-US" w:eastAsia="ja-JP"/>
              </w:rPr>
              <w:t>D</w:t>
            </w:r>
            <w:r w:rsidRPr="00EA08B8">
              <w:rPr>
                <w:rFonts w:ascii="Calibri" w:eastAsia="MS Mincho" w:hAnsi="Calibri"/>
                <w:b/>
                <w:sz w:val="21"/>
                <w:szCs w:val="21"/>
                <w:lang w:eastAsia="ja-JP"/>
              </w:rPr>
              <w:t>ata collection</w:t>
            </w:r>
            <w:r w:rsidRPr="00EA08B8">
              <w:rPr>
                <w:rFonts w:ascii="Calibri" w:eastAsia="MS Mincho" w:hAnsi="Calibri"/>
                <w:sz w:val="21"/>
                <w:szCs w:val="21"/>
                <w:lang w:eastAsia="ja-JP"/>
              </w:rPr>
              <w:t xml:space="preserve"> “</w:t>
            </w:r>
            <w:r w:rsidRPr="00EA08B8">
              <w:rPr>
                <w:rFonts w:ascii="Calibri" w:eastAsia="MS Mincho" w:hAnsi="Calibri" w:cs="Calibri"/>
                <w:bCs/>
                <w:color w:val="000000"/>
                <w:sz w:val="21"/>
                <w:szCs w:val="21"/>
                <w:lang w:val="en-US" w:eastAsia="ja-JP"/>
              </w:rPr>
              <w:t>Careful thought needs to be given to costs and benefits of data collection, monitoring and feedback”</w:t>
            </w:r>
          </w:p>
          <w:p w:rsidR="007A1C4A" w:rsidRPr="00EA08B8" w:rsidRDefault="007A1C4A" w:rsidP="00721A5B">
            <w:pPr>
              <w:numPr>
                <w:ilvl w:val="0"/>
                <w:numId w:val="35"/>
              </w:numPr>
              <w:spacing w:before="20" w:after="60" w:line="264" w:lineRule="auto"/>
              <w:rPr>
                <w:rFonts w:ascii="Calibri" w:eastAsia="MS Mincho" w:hAnsi="Calibri" w:cs="Dax-Light"/>
                <w:b/>
                <w:sz w:val="21"/>
                <w:szCs w:val="21"/>
                <w:lang w:val="en-US" w:eastAsia="ja-JP"/>
              </w:rPr>
            </w:pPr>
            <w:r w:rsidRPr="00EA08B8">
              <w:rPr>
                <w:rFonts w:ascii="Calibri" w:eastAsia="MS Mincho" w:hAnsi="Calibri" w:cs="Dax-Light"/>
                <w:b/>
                <w:sz w:val="21"/>
                <w:szCs w:val="21"/>
                <w:lang w:val="en-US" w:eastAsia="ja-JP"/>
              </w:rPr>
              <w:t xml:space="preserve">Designing for turbulence </w:t>
            </w:r>
            <w:r>
              <w:rPr>
                <w:rFonts w:ascii="Calibri" w:eastAsia="MS Mincho" w:hAnsi="Calibri" w:cs="Dax-Light"/>
                <w:sz w:val="21"/>
                <w:szCs w:val="21"/>
                <w:lang w:val="en-US" w:eastAsia="ja-JP"/>
              </w:rPr>
              <w:t>“Implementation is not threatened by changes in organisational structure and personnel”</w:t>
            </w:r>
          </w:p>
          <w:p w:rsidR="007A1C4A" w:rsidRPr="00EA08B8" w:rsidRDefault="007A1C4A" w:rsidP="00721A5B">
            <w:pPr>
              <w:numPr>
                <w:ilvl w:val="0"/>
                <w:numId w:val="35"/>
              </w:numPr>
              <w:spacing w:before="20" w:after="60" w:line="264" w:lineRule="auto"/>
              <w:rPr>
                <w:rFonts w:ascii="Calibri" w:eastAsia="MS Mincho" w:hAnsi="Calibri" w:cs="Dax-Light"/>
                <w:b/>
                <w:sz w:val="21"/>
                <w:szCs w:val="21"/>
                <w:lang w:val="en-US" w:eastAsia="ja-JP"/>
              </w:rPr>
            </w:pPr>
            <w:r w:rsidRPr="00EA08B8">
              <w:rPr>
                <w:rFonts w:ascii="Calibri" w:eastAsia="MS Mincho" w:hAnsi="Calibri" w:cs="Dax-Light"/>
                <w:b/>
                <w:sz w:val="21"/>
                <w:szCs w:val="21"/>
                <w:lang w:val="en-US" w:eastAsia="ja-JP"/>
              </w:rPr>
              <w:t xml:space="preserve">Benchmarking </w:t>
            </w:r>
            <w:r w:rsidRPr="002B0DE7">
              <w:rPr>
                <w:rFonts w:ascii="Calibri" w:eastAsia="MS Mincho" w:hAnsi="Calibri"/>
                <w:sz w:val="21"/>
                <w:szCs w:val="21"/>
                <w:lang w:eastAsia="ja-JP"/>
              </w:rPr>
              <w:t>“Local ownership does not necessarily have to entail lots of people developing their own indicators. The wide range of schemes meant that meaningful comparisons across providers were difficult. This makes it difficult to use feedback on performance, relative to other providers, as a spur to improvement.”</w:t>
            </w:r>
          </w:p>
          <w:p w:rsidR="007A1C4A" w:rsidRPr="00EA08B8" w:rsidRDefault="007A1C4A" w:rsidP="00721A5B">
            <w:pPr>
              <w:numPr>
                <w:ilvl w:val="0"/>
                <w:numId w:val="35"/>
              </w:numPr>
              <w:spacing w:before="20" w:after="60" w:line="264" w:lineRule="auto"/>
              <w:rPr>
                <w:rFonts w:ascii="Calibri" w:eastAsia="MS Mincho" w:hAnsi="Calibri" w:cs="Dax-Light"/>
                <w:b/>
                <w:sz w:val="21"/>
                <w:szCs w:val="21"/>
                <w:lang w:val="en-US" w:eastAsia="ja-JP"/>
              </w:rPr>
            </w:pPr>
            <w:r w:rsidRPr="00EA08B8">
              <w:rPr>
                <w:rFonts w:ascii="Calibri" w:eastAsia="MS Mincho" w:hAnsi="Calibri" w:cs="Dax-Light"/>
                <w:b/>
                <w:sz w:val="21"/>
                <w:szCs w:val="21"/>
                <w:lang w:eastAsia="ja-JP"/>
              </w:rPr>
              <w:t xml:space="preserve">Care with financial risk </w:t>
            </w:r>
            <w:r w:rsidRPr="00EA08B8">
              <w:rPr>
                <w:rFonts w:ascii="Calibri" w:eastAsia="MS Mincho" w:hAnsi="Calibri" w:cs="Dax-Light"/>
                <w:sz w:val="21"/>
                <w:szCs w:val="21"/>
                <w:lang w:eastAsia="ja-JP"/>
              </w:rPr>
              <w:t>“</w:t>
            </w:r>
            <w:r w:rsidRPr="00EA08B8">
              <w:rPr>
                <w:rFonts w:ascii="Calibri" w:eastAsia="MS Mincho" w:hAnsi="Calibri"/>
                <w:sz w:val="21"/>
                <w:szCs w:val="21"/>
                <w:lang w:eastAsia="ja-JP"/>
              </w:rPr>
              <w:t xml:space="preserve">Introducing financial risk may inhibit, as opposed to encourage, innovation </w:t>
            </w:r>
          </w:p>
          <w:p w:rsidR="007A1C4A" w:rsidRPr="00EA08B8" w:rsidRDefault="007A1C4A" w:rsidP="00721A5B">
            <w:pPr>
              <w:numPr>
                <w:ilvl w:val="0"/>
                <w:numId w:val="35"/>
              </w:numPr>
              <w:spacing w:before="20" w:after="60" w:line="264" w:lineRule="auto"/>
              <w:rPr>
                <w:rFonts w:ascii="Calibri" w:eastAsia="MS Mincho" w:hAnsi="Calibri" w:cs="Dax-Light"/>
                <w:b/>
                <w:sz w:val="21"/>
                <w:szCs w:val="21"/>
                <w:lang w:val="en-US" w:eastAsia="ja-JP"/>
              </w:rPr>
            </w:pPr>
            <w:r w:rsidRPr="00EA08B8">
              <w:rPr>
                <w:rFonts w:ascii="Calibri" w:eastAsia="MS Mincho" w:hAnsi="Calibri" w:cs="Dax-Light"/>
                <w:b/>
                <w:sz w:val="21"/>
                <w:szCs w:val="21"/>
                <w:lang w:eastAsia="ja-JP"/>
              </w:rPr>
              <w:t xml:space="preserve">Evidence-based </w:t>
            </w:r>
            <w:r w:rsidRPr="00EA08B8">
              <w:rPr>
                <w:rFonts w:ascii="Calibri" w:eastAsia="MS Mincho" w:hAnsi="Calibri" w:cs="Dax-Light"/>
                <w:sz w:val="21"/>
                <w:szCs w:val="21"/>
                <w:lang w:eastAsia="ja-JP"/>
              </w:rPr>
              <w:t>“</w:t>
            </w:r>
            <w:r w:rsidRPr="00EA08B8">
              <w:rPr>
                <w:rFonts w:ascii="Calibri" w:eastAsia="MS Mincho" w:hAnsi="Calibri"/>
                <w:sz w:val="21"/>
                <w:szCs w:val="21"/>
                <w:lang w:eastAsia="ja-JP"/>
              </w:rPr>
              <w:t>Financial incentive initiatives should build on evidence of ‘what works’”</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b/>
                <w:color w:val="FFFFFF"/>
                <w:sz w:val="21"/>
                <w:szCs w:val="21"/>
                <w:lang w:eastAsia="en-AU"/>
              </w:rPr>
            </w:pPr>
          </w:p>
        </w:tc>
        <w:tc>
          <w:tcPr>
            <w:tcW w:w="207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Default="007A1C4A" w:rsidP="00DE127A">
            <w:pPr>
              <w:spacing w:before="20" w:after="20" w:line="264" w:lineRule="auto"/>
              <w:rPr>
                <w:rFonts w:ascii="Calibri" w:hAnsi="Calibri" w:cs="Arial"/>
                <w:noProof/>
                <w:sz w:val="21"/>
                <w:szCs w:val="21"/>
              </w:rPr>
            </w:pPr>
          </w:p>
          <w:p w:rsidR="007A1C4A" w:rsidRPr="00B81CE4" w:rsidRDefault="007A1C4A" w:rsidP="00DE127A">
            <w:pPr>
              <w:spacing w:before="20" w:after="20" w:line="264" w:lineRule="auto"/>
              <w:rPr>
                <w:rFonts w:ascii="Calibri" w:hAnsi="Calibri" w:cs="Arial"/>
                <w:noProof/>
                <w:sz w:val="21"/>
                <w:szCs w:val="21"/>
              </w:rPr>
            </w:pPr>
          </w:p>
        </w:tc>
        <w:tc>
          <w:tcPr>
            <w:tcW w:w="1980" w:type="dxa"/>
            <w:tcBorders>
              <w:top w:val="single" w:sz="4" w:space="0" w:color="999999"/>
              <w:bottom w:val="single" w:sz="4" w:space="0" w:color="999999"/>
            </w:tcBorders>
            <w:shd w:val="clear" w:color="auto" w:fill="FFFFFF"/>
          </w:tcPr>
          <w:p w:rsidR="007A1C4A" w:rsidRPr="00B81CE4" w:rsidRDefault="007A1C4A" w:rsidP="00DE127A">
            <w:pPr>
              <w:spacing w:before="20" w:after="20" w:line="264" w:lineRule="auto"/>
              <w:rPr>
                <w:rFonts w:ascii="Calibri" w:hAnsi="Calibri" w:cs="Arial"/>
                <w:noProof/>
                <w:sz w:val="21"/>
                <w:szCs w:val="21"/>
              </w:rPr>
            </w:pPr>
          </w:p>
        </w:tc>
        <w:tc>
          <w:tcPr>
            <w:tcW w:w="126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val="en-US" w:eastAsia="en-AU"/>
              </w:rPr>
            </w:pPr>
          </w:p>
        </w:tc>
        <w:tc>
          <w:tcPr>
            <w:tcW w:w="144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val="en-US" w:eastAsia="en-AU"/>
              </w:rPr>
            </w:pPr>
          </w:p>
        </w:tc>
        <w:tc>
          <w:tcPr>
            <w:tcW w:w="144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08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260" w:type="dxa"/>
            <w:tcBorders>
              <w:top w:val="single" w:sz="4" w:space="0" w:color="999999"/>
              <w:bottom w:val="single" w:sz="4" w:space="0" w:color="999999"/>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1160" w:type="dxa"/>
            <w:gridSpan w:val="3"/>
            <w:tcBorders>
              <w:top w:val="single" w:sz="4" w:space="0" w:color="999999"/>
              <w:bottom w:val="single" w:sz="4" w:space="0" w:color="999999"/>
            </w:tcBorders>
            <w:shd w:val="clear" w:color="auto" w:fill="FFFFFF"/>
          </w:tcPr>
          <w:p w:rsidR="007A1C4A" w:rsidRDefault="007A1C4A" w:rsidP="00DE127A">
            <w:pPr>
              <w:spacing w:before="20" w:after="60" w:line="264" w:lineRule="auto"/>
              <w:rPr>
                <w:rFonts w:ascii="Calibri" w:eastAsia="MS Mincho" w:hAnsi="Calibri" w:cs="Dax-Light"/>
                <w:sz w:val="21"/>
                <w:szCs w:val="21"/>
                <w:lang w:val="en-US" w:eastAsia="ja-JP"/>
              </w:rPr>
            </w:pP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844"/>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p>
        </w:tc>
        <w:tc>
          <w:tcPr>
            <w:tcW w:w="207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98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26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44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44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Model(s) </w:t>
            </w:r>
            <w:r>
              <w:rPr>
                <w:rFonts w:ascii="Calibri" w:hAnsi="Calibri" w:cs="Arial"/>
                <w:b/>
                <w:color w:val="FFFFFF"/>
                <w:sz w:val="21"/>
                <w:szCs w:val="21"/>
                <w:lang w:eastAsia="en-AU"/>
              </w:rPr>
              <w:t xml:space="preserve"> &amp; mechanism</w:t>
            </w:r>
          </w:p>
        </w:tc>
        <w:tc>
          <w:tcPr>
            <w:tcW w:w="108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26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Area, context &amp; setting</w:t>
            </w:r>
          </w:p>
        </w:tc>
        <w:tc>
          <w:tcPr>
            <w:tcW w:w="5580" w:type="dxa"/>
            <w:gridSpan w:val="2"/>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Results / impact</w:t>
            </w:r>
          </w:p>
        </w:tc>
        <w:tc>
          <w:tcPr>
            <w:tcW w:w="5580" w:type="dxa"/>
            <w:tcBorders>
              <w:top w:val="single" w:sz="4" w:space="0" w:color="999999"/>
              <w:left w:val="single" w:sz="4" w:space="0" w:color="999999"/>
              <w:bottom w:val="single" w:sz="4" w:space="0" w:color="999999"/>
              <w:right w:val="single" w:sz="4" w:space="0" w:color="999999"/>
            </w:tcBorders>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3D52BA">
              <w:rPr>
                <w:rFonts w:ascii="Calibri" w:hAnsi="Calibri" w:cs="Arial"/>
                <w:b/>
                <w:color w:val="FFFFFF"/>
                <w:sz w:val="21"/>
                <w:szCs w:val="21"/>
                <w:lang w:eastAsia="en-AU"/>
              </w:rPr>
              <w:t>Key points</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5</w:t>
            </w:r>
          </w:p>
        </w:tc>
        <w:tc>
          <w:tcPr>
            <w:tcW w:w="2070" w:type="dxa"/>
            <w:tcBorders>
              <w:top w:val="single" w:sz="4" w:space="0" w:color="999999"/>
              <w:left w:val="single" w:sz="4" w:space="0" w:color="999999"/>
              <w:bottom w:val="single" w:sz="4" w:space="0" w:color="999999"/>
              <w:right w:val="single" w:sz="4" w:space="0" w:color="999999"/>
            </w:tcBorders>
          </w:tcPr>
          <w:p w:rsidR="007A1C4A" w:rsidRPr="00B81CE4" w:rsidRDefault="007A1C4A" w:rsidP="00DE127A">
            <w:pPr>
              <w:spacing w:before="20" w:after="20" w:line="264" w:lineRule="auto"/>
              <w:rPr>
                <w:rFonts w:ascii="Calibri" w:eastAsia="MS Mincho" w:hAnsi="Calibri" w:cs="Arial"/>
                <w:sz w:val="21"/>
                <w:szCs w:val="21"/>
                <w:lang w:val="en-US" w:eastAsia="ja-JP"/>
              </w:rPr>
            </w:pPr>
            <w:r w:rsidRPr="00B81CE4">
              <w:rPr>
                <w:rFonts w:ascii="Calibri" w:hAnsi="Calibri" w:cs="Arial"/>
                <w:noProof/>
                <w:sz w:val="21"/>
                <w:szCs w:val="21"/>
              </w:rPr>
              <w:t>Report of the National Commission on Pysician Payment Reform</w:t>
            </w:r>
            <w:r w:rsidRPr="00B81CE4">
              <w:rPr>
                <w:rFonts w:ascii="Calibri" w:eastAsia="MS Mincho" w:hAnsi="Calibri" w:cs="Arial"/>
                <w:sz w:val="21"/>
                <w:szCs w:val="21"/>
                <w:lang w:val="en-US" w:eastAsia="ja-JP"/>
              </w:rPr>
              <w:t xml:space="preserve"> </w:t>
            </w:r>
            <w:r>
              <w:rPr>
                <w:rFonts w:ascii="Calibri" w:eastAsia="MS Mincho" w:hAnsi="Calibri" w:cs="Arial"/>
                <w:sz w:val="21"/>
                <w:szCs w:val="21"/>
                <w:lang w:val="en-US" w:eastAsia="ja-JP"/>
              </w:rPr>
              <w:fldChar w:fldCharType="begin"/>
            </w:r>
            <w:r>
              <w:rPr>
                <w:rFonts w:ascii="Calibri" w:eastAsia="MS Mincho" w:hAnsi="Calibri" w:cs="Arial"/>
                <w:sz w:val="21"/>
                <w:szCs w:val="21"/>
                <w:lang w:val="en-US" w:eastAsia="ja-JP"/>
              </w:rPr>
              <w:instrText xml:space="preserve"> ADDIN EN.CITE &lt;EndNote&gt;&lt;Cite&gt;&lt;Author&gt;Frist&lt;/Author&gt;&lt;Year&gt;2013&lt;/Year&gt;&lt;RecNum&gt;13443&lt;/RecNum&gt;&lt;record&gt;&lt;rec-number&gt;13443&lt;/rec-number&gt;&lt;foreign-keys&gt;&lt;key app="EN" db-id="5r0eapxzsestz4er5zaxe5zqz99fvpawedp5"&gt;13443&lt;/key&gt;&lt;/foreign-keys&gt;&lt;ref-type name="Report"&gt;27&lt;/ref-type&gt;&lt;contributors&gt;&lt;authors&gt;&lt;author&gt;Frist, William&lt;/author&gt;&lt;author&gt;Schroeder, Steven A.&lt;/author&gt;&lt;/authors&gt;&lt;/contributors&gt;&lt;titles&gt;&lt;title&gt;Report of the National Commission on Pysician Payment Reform&lt;/title&gt;&lt;/titles&gt;&lt;dates&gt;&lt;year&gt;2013&lt;/year&gt;&lt;/dates&gt;&lt;urls&gt;&lt;/urls&gt;&lt;/record&gt;&lt;/Cite&gt;&lt;/EndNote&gt;</w:instrText>
            </w:r>
            <w:r>
              <w:rPr>
                <w:rFonts w:ascii="Calibri" w:eastAsia="MS Mincho" w:hAnsi="Calibri" w:cs="Arial"/>
                <w:sz w:val="21"/>
                <w:szCs w:val="21"/>
                <w:lang w:val="en-US" w:eastAsia="ja-JP"/>
              </w:rPr>
              <w:fldChar w:fldCharType="separate"/>
            </w:r>
            <w:r w:rsidRPr="006340E9">
              <w:rPr>
                <w:rFonts w:ascii="Calibri" w:eastAsia="MS Mincho" w:hAnsi="Calibri" w:cs="Arial"/>
                <w:noProof/>
                <w:sz w:val="21"/>
                <w:szCs w:val="21"/>
                <w:vertAlign w:val="superscript"/>
                <w:lang w:val="en-US" w:eastAsia="ja-JP"/>
              </w:rPr>
              <w:t>5</w:t>
            </w:r>
            <w:r>
              <w:rPr>
                <w:rFonts w:ascii="Calibri" w:eastAsia="MS Mincho" w:hAnsi="Calibri" w:cs="Arial"/>
                <w:sz w:val="21"/>
                <w:szCs w:val="21"/>
                <w:lang w:val="en-US" w:eastAsia="ja-JP"/>
              </w:rPr>
              <w:fldChar w:fldCharType="end"/>
            </w:r>
          </w:p>
        </w:tc>
        <w:tc>
          <w:tcPr>
            <w:tcW w:w="1980" w:type="dxa"/>
            <w:tcBorders>
              <w:top w:val="single" w:sz="4" w:space="0" w:color="999999"/>
              <w:left w:val="single" w:sz="4" w:space="0" w:color="999999"/>
              <w:bottom w:val="single" w:sz="4" w:space="0" w:color="999999"/>
              <w:right w:val="single" w:sz="4" w:space="0" w:color="999999"/>
            </w:tcBorders>
          </w:tcPr>
          <w:p w:rsidR="007A1C4A" w:rsidRPr="00B81CE4" w:rsidRDefault="007A1C4A" w:rsidP="00DE127A">
            <w:pPr>
              <w:spacing w:before="20" w:after="20" w:line="264" w:lineRule="auto"/>
              <w:rPr>
                <w:rFonts w:ascii="Calibri" w:eastAsia="MS Mincho" w:hAnsi="Calibri" w:cs="Arial"/>
                <w:sz w:val="21"/>
                <w:szCs w:val="21"/>
                <w:lang w:val="en-US" w:eastAsia="ja-JP"/>
              </w:rPr>
            </w:pPr>
            <w:r w:rsidRPr="00B81CE4">
              <w:rPr>
                <w:rFonts w:ascii="Calibri" w:hAnsi="Calibri" w:cs="Arial"/>
                <w:noProof/>
                <w:sz w:val="21"/>
                <w:szCs w:val="21"/>
              </w:rPr>
              <w:t>Frist W, Schroeder SA, et al.</w:t>
            </w:r>
          </w:p>
        </w:tc>
        <w:tc>
          <w:tcPr>
            <w:tcW w:w="1260" w:type="dxa"/>
            <w:tcBorders>
              <w:top w:val="single" w:sz="4" w:space="0" w:color="999999"/>
              <w:left w:val="single" w:sz="4" w:space="0" w:color="999999"/>
              <w:bottom w:val="single" w:sz="4" w:space="0" w:color="999999"/>
              <w:right w:val="single" w:sz="4" w:space="0" w:color="999999"/>
            </w:tcBorders>
          </w:tcPr>
          <w:p w:rsidR="007A1C4A" w:rsidRPr="002B0DE7" w:rsidRDefault="007A1C4A" w:rsidP="00DE127A">
            <w:pPr>
              <w:spacing w:before="20" w:after="20" w:line="264" w:lineRule="auto"/>
              <w:rPr>
                <w:rFonts w:ascii="Calibri" w:hAnsi="Calibri" w:cs="Arial"/>
                <w:sz w:val="21"/>
                <w:szCs w:val="21"/>
                <w:lang w:val="en-US" w:eastAsia="en-AU"/>
              </w:rPr>
            </w:pPr>
            <w:r>
              <w:rPr>
                <w:rFonts w:ascii="Calibri" w:hAnsi="Calibri" w:cs="Arial"/>
                <w:sz w:val="21"/>
                <w:szCs w:val="21"/>
                <w:lang w:val="en-US" w:eastAsia="en-AU"/>
              </w:rPr>
              <w:t>National Commission on Physician Payment Reform</w:t>
            </w:r>
          </w:p>
        </w:tc>
        <w:tc>
          <w:tcPr>
            <w:tcW w:w="1440" w:type="dxa"/>
            <w:tcBorders>
              <w:top w:val="single" w:sz="4" w:space="0" w:color="999999"/>
              <w:left w:val="single" w:sz="4" w:space="0" w:color="999999"/>
              <w:bottom w:val="single" w:sz="4" w:space="0" w:color="999999"/>
              <w:right w:val="single" w:sz="4" w:space="0" w:color="999999"/>
            </w:tcBorders>
          </w:tcPr>
          <w:p w:rsidR="007A1C4A" w:rsidRPr="002B0DE7"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val="en-US" w:eastAsia="en-AU"/>
              </w:rPr>
              <w:t>Report</w:t>
            </w:r>
            <w:r>
              <w:rPr>
                <w:rFonts w:ascii="Calibri" w:hAnsi="Calibri" w:cs="Arial"/>
                <w:sz w:val="21"/>
                <w:szCs w:val="21"/>
                <w:lang w:eastAsia="en-AU"/>
              </w:rPr>
              <w:t xml:space="preserve">: analysis and recommend-dations  </w:t>
            </w:r>
          </w:p>
        </w:tc>
        <w:tc>
          <w:tcPr>
            <w:tcW w:w="1440" w:type="dxa"/>
            <w:tcBorders>
              <w:top w:val="single" w:sz="4" w:space="0" w:color="999999"/>
              <w:left w:val="single" w:sz="4" w:space="0" w:color="999999"/>
              <w:bottom w:val="single" w:sz="4" w:space="0" w:color="999999"/>
              <w:right w:val="single" w:sz="4" w:space="0" w:color="999999"/>
            </w:tcBorders>
          </w:tcPr>
          <w:p w:rsidR="007A1C4A" w:rsidRPr="002B0DE7"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Fee-for-service remuneration</w:t>
            </w:r>
          </w:p>
        </w:tc>
        <w:tc>
          <w:tcPr>
            <w:tcW w:w="1080" w:type="dxa"/>
            <w:tcBorders>
              <w:top w:val="single" w:sz="4" w:space="0" w:color="999999"/>
              <w:left w:val="single" w:sz="4" w:space="0" w:color="999999"/>
              <w:bottom w:val="single" w:sz="4" w:space="0" w:color="999999"/>
              <w:right w:val="single" w:sz="4" w:space="0" w:color="999999"/>
            </w:tcBorders>
          </w:tcPr>
          <w:p w:rsidR="007A1C4A" w:rsidRPr="002B0DE7"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USA</w:t>
            </w:r>
          </w:p>
        </w:tc>
        <w:tc>
          <w:tcPr>
            <w:tcW w:w="1260" w:type="dxa"/>
            <w:tcBorders>
              <w:top w:val="single" w:sz="4" w:space="0" w:color="999999"/>
              <w:left w:val="single" w:sz="4" w:space="0" w:color="999999"/>
              <w:bottom w:val="single" w:sz="4" w:space="0" w:color="999999"/>
              <w:right w:val="single" w:sz="4" w:space="0" w:color="999999"/>
            </w:tcBorders>
          </w:tcPr>
          <w:p w:rsidR="007A1C4A" w:rsidRPr="002B0DE7"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Various</w:t>
            </w:r>
          </w:p>
        </w:tc>
        <w:tc>
          <w:tcPr>
            <w:tcW w:w="11160" w:type="dxa"/>
            <w:gridSpan w:val="3"/>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This report is predicated on the unsustainable nature of US health care spending. The overarching message is that fee-for-service payments should be phased out, and replaced with a remuneration model focused on quality and value. Normative remuneration is a strong theme throughout.</w:t>
            </w:r>
          </w:p>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The report makes 12 recommendations; the more relevant of these in the ‘pricing’ context are:</w:t>
            </w:r>
          </w:p>
          <w:p w:rsidR="007A1C4A" w:rsidRDefault="007A1C4A" w:rsidP="00721A5B">
            <w:pPr>
              <w:numPr>
                <w:ilvl w:val="0"/>
                <w:numId w:val="36"/>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Over time, payers should largely </w:t>
            </w:r>
            <w:r w:rsidRPr="002F2A9B">
              <w:rPr>
                <w:rFonts w:ascii="Calibri" w:eastAsia="MS Mincho" w:hAnsi="Calibri" w:cs="Dax-Light"/>
                <w:b/>
                <w:sz w:val="21"/>
                <w:szCs w:val="21"/>
                <w:lang w:val="en-US" w:eastAsia="ja-JP"/>
              </w:rPr>
              <w:t>eliminate stand-alone fee-for-service payment</w:t>
            </w:r>
            <w:r>
              <w:rPr>
                <w:rFonts w:ascii="Calibri" w:eastAsia="MS Mincho" w:hAnsi="Calibri" w:cs="Dax-Light"/>
                <w:sz w:val="21"/>
                <w:szCs w:val="21"/>
                <w:lang w:val="en-US" w:eastAsia="ja-JP"/>
              </w:rPr>
              <w:t xml:space="preserve"> to medical practices because of its inherent inefficiencies and problematic financial incentives (Recommendation 1)</w:t>
            </w:r>
          </w:p>
          <w:p w:rsidR="007A1C4A" w:rsidRDefault="007A1C4A" w:rsidP="00721A5B">
            <w:pPr>
              <w:numPr>
                <w:ilvl w:val="0"/>
                <w:numId w:val="36"/>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The transition to a approach based on quality and value should start with testing</w:t>
            </w:r>
            <w:r w:rsidRPr="002F2A9B">
              <w:rPr>
                <w:rFonts w:ascii="Calibri" w:eastAsia="MS Mincho" w:hAnsi="Calibri" w:cs="Dax-Light"/>
                <w:b/>
                <w:sz w:val="21"/>
                <w:szCs w:val="21"/>
                <w:lang w:val="en-US" w:eastAsia="ja-JP"/>
              </w:rPr>
              <w:t xml:space="preserve"> new models of care </w:t>
            </w:r>
            <w:r>
              <w:rPr>
                <w:rFonts w:ascii="Calibri" w:eastAsia="MS Mincho" w:hAnsi="Calibri" w:cs="Dax-Light"/>
                <w:sz w:val="21"/>
                <w:szCs w:val="21"/>
                <w:lang w:val="en-US" w:eastAsia="ja-JP"/>
              </w:rPr>
              <w:t>over a 5-year period and incorporating them into increasing numbers of practices, with the goal of broad adoption by the end of the decade (Recommendation 2)</w:t>
            </w:r>
          </w:p>
          <w:p w:rsidR="007A1C4A" w:rsidRDefault="007A1C4A" w:rsidP="00721A5B">
            <w:pPr>
              <w:numPr>
                <w:ilvl w:val="0"/>
                <w:numId w:val="36"/>
              </w:numPr>
              <w:spacing w:before="20" w:after="60" w:line="264" w:lineRule="auto"/>
              <w:rPr>
                <w:rFonts w:ascii="Calibri" w:eastAsia="MS Mincho" w:hAnsi="Calibri" w:cs="Dax-Light"/>
                <w:sz w:val="21"/>
                <w:szCs w:val="21"/>
                <w:lang w:val="en-US" w:eastAsia="ja-JP"/>
              </w:rPr>
            </w:pPr>
            <w:r w:rsidRPr="002F2A9B">
              <w:rPr>
                <w:rFonts w:ascii="Calibri" w:eastAsia="MS Mincho" w:hAnsi="Calibri" w:cs="Dax-Light"/>
                <w:sz w:val="21"/>
                <w:szCs w:val="21"/>
                <w:lang w:val="en-US" w:eastAsia="ja-JP"/>
              </w:rPr>
              <w:t xml:space="preserve">Fees should be increased for </w:t>
            </w:r>
            <w:r w:rsidRPr="002F2A9B">
              <w:rPr>
                <w:rFonts w:ascii="Calibri" w:eastAsia="MS Mincho" w:hAnsi="Calibri" w:cs="Dax-Light"/>
                <w:b/>
                <w:sz w:val="21"/>
                <w:szCs w:val="21"/>
                <w:lang w:val="en-US" w:eastAsia="ja-JP"/>
              </w:rPr>
              <w:t>evaluation-and-management</w:t>
            </w:r>
            <w:r w:rsidRPr="002F2A9B">
              <w:rPr>
                <w:rFonts w:ascii="Calibri" w:eastAsia="MS Mincho" w:hAnsi="Calibri" w:cs="Dax-Light"/>
                <w:sz w:val="21"/>
                <w:szCs w:val="21"/>
                <w:lang w:val="en-US" w:eastAsia="ja-JP"/>
              </w:rPr>
              <w:t xml:space="preserve"> codes, which are currently undervalued. Fees for procedural diagnosis codes, which are generally overvalued and thus create incentives for overuse, should be frozen for 3 years. During this period, efforts should continue to improve the accuracy of relative values, which may result in some increases as well as some decreases in payments for specific services</w:t>
            </w:r>
            <w:r>
              <w:rPr>
                <w:rFonts w:ascii="Calibri" w:eastAsia="MS Mincho" w:hAnsi="Calibri" w:cs="Dax-Light"/>
                <w:sz w:val="21"/>
                <w:szCs w:val="21"/>
                <w:lang w:val="en-US" w:eastAsia="ja-JP"/>
              </w:rPr>
              <w:t xml:space="preserve"> (Recommendation 4)</w:t>
            </w:r>
            <w:r w:rsidRPr="002F2A9B">
              <w:rPr>
                <w:rFonts w:ascii="Calibri" w:eastAsia="MS Mincho" w:hAnsi="Calibri" w:cs="Dax-Light"/>
                <w:sz w:val="21"/>
                <w:szCs w:val="21"/>
                <w:lang w:val="en-US" w:eastAsia="ja-JP"/>
              </w:rPr>
              <w:t>.</w:t>
            </w:r>
          </w:p>
          <w:p w:rsidR="007A1C4A" w:rsidRPr="002F2A9B" w:rsidRDefault="007A1C4A" w:rsidP="00721A5B">
            <w:pPr>
              <w:numPr>
                <w:ilvl w:val="0"/>
                <w:numId w:val="36"/>
              </w:numPr>
              <w:spacing w:before="20" w:after="60" w:line="264" w:lineRule="auto"/>
              <w:rPr>
                <w:rFonts w:ascii="Calibri" w:eastAsia="MS Mincho" w:hAnsi="Calibri" w:cs="Dax-Light"/>
                <w:sz w:val="21"/>
                <w:szCs w:val="21"/>
                <w:lang w:val="en-US" w:eastAsia="ja-JP"/>
              </w:rPr>
            </w:pPr>
            <w:r w:rsidRPr="002F2A9B">
              <w:rPr>
                <w:rFonts w:ascii="Calibri" w:hAnsi="Calibri"/>
                <w:bCs/>
                <w:sz w:val="21"/>
                <w:szCs w:val="21"/>
              </w:rPr>
              <w:t xml:space="preserve">Increased payment for facility-based </w:t>
            </w:r>
            <w:r w:rsidRPr="002F2A9B">
              <w:rPr>
                <w:rFonts w:ascii="Calibri" w:hAnsi="Calibri"/>
                <w:b/>
                <w:bCs/>
                <w:sz w:val="21"/>
                <w:szCs w:val="21"/>
              </w:rPr>
              <w:t>services that can be performed in a lower-cost setting</w:t>
            </w:r>
            <w:r w:rsidRPr="002F2A9B">
              <w:rPr>
                <w:rFonts w:ascii="Calibri" w:hAnsi="Calibri"/>
                <w:bCs/>
                <w:sz w:val="21"/>
                <w:szCs w:val="21"/>
              </w:rPr>
              <w:t xml:space="preserve"> should be eliminated. In addition, the payment mechanism for physicians should be transparent and provide physicians with roughly equal reimbursement for equivalent services, regardless of specialty or setting</w:t>
            </w:r>
            <w:r>
              <w:rPr>
                <w:rFonts w:ascii="Calibri" w:hAnsi="Calibri"/>
                <w:bCs/>
                <w:sz w:val="21"/>
                <w:szCs w:val="21"/>
              </w:rPr>
              <w:t xml:space="preserve"> (Recommendation 5)</w:t>
            </w:r>
            <w:r w:rsidRPr="002F2A9B">
              <w:rPr>
                <w:rFonts w:ascii="Calibri" w:hAnsi="Calibri"/>
                <w:bCs/>
                <w:sz w:val="21"/>
                <w:szCs w:val="21"/>
              </w:rPr>
              <w:t>.</w:t>
            </w:r>
          </w:p>
          <w:p w:rsidR="007A1C4A" w:rsidRPr="002F2A9B" w:rsidRDefault="007A1C4A" w:rsidP="00721A5B">
            <w:pPr>
              <w:numPr>
                <w:ilvl w:val="0"/>
                <w:numId w:val="36"/>
              </w:numPr>
              <w:spacing w:before="20" w:after="60" w:line="264" w:lineRule="auto"/>
              <w:rPr>
                <w:rFonts w:ascii="Calibri" w:eastAsia="MS Mincho" w:hAnsi="Calibri" w:cs="Dax-Light"/>
                <w:sz w:val="21"/>
                <w:szCs w:val="21"/>
                <w:lang w:val="en-US" w:eastAsia="ja-JP"/>
              </w:rPr>
            </w:pPr>
            <w:r w:rsidRPr="002F2A9B">
              <w:rPr>
                <w:rFonts w:ascii="Calibri" w:hAnsi="Calibri"/>
                <w:bCs/>
                <w:sz w:val="21"/>
                <w:szCs w:val="21"/>
              </w:rPr>
              <w:t xml:space="preserve">Fee-for-service contracts should always include a </w:t>
            </w:r>
            <w:r w:rsidRPr="002F2A9B">
              <w:rPr>
                <w:rFonts w:ascii="Calibri" w:hAnsi="Calibri"/>
                <w:b/>
                <w:bCs/>
                <w:sz w:val="21"/>
                <w:szCs w:val="21"/>
              </w:rPr>
              <w:t>component of quality or outcome-based performance reimbursement</w:t>
            </w:r>
            <w:r w:rsidRPr="002F2A9B">
              <w:rPr>
                <w:rFonts w:ascii="Calibri" w:hAnsi="Calibri"/>
                <w:bCs/>
                <w:sz w:val="21"/>
                <w:szCs w:val="21"/>
              </w:rPr>
              <w:t xml:space="preserve"> at a level sufficient to motivate a substantial change in behaviour (Recommendation 6).</w:t>
            </w:r>
          </w:p>
          <w:p w:rsidR="007A1C4A" w:rsidRPr="004F3F94" w:rsidRDefault="007A1C4A" w:rsidP="00721A5B">
            <w:pPr>
              <w:numPr>
                <w:ilvl w:val="0"/>
                <w:numId w:val="36"/>
              </w:numPr>
              <w:spacing w:before="20" w:after="60" w:line="264" w:lineRule="auto"/>
              <w:rPr>
                <w:rFonts w:ascii="Calibri" w:eastAsia="MS Mincho" w:hAnsi="Calibri" w:cs="Dax-Light"/>
                <w:sz w:val="21"/>
                <w:szCs w:val="21"/>
                <w:lang w:val="en-US" w:eastAsia="ja-JP"/>
              </w:rPr>
            </w:pPr>
            <w:r w:rsidRPr="004F3F94">
              <w:rPr>
                <w:rFonts w:ascii="Calibri" w:hAnsi="Calibri"/>
                <w:bCs/>
                <w:sz w:val="21"/>
                <w:szCs w:val="21"/>
              </w:rPr>
              <w:t xml:space="preserve">Measures should be put in place to </w:t>
            </w:r>
            <w:r w:rsidRPr="004F3F94">
              <w:rPr>
                <w:rFonts w:ascii="Calibri" w:hAnsi="Calibri"/>
                <w:b/>
                <w:bCs/>
                <w:sz w:val="21"/>
                <w:szCs w:val="21"/>
              </w:rPr>
              <w:t>safeguard access to high-quality care</w:t>
            </w:r>
            <w:r w:rsidRPr="004F3F94">
              <w:rPr>
                <w:rFonts w:ascii="Calibri" w:hAnsi="Calibri"/>
                <w:bCs/>
                <w:sz w:val="21"/>
                <w:szCs w:val="21"/>
              </w:rPr>
              <w:t xml:space="preserve">, assess the adequacy of risk-adjustment indicators, and </w:t>
            </w:r>
            <w:r w:rsidRPr="004F3F94">
              <w:rPr>
                <w:rFonts w:ascii="Calibri" w:hAnsi="Calibri"/>
                <w:b/>
                <w:bCs/>
                <w:sz w:val="21"/>
                <w:szCs w:val="21"/>
              </w:rPr>
              <w:t xml:space="preserve">promote strong physician commitment to patients </w:t>
            </w:r>
            <w:r>
              <w:rPr>
                <w:rFonts w:ascii="Calibri" w:hAnsi="Calibri"/>
                <w:bCs/>
                <w:sz w:val="21"/>
                <w:szCs w:val="21"/>
              </w:rPr>
              <w:t>(</w:t>
            </w:r>
            <w:r w:rsidRPr="004F3F94">
              <w:rPr>
                <w:rFonts w:ascii="Calibri" w:hAnsi="Calibri"/>
                <w:bCs/>
                <w:sz w:val="21"/>
                <w:szCs w:val="21"/>
              </w:rPr>
              <w:t>Recommendation 9</w:t>
            </w:r>
            <w:r>
              <w:rPr>
                <w:rFonts w:ascii="Calibri" w:hAnsi="Calibri"/>
                <w:bCs/>
                <w:sz w:val="21"/>
                <w:szCs w:val="21"/>
              </w:rPr>
              <w:t>)</w:t>
            </w:r>
          </w:p>
          <w:p w:rsidR="007A1C4A" w:rsidRPr="004F3F94" w:rsidRDefault="007A1C4A" w:rsidP="00721A5B">
            <w:pPr>
              <w:numPr>
                <w:ilvl w:val="0"/>
                <w:numId w:val="36"/>
              </w:numPr>
              <w:spacing w:before="20" w:after="60" w:line="264" w:lineRule="auto"/>
              <w:rPr>
                <w:rFonts w:ascii="Calibri" w:eastAsia="MS Mincho" w:hAnsi="Calibri" w:cs="Dax-Light"/>
                <w:sz w:val="21"/>
                <w:szCs w:val="21"/>
                <w:lang w:val="en-US" w:eastAsia="ja-JP"/>
              </w:rPr>
            </w:pPr>
            <w:r w:rsidRPr="004F3F94">
              <w:rPr>
                <w:rFonts w:ascii="Calibri" w:hAnsi="Calibri"/>
                <w:bCs/>
                <w:sz w:val="21"/>
                <w:szCs w:val="21"/>
              </w:rPr>
              <w:t>Medicare's sustainable growth rate (</w:t>
            </w:r>
            <w:r w:rsidRPr="004F3F94">
              <w:rPr>
                <w:rFonts w:ascii="Calibri" w:hAnsi="Calibri"/>
                <w:b/>
                <w:bCs/>
                <w:sz w:val="21"/>
                <w:szCs w:val="21"/>
              </w:rPr>
              <w:t>SGR</w:t>
            </w:r>
            <w:r w:rsidRPr="004F3F94">
              <w:rPr>
                <w:rFonts w:ascii="Calibri" w:hAnsi="Calibri"/>
                <w:bCs/>
                <w:sz w:val="21"/>
                <w:szCs w:val="21"/>
              </w:rPr>
              <w:t xml:space="preserve">) adjustment should be </w:t>
            </w:r>
            <w:r w:rsidRPr="004F3F94">
              <w:rPr>
                <w:rFonts w:ascii="Calibri" w:hAnsi="Calibri"/>
                <w:b/>
                <w:bCs/>
                <w:sz w:val="21"/>
                <w:szCs w:val="21"/>
              </w:rPr>
              <w:t>eliminated</w:t>
            </w:r>
            <w:r>
              <w:rPr>
                <w:rFonts w:ascii="Calibri" w:hAnsi="Calibri"/>
                <w:bCs/>
                <w:sz w:val="21"/>
                <w:szCs w:val="21"/>
              </w:rPr>
              <w:t xml:space="preserve"> (Recommendation 10)</w:t>
            </w:r>
          </w:p>
          <w:p w:rsidR="007A1C4A" w:rsidRPr="002F2A9B" w:rsidRDefault="007A1C4A" w:rsidP="00721A5B">
            <w:pPr>
              <w:numPr>
                <w:ilvl w:val="0"/>
                <w:numId w:val="36"/>
              </w:numPr>
              <w:spacing w:before="20" w:after="60" w:line="264" w:lineRule="auto"/>
              <w:rPr>
                <w:rFonts w:ascii="Calibri" w:eastAsia="MS Mincho" w:hAnsi="Calibri" w:cs="Dax-Light"/>
                <w:sz w:val="21"/>
                <w:szCs w:val="21"/>
                <w:lang w:val="en-US" w:eastAsia="ja-JP"/>
              </w:rPr>
            </w:pPr>
            <w:r w:rsidRPr="004F3F94">
              <w:rPr>
                <w:rFonts w:ascii="Calibri" w:hAnsi="Calibri"/>
                <w:bCs/>
                <w:sz w:val="21"/>
                <w:szCs w:val="21"/>
              </w:rPr>
              <w:t xml:space="preserve">Cost-saving measures to offset the elimination of the SGR should come not only from reduced physician payment but also from the Medicare program as a whole. Medicare should also look for savings from reductions in </w:t>
            </w:r>
            <w:r>
              <w:rPr>
                <w:rFonts w:ascii="Calibri" w:hAnsi="Calibri"/>
                <w:b/>
                <w:bCs/>
                <w:sz w:val="21"/>
                <w:szCs w:val="21"/>
              </w:rPr>
              <w:t>inappropriate utilis</w:t>
            </w:r>
            <w:r w:rsidRPr="004F3F94">
              <w:rPr>
                <w:rFonts w:ascii="Calibri" w:hAnsi="Calibri"/>
                <w:b/>
                <w:bCs/>
                <w:sz w:val="21"/>
                <w:szCs w:val="21"/>
              </w:rPr>
              <w:t>ation of services</w:t>
            </w:r>
            <w:r>
              <w:rPr>
                <w:rFonts w:ascii="Calibri" w:hAnsi="Calibri"/>
                <w:bCs/>
                <w:sz w:val="21"/>
                <w:szCs w:val="21"/>
              </w:rPr>
              <w:t xml:space="preserve"> (Recommendation 11)</w:t>
            </w:r>
          </w:p>
        </w:tc>
      </w:tr>
      <w:tr w:rsidR="007A1C4A" w:rsidRPr="00986B08" w:rsidTr="00BA6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40" w:type="dxa"/>
          <w:trHeight w:val="1275"/>
          <w:tblHeader/>
        </w:trPr>
        <w:tc>
          <w:tcPr>
            <w:tcW w:w="450" w:type="dxa"/>
            <w:tcBorders>
              <w:top w:val="single" w:sz="4" w:space="0" w:color="999999"/>
              <w:left w:val="single" w:sz="4" w:space="0" w:color="999999"/>
              <w:bottom w:val="single" w:sz="4" w:space="0" w:color="999999"/>
              <w:right w:val="single" w:sz="4" w:space="0" w:color="999999"/>
            </w:tcBorders>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6</w:t>
            </w:r>
          </w:p>
        </w:tc>
        <w:tc>
          <w:tcPr>
            <w:tcW w:w="2070" w:type="dxa"/>
            <w:tcBorders>
              <w:top w:val="single" w:sz="4" w:space="0" w:color="999999"/>
              <w:left w:val="single" w:sz="4" w:space="0" w:color="999999"/>
              <w:bottom w:val="single" w:sz="4" w:space="0" w:color="999999"/>
              <w:right w:val="single" w:sz="4" w:space="0" w:color="999999"/>
            </w:tcBorders>
          </w:tcPr>
          <w:p w:rsidR="007A1C4A" w:rsidRPr="00EA17E9" w:rsidRDefault="007A1C4A" w:rsidP="00DE127A">
            <w:pPr>
              <w:spacing w:before="20" w:after="20" w:line="264" w:lineRule="auto"/>
              <w:rPr>
                <w:rFonts w:ascii="Calibri" w:hAnsi="Calibri" w:cs="Arial"/>
                <w:noProof/>
                <w:sz w:val="21"/>
                <w:szCs w:val="21"/>
              </w:rPr>
            </w:pPr>
            <w:r w:rsidRPr="00EA17E9">
              <w:rPr>
                <w:rFonts w:ascii="Calibri" w:hAnsi="Calibri" w:cs="Arial"/>
                <w:noProof/>
                <w:sz w:val="21"/>
                <w:szCs w:val="21"/>
              </w:rPr>
              <w:t>Hospital payment based on diagnosis-related groups</w:t>
            </w:r>
            <w:r>
              <w:rPr>
                <w:rFonts w:ascii="Calibri" w:hAnsi="Calibri" w:cs="Arial"/>
                <w:noProof/>
                <w:sz w:val="21"/>
                <w:szCs w:val="21"/>
              </w:rPr>
              <w:t xml:space="preserve"> (DRGs)</w:t>
            </w:r>
            <w:r w:rsidRPr="00EA17E9">
              <w:rPr>
                <w:rFonts w:ascii="Calibri" w:hAnsi="Calibri" w:cs="Arial"/>
                <w:noProof/>
                <w:sz w:val="21"/>
                <w:szCs w:val="21"/>
              </w:rPr>
              <w:t xml:space="preserve"> differs in europe and holds lessons for the United States.</w:t>
            </w:r>
            <w:r>
              <w:rPr>
                <w:rFonts w:ascii="Calibri" w:hAnsi="Calibri" w:cs="Arial"/>
                <w:noProof/>
                <w:sz w:val="21"/>
                <w:szCs w:val="21"/>
              </w:rPr>
              <w:fldChar w:fldCharType="begin"/>
            </w:r>
            <w:r>
              <w:rPr>
                <w:rFonts w:ascii="Calibri" w:hAnsi="Calibri" w:cs="Arial"/>
                <w:noProof/>
                <w:sz w:val="21"/>
                <w:szCs w:val="21"/>
              </w:rPr>
              <w:instrText xml:space="preserve"> ADDIN EN.CITE &lt;EndNote&gt;&lt;Cite&gt;&lt;Author&gt;Quentin&lt;/Author&gt;&lt;Year&gt;2013&lt;/Year&gt;&lt;RecNum&gt;13444&lt;/RecNum&gt;&lt;record&gt;&lt;rec-number&gt;13444&lt;/rec-number&gt;&lt;foreign-keys&gt;&lt;key app="EN" db-id="5r0eapxzsestz4er5zaxe5zqz99fvpawedp5"&gt;13444&lt;/key&gt;&lt;/foreign-keys&gt;&lt;ref-type name="Journal Article"&gt;17&lt;/ref-type&gt;&lt;contributors&gt;&lt;authors&gt;&lt;author&gt;Quentin, W.&lt;/author&gt;&lt;author&gt;Scheller-Kreinsen, D.&lt;/author&gt;&lt;author&gt;Blumel, M.&lt;/author&gt;&lt;author&gt;Geissler, A.&lt;/author&gt;&lt;author&gt;Busse, R.&lt;/author&gt;&lt;/authors&gt;&lt;/contributors&gt;&lt;titles&gt;&lt;title&gt;Hospital payment based on diagnosis-related groups differs in europe and holds lessons for the United States&lt;/title&gt;&lt;secondary-title&gt;Health Aff (Millwood)&lt;/secondary-title&gt;&lt;/titles&gt;&lt;periodical&gt;&lt;full-title&gt;Health Aff (Millwood)&lt;/full-title&gt;&lt;/periodical&gt;&lt;pages&gt;713-23&lt;/pages&gt;&lt;volume&gt;32&lt;/volume&gt;&lt;number&gt;4&lt;/number&gt;&lt;edition&gt;2013/04/10&lt;/edition&gt;&lt;dates&gt;&lt;year&gt;2013&lt;/year&gt;&lt;pub-dates&gt;&lt;date&gt;Apr&lt;/date&gt;&lt;/pub-dates&gt;&lt;/dates&gt;&lt;isbn&gt;1544-5208 (Electronic)&amp;#xD;0278-2715 (Linking)&lt;/isbn&gt;&lt;accession-num&gt;23569051&lt;/accession-num&gt;&lt;urls&gt;&lt;related-urls&gt;&lt;url&gt;http://www.ncbi.nlm.nih.gov/entrez/query.fcgi?cmd=Retrieve&amp;amp;db=PubMed&amp;amp;dopt=Citation&amp;amp;list_uids=23569051&lt;/url&gt;&lt;/related-urls&gt;&lt;/urls&gt;&lt;electronic-resource-num&gt;32/4/713 [pii]&amp;#xD;10.1377/hlthaff.2012.0876&lt;/electronic-resource-num&gt;&lt;language&gt;eng&lt;/language&gt;&lt;/record&gt;&lt;/Cite&gt;&lt;/EndNote&gt;</w:instrText>
            </w:r>
            <w:r>
              <w:rPr>
                <w:rFonts w:ascii="Calibri" w:hAnsi="Calibri" w:cs="Arial"/>
                <w:noProof/>
                <w:sz w:val="21"/>
                <w:szCs w:val="21"/>
              </w:rPr>
              <w:fldChar w:fldCharType="separate"/>
            </w:r>
            <w:r w:rsidRPr="006340E9">
              <w:rPr>
                <w:rFonts w:ascii="Calibri" w:hAnsi="Calibri" w:cs="Arial"/>
                <w:noProof/>
                <w:sz w:val="21"/>
                <w:szCs w:val="21"/>
                <w:vertAlign w:val="superscript"/>
              </w:rPr>
              <w:t>6</w:t>
            </w:r>
            <w:r>
              <w:rPr>
                <w:rFonts w:ascii="Calibri" w:hAnsi="Calibri" w:cs="Arial"/>
                <w:noProof/>
                <w:sz w:val="21"/>
                <w:szCs w:val="21"/>
              </w:rPr>
              <w:fldChar w:fldCharType="end"/>
            </w:r>
          </w:p>
        </w:tc>
        <w:tc>
          <w:tcPr>
            <w:tcW w:w="1980" w:type="dxa"/>
            <w:tcBorders>
              <w:top w:val="single" w:sz="4" w:space="0" w:color="999999"/>
              <w:left w:val="single" w:sz="4" w:space="0" w:color="999999"/>
              <w:bottom w:val="single" w:sz="4" w:space="0" w:color="999999"/>
              <w:right w:val="single" w:sz="4" w:space="0" w:color="999999"/>
            </w:tcBorders>
          </w:tcPr>
          <w:p w:rsidR="007A1C4A" w:rsidRPr="00064D5F" w:rsidRDefault="007A1C4A" w:rsidP="00DE127A">
            <w:pPr>
              <w:spacing w:before="20" w:after="20" w:line="264" w:lineRule="auto"/>
              <w:rPr>
                <w:rFonts w:ascii="Calibri" w:hAnsi="Calibri" w:cs="Arial"/>
                <w:noProof/>
                <w:sz w:val="21"/>
                <w:szCs w:val="21"/>
                <w:lang w:val="de-DE"/>
              </w:rPr>
            </w:pPr>
            <w:r w:rsidRPr="00064D5F">
              <w:rPr>
                <w:rFonts w:ascii="Calibri" w:hAnsi="Calibri" w:cs="Arial"/>
                <w:noProof/>
                <w:sz w:val="21"/>
                <w:szCs w:val="21"/>
                <w:lang w:val="de-DE"/>
              </w:rPr>
              <w:t xml:space="preserve">Quentin W, Scheller-Kreinsen D, Blumel M, </w:t>
            </w:r>
          </w:p>
          <w:p w:rsidR="007A1C4A" w:rsidRDefault="007A1C4A" w:rsidP="00DE127A">
            <w:pPr>
              <w:spacing w:before="20" w:after="20" w:line="264" w:lineRule="auto"/>
              <w:rPr>
                <w:rFonts w:ascii="Calibri" w:hAnsi="Calibri" w:cs="Arial"/>
                <w:noProof/>
                <w:sz w:val="21"/>
                <w:szCs w:val="21"/>
              </w:rPr>
            </w:pPr>
            <w:r w:rsidRPr="00EA17E9">
              <w:rPr>
                <w:rFonts w:ascii="Calibri" w:hAnsi="Calibri" w:cs="Arial"/>
                <w:noProof/>
                <w:sz w:val="21"/>
                <w:szCs w:val="21"/>
              </w:rPr>
              <w:t xml:space="preserve">Geissler A, </w:t>
            </w:r>
          </w:p>
          <w:p w:rsidR="007A1C4A" w:rsidRPr="00EA17E9" w:rsidRDefault="007A1C4A" w:rsidP="00DE127A">
            <w:pPr>
              <w:spacing w:before="20" w:after="20" w:line="264" w:lineRule="auto"/>
              <w:rPr>
                <w:rFonts w:ascii="Calibri" w:hAnsi="Calibri" w:cs="Arial"/>
                <w:noProof/>
                <w:sz w:val="21"/>
                <w:szCs w:val="21"/>
              </w:rPr>
            </w:pPr>
            <w:r w:rsidRPr="00EA17E9">
              <w:rPr>
                <w:rFonts w:ascii="Calibri" w:hAnsi="Calibri" w:cs="Arial"/>
                <w:noProof/>
                <w:sz w:val="21"/>
                <w:szCs w:val="21"/>
              </w:rPr>
              <w:t>Busse R.</w:t>
            </w:r>
          </w:p>
        </w:tc>
        <w:tc>
          <w:tcPr>
            <w:tcW w:w="1260" w:type="dxa"/>
            <w:tcBorders>
              <w:top w:val="single" w:sz="4" w:space="0" w:color="999999"/>
              <w:left w:val="single" w:sz="4" w:space="0" w:color="999999"/>
              <w:bottom w:val="single" w:sz="4" w:space="0" w:color="999999"/>
              <w:right w:val="single" w:sz="4" w:space="0" w:color="999999"/>
            </w:tcBorders>
          </w:tcPr>
          <w:p w:rsidR="007A1C4A" w:rsidRPr="00B96D06" w:rsidRDefault="007A1C4A" w:rsidP="00DE127A">
            <w:pPr>
              <w:spacing w:before="20" w:after="20" w:line="264" w:lineRule="auto"/>
              <w:rPr>
                <w:rFonts w:ascii="Calibri" w:hAnsi="Calibri" w:cs="Arial"/>
                <w:i/>
                <w:sz w:val="21"/>
                <w:szCs w:val="21"/>
                <w:lang w:val="en-US" w:eastAsia="en-AU"/>
              </w:rPr>
            </w:pPr>
            <w:r w:rsidRPr="00B96D06">
              <w:rPr>
                <w:rFonts w:ascii="Calibri" w:hAnsi="Calibri" w:cs="Arial"/>
                <w:i/>
                <w:sz w:val="21"/>
                <w:szCs w:val="21"/>
                <w:lang w:val="en-US" w:eastAsia="en-AU"/>
              </w:rPr>
              <w:t>Health Affairs</w:t>
            </w:r>
          </w:p>
        </w:tc>
        <w:tc>
          <w:tcPr>
            <w:tcW w:w="144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val="en-US" w:eastAsia="en-AU"/>
              </w:rPr>
              <w:t>Discursive comparison of payment models</w:t>
            </w:r>
          </w:p>
        </w:tc>
        <w:tc>
          <w:tcPr>
            <w:tcW w:w="144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DRG-based payment system &amp;</w:t>
            </w:r>
          </w:p>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Activity Based Funding</w:t>
            </w:r>
          </w:p>
        </w:tc>
        <w:tc>
          <w:tcPr>
            <w:tcW w:w="108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USA, Germany Sweden France England Nether-lands</w:t>
            </w:r>
          </w:p>
        </w:tc>
        <w:tc>
          <w:tcPr>
            <w:tcW w:w="1260" w:type="dxa"/>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Hospital </w:t>
            </w:r>
          </w:p>
        </w:tc>
        <w:tc>
          <w:tcPr>
            <w:tcW w:w="11160" w:type="dxa"/>
            <w:gridSpan w:val="3"/>
            <w:tcBorders>
              <w:top w:val="single" w:sz="4" w:space="0" w:color="999999"/>
              <w:left w:val="single" w:sz="4" w:space="0" w:color="999999"/>
              <w:bottom w:val="single" w:sz="4" w:space="0" w:color="999999"/>
              <w:right w:val="single" w:sz="4" w:space="0" w:color="999999"/>
            </w:tcBorders>
          </w:tcPr>
          <w:p w:rsidR="007A1C4A" w:rsidRDefault="007A1C4A" w:rsidP="00DE127A">
            <w:p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Examines the various approaches to hospital payment in Europe and makes recommendations for the US system. Essentially describes the ABF approach, but the following observations are notable in relation to the next phase of work of the Joint Working Party (harnessing administrative data):</w:t>
            </w:r>
          </w:p>
          <w:p w:rsidR="007A1C4A" w:rsidRDefault="007A1C4A" w:rsidP="00721A5B">
            <w:pPr>
              <w:numPr>
                <w:ilvl w:val="0"/>
                <w:numId w:val="37"/>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With the exception of the UK Best Practice Tariffs (BPTs), none of the systems have ‘</w:t>
            </w:r>
            <w:r w:rsidRPr="00C23D18">
              <w:rPr>
                <w:rFonts w:ascii="Calibri" w:eastAsia="MS Mincho" w:hAnsi="Calibri" w:cs="Dax-Light"/>
                <w:b/>
                <w:sz w:val="21"/>
                <w:szCs w:val="21"/>
                <w:lang w:val="en-US" w:eastAsia="ja-JP"/>
              </w:rPr>
              <w:t>priced</w:t>
            </w:r>
            <w:r>
              <w:rPr>
                <w:rFonts w:ascii="Calibri" w:eastAsia="MS Mincho" w:hAnsi="Calibri" w:cs="Dax-Light"/>
                <w:b/>
                <w:sz w:val="21"/>
                <w:szCs w:val="21"/>
                <w:lang w:val="en-US" w:eastAsia="ja-JP"/>
              </w:rPr>
              <w:t>-in</w:t>
            </w:r>
            <w:r w:rsidRPr="00C23D18">
              <w:rPr>
                <w:rFonts w:ascii="Calibri" w:eastAsia="MS Mincho" w:hAnsi="Calibri" w:cs="Dax-Light"/>
                <w:b/>
                <w:sz w:val="21"/>
                <w:szCs w:val="21"/>
                <w:lang w:val="en-US" w:eastAsia="ja-JP"/>
              </w:rPr>
              <w:t>’</w:t>
            </w:r>
            <w:r>
              <w:rPr>
                <w:rFonts w:ascii="Calibri" w:eastAsia="MS Mincho" w:hAnsi="Calibri" w:cs="Dax-Light"/>
                <w:sz w:val="21"/>
                <w:szCs w:val="21"/>
                <w:lang w:val="en-US" w:eastAsia="ja-JP"/>
              </w:rPr>
              <w:t xml:space="preserve"> </w:t>
            </w:r>
            <w:r w:rsidRPr="00C23D18">
              <w:rPr>
                <w:rFonts w:ascii="Calibri" w:eastAsia="MS Mincho" w:hAnsi="Calibri" w:cs="Dax-Light"/>
                <w:b/>
                <w:sz w:val="21"/>
                <w:szCs w:val="21"/>
                <w:lang w:val="en-US" w:eastAsia="ja-JP"/>
              </w:rPr>
              <w:t>quality</w:t>
            </w:r>
            <w:r>
              <w:rPr>
                <w:rFonts w:ascii="Calibri" w:eastAsia="MS Mincho" w:hAnsi="Calibri" w:cs="Dax-Light"/>
                <w:sz w:val="21"/>
                <w:szCs w:val="21"/>
                <w:lang w:val="en-US" w:eastAsia="ja-JP"/>
              </w:rPr>
              <w:t xml:space="preserve"> (Advancing Quality (AQ) initiative and CQUIN Framework are acknowledged, but these are technically a P4P schemes)</w:t>
            </w:r>
          </w:p>
          <w:p w:rsidR="007A1C4A" w:rsidRDefault="007A1C4A" w:rsidP="00721A5B">
            <w:pPr>
              <w:numPr>
                <w:ilvl w:val="0"/>
                <w:numId w:val="37"/>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DRG payments in Europe countries cover </w:t>
            </w:r>
            <w:r w:rsidRPr="00C23D18">
              <w:rPr>
                <w:rFonts w:ascii="Calibri" w:eastAsia="MS Mincho" w:hAnsi="Calibri" w:cs="Dax-Light"/>
                <w:b/>
                <w:sz w:val="21"/>
                <w:szCs w:val="21"/>
                <w:lang w:val="en-US" w:eastAsia="ja-JP"/>
              </w:rPr>
              <w:t>readmissions</w:t>
            </w:r>
            <w:r>
              <w:rPr>
                <w:rFonts w:ascii="Calibri" w:eastAsia="MS Mincho" w:hAnsi="Calibri" w:cs="Dax-Light"/>
                <w:sz w:val="21"/>
                <w:szCs w:val="21"/>
                <w:lang w:val="en-US" w:eastAsia="ja-JP"/>
              </w:rPr>
              <w:t xml:space="preserve"> (Germany: 30 days; Sweden: 2 years for some procedures), which this could be viewed as a lever to enhance safety and quality.</w:t>
            </w:r>
          </w:p>
          <w:p w:rsidR="007A1C4A" w:rsidRDefault="007A1C4A" w:rsidP="00721A5B">
            <w:pPr>
              <w:numPr>
                <w:ilvl w:val="0"/>
                <w:numId w:val="37"/>
              </w:numPr>
              <w:spacing w:before="20" w:after="60" w:line="264" w:lineRule="auto"/>
              <w:rPr>
                <w:rFonts w:ascii="Calibri" w:eastAsia="MS Mincho" w:hAnsi="Calibri" w:cs="Dax-Light"/>
                <w:sz w:val="21"/>
                <w:szCs w:val="21"/>
                <w:lang w:val="en-US" w:eastAsia="ja-JP"/>
              </w:rPr>
            </w:pPr>
            <w:r>
              <w:rPr>
                <w:rFonts w:ascii="Calibri" w:eastAsia="MS Mincho" w:hAnsi="Calibri" w:cs="Dax-Light"/>
                <w:sz w:val="21"/>
                <w:szCs w:val="21"/>
                <w:lang w:val="en-US" w:eastAsia="ja-JP"/>
              </w:rPr>
              <w:t xml:space="preserve">The importance of accounting for </w:t>
            </w:r>
            <w:r w:rsidRPr="00C23D18">
              <w:rPr>
                <w:rFonts w:ascii="Calibri" w:eastAsia="MS Mincho" w:hAnsi="Calibri" w:cs="Dax-Light"/>
                <w:b/>
                <w:sz w:val="21"/>
                <w:szCs w:val="21"/>
                <w:lang w:val="en-US" w:eastAsia="ja-JP"/>
              </w:rPr>
              <w:t>comorbidities</w:t>
            </w:r>
            <w:r>
              <w:rPr>
                <w:rFonts w:ascii="Calibri" w:eastAsia="MS Mincho" w:hAnsi="Calibri" w:cs="Dax-Light"/>
                <w:sz w:val="21"/>
                <w:szCs w:val="21"/>
                <w:lang w:val="en-US" w:eastAsia="ja-JP"/>
              </w:rPr>
              <w:t xml:space="preserve"> and </w:t>
            </w:r>
            <w:r w:rsidRPr="00C23D18">
              <w:rPr>
                <w:rFonts w:ascii="Calibri" w:eastAsia="MS Mincho" w:hAnsi="Calibri" w:cs="Dax-Light"/>
                <w:b/>
                <w:sz w:val="21"/>
                <w:szCs w:val="21"/>
                <w:lang w:val="en-US" w:eastAsia="ja-JP"/>
              </w:rPr>
              <w:t>complications</w:t>
            </w:r>
            <w:r>
              <w:rPr>
                <w:rFonts w:ascii="Calibri" w:eastAsia="MS Mincho" w:hAnsi="Calibri" w:cs="Dax-Light"/>
                <w:sz w:val="21"/>
                <w:szCs w:val="21"/>
                <w:lang w:val="en-US" w:eastAsia="ja-JP"/>
              </w:rPr>
              <w:t xml:space="preserve"> on case complexity and payment adjustment are acknowledged (Germany has up to 9 ‘severity levels’ for its DRGs); however, there was no comment on the notion of partitioning comorbidity from complications  in secondary diagnoses for either monitoring, or payment purposes.</w:t>
            </w:r>
          </w:p>
        </w:tc>
      </w:tr>
    </w:tbl>
    <w:p w:rsidR="007A1C4A" w:rsidRPr="009E4EA6" w:rsidRDefault="007A1C4A" w:rsidP="009E4EA6">
      <w:pPr>
        <w:spacing w:before="240" w:after="240" w:line="264" w:lineRule="auto"/>
        <w:rPr>
          <w:b/>
          <w:i/>
          <w:sz w:val="28"/>
          <w:szCs w:val="28"/>
        </w:rPr>
      </w:pPr>
      <w:bookmarkStart w:id="12" w:name="_Toc352137969"/>
      <w:r w:rsidRPr="009E4EA6">
        <w:rPr>
          <w:b/>
          <w:sz w:val="28"/>
          <w:szCs w:val="28"/>
        </w:rPr>
        <w:t xml:space="preserve">3.3.1 </w:t>
      </w:r>
      <w:r w:rsidRPr="009E4EA6">
        <w:rPr>
          <w:b/>
          <w:sz w:val="28"/>
          <w:szCs w:val="28"/>
        </w:rPr>
        <w:tab/>
        <w:t>Reference</w:t>
      </w:r>
      <w:bookmarkEnd w:id="12"/>
      <w:r w:rsidRPr="009E4EA6">
        <w:rPr>
          <w:b/>
          <w:sz w:val="28"/>
          <w:szCs w:val="28"/>
        </w:rPr>
        <w:t>s</w:t>
      </w:r>
    </w:p>
    <w:p w:rsidR="007A1C4A" w:rsidRPr="00394088" w:rsidRDefault="007A1C4A" w:rsidP="00721A5B">
      <w:pPr>
        <w:numPr>
          <w:ilvl w:val="0"/>
          <w:numId w:val="44"/>
        </w:numPr>
        <w:spacing w:line="264" w:lineRule="auto"/>
        <w:ind w:left="357" w:hanging="357"/>
        <w:rPr>
          <w:rFonts w:cs="Arial"/>
          <w:b/>
          <w:i/>
          <w:noProof/>
          <w:szCs w:val="24"/>
        </w:rPr>
      </w:pPr>
      <w:r w:rsidRPr="00394088">
        <w:rPr>
          <w:szCs w:val="24"/>
        </w:rPr>
        <w:fldChar w:fldCharType="begin"/>
      </w:r>
      <w:r w:rsidRPr="00394088">
        <w:rPr>
          <w:szCs w:val="24"/>
        </w:rPr>
        <w:instrText xml:space="preserve"> ADDIN EN.REFLIST </w:instrText>
      </w:r>
      <w:r w:rsidRPr="00394088">
        <w:rPr>
          <w:szCs w:val="24"/>
        </w:rPr>
        <w:fldChar w:fldCharType="separate"/>
      </w:r>
      <w:r w:rsidRPr="00394088">
        <w:rPr>
          <w:rFonts w:cs="Arial"/>
          <w:noProof/>
          <w:szCs w:val="24"/>
        </w:rPr>
        <w:t>Biller-Andorno N, Lee TH. Ethical Physician Incentives — From Carrots and Sticks to Shared Purpose. New England Journal of Medicine 2013;368(11):980-982.</w:t>
      </w:r>
    </w:p>
    <w:p w:rsidR="007A1C4A" w:rsidRPr="00394088" w:rsidRDefault="007A1C4A" w:rsidP="00721A5B">
      <w:pPr>
        <w:numPr>
          <w:ilvl w:val="0"/>
          <w:numId w:val="44"/>
        </w:numPr>
        <w:spacing w:line="264" w:lineRule="auto"/>
        <w:ind w:left="357" w:hanging="357"/>
        <w:rPr>
          <w:rFonts w:cs="Arial"/>
          <w:b/>
          <w:i/>
          <w:noProof/>
          <w:szCs w:val="24"/>
        </w:rPr>
      </w:pPr>
      <w:r w:rsidRPr="00394088">
        <w:rPr>
          <w:rFonts w:cs="Arial"/>
          <w:noProof/>
          <w:szCs w:val="24"/>
        </w:rPr>
        <w:t>Chambers JD, Weiner DE, Bliss SK, Neumann PJ. What can we learn from the U.S. expanded end-stage renal disease bundle? Health Policy 2013;110(2–3):164-171.</w:t>
      </w:r>
    </w:p>
    <w:p w:rsidR="007A1C4A" w:rsidRPr="00394088" w:rsidRDefault="007A1C4A" w:rsidP="00721A5B">
      <w:pPr>
        <w:numPr>
          <w:ilvl w:val="0"/>
          <w:numId w:val="44"/>
        </w:numPr>
        <w:spacing w:line="264" w:lineRule="auto"/>
        <w:ind w:left="357" w:hanging="357"/>
        <w:rPr>
          <w:rFonts w:cs="Arial"/>
          <w:b/>
          <w:i/>
          <w:noProof/>
          <w:szCs w:val="24"/>
        </w:rPr>
      </w:pPr>
      <w:r w:rsidRPr="00394088">
        <w:rPr>
          <w:rFonts w:cs="Arial"/>
          <w:noProof/>
          <w:szCs w:val="24"/>
        </w:rPr>
        <w:t>Guterman S, Zezza MA, Schoen C. Paying for Value: Replacing Medicare's Sustainable Growth Rate Formula with incentives to improve care. Commonwealth Fund, 2013.</w:t>
      </w:r>
    </w:p>
    <w:p w:rsidR="007A1C4A" w:rsidRPr="00394088" w:rsidRDefault="007A1C4A" w:rsidP="00721A5B">
      <w:pPr>
        <w:numPr>
          <w:ilvl w:val="0"/>
          <w:numId w:val="44"/>
        </w:numPr>
        <w:spacing w:line="264" w:lineRule="auto"/>
        <w:ind w:left="357" w:hanging="357"/>
        <w:rPr>
          <w:rFonts w:cs="Arial"/>
          <w:b/>
          <w:i/>
          <w:noProof/>
          <w:szCs w:val="24"/>
        </w:rPr>
      </w:pPr>
      <w:r w:rsidRPr="00394088">
        <w:rPr>
          <w:rFonts w:cs="Arial"/>
          <w:noProof/>
          <w:szCs w:val="24"/>
          <w:lang w:val="de-DE"/>
        </w:rPr>
        <w:t xml:space="preserve">McDonald R, Kristensen SR, Zaidi S, Sutton M, Todd S, Konteh F, et al. </w:t>
      </w:r>
      <w:r w:rsidRPr="00394088">
        <w:rPr>
          <w:rFonts w:cs="Arial"/>
          <w:noProof/>
          <w:szCs w:val="24"/>
        </w:rPr>
        <w:t>Evaluation of the Commissioning for Quality and Innovation Framework: Final Report. Nottingham. University of Nottingham &amp; University of Manchester, 2013.</w:t>
      </w:r>
    </w:p>
    <w:p w:rsidR="007A1C4A" w:rsidRPr="00394088" w:rsidRDefault="007A1C4A" w:rsidP="00721A5B">
      <w:pPr>
        <w:numPr>
          <w:ilvl w:val="0"/>
          <w:numId w:val="44"/>
        </w:numPr>
        <w:spacing w:line="264" w:lineRule="auto"/>
        <w:ind w:left="357" w:hanging="357"/>
        <w:rPr>
          <w:rFonts w:cs="Arial"/>
          <w:b/>
          <w:i/>
          <w:noProof/>
          <w:szCs w:val="24"/>
        </w:rPr>
      </w:pPr>
      <w:r w:rsidRPr="00394088">
        <w:rPr>
          <w:rFonts w:cs="Arial"/>
          <w:noProof/>
          <w:szCs w:val="24"/>
        </w:rPr>
        <w:t>Frist W, Schroeder SA et al. Report of the National Commission on Pysician Payment Reform, 2013.</w:t>
      </w:r>
    </w:p>
    <w:p w:rsidR="007A1C4A" w:rsidRPr="00394088" w:rsidRDefault="007A1C4A" w:rsidP="00721A5B">
      <w:pPr>
        <w:numPr>
          <w:ilvl w:val="0"/>
          <w:numId w:val="44"/>
        </w:numPr>
        <w:spacing w:line="264" w:lineRule="auto"/>
        <w:ind w:left="357" w:hanging="357"/>
        <w:rPr>
          <w:rFonts w:cs="Arial"/>
          <w:b/>
          <w:i/>
          <w:noProof/>
          <w:szCs w:val="24"/>
        </w:rPr>
      </w:pPr>
      <w:r w:rsidRPr="00394088">
        <w:rPr>
          <w:rFonts w:cs="Arial"/>
          <w:noProof/>
          <w:szCs w:val="24"/>
        </w:rPr>
        <w:t>Quentin W, Scheller-Kreinsen D, Blumel M, Geissler A, Busse R. Hospital payment based on diagnosis-related groups differs in europe and holds lessons for the United States. Health Aff (Millwood) 2013;32(4):713-723.</w:t>
      </w:r>
    </w:p>
    <w:p w:rsidR="007A1C4A" w:rsidRPr="0057689E" w:rsidRDefault="007A1C4A" w:rsidP="00284EB5">
      <w:pPr>
        <w:spacing w:line="264" w:lineRule="auto"/>
        <w:rPr>
          <w:b/>
          <w:i/>
          <w:szCs w:val="24"/>
        </w:rPr>
      </w:pPr>
      <w:r w:rsidRPr="00394088">
        <w:rPr>
          <w:szCs w:val="24"/>
        </w:rPr>
        <w:fldChar w:fldCharType="end"/>
      </w:r>
      <w:r>
        <w:br w:type="page"/>
      </w:r>
    </w:p>
    <w:p w:rsidR="007A1C4A" w:rsidRPr="005E2E2C" w:rsidRDefault="007A1C4A" w:rsidP="00400DB8">
      <w:pPr>
        <w:pStyle w:val="Heading2"/>
        <w:spacing w:after="240"/>
        <w:rPr>
          <w:i w:val="0"/>
        </w:rPr>
      </w:pPr>
      <w:bookmarkStart w:id="13" w:name="_Toc372115656"/>
      <w:r w:rsidRPr="00284EB5">
        <w:rPr>
          <w:i w:val="0"/>
        </w:rPr>
        <w:t>3.4</w:t>
      </w:r>
      <w:r>
        <w:tab/>
      </w:r>
      <w:r w:rsidRPr="0080663D">
        <w:rPr>
          <w:i w:val="0"/>
        </w:rPr>
        <w:t xml:space="preserve">Summary of </w:t>
      </w:r>
      <w:r w:rsidRPr="005E2E2C">
        <w:rPr>
          <w:i w:val="0"/>
        </w:rPr>
        <w:t xml:space="preserve">literature </w:t>
      </w:r>
      <w:r w:rsidRPr="00C93BCC">
        <w:rPr>
          <w:i w:val="0"/>
        </w:rPr>
        <w:t xml:space="preserve">1 May </w:t>
      </w:r>
      <w:r>
        <w:rPr>
          <w:i w:val="0"/>
        </w:rPr>
        <w:t xml:space="preserve">2013 </w:t>
      </w:r>
      <w:r w:rsidRPr="00C93BCC">
        <w:rPr>
          <w:i w:val="0"/>
        </w:rPr>
        <w:t>– 30 September 2013</w:t>
      </w:r>
      <w:bookmarkEnd w:id="13"/>
    </w:p>
    <w:tbl>
      <w:tblPr>
        <w:tblW w:w="2237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49"/>
        <w:gridCol w:w="2791"/>
        <w:gridCol w:w="1440"/>
        <w:gridCol w:w="1440"/>
        <w:gridCol w:w="1800"/>
        <w:gridCol w:w="1800"/>
        <w:gridCol w:w="1055"/>
        <w:gridCol w:w="1285"/>
        <w:gridCol w:w="10310"/>
      </w:tblGrid>
      <w:tr w:rsidR="007A1C4A" w:rsidRPr="000309E1" w:rsidTr="00DC6960">
        <w:trPr>
          <w:trHeight w:val="510"/>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p>
        </w:tc>
        <w:tc>
          <w:tcPr>
            <w:tcW w:w="2791"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44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44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80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80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Model(s) </w:t>
            </w:r>
            <w:r>
              <w:rPr>
                <w:rFonts w:ascii="Calibri" w:hAnsi="Calibri" w:cs="Arial"/>
                <w:b/>
                <w:color w:val="FFFFFF"/>
                <w:sz w:val="21"/>
                <w:szCs w:val="21"/>
                <w:lang w:eastAsia="en-AU"/>
              </w:rPr>
              <w:t xml:space="preserve">&amp; mechanism </w:t>
            </w:r>
          </w:p>
        </w:tc>
        <w:tc>
          <w:tcPr>
            <w:tcW w:w="1055"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285"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C</w:t>
            </w:r>
            <w:r w:rsidRPr="000309E1">
              <w:rPr>
                <w:rFonts w:ascii="Calibri" w:hAnsi="Calibri" w:cs="Arial"/>
                <w:b/>
                <w:color w:val="FFFFFF"/>
                <w:sz w:val="21"/>
                <w:szCs w:val="21"/>
                <w:lang w:eastAsia="en-AU"/>
              </w:rPr>
              <w:t>ontext &amp; setting</w:t>
            </w:r>
          </w:p>
        </w:tc>
        <w:tc>
          <w:tcPr>
            <w:tcW w:w="10310" w:type="dxa"/>
            <w:shd w:val="clear" w:color="000000"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Results,</w:t>
            </w:r>
            <w:r w:rsidRPr="000309E1">
              <w:rPr>
                <w:rFonts w:ascii="Calibri" w:hAnsi="Calibri" w:cs="Arial"/>
                <w:b/>
                <w:color w:val="FFFFFF"/>
                <w:sz w:val="21"/>
                <w:szCs w:val="21"/>
                <w:lang w:eastAsia="en-AU"/>
              </w:rPr>
              <w:t xml:space="preserve"> impact</w:t>
            </w:r>
            <w:r>
              <w:rPr>
                <w:rFonts w:ascii="Calibri" w:hAnsi="Calibri" w:cs="Arial"/>
                <w:b/>
                <w:color w:val="FFFFFF"/>
                <w:sz w:val="21"/>
                <w:szCs w:val="21"/>
                <w:lang w:eastAsia="en-AU"/>
              </w:rPr>
              <w:t>, key points</w:t>
            </w:r>
          </w:p>
        </w:tc>
      </w:tr>
      <w:tr w:rsidR="007A1C4A" w:rsidTr="00DC6960">
        <w:trPr>
          <w:cantSplit/>
          <w:trHeight w:val="1198"/>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1</w:t>
            </w:r>
          </w:p>
        </w:tc>
        <w:tc>
          <w:tcPr>
            <w:tcW w:w="2791" w:type="dxa"/>
          </w:tcPr>
          <w:p w:rsidR="007A1C4A" w:rsidRPr="00A73639"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w:t>
            </w:r>
            <w:r w:rsidRPr="00580DDB">
              <w:rPr>
                <w:rFonts w:ascii="Calibri" w:hAnsi="Calibri" w:cs="Arial"/>
                <w:sz w:val="21"/>
                <w:szCs w:val="21"/>
                <w:lang w:eastAsia="en-AU"/>
              </w:rPr>
              <w:t>ptake and patient outcomes of laparoscopic colon and rectal cancer surgery in a publicly funded system follo</w:t>
            </w:r>
            <w:r>
              <w:rPr>
                <w:rFonts w:ascii="Calibri" w:hAnsi="Calibri" w:cs="Arial"/>
                <w:sz w:val="21"/>
                <w:szCs w:val="21"/>
                <w:lang w:eastAsia="en-AU"/>
              </w:rPr>
              <w:t>-</w:t>
            </w:r>
            <w:r w:rsidRPr="00580DDB">
              <w:rPr>
                <w:rFonts w:ascii="Calibri" w:hAnsi="Calibri" w:cs="Arial"/>
                <w:sz w:val="21"/>
                <w:szCs w:val="21"/>
                <w:lang w:eastAsia="en-AU"/>
              </w:rPr>
              <w:t>wing financial incentives</w:t>
            </w:r>
            <w:r>
              <w:rPr>
                <w:rFonts w:ascii="Calibri" w:hAnsi="Calibri" w:cs="Arial"/>
                <w:sz w:val="21"/>
                <w:szCs w:val="21"/>
                <w:lang w:eastAsia="en-AU"/>
              </w:rPr>
              <w:t xml:space="preserve"> </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&lt;EndNote&gt;&lt;Cite&gt;&lt;Author&gt;Simunovic&lt;/Author&gt;&lt;Year&gt;2013&lt;/Year&gt;&lt;RecNum&gt;13506&lt;/RecNum&gt;&lt;record&gt;&lt;rec-number&gt;13506&lt;/rec-number&gt;&lt;foreign-keys&gt;&lt;key app="EN" db-id="5r0eapxzsestz4er5zaxe5zqz99fvpawedp5"&gt;13506&lt;/key&gt;&lt;/foreign-keys&gt;&lt;ref-type name="Journal Article"&gt;17&lt;/ref-type&gt;&lt;contributors&gt;&lt;authors&gt;&lt;author&gt;Simunovic, M.&lt;/author&gt;&lt;author&gt;Baxter, N. N.&lt;/author&gt;&lt;author&gt;Sutradhar, R.&lt;/author&gt;&lt;author&gt;Liu, N.&lt;/author&gt;&lt;author&gt;Cadeddu, M.&lt;/author&gt;&lt;author&gt;Urbach, D.&lt;/author&gt;&lt;/authors&gt;&lt;/contributors&gt;&lt;auth-address&gt;Department of Surgery, McMaster University, Hamilton, ON, Canada, marko.simunovic@jcc.hhsc.ca.&lt;/auth-address&gt;&lt;titles&gt;&lt;title&gt;Uptake and Patient Outcomes of Laparoscopic Colon and Rectal Cancer Surgery in a Publicly Funded System and Following Financial Incentives&lt;/title&gt;&lt;secondary-title&gt;Ann Surg Oncol&lt;/secondary-title&gt;&lt;/titles&gt;&lt;periodical&gt;&lt;full-title&gt;Ann Surg Oncol&lt;/full-title&gt;&lt;/periodical&gt;&lt;edition&gt;2013/07/16&lt;/edition&gt;&lt;dates&gt;&lt;year&gt;2013&lt;/year&gt;&lt;pub-dates&gt;&lt;date&gt;Jul 13&lt;/date&gt;&lt;/pub-dates&gt;&lt;/dates&gt;&lt;isbn&gt;1534-4681 (Electronic)&amp;#xD;1068-9265 (Linking)&lt;/isbn&gt;&lt;accession-num&gt;23851610&lt;/accession-num&gt;&lt;urls&gt;&lt;related-urls&gt;&lt;url&gt;http://www.ncbi.nlm.nih.gov/entrez/query.fcgi?cmd=Retrieve&amp;amp;db=PubMed&amp;amp;dopt=Citation&amp;amp;list_uids=23851610&lt;/url&gt;&lt;/related-urls&gt;&lt;/urls&gt;&lt;electronic-resource-num&gt;10.1245/s10434-013-3123-2&lt;/electronic-resource-num&gt;&lt;language&gt;Eng&lt;/language&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1</w:t>
            </w:r>
            <w:r>
              <w:rPr>
                <w:rFonts w:ascii="Calibri" w:hAnsi="Calibri" w:cs="Arial"/>
                <w:sz w:val="21"/>
                <w:szCs w:val="21"/>
                <w:lang w:eastAsia="en-AU"/>
              </w:rPr>
              <w:fldChar w:fldCharType="end"/>
            </w:r>
          </w:p>
        </w:tc>
        <w:tc>
          <w:tcPr>
            <w:tcW w:w="1440" w:type="dxa"/>
          </w:tcPr>
          <w:p w:rsidR="007A1C4A" w:rsidRPr="0030048E" w:rsidRDefault="007A1C4A" w:rsidP="00DE127A">
            <w:pPr>
              <w:spacing w:before="20" w:after="20" w:line="264" w:lineRule="auto"/>
              <w:rPr>
                <w:rFonts w:ascii="Calibri" w:hAnsi="Calibri" w:cs="Arial"/>
                <w:sz w:val="21"/>
                <w:szCs w:val="21"/>
                <w:lang w:val="fr-FR" w:eastAsia="en-AU"/>
              </w:rPr>
            </w:pPr>
            <w:r w:rsidRPr="0030048E">
              <w:rPr>
                <w:rFonts w:ascii="Calibri" w:hAnsi="Calibri" w:cs="Arial"/>
                <w:sz w:val="21"/>
                <w:szCs w:val="21"/>
                <w:lang w:val="fr-FR" w:eastAsia="en-AU"/>
              </w:rPr>
              <w:t>Simunovic M, Baxter NN, Sutradhar R, Liu N et al.</w:t>
            </w:r>
          </w:p>
        </w:tc>
        <w:tc>
          <w:tcPr>
            <w:tcW w:w="144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Annals of Surgical Oncology</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Data analysis</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Normative pricing</w:t>
            </w:r>
          </w:p>
        </w:tc>
        <w:tc>
          <w:tcPr>
            <w:tcW w:w="105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Canada (Ontario)</w:t>
            </w:r>
          </w:p>
        </w:tc>
        <w:tc>
          <w:tcPr>
            <w:tcW w:w="128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Hospital</w:t>
            </w:r>
          </w:p>
        </w:tc>
        <w:tc>
          <w:tcPr>
            <w:tcW w:w="10310" w:type="dxa"/>
          </w:tcPr>
          <w:p w:rsidR="007A1C4A" w:rsidRDefault="007A1C4A" w:rsidP="00DE127A">
            <w:pPr>
              <w:autoSpaceDE w:val="0"/>
              <w:autoSpaceDN w:val="0"/>
              <w:adjustRightInd w:val="0"/>
              <w:rPr>
                <w:rFonts w:ascii="Calibri" w:hAnsi="Calibri" w:cs="Arial"/>
                <w:color w:val="000000"/>
                <w:sz w:val="21"/>
                <w:szCs w:val="21"/>
                <w:lang w:eastAsia="en-AU"/>
              </w:rPr>
            </w:pPr>
            <w:r>
              <w:rPr>
                <w:rFonts w:ascii="Calibri" w:hAnsi="Calibri" w:cs="Arial"/>
                <w:color w:val="000000"/>
                <w:sz w:val="21"/>
                <w:szCs w:val="21"/>
                <w:lang w:eastAsia="en-AU"/>
              </w:rPr>
              <w:t>In 2005 the Ontario physician billing schedule instituted a 25% premium payment for colon surgery using laparoscopic techniques. Between the years 2002 and 2009 the rate of laparoscopic colon surgery rose from 8.7 to 39%, with a noticeable increase immediately following the introduction of the premium. Rate of laparoscopic rectal surgery (not covered under the premium) rose from 4.8 to 20%. Increased rates were associated with:</w:t>
            </w:r>
          </w:p>
          <w:p w:rsidR="007A1C4A" w:rsidRDefault="007A1C4A" w:rsidP="00721A5B">
            <w:pPr>
              <w:numPr>
                <w:ilvl w:val="0"/>
                <w:numId w:val="41"/>
              </w:numPr>
              <w:autoSpaceDE w:val="0"/>
              <w:autoSpaceDN w:val="0"/>
              <w:adjustRightInd w:val="0"/>
              <w:rPr>
                <w:rFonts w:ascii="Calibri" w:hAnsi="Calibri" w:cs="Arial"/>
                <w:color w:val="000000"/>
                <w:sz w:val="21"/>
                <w:szCs w:val="21"/>
                <w:lang w:eastAsia="en-AU"/>
              </w:rPr>
            </w:pPr>
            <w:r>
              <w:rPr>
                <w:rFonts w:ascii="Calibri" w:hAnsi="Calibri" w:cs="Arial"/>
                <w:color w:val="000000"/>
                <w:sz w:val="21"/>
                <w:szCs w:val="21"/>
                <w:lang w:eastAsia="en-AU"/>
              </w:rPr>
              <w:t>Minimal decrease in hospital length of stay</w:t>
            </w:r>
          </w:p>
          <w:p w:rsidR="007A1C4A" w:rsidRDefault="007A1C4A" w:rsidP="00721A5B">
            <w:pPr>
              <w:numPr>
                <w:ilvl w:val="0"/>
                <w:numId w:val="41"/>
              </w:numPr>
              <w:autoSpaceDE w:val="0"/>
              <w:autoSpaceDN w:val="0"/>
              <w:adjustRightInd w:val="0"/>
              <w:rPr>
                <w:rFonts w:ascii="Calibri" w:hAnsi="Calibri" w:cs="Arial"/>
                <w:color w:val="000000"/>
                <w:sz w:val="21"/>
                <w:szCs w:val="21"/>
                <w:lang w:eastAsia="en-AU"/>
              </w:rPr>
            </w:pPr>
            <w:r>
              <w:rPr>
                <w:rFonts w:ascii="Calibri" w:hAnsi="Calibri" w:cs="Arial"/>
                <w:color w:val="000000"/>
                <w:sz w:val="21"/>
                <w:szCs w:val="21"/>
                <w:lang w:eastAsia="en-AU"/>
              </w:rPr>
              <w:t>No changes in 30-day mortality, overall survival and cancer-specific survival</w:t>
            </w:r>
          </w:p>
        </w:tc>
      </w:tr>
      <w:tr w:rsidR="007A1C4A" w:rsidRPr="006768EC" w:rsidTr="00DC6960">
        <w:trPr>
          <w:cantSplit/>
          <w:trHeight w:val="1198"/>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2</w:t>
            </w:r>
          </w:p>
        </w:tc>
        <w:tc>
          <w:tcPr>
            <w:tcW w:w="2791" w:type="dxa"/>
          </w:tcPr>
          <w:p w:rsidR="007A1C4A" w:rsidRPr="00CD3550" w:rsidRDefault="007A1C4A" w:rsidP="00DE127A">
            <w:pPr>
              <w:spacing w:before="20" w:after="20" w:line="264" w:lineRule="auto"/>
              <w:rPr>
                <w:rFonts w:ascii="Calibri" w:hAnsi="Calibri" w:cs="Arial"/>
                <w:sz w:val="21"/>
                <w:szCs w:val="21"/>
                <w:lang w:eastAsia="en-AU"/>
              </w:rPr>
            </w:pPr>
            <w:r w:rsidRPr="00A73639">
              <w:rPr>
                <w:rFonts w:ascii="Calibri" w:hAnsi="Calibri" w:cs="Arial"/>
                <w:sz w:val="21"/>
                <w:szCs w:val="21"/>
                <w:lang w:eastAsia="en-AU"/>
              </w:rPr>
              <w:t>Who to pay for performance? The choice of organisational level for hospital performance incentives</w:t>
            </w:r>
            <w:r>
              <w:rPr>
                <w:rFonts w:ascii="Calibri" w:hAnsi="Calibri" w:cs="Arial"/>
                <w:sz w:val="21"/>
                <w:szCs w:val="21"/>
                <w:lang w:eastAsia="en-AU"/>
              </w:rPr>
              <w:t xml:space="preserve"> </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&lt;EndNote&gt;&lt;Cite&gt;&lt;Author&gt;Kristensen SR&lt;/Author&gt;&lt;Year&gt;2013&lt;/Year&gt;&lt;RecNum&gt;13499&lt;/RecNum&gt;&lt;record&gt;&lt;rec-number&gt;13499&lt;/rec-number&gt;&lt;foreign-keys&gt;&lt;key app="EN" db-id="5r0eapxzsestz4er5zaxe5zqz99fvpawedp5"&gt;13499&lt;/key&gt;&lt;/foreign-keys&gt;&lt;ref-type name="Report"&gt;27&lt;/ref-type&gt;&lt;contributors&gt;&lt;authors&gt;&lt;author&gt;Kristensen SR,&lt;/author&gt;&lt;author&gt;Bech M,&lt;/author&gt;&lt;author&gt;Lauridsen J,&lt;/author&gt;&lt;/authors&gt;&lt;/contributors&gt;&lt;titles&gt;&lt;title&gt;Who to pay for performance? The choice of organisational level for hospital performance incentives&lt;/title&gt;&lt;secondary-title&gt;Health Economics Papers&lt;/secondary-title&gt;&lt;/titles&gt;&lt;number&gt;5&lt;/number&gt;&lt;dates&gt;&lt;year&gt;2013&lt;/year&gt;&lt;/dates&gt;&lt;publisher&gt;University of Southern Denmark&lt;/publisher&gt;&lt;urls&gt;&lt;/urls&gt;&lt;/record&gt;&lt;/Cite&gt;&lt;/EndNote&gt;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2</w:t>
            </w:r>
            <w:r>
              <w:rPr>
                <w:rFonts w:ascii="Calibri" w:hAnsi="Calibri" w:cs="Arial"/>
                <w:sz w:val="21"/>
                <w:szCs w:val="21"/>
                <w:lang w:eastAsia="en-AU"/>
              </w:rPr>
              <w:fldChar w:fldCharType="end"/>
            </w:r>
          </w:p>
        </w:tc>
        <w:tc>
          <w:tcPr>
            <w:tcW w:w="1440" w:type="dxa"/>
          </w:tcPr>
          <w:p w:rsidR="007A1C4A" w:rsidRPr="0030048E" w:rsidRDefault="007A1C4A" w:rsidP="00DE127A">
            <w:pPr>
              <w:spacing w:before="20" w:after="20" w:line="264" w:lineRule="auto"/>
              <w:rPr>
                <w:rFonts w:ascii="Calibri" w:hAnsi="Calibri" w:cs="Arial"/>
                <w:sz w:val="21"/>
                <w:szCs w:val="21"/>
                <w:lang w:val="de-DE" w:eastAsia="en-AU"/>
              </w:rPr>
            </w:pPr>
            <w:r w:rsidRPr="0030048E">
              <w:rPr>
                <w:rFonts w:ascii="Calibri" w:hAnsi="Calibri" w:cs="Arial"/>
                <w:sz w:val="21"/>
                <w:szCs w:val="21"/>
                <w:lang w:val="de-DE" w:eastAsia="en-AU"/>
              </w:rPr>
              <w:t>Kristensen SR, Bech M, Lauridsen J</w:t>
            </w:r>
          </w:p>
        </w:tc>
        <w:tc>
          <w:tcPr>
            <w:tcW w:w="144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Health Economics Papers</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Data analysis </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Pay for performance</w:t>
            </w:r>
          </w:p>
        </w:tc>
        <w:tc>
          <w:tcPr>
            <w:tcW w:w="105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Denmark</w:t>
            </w:r>
          </w:p>
        </w:tc>
        <w:tc>
          <w:tcPr>
            <w:tcW w:w="128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Hospitals </w:t>
            </w:r>
          </w:p>
        </w:tc>
        <w:tc>
          <w:tcPr>
            <w:tcW w:w="10310" w:type="dxa"/>
          </w:tcPr>
          <w:p w:rsidR="007A1C4A" w:rsidRPr="006768EC" w:rsidRDefault="007A1C4A" w:rsidP="00DE127A">
            <w:pPr>
              <w:autoSpaceDE w:val="0"/>
              <w:autoSpaceDN w:val="0"/>
              <w:adjustRightInd w:val="0"/>
              <w:rPr>
                <w:rFonts w:ascii="CMR12" w:eastAsia="MS Mincho" w:hAnsi="CMR12" w:cs="CMR12"/>
                <w:szCs w:val="24"/>
                <w:lang w:val="en-US" w:eastAsia="ja-JP"/>
              </w:rPr>
            </w:pPr>
            <w:r>
              <w:rPr>
                <w:rFonts w:ascii="Calibri" w:hAnsi="Calibri" w:cs="Arial"/>
                <w:color w:val="000000"/>
                <w:sz w:val="21"/>
                <w:szCs w:val="21"/>
                <w:lang w:eastAsia="en-AU"/>
              </w:rPr>
              <w:t xml:space="preserve">This paper supports the findings of the literature review. Comparing Danish hospitals within the same P4P scheme, the analysis indicates that </w:t>
            </w:r>
            <w:r w:rsidRPr="006768EC">
              <w:rPr>
                <w:rFonts w:ascii="Calibri" w:hAnsi="Calibri" w:cs="Arial"/>
                <w:color w:val="000000"/>
                <w:sz w:val="21"/>
                <w:szCs w:val="21"/>
                <w:lang w:eastAsia="en-AU"/>
              </w:rPr>
              <w:t>hospital departments with P4P scheme where payment is distributed to the department level direct s increased performance by approximately 5 % compared to departments at hospitals w</w:t>
            </w:r>
            <w:r>
              <w:rPr>
                <w:rFonts w:ascii="Calibri" w:hAnsi="Calibri" w:cs="Arial"/>
                <w:color w:val="000000"/>
                <w:sz w:val="21"/>
                <w:szCs w:val="21"/>
                <w:lang w:eastAsia="en-AU"/>
              </w:rPr>
              <w:t>h</w:t>
            </w:r>
            <w:r w:rsidRPr="006768EC">
              <w:rPr>
                <w:rFonts w:ascii="Calibri" w:hAnsi="Calibri" w:cs="Arial"/>
                <w:color w:val="000000"/>
                <w:sz w:val="21"/>
                <w:szCs w:val="21"/>
                <w:lang w:eastAsia="en-AU"/>
              </w:rPr>
              <w:t>ere performance payment was retained at hospital level.</w:t>
            </w:r>
          </w:p>
        </w:tc>
      </w:tr>
      <w:tr w:rsidR="007A1C4A" w:rsidTr="00DC6960">
        <w:trPr>
          <w:cantSplit/>
          <w:trHeight w:val="1198"/>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3</w:t>
            </w:r>
          </w:p>
        </w:tc>
        <w:tc>
          <w:tcPr>
            <w:tcW w:w="2791" w:type="dxa"/>
          </w:tcPr>
          <w:p w:rsidR="007A1C4A" w:rsidRPr="00CD3550" w:rsidRDefault="007A1C4A" w:rsidP="00DE127A">
            <w:pPr>
              <w:spacing w:before="20" w:after="20" w:line="264" w:lineRule="auto"/>
              <w:rPr>
                <w:rFonts w:ascii="Calibri" w:hAnsi="Calibri" w:cs="Arial"/>
                <w:sz w:val="21"/>
                <w:szCs w:val="21"/>
                <w:lang w:eastAsia="en-AU"/>
              </w:rPr>
            </w:pPr>
            <w:r w:rsidRPr="001E52F7">
              <w:rPr>
                <w:rFonts w:ascii="Calibri" w:hAnsi="Calibri" w:cs="Arial"/>
                <w:sz w:val="21"/>
                <w:szCs w:val="21"/>
                <w:lang w:eastAsia="en-AU"/>
              </w:rPr>
              <w:t>Is the quality of hospital care price sensitive? Regression kink estimates from a volume dependent price setting</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&lt;EndNote&gt;&lt;Cite&gt;&lt;Author&gt;Kristensen&lt;/Author&gt;&lt;Year&gt;2013&lt;/Year&gt;&lt;RecNum&gt;13500&lt;/RecNum&gt;&lt;record&gt;&lt;rec-number&gt;13500&lt;/rec-number&gt;&lt;foreign-keys&gt;&lt;key app="EN" db-id="5r0eapxzsestz4er5zaxe5zqz99fvpawedp5"&gt;13500&lt;/key&gt;&lt;/foreign-keys&gt;&lt;ref-type name="Report"&gt;27&lt;/ref-type&gt;&lt;contributors&gt;&lt;authors&gt;&lt;author&gt;Kristensen, Søren Rud&lt;/author&gt;&lt;author&gt;Fe, Eduardo&lt;/author&gt;&lt;author&gt;Bech, Mickael&lt;/author&gt;&lt;author&gt;Mainz, Jan&lt;/author&gt;&lt;/authors&gt;&lt;/contributors&gt;&lt;titles&gt;&lt;title&gt;Is the quality of hospital care price sensitive? Regression kink estimates from a volume dependent price setting&lt;/title&gt;&lt;secondary-title&gt;Health Economics Papers&lt;/secondary-title&gt;&lt;/titles&gt;&lt;dates&gt;&lt;year&gt;2013&lt;/year&gt;&lt;/dates&gt;&lt;publisher&gt;University of Southern Denmark&lt;/publisher&gt;&lt;urls&gt;&lt;/urls&gt;&lt;/record&gt;&lt;/Cite&gt;&lt;/EndNote&gt;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3</w:t>
            </w:r>
            <w:r>
              <w:rPr>
                <w:rFonts w:ascii="Calibri" w:hAnsi="Calibri" w:cs="Arial"/>
                <w:sz w:val="21"/>
                <w:szCs w:val="21"/>
                <w:lang w:eastAsia="en-AU"/>
              </w:rPr>
              <w:fldChar w:fldCharType="end"/>
            </w:r>
          </w:p>
        </w:tc>
        <w:tc>
          <w:tcPr>
            <w:tcW w:w="1440" w:type="dxa"/>
          </w:tcPr>
          <w:p w:rsidR="007A1C4A" w:rsidRPr="0030048E" w:rsidRDefault="007A1C4A" w:rsidP="00DE127A">
            <w:pPr>
              <w:spacing w:before="20" w:after="20" w:line="264" w:lineRule="auto"/>
              <w:rPr>
                <w:rFonts w:ascii="Calibri" w:hAnsi="Calibri" w:cs="Arial"/>
                <w:sz w:val="21"/>
                <w:szCs w:val="21"/>
                <w:lang w:val="de-DE" w:eastAsia="en-AU"/>
              </w:rPr>
            </w:pPr>
            <w:r w:rsidRPr="0030048E">
              <w:rPr>
                <w:rFonts w:ascii="Calibri" w:hAnsi="Calibri" w:cs="Arial"/>
                <w:sz w:val="21"/>
                <w:szCs w:val="21"/>
                <w:lang w:val="de-DE" w:eastAsia="en-AU"/>
              </w:rPr>
              <w:t>Kristensen SR, Fe E, Bech M, Mainz J</w:t>
            </w:r>
          </w:p>
        </w:tc>
        <w:tc>
          <w:tcPr>
            <w:tcW w:w="144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Health Economics Papers</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Regression modelling </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Marginal tariff reduction </w:t>
            </w:r>
          </w:p>
        </w:tc>
        <w:tc>
          <w:tcPr>
            <w:tcW w:w="105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Denmark</w:t>
            </w:r>
          </w:p>
        </w:tc>
        <w:tc>
          <w:tcPr>
            <w:tcW w:w="128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Hospitals</w:t>
            </w:r>
          </w:p>
        </w:tc>
        <w:tc>
          <w:tcPr>
            <w:tcW w:w="10310" w:type="dxa"/>
          </w:tcPr>
          <w:p w:rsidR="007A1C4A" w:rsidRDefault="007A1C4A" w:rsidP="00DE127A">
            <w:pPr>
              <w:autoSpaceDE w:val="0"/>
              <w:autoSpaceDN w:val="0"/>
              <w:adjustRightInd w:val="0"/>
              <w:rPr>
                <w:rFonts w:ascii="Calibri" w:hAnsi="Calibri" w:cs="Arial"/>
                <w:color w:val="000000"/>
                <w:sz w:val="21"/>
                <w:szCs w:val="21"/>
                <w:lang w:eastAsia="en-AU"/>
              </w:rPr>
            </w:pPr>
            <w:r w:rsidRPr="001E52F7">
              <w:rPr>
                <w:rFonts w:ascii="Calibri" w:hAnsi="Calibri" w:cs="Arial"/>
                <w:color w:val="000000"/>
                <w:sz w:val="21"/>
                <w:szCs w:val="21"/>
                <w:lang w:eastAsia="en-AU"/>
              </w:rPr>
              <w:t>When Danish hospitals reach a production target, marginal tari</w:t>
            </w:r>
            <w:r>
              <w:rPr>
                <w:rFonts w:ascii="Calibri" w:hAnsi="Calibri" w:cs="Arial"/>
                <w:color w:val="000000"/>
                <w:sz w:val="21"/>
                <w:szCs w:val="21"/>
                <w:lang w:eastAsia="en-AU"/>
              </w:rPr>
              <w:t>ff</w:t>
            </w:r>
            <w:r w:rsidRPr="001E52F7">
              <w:rPr>
                <w:rFonts w:ascii="Calibri" w:hAnsi="Calibri" w:cs="Arial"/>
                <w:color w:val="000000"/>
                <w:sz w:val="21"/>
                <w:szCs w:val="21"/>
                <w:lang w:eastAsia="en-AU"/>
              </w:rPr>
              <w:t>s for treating acu</w:t>
            </w:r>
            <w:r>
              <w:rPr>
                <w:rFonts w:ascii="Calibri" w:hAnsi="Calibri" w:cs="Arial"/>
                <w:color w:val="000000"/>
                <w:sz w:val="21"/>
                <w:szCs w:val="21"/>
                <w:lang w:eastAsia="en-AU"/>
              </w:rPr>
              <w:t>te stroke patients falls by 50%-</w:t>
            </w:r>
            <w:r w:rsidRPr="001E52F7">
              <w:rPr>
                <w:rFonts w:ascii="Calibri" w:hAnsi="Calibri" w:cs="Arial"/>
                <w:color w:val="000000"/>
                <w:sz w:val="21"/>
                <w:szCs w:val="21"/>
                <w:lang w:eastAsia="en-AU"/>
              </w:rPr>
              <w:t xml:space="preserve">100%. A rich data set of the process quality of stroke care </w:t>
            </w:r>
            <w:r>
              <w:rPr>
                <w:rFonts w:ascii="Calibri" w:hAnsi="Calibri" w:cs="Arial"/>
                <w:color w:val="000000"/>
                <w:sz w:val="21"/>
                <w:szCs w:val="21"/>
                <w:lang w:eastAsia="en-AU"/>
              </w:rPr>
              <w:t>permits</w:t>
            </w:r>
            <w:r w:rsidRPr="001E52F7">
              <w:rPr>
                <w:rFonts w:ascii="Calibri" w:hAnsi="Calibri" w:cs="Arial"/>
                <w:color w:val="000000"/>
                <w:sz w:val="21"/>
                <w:szCs w:val="21"/>
                <w:lang w:eastAsia="en-AU"/>
              </w:rPr>
              <w:t xml:space="preserve"> detect</w:t>
            </w:r>
            <w:r>
              <w:rPr>
                <w:rFonts w:ascii="Calibri" w:hAnsi="Calibri" w:cs="Arial"/>
                <w:color w:val="000000"/>
                <w:sz w:val="21"/>
                <w:szCs w:val="21"/>
                <w:lang w:eastAsia="en-AU"/>
              </w:rPr>
              <w:t>ion of</w:t>
            </w:r>
            <w:r w:rsidRPr="001E52F7">
              <w:rPr>
                <w:rFonts w:ascii="Calibri" w:hAnsi="Calibri" w:cs="Arial"/>
                <w:color w:val="000000"/>
                <w:sz w:val="21"/>
                <w:szCs w:val="21"/>
                <w:lang w:eastAsia="en-AU"/>
              </w:rPr>
              <w:t xml:space="preserve"> minor changes in the quality of care that are important for the long term </w:t>
            </w:r>
            <w:r>
              <w:rPr>
                <w:rFonts w:ascii="Calibri" w:hAnsi="Calibri" w:cs="Arial"/>
                <w:color w:val="000000"/>
                <w:sz w:val="21"/>
                <w:szCs w:val="21"/>
                <w:lang w:eastAsia="en-AU"/>
              </w:rPr>
              <w:t>outcomes but do not lead to death</w:t>
            </w:r>
            <w:r w:rsidRPr="001E52F7">
              <w:rPr>
                <w:rFonts w:ascii="Calibri" w:hAnsi="Calibri" w:cs="Arial"/>
                <w:color w:val="000000"/>
                <w:sz w:val="21"/>
                <w:szCs w:val="21"/>
                <w:lang w:eastAsia="en-AU"/>
              </w:rPr>
              <w:t xml:space="preserve"> or readmission captured by commonly employed outcome indicators. </w:t>
            </w:r>
          </w:p>
          <w:p w:rsidR="007A1C4A" w:rsidRDefault="007A1C4A" w:rsidP="00DE127A">
            <w:pPr>
              <w:autoSpaceDE w:val="0"/>
              <w:autoSpaceDN w:val="0"/>
              <w:adjustRightInd w:val="0"/>
              <w:rPr>
                <w:rFonts w:ascii="Calibri" w:hAnsi="Calibri" w:cs="Arial"/>
                <w:color w:val="000000"/>
                <w:sz w:val="21"/>
                <w:szCs w:val="21"/>
                <w:lang w:eastAsia="en-AU"/>
              </w:rPr>
            </w:pPr>
            <w:r>
              <w:rPr>
                <w:rFonts w:ascii="Calibri" w:hAnsi="Calibri" w:cs="Arial"/>
                <w:color w:val="000000"/>
                <w:sz w:val="21"/>
                <w:szCs w:val="21"/>
                <w:lang w:eastAsia="en-AU"/>
              </w:rPr>
              <w:t xml:space="preserve">Hospitals </w:t>
            </w:r>
            <w:r w:rsidRPr="001E52F7">
              <w:rPr>
                <w:rFonts w:ascii="Calibri" w:hAnsi="Calibri" w:cs="Arial"/>
                <w:color w:val="000000"/>
                <w:sz w:val="21"/>
                <w:szCs w:val="21"/>
                <w:lang w:eastAsia="en-AU"/>
              </w:rPr>
              <w:t>exposed to r</w:t>
            </w:r>
            <w:r>
              <w:rPr>
                <w:rFonts w:ascii="Calibri" w:hAnsi="Calibri" w:cs="Arial"/>
                <w:color w:val="000000"/>
                <w:sz w:val="21"/>
                <w:szCs w:val="21"/>
                <w:lang w:eastAsia="en-AU"/>
              </w:rPr>
              <w:t xml:space="preserve">eductions in the marginal tariff </w:t>
            </w:r>
            <w:r w:rsidRPr="001E52F7">
              <w:rPr>
                <w:rFonts w:ascii="Calibri" w:hAnsi="Calibri" w:cs="Arial"/>
                <w:color w:val="000000"/>
                <w:sz w:val="21"/>
                <w:szCs w:val="21"/>
                <w:lang w:eastAsia="en-AU"/>
              </w:rPr>
              <w:t>of less than 100% did not appear to respond i</w:t>
            </w:r>
            <w:r>
              <w:rPr>
                <w:rFonts w:ascii="Calibri" w:hAnsi="Calibri" w:cs="Arial"/>
                <w:color w:val="000000"/>
                <w:sz w:val="21"/>
                <w:szCs w:val="21"/>
                <w:lang w:eastAsia="en-AU"/>
              </w:rPr>
              <w:t>n quality to reductions in tariff</w:t>
            </w:r>
            <w:r w:rsidRPr="001E52F7">
              <w:rPr>
                <w:rFonts w:ascii="Calibri" w:hAnsi="Calibri" w:cs="Arial"/>
                <w:color w:val="000000"/>
                <w:sz w:val="21"/>
                <w:szCs w:val="21"/>
                <w:lang w:eastAsia="en-AU"/>
              </w:rPr>
              <w:t xml:space="preserve">s. </w:t>
            </w:r>
            <w:r>
              <w:rPr>
                <w:rFonts w:ascii="Calibri" w:hAnsi="Calibri" w:cs="Arial"/>
                <w:color w:val="000000"/>
                <w:sz w:val="21"/>
                <w:szCs w:val="21"/>
                <w:lang w:eastAsia="en-AU"/>
              </w:rPr>
              <w:t>In h</w:t>
            </w:r>
            <w:r w:rsidRPr="001E52F7">
              <w:rPr>
                <w:rFonts w:ascii="Calibri" w:hAnsi="Calibri" w:cs="Arial"/>
                <w:color w:val="000000"/>
                <w:sz w:val="21"/>
                <w:szCs w:val="21"/>
                <w:lang w:eastAsia="en-AU"/>
              </w:rPr>
              <w:t>ospital</w:t>
            </w:r>
            <w:r>
              <w:rPr>
                <w:rFonts w:ascii="Calibri" w:hAnsi="Calibri" w:cs="Arial"/>
                <w:color w:val="000000"/>
                <w:sz w:val="21"/>
                <w:szCs w:val="21"/>
                <w:lang w:eastAsia="en-AU"/>
              </w:rPr>
              <w:t>s</w:t>
            </w:r>
            <w:r w:rsidRPr="001E52F7">
              <w:rPr>
                <w:rFonts w:ascii="Calibri" w:hAnsi="Calibri" w:cs="Arial"/>
                <w:color w:val="000000"/>
                <w:sz w:val="21"/>
                <w:szCs w:val="21"/>
                <w:lang w:eastAsia="en-AU"/>
              </w:rPr>
              <w:t xml:space="preserve"> for which the marginal tari</w:t>
            </w:r>
            <w:r>
              <w:rPr>
                <w:rFonts w:ascii="Calibri" w:hAnsi="Calibri" w:cs="Arial"/>
                <w:color w:val="000000"/>
                <w:sz w:val="21"/>
                <w:szCs w:val="21"/>
                <w:lang w:eastAsia="en-AU"/>
              </w:rPr>
              <w:t xml:space="preserve">ff </w:t>
            </w:r>
            <w:r w:rsidRPr="001E52F7">
              <w:rPr>
                <w:rFonts w:ascii="Calibri" w:hAnsi="Calibri" w:cs="Arial"/>
                <w:color w:val="000000"/>
                <w:sz w:val="21"/>
                <w:szCs w:val="21"/>
                <w:lang w:eastAsia="en-AU"/>
              </w:rPr>
              <w:t xml:space="preserve">for acute stroke patients </w:t>
            </w:r>
            <w:r>
              <w:rPr>
                <w:rFonts w:ascii="Calibri" w:hAnsi="Calibri" w:cs="Arial"/>
                <w:color w:val="000000"/>
                <w:sz w:val="21"/>
                <w:szCs w:val="21"/>
                <w:lang w:eastAsia="en-AU"/>
              </w:rPr>
              <w:t>dropped to 0 a</w:t>
            </w:r>
            <w:r w:rsidRPr="001E52F7">
              <w:rPr>
                <w:rFonts w:ascii="Calibri" w:hAnsi="Calibri" w:cs="Arial"/>
                <w:color w:val="000000"/>
                <w:sz w:val="21"/>
                <w:szCs w:val="21"/>
                <w:lang w:eastAsia="en-AU"/>
              </w:rPr>
              <w:t xml:space="preserve"> </w:t>
            </w:r>
            <w:r>
              <w:rPr>
                <w:rFonts w:ascii="Calibri" w:hAnsi="Calibri" w:cs="Arial"/>
                <w:color w:val="000000"/>
                <w:sz w:val="21"/>
                <w:szCs w:val="21"/>
                <w:lang w:eastAsia="en-AU"/>
              </w:rPr>
              <w:t>1% decrease in</w:t>
            </w:r>
            <w:r w:rsidRPr="001E52F7">
              <w:rPr>
                <w:rFonts w:ascii="Calibri" w:hAnsi="Calibri" w:cs="Arial"/>
                <w:color w:val="000000"/>
                <w:sz w:val="21"/>
                <w:szCs w:val="21"/>
                <w:lang w:eastAsia="en-AU"/>
              </w:rPr>
              <w:t xml:space="preserve"> the level of quality for acute stroke care patien</w:t>
            </w:r>
            <w:r>
              <w:rPr>
                <w:rFonts w:ascii="Calibri" w:hAnsi="Calibri" w:cs="Arial"/>
                <w:color w:val="000000"/>
                <w:sz w:val="21"/>
                <w:szCs w:val="21"/>
                <w:lang w:eastAsia="en-AU"/>
              </w:rPr>
              <w:t>ts. The estimated size of the effe</w:t>
            </w:r>
            <w:r w:rsidRPr="001E52F7">
              <w:rPr>
                <w:rFonts w:ascii="Calibri" w:hAnsi="Calibri" w:cs="Arial"/>
                <w:color w:val="000000"/>
                <w:sz w:val="21"/>
                <w:szCs w:val="21"/>
                <w:lang w:eastAsia="en-AU"/>
              </w:rPr>
              <w:t>ct is minor but robust to various</w:t>
            </w:r>
            <w:r>
              <w:rPr>
                <w:rFonts w:ascii="Calibri" w:hAnsi="Calibri" w:cs="Arial"/>
                <w:color w:val="000000"/>
                <w:sz w:val="21"/>
                <w:szCs w:val="21"/>
                <w:lang w:eastAsia="en-AU"/>
              </w:rPr>
              <w:t xml:space="preserve"> sensitivity tests.</w:t>
            </w:r>
          </w:p>
        </w:tc>
      </w:tr>
      <w:tr w:rsidR="007A1C4A" w:rsidTr="00DC6960">
        <w:trPr>
          <w:cantSplit/>
          <w:trHeight w:val="1198"/>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4</w:t>
            </w:r>
          </w:p>
        </w:tc>
        <w:tc>
          <w:tcPr>
            <w:tcW w:w="2791" w:type="dxa"/>
          </w:tcPr>
          <w:p w:rsidR="007A1C4A" w:rsidRPr="00D24728" w:rsidRDefault="007A1C4A" w:rsidP="00DE127A">
            <w:pPr>
              <w:spacing w:before="20" w:after="20" w:line="264" w:lineRule="auto"/>
              <w:rPr>
                <w:rFonts w:ascii="Calibri" w:hAnsi="Calibri" w:cs="Arial"/>
                <w:sz w:val="21"/>
                <w:szCs w:val="21"/>
                <w:lang w:eastAsia="en-AU"/>
              </w:rPr>
            </w:pPr>
            <w:r w:rsidRPr="00CD3550">
              <w:rPr>
                <w:rFonts w:ascii="Calibri" w:hAnsi="Calibri" w:cs="Arial"/>
                <w:sz w:val="21"/>
                <w:szCs w:val="21"/>
                <w:lang w:eastAsia="en-AU"/>
              </w:rPr>
              <w:t>The cost-effectiveness of using financial incentives to improve provider quality: a framework and application</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&lt;EndNote&gt;&lt;Cite&gt;&lt;Author&gt;Meacock&lt;/Author&gt;&lt;Year&gt;2013&lt;/Year&gt;&lt;RecNum&gt;13461&lt;/RecNum&gt;&lt;record&gt;&lt;rec-number&gt;13461&lt;/rec-number&gt;&lt;foreign-keys&gt;&lt;key app="EN" db-id="5r0eapxzsestz4er5zaxe5zqz99fvpawedp5"&gt;13461&lt;/key&gt;&lt;/foreign-keys&gt;&lt;ref-type name="Journal Article"&gt;17&lt;/ref-type&gt;&lt;contributors&gt;&lt;authors&gt;&lt;author&gt;Meacock, Rachel&lt;/author&gt;&lt;author&gt;Kristensen, Søren Rud&lt;/author&gt;&lt;author&gt;Sutton, Matt&lt;/author&gt;&lt;/authors&gt;&lt;/contributors&gt;&lt;titles&gt;&lt;title&gt;THE COST-EFFECTIVENESS OF USING FINANCIAL INCENTIVES TO IMPROVE PROVIDER QUALITY: A FRAMEWORK AND APPLICATION&lt;/title&gt;&lt;secondary-title&gt;Health Economics&lt;/secondary-title&gt;&lt;/titles&gt;&lt;periodical&gt;&lt;full-title&gt;Health Economics&lt;/full-title&gt;&lt;/periodical&gt;&lt;pages&gt;n/a-n/a&lt;/pages&gt;&lt;keywords&gt;&lt;keyword&gt;Pay-for-performance&lt;/keyword&gt;&lt;keyword&gt;Cost-effectiveness&lt;/keyword&gt;&lt;/keywords&gt;&lt;dates&gt;&lt;year&gt;2013&lt;/year&gt;&lt;/dates&gt;&lt;isbn&gt;1099-1050&lt;/isbn&gt;&lt;urls&gt;&lt;related-urls&gt;&lt;url&gt;http://dx.doi.org/10.1002/hec.2978&lt;/url&gt;&lt;/related-urls&gt;&lt;/urls&gt;&lt;electronic-resource-num&gt;10.1002/hec.2978&lt;/electronic-resource-num&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4</w:t>
            </w:r>
            <w:r>
              <w:rPr>
                <w:rFonts w:ascii="Calibri" w:hAnsi="Calibri" w:cs="Arial"/>
                <w:sz w:val="21"/>
                <w:szCs w:val="21"/>
                <w:lang w:eastAsia="en-AU"/>
              </w:rPr>
              <w:fldChar w:fldCharType="end"/>
            </w:r>
          </w:p>
        </w:tc>
        <w:tc>
          <w:tcPr>
            <w:tcW w:w="1440" w:type="dxa"/>
          </w:tcPr>
          <w:p w:rsidR="007A1C4A" w:rsidRPr="0030048E" w:rsidRDefault="007A1C4A" w:rsidP="00DE127A">
            <w:pPr>
              <w:spacing w:before="20" w:after="20" w:line="264" w:lineRule="auto"/>
              <w:rPr>
                <w:rFonts w:ascii="Calibri" w:hAnsi="Calibri" w:cs="Arial"/>
                <w:sz w:val="21"/>
                <w:szCs w:val="21"/>
                <w:lang w:val="de-DE" w:eastAsia="en-AU"/>
              </w:rPr>
            </w:pPr>
            <w:r w:rsidRPr="0030048E">
              <w:rPr>
                <w:rFonts w:ascii="Calibri" w:hAnsi="Calibri" w:cs="Arial"/>
                <w:sz w:val="21"/>
                <w:szCs w:val="21"/>
                <w:lang w:val="de-DE" w:eastAsia="en-AU"/>
              </w:rPr>
              <w:t>Meacock R, Kristensen SR, Sutton M</w:t>
            </w:r>
          </w:p>
        </w:tc>
        <w:tc>
          <w:tcPr>
            <w:tcW w:w="144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Health Economics</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Cost-effectiveness study</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Pay-for-performance</w:t>
            </w:r>
          </w:p>
        </w:tc>
        <w:tc>
          <w:tcPr>
            <w:tcW w:w="105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England</w:t>
            </w:r>
          </w:p>
        </w:tc>
        <w:tc>
          <w:tcPr>
            <w:tcW w:w="128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Hospitals </w:t>
            </w:r>
          </w:p>
        </w:tc>
        <w:tc>
          <w:tcPr>
            <w:tcW w:w="1031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There are few studies investigating the cost-effectiveness of financial incentive schemes in health care, particularly where costs beyond the incentive payments themselves are con</w:t>
            </w:r>
            <w:r w:rsidRPr="0030048E">
              <w:rPr>
                <w:rFonts w:ascii="Calibri" w:hAnsi="Calibri" w:cs="Arial"/>
                <w:color w:val="000000"/>
                <w:sz w:val="21"/>
                <w:szCs w:val="21"/>
                <w:lang w:eastAsia="en-AU"/>
              </w:rPr>
              <w:t>sidered (e.g. administrative costs).</w:t>
            </w:r>
            <w:r>
              <w:rPr>
                <w:rFonts w:ascii="Calibri" w:hAnsi="Calibri" w:cs="Arial"/>
                <w:color w:val="000000"/>
                <w:sz w:val="21"/>
                <w:szCs w:val="21"/>
                <w:lang w:eastAsia="en-AU"/>
              </w:rPr>
              <w:t xml:space="preserve"> This paper develops a more comprehensive  analytical framework, and applied this to the </w:t>
            </w:r>
            <w:r w:rsidRPr="00DA4EA5">
              <w:rPr>
                <w:rFonts w:ascii="Calibri" w:hAnsi="Calibri" w:cs="Arial"/>
                <w:i/>
                <w:color w:val="000000"/>
                <w:sz w:val="21"/>
                <w:szCs w:val="21"/>
                <w:lang w:eastAsia="en-AU"/>
              </w:rPr>
              <w:t xml:space="preserve">Advancing Quality </w:t>
            </w:r>
            <w:r>
              <w:rPr>
                <w:rFonts w:ascii="Calibri" w:hAnsi="Calibri" w:cs="Arial"/>
                <w:color w:val="000000"/>
                <w:sz w:val="21"/>
                <w:szCs w:val="21"/>
                <w:lang w:eastAsia="en-AU"/>
              </w:rPr>
              <w:t>initiative in northern England (previously summarised and presented below) which was one of the few P4P schemes found to have a measurable impact on patient outcomes.</w:t>
            </w:r>
            <w:r>
              <w:rPr>
                <w:rFonts w:ascii="Calibri" w:hAnsi="Calibri" w:cs="Arial"/>
                <w:color w:val="000000"/>
                <w:sz w:val="21"/>
                <w:szCs w:val="21"/>
                <w:lang w:eastAsia="en-AU"/>
              </w:rPr>
              <w:fldChar w:fldCharType="begin"/>
            </w:r>
            <w:r>
              <w:rPr>
                <w:rFonts w:ascii="Calibri" w:hAnsi="Calibri" w:cs="Arial"/>
                <w:color w:val="000000"/>
                <w:sz w:val="21"/>
                <w:szCs w:val="21"/>
                <w:lang w:eastAsia="en-AU"/>
              </w:rPr>
              <w:instrText xml:space="preserve"> ADDIN EN.CITE &lt;EndNote&gt;&lt;Cite&gt;&lt;Author&gt;Sutton&lt;/Author&gt;&lt;Year&gt;2012&lt;/Year&gt;&lt;RecNum&gt;12228&lt;/RecNum&gt;&lt;record&gt;&lt;rec-number&gt;12228&lt;/rec-number&gt;&lt;foreign-keys&gt;&lt;key app="EN" db-id="5r0eapxzsestz4er5zaxe5zqz99fvpawedp5"&gt;12228&lt;/key&gt;&lt;/foreign-keys&gt;&lt;ref-type name="Journal Article"&gt;17&lt;/ref-type&gt;&lt;contributors&gt;&lt;authors&gt;&lt;author&gt;Sutton, Matt&lt;/author&gt;&lt;author&gt;Nikolova, Silviya&lt;/author&gt;&lt;author&gt;Boaden, Ruth&lt;/author&gt;&lt;author&gt;Lester, Helen&lt;/author&gt;&lt;author&gt;McDonald, Ruth&lt;/author&gt;&lt;author&gt;Roland, Martin&lt;/author&gt;&lt;/authors&gt;&lt;/contributors&gt;&lt;titles&gt;&lt;title&gt;Reduced Mortality with Hospital Pay for Performance in England&lt;/title&gt;&lt;secondary-title&gt;New England Journal of Medicine&lt;/secondary-title&gt;&lt;/titles&gt;&lt;periodical&gt;&lt;full-title&gt;New England Journal of Medicine&lt;/full-title&gt;&lt;/periodical&gt;&lt;pages&gt;1821-1828&lt;/pages&gt;&lt;volume&gt;367&lt;/volume&gt;&lt;number&gt;19&lt;/number&gt;&lt;dates&gt;&lt;year&gt;2012&lt;/year&gt;&lt;/dates&gt;&lt;urls&gt;&lt;related-urls&gt;&lt;url&gt;http://www.nejm.org/doi/full/10.1056/NEJMsa1114951&lt;/url&gt;&lt;/related-urls&gt;&lt;/urls&gt;&lt;electronic-resource-num&gt;doi:10.1056/NEJMsa1114951&lt;/electronic-resource-num&gt;&lt;/record&gt;&lt;/Cite&gt;&lt;/EndNote&gt;</w:instrText>
            </w:r>
            <w:r>
              <w:rPr>
                <w:rFonts w:ascii="Calibri" w:hAnsi="Calibri" w:cs="Arial"/>
                <w:color w:val="000000"/>
                <w:sz w:val="21"/>
                <w:szCs w:val="21"/>
                <w:lang w:eastAsia="en-AU"/>
              </w:rPr>
              <w:fldChar w:fldCharType="separate"/>
            </w:r>
            <w:r w:rsidRPr="00580DDB">
              <w:rPr>
                <w:rFonts w:ascii="Calibri" w:hAnsi="Calibri" w:cs="Arial"/>
                <w:noProof/>
                <w:color w:val="000000"/>
                <w:sz w:val="21"/>
                <w:szCs w:val="21"/>
                <w:vertAlign w:val="superscript"/>
                <w:lang w:eastAsia="en-AU"/>
              </w:rPr>
              <w:t>5</w:t>
            </w:r>
            <w:r>
              <w:rPr>
                <w:rFonts w:ascii="Calibri" w:hAnsi="Calibri" w:cs="Arial"/>
                <w:color w:val="000000"/>
                <w:sz w:val="21"/>
                <w:szCs w:val="21"/>
                <w:lang w:eastAsia="en-AU"/>
              </w:rPr>
              <w:fldChar w:fldCharType="end"/>
            </w:r>
          </w:p>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The analysis found that, by generating approximately 5,200 QALYs and savings of GBP4.4 million from reduced length of stay, the AQ initiative was a cost-effective use of resources in the first 18 months.</w:t>
            </w:r>
          </w:p>
        </w:tc>
      </w:tr>
      <w:tr w:rsidR="007A1C4A" w:rsidTr="00A82989">
        <w:trPr>
          <w:cantSplit/>
          <w:trHeight w:val="1198"/>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5</w:t>
            </w:r>
          </w:p>
        </w:tc>
        <w:tc>
          <w:tcPr>
            <w:tcW w:w="2791" w:type="dxa"/>
          </w:tcPr>
          <w:p w:rsidR="007A1C4A" w:rsidRDefault="007A1C4A" w:rsidP="00DE127A">
            <w:pPr>
              <w:spacing w:before="20" w:after="20" w:line="264" w:lineRule="auto"/>
              <w:rPr>
                <w:rFonts w:ascii="Calibri" w:hAnsi="Calibri" w:cs="Arial"/>
                <w:sz w:val="21"/>
                <w:szCs w:val="21"/>
                <w:lang w:eastAsia="en-AU"/>
              </w:rPr>
            </w:pPr>
            <w:r w:rsidRPr="006E6C3E">
              <w:rPr>
                <w:rFonts w:ascii="Calibri" w:hAnsi="Calibri" w:cs="Arial"/>
                <w:sz w:val="21"/>
                <w:szCs w:val="21"/>
                <w:lang w:eastAsia="en-AU"/>
              </w:rPr>
              <w:t>Health care–associated infections</w:t>
            </w:r>
            <w:r>
              <w:rPr>
                <w:rFonts w:ascii="Calibri" w:hAnsi="Calibri" w:cs="Arial"/>
                <w:sz w:val="21"/>
                <w:szCs w:val="21"/>
                <w:lang w:eastAsia="en-AU"/>
              </w:rPr>
              <w:t xml:space="preserve"> (HAIs)</w:t>
            </w:r>
            <w:r w:rsidRPr="006E6C3E">
              <w:rPr>
                <w:rFonts w:ascii="Calibri" w:hAnsi="Calibri" w:cs="Arial"/>
                <w:sz w:val="21"/>
                <w:szCs w:val="21"/>
                <w:lang w:eastAsia="en-AU"/>
              </w:rPr>
              <w:t>: a meta-analysis of costs and financial impact on the US health care system</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&lt;EndNote&gt;&lt;Cite&gt;&lt;Author&gt;Zimlichman&lt;/Author&gt;&lt;Year&gt;2013&lt;/Year&gt;&lt;RecNum&gt;13498&lt;/RecNum&gt;&lt;record&gt;&lt;rec-number&gt;13498&lt;/rec-number&gt;&lt;foreign-keys&gt;&lt;key app="EN" db-id="5r0eapxzsestz4er5zaxe5zqz99fvpawedp5"&gt;13498&lt;/key&gt;&lt;/foreign-keys&gt;&lt;ref-type name="Journal Article"&gt;17&lt;/ref-type&gt;&lt;contributors&gt;&lt;authors&gt;&lt;author&gt;Zimlichman, E.&lt;/author&gt;&lt;author&gt;Henderson, D.&lt;/author&gt;&lt;author&gt;Tamir, O.&lt;/author&gt;&lt;author&gt;et al.,&lt;/author&gt;&lt;/authors&gt;&lt;/contributors&gt;&lt;titles&gt;&lt;title&gt;Health care–associated infections: A meta-analysis of costs and financial impact on the us health care system&lt;/title&gt;&lt;secondary-title&gt;JAMA Internal Medicine&lt;/secondary-title&gt;&lt;/titles&gt;&lt;periodical&gt;&lt;full-title&gt;JAMA Internal Medicine&lt;/full-title&gt;&lt;/periodical&gt;&lt;pages&gt;-&lt;/pages&gt;&lt;dates&gt;&lt;year&gt;2013&lt;/year&gt;&lt;/dates&gt;&lt;isbn&gt;2168-6106&lt;/isbn&gt;&lt;work-type&gt;doi: 10.1001/jamainternmed.2013.9763&lt;/work-type&gt;&lt;urls&gt;&lt;related-urls&gt;&lt;url&gt;http://dx.doi.org/10.1001/jamainternmed.2013.9763&lt;/url&gt;&lt;/related-urls&gt;&lt;/urls&gt;&lt;/record&gt;&lt;/Cite&gt;&lt;/EndNote&gt;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6</w:t>
            </w:r>
            <w:r>
              <w:rPr>
                <w:rFonts w:ascii="Calibri" w:hAnsi="Calibri" w:cs="Arial"/>
                <w:sz w:val="21"/>
                <w:szCs w:val="21"/>
                <w:lang w:eastAsia="en-AU"/>
              </w:rPr>
              <w:fldChar w:fldCharType="end"/>
            </w:r>
          </w:p>
        </w:tc>
        <w:tc>
          <w:tcPr>
            <w:tcW w:w="1440" w:type="dxa"/>
          </w:tcPr>
          <w:p w:rsidR="007A1C4A" w:rsidRPr="0030048E" w:rsidRDefault="007A1C4A" w:rsidP="00DE127A">
            <w:pPr>
              <w:spacing w:before="20" w:after="20" w:line="264" w:lineRule="auto"/>
              <w:rPr>
                <w:rFonts w:ascii="Calibri" w:hAnsi="Calibri" w:cs="Arial"/>
                <w:sz w:val="21"/>
                <w:szCs w:val="21"/>
                <w:lang w:val="de-DE" w:eastAsia="en-AU"/>
              </w:rPr>
            </w:pPr>
            <w:r w:rsidRPr="0030048E">
              <w:rPr>
                <w:rFonts w:ascii="Calibri" w:hAnsi="Calibri" w:cs="Arial"/>
                <w:sz w:val="21"/>
                <w:szCs w:val="21"/>
                <w:lang w:val="de-DE" w:eastAsia="en-AU"/>
              </w:rPr>
              <w:t>Zimlichman E, Henderson D, Tamir O, Franz C, Song P, Yamin CK, et al</w:t>
            </w:r>
          </w:p>
        </w:tc>
        <w:tc>
          <w:tcPr>
            <w:tcW w:w="144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JAMA Internal Medicine </w:t>
            </w:r>
          </w:p>
        </w:tc>
        <w:tc>
          <w:tcPr>
            <w:tcW w:w="180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color w:val="000000"/>
                <w:sz w:val="21"/>
                <w:szCs w:val="21"/>
                <w:lang w:eastAsia="en-AU"/>
              </w:rPr>
              <w:t>Modelling based on s</w:t>
            </w:r>
            <w:r w:rsidRPr="006E6C3E">
              <w:rPr>
                <w:rFonts w:ascii="Calibri" w:hAnsi="Calibri" w:cs="Arial"/>
                <w:color w:val="000000"/>
                <w:sz w:val="21"/>
                <w:szCs w:val="21"/>
                <w:lang w:eastAsia="en-AU"/>
              </w:rPr>
              <w:t xml:space="preserve">ystematic </w:t>
            </w:r>
            <w:r>
              <w:rPr>
                <w:rFonts w:ascii="Calibri" w:hAnsi="Calibri" w:cs="Arial"/>
                <w:color w:val="000000"/>
                <w:sz w:val="21"/>
                <w:szCs w:val="21"/>
                <w:lang w:eastAsia="en-AU"/>
              </w:rPr>
              <w:t xml:space="preserve">literature </w:t>
            </w:r>
            <w:r w:rsidRPr="006E6C3E">
              <w:rPr>
                <w:rFonts w:ascii="Calibri" w:hAnsi="Calibri" w:cs="Arial"/>
                <w:color w:val="000000"/>
                <w:sz w:val="21"/>
                <w:szCs w:val="21"/>
                <w:lang w:eastAsia="en-AU"/>
              </w:rPr>
              <w:t>review</w:t>
            </w:r>
            <w:r>
              <w:rPr>
                <w:rFonts w:ascii="Calibri" w:hAnsi="Calibri" w:cs="Arial"/>
                <w:color w:val="000000"/>
                <w:sz w:val="21"/>
                <w:szCs w:val="21"/>
                <w:lang w:eastAsia="en-AU"/>
              </w:rPr>
              <w:t xml:space="preserve"> and analysis of </w:t>
            </w:r>
            <w:r w:rsidRPr="00E26096">
              <w:rPr>
                <w:rFonts w:ascii="Calibri" w:hAnsi="Calibri" w:cs="Arial"/>
                <w:color w:val="000000"/>
                <w:sz w:val="21"/>
                <w:szCs w:val="21"/>
                <w:lang w:eastAsia="en-AU"/>
              </w:rPr>
              <w:t xml:space="preserve">National Healthcare Safety Network </w:t>
            </w:r>
            <w:r>
              <w:rPr>
                <w:rFonts w:ascii="Calibri" w:hAnsi="Calibri" w:cs="Arial"/>
                <w:color w:val="000000"/>
                <w:sz w:val="21"/>
                <w:szCs w:val="21"/>
                <w:lang w:eastAsia="en-AU"/>
              </w:rPr>
              <w:t>data</w:t>
            </w:r>
          </w:p>
        </w:tc>
        <w:tc>
          <w:tcPr>
            <w:tcW w:w="180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N/A</w:t>
            </w:r>
          </w:p>
        </w:tc>
        <w:tc>
          <w:tcPr>
            <w:tcW w:w="1055"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USA</w:t>
            </w:r>
          </w:p>
        </w:tc>
        <w:tc>
          <w:tcPr>
            <w:tcW w:w="1285"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Hospitals</w:t>
            </w:r>
          </w:p>
        </w:tc>
        <w:tc>
          <w:tcPr>
            <w:tcW w:w="1031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This paper estimated </w:t>
            </w:r>
            <w:r w:rsidRPr="0013512B">
              <w:rPr>
                <w:rFonts w:ascii="Calibri" w:hAnsi="Calibri" w:cs="Arial"/>
                <w:sz w:val="21"/>
                <w:szCs w:val="21"/>
                <w:lang w:eastAsia="en-AU"/>
              </w:rPr>
              <w:t xml:space="preserve">costs associated with the most significant and targetable HAIs, and aligns with the </w:t>
            </w:r>
            <w:r>
              <w:rPr>
                <w:rFonts w:ascii="Calibri" w:hAnsi="Calibri" w:cs="Arial"/>
                <w:sz w:val="21"/>
                <w:szCs w:val="21"/>
                <w:lang w:eastAsia="en-AU"/>
              </w:rPr>
              <w:t xml:space="preserve">recent </w:t>
            </w:r>
            <w:r w:rsidRPr="0013512B">
              <w:rPr>
                <w:rFonts w:ascii="Calibri" w:hAnsi="Calibri" w:cs="Arial"/>
                <w:sz w:val="21"/>
                <w:szCs w:val="21"/>
                <w:lang w:eastAsia="en-AU"/>
              </w:rPr>
              <w:t>work analysing the impact of hospital acquired conditions on case complexity and cost.</w:t>
            </w:r>
            <w:r>
              <w:rPr>
                <w:rFonts w:ascii="Calibri" w:hAnsi="Calibri" w:cs="Arial"/>
                <w:sz w:val="21"/>
                <w:szCs w:val="21"/>
                <w:lang w:eastAsia="en-AU"/>
              </w:rPr>
              <w:t xml:space="preserve"> The most costly HAIs were: </w:t>
            </w:r>
            <w:r w:rsidRPr="006E6C3E">
              <w:rPr>
                <w:rFonts w:ascii="Calibri" w:hAnsi="Calibri" w:cs="Arial"/>
                <w:sz w:val="21"/>
                <w:szCs w:val="21"/>
                <w:lang w:eastAsia="en-AU"/>
              </w:rPr>
              <w:t>central line–associated bloodstream infections</w:t>
            </w:r>
            <w:r>
              <w:rPr>
                <w:rFonts w:ascii="Calibri" w:hAnsi="Calibri" w:cs="Arial"/>
                <w:sz w:val="21"/>
                <w:szCs w:val="21"/>
                <w:lang w:eastAsia="en-AU"/>
              </w:rPr>
              <w:t xml:space="preserve"> (</w:t>
            </w:r>
            <w:r w:rsidRPr="006E6C3E">
              <w:rPr>
                <w:rFonts w:ascii="Calibri" w:hAnsi="Calibri" w:cs="Arial"/>
                <w:sz w:val="21"/>
                <w:szCs w:val="21"/>
                <w:lang w:eastAsia="en-AU"/>
              </w:rPr>
              <w:t>$45,814</w:t>
            </w:r>
            <w:r>
              <w:rPr>
                <w:rFonts w:ascii="Calibri" w:hAnsi="Calibri" w:cs="Arial"/>
                <w:sz w:val="21"/>
                <w:szCs w:val="21"/>
                <w:lang w:eastAsia="en-AU"/>
              </w:rPr>
              <w:t xml:space="preserve">), </w:t>
            </w:r>
            <w:r w:rsidRPr="006E6C3E">
              <w:rPr>
                <w:rFonts w:ascii="Calibri" w:hAnsi="Calibri" w:cs="Arial"/>
                <w:sz w:val="21"/>
                <w:szCs w:val="21"/>
                <w:lang w:eastAsia="en-AU"/>
              </w:rPr>
              <w:t>ventilator-associated pneumonia</w:t>
            </w:r>
            <w:r>
              <w:rPr>
                <w:rFonts w:ascii="Calibri" w:hAnsi="Calibri" w:cs="Arial"/>
                <w:sz w:val="21"/>
                <w:szCs w:val="21"/>
                <w:lang w:eastAsia="en-AU"/>
              </w:rPr>
              <w:t xml:space="preserve"> (</w:t>
            </w:r>
            <w:r w:rsidRPr="006E6C3E">
              <w:rPr>
                <w:rFonts w:ascii="Calibri" w:hAnsi="Calibri" w:cs="Arial"/>
                <w:sz w:val="21"/>
                <w:szCs w:val="21"/>
                <w:lang w:eastAsia="en-AU"/>
              </w:rPr>
              <w:t>$40,144</w:t>
            </w:r>
            <w:r>
              <w:rPr>
                <w:rFonts w:ascii="Calibri" w:hAnsi="Calibri" w:cs="Arial"/>
                <w:sz w:val="21"/>
                <w:szCs w:val="21"/>
                <w:lang w:eastAsia="en-AU"/>
              </w:rPr>
              <w:t>), surgical site infections (</w:t>
            </w:r>
            <w:r w:rsidRPr="006E6C3E">
              <w:rPr>
                <w:rFonts w:ascii="Calibri" w:hAnsi="Calibri" w:cs="Arial"/>
                <w:sz w:val="21"/>
                <w:szCs w:val="21"/>
                <w:lang w:eastAsia="en-AU"/>
              </w:rPr>
              <w:t>$20,785</w:t>
            </w:r>
            <w:r>
              <w:rPr>
                <w:rFonts w:ascii="Calibri" w:hAnsi="Calibri" w:cs="Arial"/>
                <w:sz w:val="21"/>
                <w:szCs w:val="21"/>
                <w:lang w:eastAsia="en-AU"/>
              </w:rPr>
              <w:t>)</w:t>
            </w:r>
            <w:r w:rsidRPr="006E6C3E">
              <w:rPr>
                <w:rFonts w:ascii="Calibri" w:hAnsi="Calibri" w:cs="Arial"/>
                <w:sz w:val="21"/>
                <w:szCs w:val="21"/>
                <w:lang w:eastAsia="en-AU"/>
              </w:rPr>
              <w:t xml:space="preserve"> Clostridium difficile </w:t>
            </w:r>
            <w:r>
              <w:rPr>
                <w:rFonts w:ascii="Calibri" w:hAnsi="Calibri" w:cs="Arial"/>
                <w:sz w:val="21"/>
                <w:szCs w:val="21"/>
                <w:lang w:eastAsia="en-AU"/>
              </w:rPr>
              <w:t>infections (</w:t>
            </w:r>
            <w:r w:rsidRPr="006E6C3E">
              <w:rPr>
                <w:rFonts w:ascii="Calibri" w:hAnsi="Calibri" w:cs="Arial"/>
                <w:sz w:val="21"/>
                <w:szCs w:val="21"/>
                <w:lang w:eastAsia="en-AU"/>
              </w:rPr>
              <w:t>$11,285</w:t>
            </w:r>
            <w:r>
              <w:rPr>
                <w:rFonts w:ascii="Calibri" w:hAnsi="Calibri" w:cs="Arial"/>
                <w:sz w:val="21"/>
                <w:szCs w:val="21"/>
                <w:lang w:eastAsia="en-AU"/>
              </w:rPr>
              <w:t>)</w:t>
            </w:r>
            <w:r w:rsidRPr="006E6C3E">
              <w:rPr>
                <w:rFonts w:ascii="Calibri" w:hAnsi="Calibri" w:cs="Arial"/>
                <w:sz w:val="21"/>
                <w:szCs w:val="21"/>
                <w:lang w:eastAsia="en-AU"/>
              </w:rPr>
              <w:t xml:space="preserve"> and catheter-associ</w:t>
            </w:r>
            <w:r>
              <w:rPr>
                <w:rFonts w:ascii="Calibri" w:hAnsi="Calibri" w:cs="Arial"/>
                <w:sz w:val="21"/>
                <w:szCs w:val="21"/>
                <w:lang w:eastAsia="en-AU"/>
              </w:rPr>
              <w:t>ated urinary tract infections (</w:t>
            </w:r>
            <w:r w:rsidRPr="006E6C3E">
              <w:rPr>
                <w:rFonts w:ascii="Calibri" w:hAnsi="Calibri" w:cs="Arial"/>
                <w:sz w:val="21"/>
                <w:szCs w:val="21"/>
                <w:lang w:eastAsia="en-AU"/>
              </w:rPr>
              <w:t>$896</w:t>
            </w:r>
            <w:r>
              <w:rPr>
                <w:rFonts w:ascii="Calibri" w:hAnsi="Calibri" w:cs="Arial"/>
                <w:sz w:val="21"/>
                <w:szCs w:val="21"/>
                <w:lang w:eastAsia="en-AU"/>
              </w:rPr>
              <w:t>)</w:t>
            </w:r>
            <w:r w:rsidRPr="006E6C3E">
              <w:rPr>
                <w:rFonts w:ascii="Calibri" w:hAnsi="Calibri" w:cs="Arial"/>
                <w:sz w:val="21"/>
                <w:szCs w:val="21"/>
                <w:lang w:eastAsia="en-AU"/>
              </w:rPr>
              <w:t xml:space="preserve">. </w:t>
            </w:r>
            <w:r>
              <w:rPr>
                <w:rFonts w:ascii="Calibri" w:hAnsi="Calibri" w:cs="Arial"/>
                <w:sz w:val="21"/>
                <w:szCs w:val="21"/>
                <w:lang w:eastAsia="en-AU"/>
              </w:rPr>
              <w:t xml:space="preserve">Aggregate costs were for </w:t>
            </w:r>
            <w:r w:rsidRPr="006E6C3E">
              <w:rPr>
                <w:rFonts w:ascii="Calibri" w:hAnsi="Calibri" w:cs="Arial"/>
                <w:sz w:val="21"/>
                <w:szCs w:val="21"/>
                <w:lang w:eastAsia="en-AU"/>
              </w:rPr>
              <w:t xml:space="preserve">surgical site infections (33.7%), ventilator-associated pneumonia (31.6%), central line–associated bloodstream infections (18.9%), C difficile infections (15.4%), and catheter-associated urinary tract infections (&lt;1%). The </w:t>
            </w:r>
            <w:r>
              <w:rPr>
                <w:rFonts w:ascii="Calibri" w:hAnsi="Calibri" w:cs="Arial"/>
                <w:sz w:val="21"/>
                <w:szCs w:val="21"/>
                <w:lang w:eastAsia="en-AU"/>
              </w:rPr>
              <w:t>authors</w:t>
            </w:r>
            <w:r w:rsidRPr="006E6C3E">
              <w:rPr>
                <w:rFonts w:ascii="Calibri" w:hAnsi="Calibri" w:cs="Arial"/>
                <w:sz w:val="21"/>
                <w:szCs w:val="21"/>
                <w:lang w:eastAsia="en-AU"/>
              </w:rPr>
              <w:t xml:space="preserve"> </w:t>
            </w:r>
            <w:r>
              <w:rPr>
                <w:rFonts w:ascii="Calibri" w:hAnsi="Calibri" w:cs="Arial"/>
                <w:sz w:val="21"/>
                <w:szCs w:val="21"/>
                <w:lang w:eastAsia="en-AU"/>
              </w:rPr>
              <w:t>estimate</w:t>
            </w:r>
            <w:r w:rsidRPr="006E6C3E">
              <w:rPr>
                <w:rFonts w:ascii="Calibri" w:hAnsi="Calibri" w:cs="Arial"/>
                <w:sz w:val="21"/>
                <w:szCs w:val="21"/>
                <w:lang w:eastAsia="en-AU"/>
              </w:rPr>
              <w:t xml:space="preserve"> that the five most common HAIs have an annual cost to the US health care system of nearly $10 billion. </w:t>
            </w:r>
          </w:p>
        </w:tc>
      </w:tr>
      <w:tr w:rsidR="007A1C4A" w:rsidRPr="000309E1" w:rsidTr="00BA64A4">
        <w:trPr>
          <w:cantSplit/>
          <w:trHeight w:val="1198"/>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6</w:t>
            </w:r>
          </w:p>
        </w:tc>
        <w:tc>
          <w:tcPr>
            <w:tcW w:w="2791" w:type="dxa"/>
          </w:tcPr>
          <w:p w:rsidR="007A1C4A" w:rsidRPr="00D24728" w:rsidRDefault="007A1C4A" w:rsidP="00DE127A">
            <w:pPr>
              <w:spacing w:before="20" w:after="20" w:line="264" w:lineRule="auto"/>
              <w:rPr>
                <w:rFonts w:ascii="Calibri" w:hAnsi="Calibri" w:cs="Arial"/>
                <w:szCs w:val="22"/>
                <w:vertAlign w:val="superscript"/>
                <w:lang w:eastAsia="en-AU"/>
              </w:rPr>
            </w:pPr>
            <w:r w:rsidRPr="00D24728">
              <w:rPr>
                <w:rFonts w:ascii="Calibri" w:hAnsi="Calibri" w:cs="Arial"/>
                <w:sz w:val="21"/>
                <w:szCs w:val="21"/>
                <w:lang w:eastAsia="en-AU"/>
              </w:rPr>
              <w:t xml:space="preserve">Relationship between </w:t>
            </w:r>
            <w:r>
              <w:rPr>
                <w:rFonts w:ascii="Calibri" w:hAnsi="Calibri" w:cs="Arial"/>
                <w:sz w:val="21"/>
                <w:szCs w:val="21"/>
                <w:lang w:eastAsia="en-AU"/>
              </w:rPr>
              <w:t>occurrence of surgical complications and hospital finances</w:t>
            </w:r>
            <w:r>
              <w:rPr>
                <w:rFonts w:ascii="Calibri" w:hAnsi="Calibri" w:cs="Arial"/>
                <w:sz w:val="21"/>
                <w:szCs w:val="21"/>
                <w:lang w:eastAsia="en-AU"/>
              </w:rPr>
              <w:fldChar w:fldCharType="begin">
                <w:fldData xml:space="preserve">PEVuZE5vdGU+PENpdGU+PEF1dGhvcj5FYXBwZW48L0F1dGhvcj48WWVhcj4yMDEzPC9ZZWFyPjxS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</w:fldData>
              </w:fldChar>
            </w:r>
            <w:r>
              <w:rPr>
                <w:rFonts w:ascii="Calibri" w:hAnsi="Calibri" w:cs="Arial"/>
                <w:sz w:val="21"/>
                <w:szCs w:val="21"/>
                <w:lang w:eastAsia="en-AU"/>
              </w:rPr>
              <w:instrText xml:space="preserve"> ADDIN EN.CITE </w:instrText>
            </w:r>
            <w:r>
              <w:rPr>
                <w:rFonts w:ascii="Calibri" w:hAnsi="Calibri" w:cs="Arial"/>
                <w:sz w:val="21"/>
                <w:szCs w:val="21"/>
                <w:lang w:eastAsia="en-AU"/>
              </w:rPr>
              <w:fldChar w:fldCharType="begin">
                <w:fldData xml:space="preserve">PEVuZE5vdGU+PENpdGU+PEF1dGhvcj5FYXBwZW48L0F1dGhvcj48WWVhcj4yMDEzPC9ZZWFyPjxS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</w:fldData>
              </w:fldChar>
            </w:r>
            <w:r>
              <w:rPr>
                <w:rFonts w:ascii="Calibri" w:hAnsi="Calibri" w:cs="Arial"/>
                <w:sz w:val="21"/>
                <w:szCs w:val="21"/>
                <w:lang w:eastAsia="en-AU"/>
              </w:rPr>
              <w:instrText xml:space="preserve"> ADDIN EN.CITE.DATA </w:instrText>
            </w:r>
            <w:r>
              <w:rPr>
                <w:rFonts w:ascii="Calibri" w:hAnsi="Calibri" w:cs="Arial"/>
                <w:sz w:val="21"/>
                <w:szCs w:val="21"/>
                <w:lang w:eastAsia="en-AU"/>
              </w:rPr>
            </w:r>
            <w:r>
              <w:rPr>
                <w:rFonts w:ascii="Calibri" w:hAnsi="Calibri" w:cs="Arial"/>
                <w:sz w:val="21"/>
                <w:szCs w:val="21"/>
                <w:lang w:eastAsia="en-AU"/>
              </w:rPr>
              <w:fldChar w:fldCharType="end"/>
            </w:r>
            <w:r>
              <w:rPr>
                <w:rFonts w:ascii="Calibri" w:hAnsi="Calibri" w:cs="Arial"/>
                <w:sz w:val="21"/>
                <w:szCs w:val="21"/>
                <w:lang w:eastAsia="en-AU"/>
              </w:rPr>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7</w:t>
            </w:r>
            <w:r>
              <w:rPr>
                <w:rFonts w:ascii="Calibri" w:hAnsi="Calibri" w:cs="Arial"/>
                <w:sz w:val="21"/>
                <w:szCs w:val="21"/>
                <w:lang w:eastAsia="en-AU"/>
              </w:rPr>
              <w:fldChar w:fldCharType="end"/>
            </w:r>
          </w:p>
        </w:tc>
        <w:tc>
          <w:tcPr>
            <w:tcW w:w="1440" w:type="dxa"/>
          </w:tcPr>
          <w:p w:rsidR="007A1C4A" w:rsidRPr="000309E1"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Eappen S, Lane BH, Roesnberg B et al.</w:t>
            </w:r>
          </w:p>
        </w:tc>
        <w:tc>
          <w:tcPr>
            <w:tcW w:w="1440" w:type="dxa"/>
          </w:tcPr>
          <w:p w:rsidR="007A1C4A" w:rsidRPr="000309E1"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Journal of the American Medical Association</w:t>
            </w:r>
          </w:p>
        </w:tc>
        <w:tc>
          <w:tcPr>
            <w:tcW w:w="1800" w:type="dxa"/>
          </w:tcPr>
          <w:p w:rsidR="007A1C4A" w:rsidRPr="000309E1"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Analysis of administrative and cost data</w:t>
            </w:r>
          </w:p>
        </w:tc>
        <w:tc>
          <w:tcPr>
            <w:tcW w:w="1800" w:type="dxa"/>
          </w:tcPr>
          <w:p w:rsidR="007A1C4A" w:rsidRPr="000309E1"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Hospital costs and revenues were compared for patients with and without surgical complications </w:t>
            </w:r>
          </w:p>
        </w:tc>
        <w:tc>
          <w:tcPr>
            <w:tcW w:w="1055" w:type="dxa"/>
          </w:tcPr>
          <w:p w:rsidR="007A1C4A" w:rsidRPr="000309E1"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USA</w:t>
            </w:r>
          </w:p>
        </w:tc>
        <w:tc>
          <w:tcPr>
            <w:tcW w:w="1285" w:type="dxa"/>
          </w:tcPr>
          <w:p w:rsidR="007A1C4A" w:rsidRPr="000309E1"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Hospitals </w:t>
            </w:r>
          </w:p>
        </w:tc>
        <w:tc>
          <w:tcPr>
            <w:tcW w:w="1031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Incremental revenue due to surgical complications in a hospital system was estimated based on 2010  administrative and cost data</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5.3% of 34,256 surgical cases examined had at least one complication; an overall mortality rate of 1.25% was observed (12.3% for patients with a complication)</w:t>
            </w:r>
          </w:p>
          <w:p w:rsidR="007A1C4A" w:rsidRPr="0030048E"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Med</w:t>
            </w:r>
            <w:r w:rsidRPr="0030048E">
              <w:rPr>
                <w:rFonts w:ascii="Calibri" w:hAnsi="Calibri" w:cs="Arial"/>
                <w:color w:val="000000"/>
                <w:sz w:val="21"/>
                <w:szCs w:val="21"/>
                <w:lang w:eastAsia="en-AU"/>
              </w:rPr>
              <w:t>ian length of stay was 4 times higher in patients with complications</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sidRPr="0030048E">
              <w:rPr>
                <w:rFonts w:ascii="Calibri" w:hAnsi="Calibri" w:cs="Arial"/>
                <w:color w:val="000000"/>
                <w:sz w:val="21"/>
                <w:szCs w:val="21"/>
                <w:lang w:eastAsia="en-AU"/>
              </w:rPr>
              <w:t>For privatel</w:t>
            </w:r>
            <w:r>
              <w:rPr>
                <w:rFonts w:ascii="Calibri" w:hAnsi="Calibri" w:cs="Arial"/>
                <w:color w:val="000000"/>
                <w:sz w:val="21"/>
                <w:szCs w:val="21"/>
                <w:lang w:eastAsia="en-AU"/>
              </w:rPr>
              <w:t>y insured patients (40%), a marginal revenue of $39,017 was associated with a surgical complication</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For Medicare (publicly funded) patients (45%) this figure was $1,794</w:t>
            </w:r>
          </w:p>
          <w:p w:rsidR="007A1C4A" w:rsidRPr="000309E1"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The lower margin in Medicare patients is attributed to the bundled DRG payments instituted in the 1980s as a measure to avoid financial reimbursement for potentially avoidable mistakes. </w:t>
            </w:r>
          </w:p>
        </w:tc>
      </w:tr>
      <w:tr w:rsidR="007A1C4A" w:rsidRPr="000309E1" w:rsidTr="00BA64A4">
        <w:trPr>
          <w:cantSplit/>
          <w:trHeight w:val="1198"/>
          <w:tblHeader/>
        </w:trPr>
        <w:tc>
          <w:tcPr>
            <w:tcW w:w="449" w:type="dxa"/>
            <w:tcBorders>
              <w:left w:val="nil"/>
              <w:right w:val="nil"/>
            </w:tcBorders>
            <w:shd w:val="clear" w:color="auto" w:fill="FFFFFF"/>
          </w:tcPr>
          <w:p w:rsidR="007A1C4A" w:rsidRDefault="007A1C4A" w:rsidP="00DE127A">
            <w:pPr>
              <w:spacing w:before="20" w:after="20" w:line="264" w:lineRule="auto"/>
              <w:rPr>
                <w:rFonts w:ascii="Calibri" w:hAnsi="Calibri" w:cs="Arial"/>
                <w:b/>
                <w:color w:val="FFFFFF"/>
                <w:sz w:val="21"/>
                <w:szCs w:val="21"/>
                <w:lang w:eastAsia="en-AU"/>
              </w:rPr>
            </w:pPr>
          </w:p>
        </w:tc>
        <w:tc>
          <w:tcPr>
            <w:tcW w:w="2791" w:type="dxa"/>
            <w:tcBorders>
              <w:left w:val="nil"/>
              <w:right w:val="nil"/>
            </w:tcBorders>
            <w:shd w:val="clear" w:color="auto" w:fill="FFFFFF"/>
          </w:tcPr>
          <w:p w:rsidR="007A1C4A" w:rsidRPr="00D24728" w:rsidRDefault="007A1C4A" w:rsidP="00DE127A">
            <w:pPr>
              <w:spacing w:before="20" w:after="20" w:line="264" w:lineRule="auto"/>
              <w:rPr>
                <w:rFonts w:ascii="Calibri" w:hAnsi="Calibri" w:cs="Arial"/>
                <w:sz w:val="21"/>
                <w:szCs w:val="21"/>
                <w:lang w:eastAsia="en-AU"/>
              </w:rPr>
            </w:pPr>
          </w:p>
        </w:tc>
        <w:tc>
          <w:tcPr>
            <w:tcW w:w="1440" w:type="dxa"/>
            <w:tcBorders>
              <w:left w:val="nil"/>
              <w:right w:val="nil"/>
            </w:tcBorders>
            <w:shd w:val="clear" w:color="auto" w:fill="FFFFFF"/>
          </w:tcPr>
          <w:p w:rsidR="007A1C4A" w:rsidRDefault="007A1C4A" w:rsidP="00DE127A">
            <w:pPr>
              <w:spacing w:before="20" w:after="20" w:line="264" w:lineRule="auto"/>
              <w:rPr>
                <w:rFonts w:ascii="Calibri" w:hAnsi="Calibri" w:cs="Arial"/>
                <w:sz w:val="21"/>
                <w:szCs w:val="21"/>
                <w:lang w:eastAsia="en-AU"/>
              </w:rPr>
            </w:pPr>
          </w:p>
        </w:tc>
        <w:tc>
          <w:tcPr>
            <w:tcW w:w="1440" w:type="dxa"/>
            <w:tcBorders>
              <w:left w:val="nil"/>
              <w:right w:val="nil"/>
            </w:tcBorders>
            <w:shd w:val="clear" w:color="auto" w:fill="FFFFFF"/>
          </w:tcPr>
          <w:p w:rsidR="007A1C4A" w:rsidRDefault="007A1C4A" w:rsidP="00DE127A">
            <w:pPr>
              <w:spacing w:before="20" w:after="20" w:line="264" w:lineRule="auto"/>
              <w:rPr>
                <w:rFonts w:ascii="Calibri" w:hAnsi="Calibri" w:cs="Arial"/>
                <w:color w:val="000000"/>
                <w:sz w:val="21"/>
                <w:szCs w:val="21"/>
                <w:lang w:eastAsia="en-AU"/>
              </w:rPr>
            </w:pPr>
          </w:p>
        </w:tc>
        <w:tc>
          <w:tcPr>
            <w:tcW w:w="1800" w:type="dxa"/>
            <w:tcBorders>
              <w:left w:val="nil"/>
              <w:right w:val="nil"/>
            </w:tcBorders>
            <w:shd w:val="clear" w:color="auto" w:fill="FFFFFF"/>
          </w:tcPr>
          <w:p w:rsidR="007A1C4A" w:rsidRDefault="007A1C4A" w:rsidP="00DE127A">
            <w:pPr>
              <w:spacing w:before="20" w:after="20" w:line="264" w:lineRule="auto"/>
              <w:rPr>
                <w:rFonts w:ascii="Calibri" w:hAnsi="Calibri" w:cs="Arial"/>
                <w:color w:val="000000"/>
                <w:sz w:val="21"/>
                <w:szCs w:val="21"/>
                <w:lang w:eastAsia="en-AU"/>
              </w:rPr>
            </w:pPr>
          </w:p>
        </w:tc>
        <w:tc>
          <w:tcPr>
            <w:tcW w:w="1800" w:type="dxa"/>
            <w:tcBorders>
              <w:left w:val="nil"/>
              <w:right w:val="nil"/>
            </w:tcBorders>
            <w:shd w:val="clear" w:color="auto" w:fill="FFFFFF"/>
          </w:tcPr>
          <w:p w:rsidR="007A1C4A" w:rsidRDefault="007A1C4A" w:rsidP="00DE127A">
            <w:pPr>
              <w:spacing w:before="20" w:after="20" w:line="264" w:lineRule="auto"/>
              <w:rPr>
                <w:rFonts w:ascii="Calibri" w:hAnsi="Calibri" w:cs="Arial"/>
                <w:color w:val="000000"/>
                <w:sz w:val="21"/>
                <w:szCs w:val="21"/>
                <w:lang w:eastAsia="en-AU"/>
              </w:rPr>
            </w:pPr>
          </w:p>
        </w:tc>
        <w:tc>
          <w:tcPr>
            <w:tcW w:w="1055" w:type="dxa"/>
            <w:tcBorders>
              <w:left w:val="nil"/>
              <w:right w:val="nil"/>
            </w:tcBorders>
            <w:shd w:val="clear" w:color="auto" w:fill="FFFFFF"/>
          </w:tcPr>
          <w:p w:rsidR="007A1C4A" w:rsidRDefault="007A1C4A" w:rsidP="00DE127A">
            <w:pPr>
              <w:spacing w:before="20" w:after="20" w:line="264" w:lineRule="auto"/>
              <w:rPr>
                <w:rFonts w:ascii="Calibri" w:hAnsi="Calibri" w:cs="Arial"/>
                <w:color w:val="000000"/>
                <w:sz w:val="21"/>
                <w:szCs w:val="21"/>
                <w:lang w:eastAsia="en-AU"/>
              </w:rPr>
            </w:pPr>
          </w:p>
        </w:tc>
        <w:tc>
          <w:tcPr>
            <w:tcW w:w="1285" w:type="dxa"/>
            <w:tcBorders>
              <w:left w:val="nil"/>
              <w:right w:val="nil"/>
            </w:tcBorders>
            <w:shd w:val="clear" w:color="auto" w:fill="FFFFFF"/>
          </w:tcPr>
          <w:p w:rsidR="007A1C4A" w:rsidRDefault="007A1C4A" w:rsidP="00DE127A">
            <w:pPr>
              <w:spacing w:before="20" w:after="20" w:line="264" w:lineRule="auto"/>
              <w:rPr>
                <w:rFonts w:ascii="Calibri" w:hAnsi="Calibri" w:cs="Arial"/>
                <w:color w:val="000000"/>
                <w:sz w:val="21"/>
                <w:szCs w:val="21"/>
                <w:lang w:eastAsia="en-AU"/>
              </w:rPr>
            </w:pPr>
          </w:p>
        </w:tc>
        <w:tc>
          <w:tcPr>
            <w:tcW w:w="10310" w:type="dxa"/>
            <w:tcBorders>
              <w:left w:val="nil"/>
              <w:right w:val="nil"/>
            </w:tcBorders>
            <w:shd w:val="clear" w:color="auto" w:fill="FFFFFF"/>
          </w:tcPr>
          <w:p w:rsidR="007A1C4A" w:rsidRDefault="007A1C4A" w:rsidP="00DE127A">
            <w:pPr>
              <w:spacing w:before="20" w:after="20" w:line="264" w:lineRule="auto"/>
              <w:rPr>
                <w:rFonts w:ascii="Calibri" w:hAnsi="Calibri" w:cs="Arial"/>
                <w:color w:val="000000"/>
                <w:sz w:val="21"/>
                <w:szCs w:val="21"/>
                <w:lang w:eastAsia="en-AU"/>
              </w:rPr>
            </w:pPr>
          </w:p>
        </w:tc>
      </w:tr>
      <w:tr w:rsidR="007A1C4A" w:rsidRPr="008A668C" w:rsidTr="00BA64A4">
        <w:trPr>
          <w:cantSplit/>
          <w:trHeight w:val="692"/>
          <w:tblHeader/>
        </w:trPr>
        <w:tc>
          <w:tcPr>
            <w:tcW w:w="449" w:type="dxa"/>
            <w:shd w:val="clear" w:color="auto" w:fill="8DB3E2"/>
          </w:tcPr>
          <w:p w:rsidR="007A1C4A" w:rsidRDefault="007A1C4A" w:rsidP="00DE127A">
            <w:pPr>
              <w:spacing w:before="20" w:after="20" w:line="264" w:lineRule="auto"/>
              <w:rPr>
                <w:rFonts w:ascii="Calibri" w:hAnsi="Calibri" w:cs="Arial"/>
                <w:b/>
                <w:color w:val="FFFFFF"/>
                <w:sz w:val="21"/>
                <w:szCs w:val="21"/>
                <w:lang w:eastAsia="en-AU"/>
              </w:rPr>
            </w:pPr>
          </w:p>
        </w:tc>
        <w:tc>
          <w:tcPr>
            <w:tcW w:w="2791"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Article name</w:t>
            </w:r>
          </w:p>
        </w:tc>
        <w:tc>
          <w:tcPr>
            <w:tcW w:w="1440"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Authors</w:t>
            </w:r>
          </w:p>
        </w:tc>
        <w:tc>
          <w:tcPr>
            <w:tcW w:w="1440"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Publication </w:t>
            </w:r>
          </w:p>
        </w:tc>
        <w:tc>
          <w:tcPr>
            <w:tcW w:w="1800"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Study design</w:t>
            </w:r>
          </w:p>
        </w:tc>
        <w:tc>
          <w:tcPr>
            <w:tcW w:w="1800"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Model(s) </w:t>
            </w:r>
            <w:r>
              <w:rPr>
                <w:rFonts w:ascii="Calibri" w:hAnsi="Calibri" w:cs="Arial"/>
                <w:b/>
                <w:color w:val="FFFFFF"/>
                <w:sz w:val="21"/>
                <w:szCs w:val="21"/>
                <w:lang w:eastAsia="en-AU"/>
              </w:rPr>
              <w:t xml:space="preserve">&amp; mechanism </w:t>
            </w:r>
          </w:p>
        </w:tc>
        <w:tc>
          <w:tcPr>
            <w:tcW w:w="1055"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sidRPr="000309E1">
              <w:rPr>
                <w:rFonts w:ascii="Calibri" w:hAnsi="Calibri" w:cs="Arial"/>
                <w:b/>
                <w:color w:val="FFFFFF"/>
                <w:sz w:val="21"/>
                <w:szCs w:val="21"/>
                <w:lang w:eastAsia="en-AU"/>
              </w:rPr>
              <w:t xml:space="preserve">Country </w:t>
            </w:r>
          </w:p>
        </w:tc>
        <w:tc>
          <w:tcPr>
            <w:tcW w:w="1285"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C</w:t>
            </w:r>
            <w:r w:rsidRPr="000309E1">
              <w:rPr>
                <w:rFonts w:ascii="Calibri" w:hAnsi="Calibri" w:cs="Arial"/>
                <w:b/>
                <w:color w:val="FFFFFF"/>
                <w:sz w:val="21"/>
                <w:szCs w:val="21"/>
                <w:lang w:eastAsia="en-AU"/>
              </w:rPr>
              <w:t>ontext &amp; setting</w:t>
            </w:r>
          </w:p>
        </w:tc>
        <w:tc>
          <w:tcPr>
            <w:tcW w:w="10310" w:type="dxa"/>
            <w:shd w:val="clear" w:color="auto" w:fill="8DB3E2"/>
          </w:tcPr>
          <w:p w:rsidR="007A1C4A" w:rsidRPr="000309E1" w:rsidRDefault="007A1C4A" w:rsidP="00346E2C">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Results,</w:t>
            </w:r>
            <w:r w:rsidRPr="000309E1">
              <w:rPr>
                <w:rFonts w:ascii="Calibri" w:hAnsi="Calibri" w:cs="Arial"/>
                <w:b/>
                <w:color w:val="FFFFFF"/>
                <w:sz w:val="21"/>
                <w:szCs w:val="21"/>
                <w:lang w:eastAsia="en-AU"/>
              </w:rPr>
              <w:t xml:space="preserve"> impact</w:t>
            </w:r>
            <w:r>
              <w:rPr>
                <w:rFonts w:ascii="Calibri" w:hAnsi="Calibri" w:cs="Arial"/>
                <w:b/>
                <w:color w:val="FFFFFF"/>
                <w:sz w:val="21"/>
                <w:szCs w:val="21"/>
                <w:lang w:eastAsia="en-AU"/>
              </w:rPr>
              <w:t>, key points</w:t>
            </w:r>
          </w:p>
        </w:tc>
      </w:tr>
      <w:tr w:rsidR="007A1C4A" w:rsidRPr="008A668C" w:rsidTr="00DC6960">
        <w:trPr>
          <w:cantSplit/>
          <w:trHeight w:val="1530"/>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7</w:t>
            </w:r>
          </w:p>
        </w:tc>
        <w:tc>
          <w:tcPr>
            <w:tcW w:w="2791"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Quality improvement and pay for performance </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&lt;EndNote&gt;&lt;Cite&gt;&lt;Author&gt;Cohen RI&lt;/Author&gt;&lt;Year&gt;2013&lt;/Year&gt;&lt;RecNum&gt;13449&lt;/RecNum&gt;&lt;record&gt;&lt;rec-number&gt;13449&lt;/rec-number&gt;&lt;foreign-keys&gt;&lt;key app="EN" db-id="5r0eapxzsestz4er5zaxe5zqz99fvpawedp5"&gt;13449&lt;/key&gt;&lt;/foreign-keys&gt;&lt;ref-type name="Journal Article"&gt;17&lt;/ref-type&gt;&lt;contributors&gt;&lt;authors&gt;&lt;author&gt;Cohen RI,&lt;/author&gt;&lt;author&gt;Jaffrey F,&lt;/author&gt;&lt;author&gt;Bruno J,&lt;/author&gt;&lt;author&gt;Baumann MH, &lt;/author&gt;&lt;/authors&gt;&lt;/contributors&gt;&lt;titles&gt;&lt;title&gt;Quality Improvement and Pay for Performance: Barriers to and Strategies for Success&lt;/title&gt;&lt;secondary-title&gt;Chest&lt;/secondary-title&gt;&lt;/titles&gt;&lt;periodical&gt;&lt;full-title&gt;Chest&lt;/full-title&gt;&lt;/periodical&gt;&lt;pages&gt;1542-7&lt;/pages&gt;&lt;volume&gt;143&lt;/volume&gt;&lt;number&gt;6&lt;/number&gt;&lt;dates&gt;&lt;year&gt;2013&lt;/year&gt;&lt;/dates&gt;&lt;urls&gt;&lt;/urls&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8</w:t>
            </w:r>
            <w:r>
              <w:rPr>
                <w:rFonts w:ascii="Calibri" w:hAnsi="Calibri" w:cs="Arial"/>
                <w:sz w:val="21"/>
                <w:szCs w:val="21"/>
                <w:lang w:eastAsia="en-AU"/>
              </w:rPr>
              <w:fldChar w:fldCharType="end"/>
            </w:r>
          </w:p>
        </w:tc>
        <w:tc>
          <w:tcPr>
            <w:tcW w:w="1440" w:type="dxa"/>
          </w:tcPr>
          <w:p w:rsidR="007A1C4A" w:rsidRPr="000309E1"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Cohen RI, Jaffrey F, Reitzner JB et al.</w:t>
            </w:r>
          </w:p>
        </w:tc>
        <w:tc>
          <w:tcPr>
            <w:tcW w:w="1440"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Chest</w:t>
            </w:r>
          </w:p>
        </w:tc>
        <w:tc>
          <w:tcPr>
            <w:tcW w:w="1800"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Comment</w:t>
            </w:r>
          </w:p>
        </w:tc>
        <w:tc>
          <w:tcPr>
            <w:tcW w:w="1800"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Various </w:t>
            </w:r>
          </w:p>
        </w:tc>
        <w:tc>
          <w:tcPr>
            <w:tcW w:w="1055"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N/A</w:t>
            </w:r>
          </w:p>
        </w:tc>
        <w:tc>
          <w:tcPr>
            <w:tcW w:w="1285"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Various </w:t>
            </w:r>
          </w:p>
        </w:tc>
        <w:tc>
          <w:tcPr>
            <w:tcW w:w="1031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Paper articulates several concerns with pay-for-performance including:</w:t>
            </w:r>
          </w:p>
          <w:p w:rsidR="007A1C4A" w:rsidRDefault="007A1C4A" w:rsidP="00721A5B">
            <w:pPr>
              <w:numPr>
                <w:ilvl w:val="0"/>
                <w:numId w:val="39"/>
              </w:numPr>
              <w:spacing w:before="20" w:after="20" w:line="264" w:lineRule="auto"/>
              <w:rPr>
                <w:rFonts w:ascii="Calibri" w:hAnsi="Calibri" w:cs="Arial"/>
                <w:sz w:val="21"/>
                <w:szCs w:val="21"/>
                <w:lang w:eastAsia="en-AU"/>
              </w:rPr>
            </w:pPr>
            <w:r>
              <w:rPr>
                <w:rFonts w:ascii="Calibri" w:hAnsi="Calibri" w:cs="Arial"/>
                <w:sz w:val="21"/>
                <w:szCs w:val="21"/>
                <w:lang w:eastAsia="en-AU"/>
              </w:rPr>
              <w:t>Excessive focus on metrics</w:t>
            </w:r>
          </w:p>
          <w:p w:rsidR="007A1C4A" w:rsidRDefault="007A1C4A" w:rsidP="00721A5B">
            <w:pPr>
              <w:numPr>
                <w:ilvl w:val="0"/>
                <w:numId w:val="39"/>
              </w:numPr>
              <w:spacing w:before="20" w:after="20" w:line="264" w:lineRule="auto"/>
              <w:rPr>
                <w:rFonts w:ascii="Calibri" w:hAnsi="Calibri" w:cs="Arial"/>
                <w:sz w:val="21"/>
                <w:szCs w:val="21"/>
                <w:lang w:eastAsia="en-AU"/>
              </w:rPr>
            </w:pPr>
            <w:r>
              <w:rPr>
                <w:rFonts w:ascii="Calibri" w:hAnsi="Calibri" w:cs="Arial"/>
                <w:sz w:val="21"/>
                <w:szCs w:val="21"/>
                <w:lang w:eastAsia="en-AU"/>
              </w:rPr>
              <w:t>Exacerbation of disparities in quality and equity</w:t>
            </w:r>
          </w:p>
          <w:p w:rsidR="007A1C4A" w:rsidRDefault="007A1C4A" w:rsidP="00721A5B">
            <w:pPr>
              <w:numPr>
                <w:ilvl w:val="0"/>
                <w:numId w:val="39"/>
              </w:numPr>
              <w:spacing w:before="20" w:after="20" w:line="264" w:lineRule="auto"/>
              <w:rPr>
                <w:rFonts w:ascii="Calibri" w:hAnsi="Calibri" w:cs="Arial"/>
                <w:sz w:val="21"/>
                <w:szCs w:val="21"/>
                <w:lang w:eastAsia="en-AU"/>
              </w:rPr>
            </w:pPr>
            <w:r>
              <w:rPr>
                <w:rFonts w:ascii="Calibri" w:hAnsi="Calibri" w:cs="Arial"/>
                <w:sz w:val="21"/>
                <w:szCs w:val="21"/>
                <w:lang w:eastAsia="en-AU"/>
              </w:rPr>
              <w:t>Assumption that clinicians know how to improve quality and all that is needed is a monetary incentive.</w:t>
            </w:r>
          </w:p>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The authors argue that changing behaviour to raise quality in a complex adaptive system healthcare system is best pursued through the science of improvement. A key component of this is timely feedback to facilitate the iterative nature of quality improvement. </w:t>
            </w:r>
          </w:p>
        </w:tc>
      </w:tr>
      <w:tr w:rsidR="007A1C4A" w:rsidRPr="003C22E6" w:rsidTr="00DC6960">
        <w:trPr>
          <w:cantSplit/>
          <w:trHeight w:val="1530"/>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8</w:t>
            </w:r>
          </w:p>
        </w:tc>
        <w:tc>
          <w:tcPr>
            <w:tcW w:w="2791" w:type="dxa"/>
          </w:tcPr>
          <w:p w:rsidR="007A1C4A" w:rsidRPr="00D24728" w:rsidRDefault="007A1C4A" w:rsidP="00DE127A">
            <w:pPr>
              <w:spacing w:before="20" w:after="20" w:line="264" w:lineRule="auto"/>
              <w:rPr>
                <w:rFonts w:ascii="Calibri" w:hAnsi="Calibri" w:cs="Arial"/>
                <w:sz w:val="21"/>
                <w:szCs w:val="21"/>
                <w:lang w:eastAsia="en-AU"/>
              </w:rPr>
            </w:pPr>
            <w:r w:rsidRPr="00CD3550">
              <w:rPr>
                <w:rFonts w:ascii="Calibri" w:hAnsi="Calibri" w:cs="Arial"/>
                <w:sz w:val="21"/>
                <w:szCs w:val="21"/>
                <w:lang w:eastAsia="en-AU"/>
              </w:rPr>
              <w:t>How can the NHS payment system do more for patients?</w:t>
            </w:r>
            <w:r>
              <w:rPr>
                <w:rFonts w:ascii="Calibri" w:hAnsi="Calibri" w:cs="Arial"/>
                <w:sz w:val="21"/>
                <w:szCs w:val="21"/>
                <w:lang w:eastAsia="en-AU"/>
              </w:rPr>
              <w:t xml:space="preserve"> </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&lt;EndNote&gt;&lt;Cite&gt;&lt;Year&gt;2013&lt;/Year&gt;&lt;RecNum&gt;13448&lt;/RecNum&gt;&lt;record&gt;&lt;rec-number&gt;13448&lt;/rec-number&gt;&lt;foreign-keys&gt;&lt;key app="EN" db-id="5r0eapxzsestz4er5zaxe5zqz99fvpawedp5"&gt;13448&lt;/key&gt;&lt;/foreign-keys&gt;&lt;ref-type name="Report"&gt;27&lt;/ref-type&gt;&lt;contributors&gt;&lt;/contributors&gt;&lt;titles&gt;&lt;title&gt;How can the NHS payment system do more for patients?&lt;/title&gt;&lt;/titles&gt;&lt;dates&gt;&lt;year&gt;2013&lt;/year&gt;&lt;/dates&gt;&lt;publisher&gt;NHS England and Monitor&lt;/publisher&gt;&lt;urls&gt;&lt;/urls&gt;&lt;/record&gt;&lt;/Cite&gt;&lt;/EndNote&gt;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9</w:t>
            </w:r>
            <w:r>
              <w:rPr>
                <w:rFonts w:ascii="Calibri" w:hAnsi="Calibri" w:cs="Arial"/>
                <w:sz w:val="21"/>
                <w:szCs w:val="21"/>
                <w:lang w:eastAsia="en-AU"/>
              </w:rPr>
              <w:fldChar w:fldCharType="end"/>
            </w:r>
          </w:p>
        </w:tc>
        <w:tc>
          <w:tcPr>
            <w:tcW w:w="144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NHS England &amp; Monitor</w:t>
            </w:r>
          </w:p>
        </w:tc>
        <w:tc>
          <w:tcPr>
            <w:tcW w:w="144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Publications Gateway</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Discussion paper</w:t>
            </w:r>
          </w:p>
        </w:tc>
        <w:tc>
          <w:tcPr>
            <w:tcW w:w="180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Pricing and pay for performance</w:t>
            </w:r>
          </w:p>
        </w:tc>
        <w:tc>
          <w:tcPr>
            <w:tcW w:w="105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UK</w:t>
            </w:r>
          </w:p>
        </w:tc>
        <w:tc>
          <w:tcPr>
            <w:tcW w:w="1285"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Hospital</w:t>
            </w:r>
          </w:p>
        </w:tc>
        <w:tc>
          <w:tcPr>
            <w:tcW w:w="10310" w:type="dxa"/>
          </w:tcPr>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This is the</w:t>
            </w:r>
            <w:r w:rsidRPr="003C22E6">
              <w:rPr>
                <w:rFonts w:ascii="Calibri" w:hAnsi="Calibri" w:cs="Arial"/>
                <w:color w:val="000000"/>
                <w:sz w:val="21"/>
                <w:szCs w:val="21"/>
                <w:lang w:eastAsia="en-AU"/>
              </w:rPr>
              <w:t xml:space="preserve"> first publication to come from NHS England and Monitor’s</w:t>
            </w:r>
            <w:r>
              <w:rPr>
                <w:rFonts w:ascii="Calibri" w:hAnsi="Calibri" w:cs="Arial"/>
                <w:color w:val="000000"/>
                <w:sz w:val="21"/>
                <w:szCs w:val="21"/>
                <w:lang w:eastAsia="en-AU"/>
              </w:rPr>
              <w:t xml:space="preserve"> partnership on extending </w:t>
            </w:r>
            <w:r w:rsidRPr="003C22E6">
              <w:rPr>
                <w:rFonts w:ascii="Calibri" w:hAnsi="Calibri" w:cs="Arial"/>
                <w:color w:val="000000"/>
                <w:sz w:val="21"/>
                <w:szCs w:val="21"/>
                <w:lang w:eastAsia="en-AU"/>
              </w:rPr>
              <w:t xml:space="preserve"> </w:t>
            </w:r>
            <w:r>
              <w:rPr>
                <w:rFonts w:ascii="Calibri" w:hAnsi="Calibri" w:cs="Arial"/>
                <w:color w:val="000000"/>
                <w:sz w:val="21"/>
                <w:szCs w:val="21"/>
                <w:lang w:eastAsia="en-AU"/>
              </w:rPr>
              <w:t xml:space="preserve">Payment by Results (PbR) into </w:t>
            </w:r>
            <w:r w:rsidRPr="003C22E6">
              <w:rPr>
                <w:rFonts w:ascii="Calibri" w:hAnsi="Calibri" w:cs="Arial"/>
                <w:color w:val="000000"/>
                <w:sz w:val="21"/>
                <w:szCs w:val="21"/>
                <w:lang w:eastAsia="en-AU"/>
              </w:rPr>
              <w:t>a comprehensive payment system for NHS services</w:t>
            </w:r>
            <w:r>
              <w:rPr>
                <w:rFonts w:ascii="Calibri" w:hAnsi="Calibri" w:cs="Arial"/>
                <w:color w:val="000000"/>
                <w:sz w:val="21"/>
                <w:szCs w:val="21"/>
                <w:lang w:eastAsia="en-AU"/>
              </w:rPr>
              <w:t>, and sets out what Commissioners can expect from the 2014/15 National Tariff</w:t>
            </w:r>
            <w:r w:rsidRPr="003C22E6">
              <w:rPr>
                <w:rFonts w:ascii="Calibri" w:hAnsi="Calibri" w:cs="Arial"/>
                <w:color w:val="000000"/>
                <w:sz w:val="21"/>
                <w:szCs w:val="21"/>
                <w:lang w:eastAsia="en-AU"/>
              </w:rPr>
              <w:t>.</w:t>
            </w:r>
            <w:r>
              <w:rPr>
                <w:rFonts w:ascii="Calibri" w:hAnsi="Calibri" w:cs="Arial"/>
                <w:color w:val="000000"/>
                <w:sz w:val="21"/>
                <w:szCs w:val="21"/>
                <w:lang w:eastAsia="en-AU"/>
              </w:rPr>
              <w:t xml:space="preserve"> </w:t>
            </w:r>
          </w:p>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While the paper does not cite any results or evidence to support continued application of PbR, and a “case for change“ is made, based on the following rationale: </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Providers need support to change patterns of care in the interests of patients</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Payment influences behaviour</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Payment is one of many levers for change</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Trade-offs are inevitable</w:t>
            </w:r>
          </w:p>
          <w:p w:rsidR="007A1C4A" w:rsidRDefault="007A1C4A" w:rsidP="00721A5B">
            <w:pPr>
              <w:numPr>
                <w:ilvl w:val="0"/>
                <w:numId w:val="38"/>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The payment system should support continuous quality improvement, sustainably delivered, with appropriate allocation and management of risk</w:t>
            </w:r>
          </w:p>
          <w:p w:rsidR="007A1C4A"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The paper lists the following foundations as necessary for a successful system:</w:t>
            </w:r>
          </w:p>
          <w:p w:rsidR="007A1C4A" w:rsidRDefault="007A1C4A" w:rsidP="00721A5B">
            <w:pPr>
              <w:numPr>
                <w:ilvl w:val="0"/>
                <w:numId w:val="40"/>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Improved cost and quality information leads to better decisions</w:t>
            </w:r>
          </w:p>
          <w:p w:rsidR="007A1C4A" w:rsidRDefault="007A1C4A" w:rsidP="00721A5B">
            <w:pPr>
              <w:numPr>
                <w:ilvl w:val="0"/>
                <w:numId w:val="40"/>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More simplicity may bring benefits</w:t>
            </w:r>
          </w:p>
          <w:p w:rsidR="007A1C4A" w:rsidRDefault="007A1C4A" w:rsidP="00721A5B">
            <w:pPr>
              <w:numPr>
                <w:ilvl w:val="0"/>
                <w:numId w:val="40"/>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Predictability is important</w:t>
            </w:r>
          </w:p>
          <w:p w:rsidR="007A1C4A" w:rsidRDefault="007A1C4A" w:rsidP="00721A5B">
            <w:pPr>
              <w:numPr>
                <w:ilvl w:val="0"/>
                <w:numId w:val="40"/>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Legitimacy is essential</w:t>
            </w:r>
          </w:p>
          <w:p w:rsidR="007A1C4A" w:rsidRPr="003C22E6" w:rsidRDefault="007A1C4A" w:rsidP="00721A5B">
            <w:pPr>
              <w:numPr>
                <w:ilvl w:val="0"/>
                <w:numId w:val="40"/>
              </w:num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 xml:space="preserve">Clear rules underline incentives </w:t>
            </w:r>
          </w:p>
        </w:tc>
      </w:tr>
      <w:tr w:rsidR="007A1C4A" w:rsidRPr="007F493C" w:rsidTr="00DC6960">
        <w:trPr>
          <w:cantSplit/>
          <w:trHeight w:val="1070"/>
          <w:tblHeader/>
        </w:trPr>
        <w:tc>
          <w:tcPr>
            <w:tcW w:w="449" w:type="dxa"/>
            <w:shd w:val="clear" w:color="auto" w:fill="8DB3E2"/>
          </w:tcPr>
          <w:p w:rsidR="007A1C4A" w:rsidRPr="000309E1" w:rsidRDefault="007A1C4A" w:rsidP="00DE127A">
            <w:pPr>
              <w:spacing w:before="20" w:after="20" w:line="264" w:lineRule="auto"/>
              <w:rPr>
                <w:rFonts w:ascii="Calibri" w:hAnsi="Calibri" w:cs="Arial"/>
                <w:b/>
                <w:color w:val="FFFFFF"/>
                <w:sz w:val="21"/>
                <w:szCs w:val="21"/>
                <w:lang w:eastAsia="en-AU"/>
              </w:rPr>
            </w:pPr>
            <w:r>
              <w:rPr>
                <w:rFonts w:ascii="Calibri" w:hAnsi="Calibri" w:cs="Arial"/>
                <w:b/>
                <w:color w:val="FFFFFF"/>
                <w:sz w:val="21"/>
                <w:szCs w:val="21"/>
                <w:lang w:eastAsia="en-AU"/>
              </w:rPr>
              <w:t>9</w:t>
            </w:r>
          </w:p>
        </w:tc>
        <w:tc>
          <w:tcPr>
            <w:tcW w:w="2791" w:type="dxa"/>
          </w:tcPr>
          <w:p w:rsidR="007A1C4A" w:rsidRPr="008A668C" w:rsidRDefault="007A1C4A" w:rsidP="00DE127A">
            <w:pPr>
              <w:spacing w:before="20" w:after="20" w:line="264" w:lineRule="auto"/>
              <w:rPr>
                <w:rFonts w:ascii="Calibri" w:hAnsi="Calibri" w:cs="Arial"/>
                <w:sz w:val="21"/>
                <w:szCs w:val="21"/>
                <w:lang w:eastAsia="en-AU"/>
              </w:rPr>
            </w:pPr>
            <w:r w:rsidRPr="004146D8">
              <w:rPr>
                <w:rFonts w:ascii="Calibri" w:hAnsi="Calibri" w:cs="Arial"/>
                <w:sz w:val="21"/>
                <w:szCs w:val="21"/>
                <w:lang w:eastAsia="en-AU"/>
              </w:rPr>
              <w:t>Exploring payment schemes used to promote integrated chronic care in Europe</w:t>
            </w:r>
            <w:r>
              <w:rPr>
                <w:rFonts w:ascii="Calibri" w:hAnsi="Calibri" w:cs="Arial"/>
                <w:sz w:val="21"/>
                <w:szCs w:val="21"/>
                <w:lang w:eastAsia="en-AU"/>
              </w:rPr>
              <w:t xml:space="preserve"> </w:t>
            </w:r>
            <w:r>
              <w:rPr>
                <w:rFonts w:ascii="Calibri" w:hAnsi="Calibri" w:cs="Arial"/>
                <w:sz w:val="21"/>
                <w:szCs w:val="21"/>
                <w:lang w:eastAsia="en-AU"/>
              </w:rPr>
              <w:fldChar w:fldCharType="begin"/>
            </w:r>
            <w:r>
              <w:rPr>
                <w:rFonts w:ascii="Calibri" w:hAnsi="Calibri" w:cs="Arial"/>
                <w:sz w:val="21"/>
                <w:szCs w:val="21"/>
                <w:lang w:eastAsia="en-AU"/>
              </w:rPr>
              <w:instrText xml:space="preserve"> ADDIN EN.CITE &lt;EndNote&gt;&lt;Cite&gt;&lt;Author&gt;Tsiachristas&lt;/Author&gt;&lt;RecNum&gt;13464&lt;/RecNum&gt;&lt;record&gt;&lt;rec-number&gt;13464&lt;/rec-number&gt;&lt;foreign-keys&gt;&lt;key app="EN" db-id="5r0eapxzsestz4er5zaxe5zqz99fvpawedp5"&gt;13464&lt;/key&gt;&lt;/foreign-keys&gt;&lt;ref-type name="Journal Article"&gt;17&lt;/ref-type&gt;&lt;contributors&gt;&lt;authors&gt;&lt;author&gt;Tsiachristas, Apostolos&lt;/author&gt;&lt;author&gt;Dikkers, Carolien&lt;/author&gt;&lt;author&gt;Boland, Melinde R. S.&lt;/author&gt;&lt;author&gt;Rutten-van Mölken, Maureen P. M. H.&lt;/author&gt;&lt;/authors&gt;&lt;/contributors&gt;&lt;titles&gt;&lt;title&gt;Exploring payment schemes used to promote integrated chronic care in Europe&lt;/title&gt;&lt;secondary-title&gt;Health Policy&lt;/secondary-title&gt;&lt;/titles&gt;&lt;periodical&gt;&lt;full-title&gt;Health Policy&lt;/full-title&gt;&lt;/periodical&gt;&lt;number&gt;0&lt;/number&gt;&lt;keywords&gt;&lt;keyword&gt;Payment schemes&lt;/keyword&gt;&lt;keyword&gt;Financial incentives&lt;/keyword&gt;&lt;keyword&gt;Integrated care&lt;/keyword&gt;&lt;keyword&gt;Chronic disease&lt;/keyword&gt;&lt;/keywords&gt;&lt;dates&gt;&lt;/dates&gt;&lt;isbn&gt;0168-8510&lt;/isbn&gt;&lt;urls&gt;&lt;related-urls&gt;&lt;url&gt;http://www.sciencedirect.com/science/article/pii/S0168851013001966&lt;/url&gt;&lt;/related-urls&gt;&lt;/urls&gt;&lt;electronic-resource-num&gt;http://dx.doi.org/10.1016/j.healthpol.2013.07.007&lt;/electronic-resource-num&gt;&lt;/record&gt;&lt;/Cite&gt;&lt;/EndNote&gt;</w:instrText>
            </w:r>
            <w:r>
              <w:rPr>
                <w:rFonts w:ascii="Calibri" w:hAnsi="Calibri" w:cs="Arial"/>
                <w:sz w:val="21"/>
                <w:szCs w:val="21"/>
                <w:lang w:eastAsia="en-AU"/>
              </w:rPr>
              <w:fldChar w:fldCharType="separate"/>
            </w:r>
            <w:r w:rsidRPr="00580DDB">
              <w:rPr>
                <w:rFonts w:ascii="Calibri" w:hAnsi="Calibri" w:cs="Arial"/>
                <w:noProof/>
                <w:sz w:val="21"/>
                <w:szCs w:val="21"/>
                <w:vertAlign w:val="superscript"/>
                <w:lang w:eastAsia="en-AU"/>
              </w:rPr>
              <w:t>10</w:t>
            </w:r>
            <w:r>
              <w:rPr>
                <w:rFonts w:ascii="Calibri" w:hAnsi="Calibri" w:cs="Arial"/>
                <w:sz w:val="21"/>
                <w:szCs w:val="21"/>
                <w:lang w:eastAsia="en-AU"/>
              </w:rPr>
              <w:fldChar w:fldCharType="end"/>
            </w:r>
          </w:p>
        </w:tc>
        <w:tc>
          <w:tcPr>
            <w:tcW w:w="1440" w:type="dxa"/>
          </w:tcPr>
          <w:p w:rsidR="007A1C4A" w:rsidRPr="008A668C" w:rsidRDefault="007A1C4A" w:rsidP="00DE127A">
            <w:pPr>
              <w:spacing w:before="20" w:after="20" w:line="264" w:lineRule="auto"/>
              <w:rPr>
                <w:rFonts w:ascii="Calibri" w:hAnsi="Calibri" w:cs="Arial"/>
                <w:sz w:val="21"/>
                <w:szCs w:val="21"/>
                <w:lang w:eastAsia="en-AU"/>
              </w:rPr>
            </w:pPr>
            <w:r w:rsidRPr="004146D8">
              <w:rPr>
                <w:rFonts w:ascii="Calibri" w:hAnsi="Calibri" w:cs="Arial"/>
                <w:sz w:val="21"/>
                <w:szCs w:val="21"/>
                <w:lang w:eastAsia="en-AU"/>
              </w:rPr>
              <w:t>Tsiachristas A, Dikkers C, Boland MRS, Rutten-van Mölken MP</w:t>
            </w:r>
          </w:p>
        </w:tc>
        <w:tc>
          <w:tcPr>
            <w:tcW w:w="1440"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Health Policy </w:t>
            </w:r>
          </w:p>
        </w:tc>
        <w:tc>
          <w:tcPr>
            <w:tcW w:w="1800"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 xml:space="preserve">Systematic review and expert interviews </w:t>
            </w:r>
          </w:p>
        </w:tc>
        <w:tc>
          <w:tcPr>
            <w:tcW w:w="180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Pay-for-coordination</w:t>
            </w:r>
          </w:p>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pay-for-performance</w:t>
            </w:r>
          </w:p>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bundled payment</w:t>
            </w:r>
          </w:p>
        </w:tc>
        <w:tc>
          <w:tcPr>
            <w:tcW w:w="1055"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Europe</w:t>
            </w:r>
          </w:p>
        </w:tc>
        <w:tc>
          <w:tcPr>
            <w:tcW w:w="1285" w:type="dxa"/>
          </w:tcPr>
          <w:p w:rsidR="007A1C4A" w:rsidRPr="008A668C"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Hospital and primary care</w:t>
            </w:r>
          </w:p>
        </w:tc>
        <w:tc>
          <w:tcPr>
            <w:tcW w:w="10310" w:type="dxa"/>
          </w:tcPr>
          <w:p w:rsidR="007A1C4A" w:rsidRDefault="007A1C4A" w:rsidP="00DE127A">
            <w:pPr>
              <w:spacing w:before="20" w:after="20" w:line="264" w:lineRule="auto"/>
              <w:rPr>
                <w:rFonts w:ascii="Calibri" w:hAnsi="Calibri" w:cs="Arial"/>
                <w:sz w:val="21"/>
                <w:szCs w:val="21"/>
                <w:lang w:eastAsia="en-AU"/>
              </w:rPr>
            </w:pPr>
            <w:r>
              <w:rPr>
                <w:rFonts w:ascii="Calibri" w:hAnsi="Calibri" w:cs="Arial"/>
                <w:sz w:val="21"/>
                <w:szCs w:val="21"/>
                <w:lang w:eastAsia="en-AU"/>
              </w:rPr>
              <w:t>The potential to consider the growing burden of chronic illness in hospital pricing and funding was discussed at earlier JWP meetings. This paper reports that s</w:t>
            </w:r>
            <w:r w:rsidRPr="0010186F">
              <w:rPr>
                <w:rFonts w:ascii="Calibri" w:hAnsi="Calibri" w:cs="Arial"/>
                <w:sz w:val="21"/>
                <w:szCs w:val="21"/>
                <w:lang w:eastAsia="en-AU"/>
              </w:rPr>
              <w:t xml:space="preserve">everal </w:t>
            </w:r>
            <w:r>
              <w:rPr>
                <w:rFonts w:ascii="Calibri" w:hAnsi="Calibri" w:cs="Arial"/>
                <w:sz w:val="21"/>
                <w:szCs w:val="21"/>
                <w:lang w:eastAsia="en-AU"/>
              </w:rPr>
              <w:t xml:space="preserve">European </w:t>
            </w:r>
            <w:r w:rsidRPr="0010186F">
              <w:rPr>
                <w:rFonts w:ascii="Calibri" w:hAnsi="Calibri" w:cs="Arial"/>
                <w:sz w:val="21"/>
                <w:szCs w:val="21"/>
                <w:lang w:eastAsia="en-AU"/>
              </w:rPr>
              <w:t xml:space="preserve">countries have implemented payment schemes </w:t>
            </w:r>
            <w:r>
              <w:rPr>
                <w:rFonts w:ascii="Calibri" w:hAnsi="Calibri" w:cs="Arial"/>
                <w:sz w:val="21"/>
                <w:szCs w:val="21"/>
                <w:lang w:eastAsia="en-AU"/>
              </w:rPr>
              <w:t>using</w:t>
            </w:r>
            <w:r w:rsidRPr="0010186F">
              <w:rPr>
                <w:rFonts w:ascii="Calibri" w:hAnsi="Calibri" w:cs="Arial"/>
                <w:sz w:val="21"/>
                <w:szCs w:val="21"/>
                <w:lang w:eastAsia="en-AU"/>
              </w:rPr>
              <w:t xml:space="preserve"> financial incentives </w:t>
            </w:r>
            <w:r>
              <w:rPr>
                <w:rFonts w:ascii="Calibri" w:hAnsi="Calibri" w:cs="Arial"/>
                <w:sz w:val="21"/>
                <w:szCs w:val="21"/>
                <w:lang w:eastAsia="en-AU"/>
              </w:rPr>
              <w:t xml:space="preserve">to </w:t>
            </w:r>
            <w:r w:rsidRPr="0010186F">
              <w:rPr>
                <w:rFonts w:ascii="Calibri" w:hAnsi="Calibri" w:cs="Arial"/>
                <w:sz w:val="21"/>
                <w:szCs w:val="21"/>
                <w:lang w:eastAsia="en-AU"/>
              </w:rPr>
              <w:t>promote integrated chronic care</w:t>
            </w:r>
            <w:r>
              <w:rPr>
                <w:rFonts w:ascii="Calibri" w:hAnsi="Calibri" w:cs="Arial"/>
                <w:sz w:val="21"/>
                <w:szCs w:val="21"/>
                <w:lang w:eastAsia="en-AU"/>
              </w:rPr>
              <w:t>: Aus</w:t>
            </w:r>
            <w:r w:rsidRPr="007951C1">
              <w:rPr>
                <w:rFonts w:ascii="Calibri" w:hAnsi="Calibri" w:cs="Arial"/>
                <w:color w:val="000000"/>
                <w:sz w:val="21"/>
                <w:szCs w:val="21"/>
                <w:lang w:eastAsia="en-AU"/>
              </w:rPr>
              <w:t>tria, Germany, England, France and Netherlands (aspects of the German scheme were covered in the Supplementary Briefing tabled a</w:t>
            </w:r>
            <w:r>
              <w:rPr>
                <w:rFonts w:ascii="Calibri" w:hAnsi="Calibri" w:cs="Arial"/>
                <w:sz w:val="21"/>
                <w:szCs w:val="21"/>
                <w:lang w:eastAsia="en-AU"/>
              </w:rPr>
              <w:t>t the meeting of 26 February 2013)</w:t>
            </w:r>
            <w:r w:rsidRPr="0010186F">
              <w:rPr>
                <w:rFonts w:ascii="Calibri" w:hAnsi="Calibri" w:cs="Arial"/>
                <w:sz w:val="21"/>
                <w:szCs w:val="21"/>
                <w:lang w:eastAsia="en-AU"/>
              </w:rPr>
              <w:t xml:space="preserve">. These schemes </w:t>
            </w:r>
            <w:r>
              <w:rPr>
                <w:rFonts w:ascii="Calibri" w:hAnsi="Calibri" w:cs="Arial"/>
                <w:sz w:val="21"/>
                <w:szCs w:val="21"/>
                <w:lang w:eastAsia="en-AU"/>
              </w:rPr>
              <w:t>are adaptations of</w:t>
            </w:r>
            <w:r w:rsidRPr="0010186F">
              <w:rPr>
                <w:rFonts w:ascii="Calibri" w:hAnsi="Calibri" w:cs="Arial"/>
                <w:sz w:val="21"/>
                <w:szCs w:val="21"/>
                <w:lang w:eastAsia="en-AU"/>
              </w:rPr>
              <w:t xml:space="preserve">: </w:t>
            </w:r>
          </w:p>
          <w:p w:rsidR="007A1C4A" w:rsidRPr="00DA048B" w:rsidRDefault="007A1C4A" w:rsidP="00721A5B">
            <w:pPr>
              <w:numPr>
                <w:ilvl w:val="0"/>
                <w:numId w:val="40"/>
              </w:numPr>
              <w:spacing w:before="20" w:after="20" w:line="264" w:lineRule="auto"/>
              <w:rPr>
                <w:rFonts w:ascii="Calibri" w:hAnsi="Calibri" w:cs="Arial"/>
                <w:color w:val="000000"/>
                <w:sz w:val="21"/>
                <w:szCs w:val="21"/>
                <w:lang w:eastAsia="en-AU"/>
              </w:rPr>
            </w:pPr>
            <w:r w:rsidRPr="00DA048B">
              <w:rPr>
                <w:rFonts w:ascii="Calibri" w:hAnsi="Calibri" w:cs="Arial"/>
                <w:color w:val="000000"/>
                <w:sz w:val="21"/>
                <w:szCs w:val="21"/>
                <w:lang w:eastAsia="en-AU"/>
              </w:rPr>
              <w:t>Pay-for-coordination (PFC): payments to one or more providers to coordinate care between services/sectors, seeking to provide an incentive for the extra effort required by providers to cooperate with one another.</w:t>
            </w:r>
          </w:p>
          <w:p w:rsidR="007A1C4A" w:rsidRPr="00DA048B" w:rsidRDefault="007A1C4A" w:rsidP="00721A5B">
            <w:pPr>
              <w:numPr>
                <w:ilvl w:val="0"/>
                <w:numId w:val="40"/>
              </w:numPr>
              <w:spacing w:before="20" w:after="20" w:line="264" w:lineRule="auto"/>
              <w:rPr>
                <w:rFonts w:ascii="Calibri" w:hAnsi="Calibri" w:cs="Arial"/>
                <w:color w:val="000000"/>
                <w:sz w:val="21"/>
                <w:szCs w:val="21"/>
                <w:lang w:eastAsia="en-AU"/>
              </w:rPr>
            </w:pPr>
            <w:r w:rsidRPr="00DA048B">
              <w:rPr>
                <w:rFonts w:ascii="Calibri" w:hAnsi="Calibri" w:cs="Arial"/>
                <w:color w:val="000000"/>
                <w:sz w:val="21"/>
                <w:szCs w:val="21"/>
                <w:lang w:eastAsia="en-AU"/>
              </w:rPr>
              <w:t>Pay-for-performance (P4P): direct payments to providers for achieving defined goals related to improvements in the process and/or outcomes of chronic care delivery.</w:t>
            </w:r>
          </w:p>
          <w:p w:rsidR="007A1C4A" w:rsidRDefault="007A1C4A" w:rsidP="00721A5B">
            <w:pPr>
              <w:numPr>
                <w:ilvl w:val="0"/>
                <w:numId w:val="40"/>
              </w:numPr>
              <w:spacing w:before="20" w:after="20" w:line="264" w:lineRule="auto"/>
              <w:rPr>
                <w:rFonts w:ascii="Calibri" w:hAnsi="Calibri" w:cs="Arial"/>
                <w:color w:val="000000"/>
                <w:sz w:val="21"/>
                <w:szCs w:val="21"/>
                <w:lang w:eastAsia="en-AU"/>
              </w:rPr>
            </w:pPr>
            <w:r w:rsidRPr="00DA048B">
              <w:rPr>
                <w:rFonts w:ascii="Calibri" w:hAnsi="Calibri" w:cs="Arial"/>
                <w:color w:val="000000"/>
                <w:sz w:val="21"/>
                <w:szCs w:val="21"/>
                <w:lang w:eastAsia="en-AU"/>
              </w:rPr>
              <w:t>Bundled payment. a single fee for all multidisciplinary care required by a patient for one particular chronic disease during a predefined period of time, aiming to control unnecessary utilization and promote integration between providers. It provides a direct incentive to health care providers to increase their profit margin by reducing inefficiencies.</w:t>
            </w:r>
          </w:p>
          <w:p w:rsidR="007A1C4A" w:rsidRPr="007F493C" w:rsidRDefault="007A1C4A" w:rsidP="00DE127A">
            <w:pPr>
              <w:spacing w:before="20" w:after="20" w:line="264" w:lineRule="auto"/>
              <w:rPr>
                <w:rFonts w:ascii="Calibri" w:hAnsi="Calibri" w:cs="Arial"/>
                <w:color w:val="000000"/>
                <w:sz w:val="21"/>
                <w:szCs w:val="21"/>
                <w:lang w:eastAsia="en-AU"/>
              </w:rPr>
            </w:pPr>
            <w:r>
              <w:rPr>
                <w:rFonts w:ascii="Calibri" w:hAnsi="Calibri" w:cs="Arial"/>
                <w:color w:val="000000"/>
                <w:sz w:val="21"/>
                <w:szCs w:val="21"/>
                <w:lang w:eastAsia="en-AU"/>
              </w:rPr>
              <w:t>Barriers, enablers and perceived impacts of each country’s scheme are explored. While the schemes depend on the healthcare system structure, a common barrier was opposition by physicians attributable to concerns about reduced autonomy. Shared savings schemes are suggested as a way of reducing the risks of gaming and misaligned incentives. The authors conclude that these schemes are valuable tools in stimulating the integration of chronic care. I</w:t>
            </w:r>
            <w:r w:rsidRPr="007F493C">
              <w:rPr>
                <w:rFonts w:ascii="Calibri" w:hAnsi="Calibri" w:cs="Arial"/>
                <w:color w:val="000000"/>
                <w:sz w:val="21"/>
                <w:szCs w:val="21"/>
                <w:lang w:eastAsia="en-AU"/>
              </w:rPr>
              <w:t>nitiating collaborations in chronic care can be stimulated with PFC payments and further integration of care can be facilitated by adding other payment schemes such as bundled payments.</w:t>
            </w:r>
          </w:p>
        </w:tc>
      </w:tr>
    </w:tbl>
    <w:p w:rsidR="007A1C4A" w:rsidRPr="009E4EA6" w:rsidRDefault="007A1C4A" w:rsidP="009E4EA6">
      <w:pPr>
        <w:spacing w:before="240" w:after="240" w:line="264" w:lineRule="auto"/>
        <w:rPr>
          <w:b/>
          <w:i/>
          <w:sz w:val="28"/>
          <w:szCs w:val="28"/>
        </w:rPr>
      </w:pPr>
      <w:r>
        <w:br w:type="page"/>
      </w:r>
      <w:r w:rsidRPr="009E4EA6">
        <w:rPr>
          <w:b/>
          <w:sz w:val="28"/>
          <w:szCs w:val="28"/>
        </w:rPr>
        <w:lastRenderedPageBreak/>
        <w:t xml:space="preserve">3.4.1 </w:t>
      </w:r>
      <w:r w:rsidRPr="009E4EA6">
        <w:rPr>
          <w:b/>
          <w:sz w:val="28"/>
          <w:szCs w:val="28"/>
        </w:rPr>
        <w:tab/>
        <w:t>References</w:t>
      </w:r>
    </w:p>
    <w:p w:rsidR="007A1C4A" w:rsidRPr="00394088" w:rsidRDefault="007A1C4A" w:rsidP="00721A5B">
      <w:pPr>
        <w:numPr>
          <w:ilvl w:val="0"/>
          <w:numId w:val="43"/>
        </w:numPr>
        <w:spacing w:line="264" w:lineRule="auto"/>
        <w:ind w:left="357" w:hanging="357"/>
        <w:rPr>
          <w:rFonts w:cs="Arial"/>
          <w:b/>
          <w:i/>
          <w:noProof/>
          <w:szCs w:val="24"/>
        </w:rPr>
      </w:pPr>
      <w:r>
        <w:fldChar w:fldCharType="begin"/>
      </w:r>
      <w:r>
        <w:instrText xml:space="preserve"> ADDIN EN.REFLIST </w:instrText>
      </w:r>
      <w:r>
        <w:fldChar w:fldCharType="separate"/>
      </w:r>
      <w:r w:rsidRPr="00394088">
        <w:rPr>
          <w:rFonts w:cs="Arial"/>
          <w:noProof/>
          <w:szCs w:val="24"/>
        </w:rPr>
        <w:t>Simunovic M, Baxter NN, Sutradhar R, Liu N, Cadeddu M, Urbach D. Uptake and Patient Outcomes of Laparoscopic Colon and Rectal Cancer Surgery in a Publicly Funded System and Following Financial Incentives. Ann Surg Oncol 2013.</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Kristensen SR, Bech M, Lauridsen J. Who to pay for performance? The choice of organisational level for hospital performance incentives. Health Economics Papers. University of Southern Denmark, 2013.</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Kristensen SR, Fe E, Bech M, Mainz J. Is the quality of hospital care price sensitive? Regression kink estimates from a volume dependent price setting. Health Economics Papers. University of Southern Denmark, 2013.</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Meacock R, Kristensen SR, Sutton M. The cost-effectiveness of using financial incentives to improve provider quality: a framework and application. Health Economics 2013:n/a-n/a.</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Sutton M, Nikolova S, Boaden R, Lester H, McDonald R, Roland M. Reduced Mortality with Hospital Pay for Performance in England. New England Journal of Medicine 2012;367(19):1821-1828.</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lang w:val="de-DE"/>
        </w:rPr>
        <w:t xml:space="preserve">Zimlichman E, Henderson D, Tamir O, et al. </w:t>
      </w:r>
      <w:r w:rsidRPr="00394088">
        <w:rPr>
          <w:rFonts w:cs="Arial"/>
          <w:noProof/>
          <w:szCs w:val="24"/>
        </w:rPr>
        <w:t>Health care–associated infections: A meta-analysis of costs and financial impact on the us health care system. JAMA Internal Medicine 2013:-.</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Eappen S, Lane BH, Rosenberg B, Lipsitz SA, Sadoff D, Matheson D, et al. Relationship between occurrence of surgical complications and hospital finances. JAMA 2013;309(15):1599-1606.</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lang w:val="de-DE"/>
        </w:rPr>
        <w:t xml:space="preserve">Cohen RI, Jaffrey F, Bruno J, Baumann MH. </w:t>
      </w:r>
      <w:r w:rsidRPr="00394088">
        <w:rPr>
          <w:rFonts w:cs="Arial"/>
          <w:noProof/>
          <w:szCs w:val="24"/>
        </w:rPr>
        <w:t>Quality Improvement and Pay for Performance: Barriers to and Strategies for Success. Chest 2013;143(6):1542-1547.</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How can the NHS payment system do more for patients? NHS England and Monitor, 2013.</w:t>
      </w:r>
    </w:p>
    <w:p w:rsidR="007A1C4A" w:rsidRPr="00394088" w:rsidRDefault="007A1C4A" w:rsidP="00721A5B">
      <w:pPr>
        <w:numPr>
          <w:ilvl w:val="0"/>
          <w:numId w:val="43"/>
        </w:numPr>
        <w:spacing w:line="264" w:lineRule="auto"/>
        <w:ind w:left="357" w:hanging="357"/>
        <w:rPr>
          <w:rFonts w:cs="Arial"/>
          <w:b/>
          <w:i/>
          <w:noProof/>
          <w:szCs w:val="24"/>
        </w:rPr>
      </w:pPr>
      <w:r w:rsidRPr="00394088">
        <w:rPr>
          <w:rFonts w:cs="Arial"/>
          <w:noProof/>
          <w:szCs w:val="24"/>
        </w:rPr>
        <w:t>Tsiachristas A, Dikkers C, Boland MRS, Rutten-van Mölken MPMH. Exploring payment schemes used to promote integrated chronic care in Europe. Health Policy 2013.</w:t>
      </w:r>
    </w:p>
    <w:p w:rsidR="007A1C4A" w:rsidRDefault="007A1C4A" w:rsidP="00284EB5">
      <w:pPr>
        <w:rPr>
          <w:rFonts w:cs="Arial"/>
          <w:noProof/>
        </w:rPr>
      </w:pPr>
    </w:p>
    <w:p w:rsidR="007A1C4A" w:rsidRDefault="007A1C4A" w:rsidP="00284EB5">
      <w:r>
        <w:fldChar w:fldCharType="end"/>
      </w:r>
    </w:p>
    <w:p w:rsidR="00721A5B" w:rsidRPr="00C3225A" w:rsidRDefault="00721A5B" w:rsidP="00721A5B">
      <w:pPr>
        <w:rPr>
          <w:rStyle w:val="IntenseReference"/>
          <w:b w:val="0"/>
          <w:bCs w:val="0"/>
          <w:i w:val="0"/>
          <w:smallCaps w:val="0"/>
          <w:lang w:val="en-US"/>
        </w:rPr>
      </w:pPr>
      <w:r>
        <w:br w:type="page"/>
      </w:r>
      <w:r w:rsidRPr="00D04E8B">
        <w:rPr>
          <w:b/>
          <w:sz w:val="28"/>
        </w:rPr>
        <w:lastRenderedPageBreak/>
        <w:t>3.5 Summary of literature 1 October 2013 – 21 May 2014</w:t>
      </w:r>
    </w:p>
    <w:p w:rsidR="00721A5B" w:rsidRDefault="00721A5B" w:rsidP="00721A5B">
      <w:pPr>
        <w:rPr>
          <w:rStyle w:val="IntenseReference"/>
          <w:b w:val="0"/>
          <w:bCs w:val="0"/>
          <w:i w:val="0"/>
          <w:smallCaps w:val="0"/>
          <w:lang w:val="en-US"/>
        </w:rPr>
      </w:pPr>
    </w:p>
    <w:p w:rsidR="00721A5B" w:rsidRDefault="00721A5B" w:rsidP="00721A5B">
      <w:pPr>
        <w:rPr>
          <w:rStyle w:val="IntenseReference"/>
          <w:b w:val="0"/>
          <w:bCs w:val="0"/>
          <w:i w:val="0"/>
          <w:smallCaps w:val="0"/>
          <w:lang w:val="en-US"/>
        </w:rPr>
      </w:pPr>
    </w:p>
    <w:tbl>
      <w:tblPr>
        <w:tblW w:w="2237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49"/>
        <w:gridCol w:w="2791"/>
        <w:gridCol w:w="1440"/>
        <w:gridCol w:w="1440"/>
        <w:gridCol w:w="1800"/>
        <w:gridCol w:w="1800"/>
        <w:gridCol w:w="1055"/>
        <w:gridCol w:w="1285"/>
        <w:gridCol w:w="10310"/>
      </w:tblGrid>
      <w:tr w:rsidR="00721A5B" w:rsidRPr="00721A5B" w:rsidTr="00D04E8B">
        <w:trPr>
          <w:trHeight w:val="510"/>
          <w:tblHeader/>
        </w:trPr>
        <w:tc>
          <w:tcPr>
            <w:tcW w:w="449" w:type="dxa"/>
            <w:shd w:val="clear" w:color="auto" w:fill="8DB3E2"/>
          </w:tcPr>
          <w:p w:rsidR="00721A5B" w:rsidRPr="00721A5B" w:rsidRDefault="00721A5B" w:rsidP="00B060E0">
            <w:pPr>
              <w:spacing w:before="20" w:after="20" w:line="264" w:lineRule="auto"/>
              <w:rPr>
                <w:rFonts w:cs="Arial"/>
                <w:b/>
                <w:color w:val="FFFFFF"/>
                <w:sz w:val="20"/>
                <w:lang w:eastAsia="en-AU"/>
              </w:rPr>
            </w:pPr>
          </w:p>
        </w:tc>
        <w:tc>
          <w:tcPr>
            <w:tcW w:w="2791"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Article name</w:t>
            </w:r>
          </w:p>
        </w:tc>
        <w:tc>
          <w:tcPr>
            <w:tcW w:w="1440"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Authors</w:t>
            </w:r>
          </w:p>
        </w:tc>
        <w:tc>
          <w:tcPr>
            <w:tcW w:w="1440"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 xml:space="preserve">Publication </w:t>
            </w:r>
          </w:p>
        </w:tc>
        <w:tc>
          <w:tcPr>
            <w:tcW w:w="1800"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Study design</w:t>
            </w:r>
          </w:p>
        </w:tc>
        <w:tc>
          <w:tcPr>
            <w:tcW w:w="1800"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 xml:space="preserve">Model(s) &amp; mechanism </w:t>
            </w:r>
          </w:p>
        </w:tc>
        <w:tc>
          <w:tcPr>
            <w:tcW w:w="1055"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 xml:space="preserve">Country </w:t>
            </w:r>
          </w:p>
        </w:tc>
        <w:tc>
          <w:tcPr>
            <w:tcW w:w="1285"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Context &amp; setting</w:t>
            </w:r>
          </w:p>
        </w:tc>
        <w:tc>
          <w:tcPr>
            <w:tcW w:w="10310" w:type="dxa"/>
            <w:shd w:val="clear" w:color="000000" w:fill="8DB3E2"/>
          </w:tcPr>
          <w:p w:rsidR="00721A5B" w:rsidRPr="00721A5B" w:rsidRDefault="00721A5B" w:rsidP="00B060E0">
            <w:pPr>
              <w:spacing w:before="20" w:after="20" w:line="264" w:lineRule="auto"/>
              <w:rPr>
                <w:rFonts w:cs="Arial"/>
                <w:b/>
                <w:color w:val="FFFFFF"/>
                <w:sz w:val="20"/>
                <w:lang w:eastAsia="en-AU"/>
              </w:rPr>
            </w:pPr>
            <w:r w:rsidRPr="00721A5B">
              <w:rPr>
                <w:rFonts w:cs="Arial"/>
                <w:b/>
                <w:color w:val="FFFFFF"/>
                <w:sz w:val="20"/>
                <w:lang w:eastAsia="en-AU"/>
              </w:rPr>
              <w:t>Results, impact, key points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2</w:t>
            </w:r>
          </w:p>
        </w:tc>
        <w:tc>
          <w:tcPr>
            <w:tcW w:w="2791" w:type="dxa"/>
          </w:tcPr>
          <w:p w:rsidR="00721A5B" w:rsidRPr="00D04E8B" w:rsidRDefault="00721A5B" w:rsidP="00B060E0">
            <w:pPr>
              <w:spacing w:before="20" w:after="20" w:line="264" w:lineRule="auto"/>
              <w:rPr>
                <w:rStyle w:val="Emphasis"/>
                <w:rFonts w:cs="Arial"/>
                <w:i w:val="0"/>
                <w:sz w:val="20"/>
              </w:rPr>
            </w:pPr>
            <w:r w:rsidRPr="00D04E8B">
              <w:rPr>
                <w:rStyle w:val="Emphasis"/>
                <w:rFonts w:cs="Arial"/>
                <w:i w:val="0"/>
                <w:sz w:val="20"/>
              </w:rPr>
              <w:t>The NHS payment system: evolving policy and emerging evidence</w:t>
            </w:r>
            <w:hyperlink w:anchor="_ENREF_1" w:tooltip="Marshall L, 2014 #13866" w:history="1">
              <w:r w:rsidRPr="00D04E8B">
                <w:rPr>
                  <w:rStyle w:val="Emphasis"/>
                  <w:rFonts w:cs="Arial"/>
                  <w:i w:val="0"/>
                  <w:sz w:val="20"/>
                </w:rPr>
                <w:fldChar w:fldCharType="begin"/>
              </w:r>
              <w:r w:rsidRPr="00D04E8B">
                <w:rPr>
                  <w:rStyle w:val="Emphasis"/>
                  <w:rFonts w:cs="Arial"/>
                  <w:i w:val="0"/>
                  <w:sz w:val="20"/>
                </w:rPr>
                <w:instrText xml:space="preserve"> ADDIN EN.CITE &lt;EndNote&gt;&lt;Cite&gt;&lt;Author&gt;Marshall L&lt;/Author&gt;&lt;Year&gt;2014&lt;/Year&gt;&lt;RecNum&gt;13866&lt;/RecNum&gt;&lt;DisplayText&gt;&lt;style face="superscript"&gt;1&lt;/style&gt;&lt;/DisplayText&gt;&lt;record&gt;&lt;rec-number&gt;13866&lt;/rec-number&gt;&lt;foreign-keys&gt;&lt;key app="EN" db-id="5r0eapxzsestz4er5zaxe5zqz99fvpawedp5"&gt;13866&lt;/key&gt;&lt;/foreign-keys&gt;&lt;ref-type name="Report"&gt;27&lt;/ref-type&gt;&lt;contributors&gt;&lt;authors&gt;&lt;author&gt;Marshall L,&lt;/author&gt;&lt;author&gt;Charlesworth A,&lt;/author&gt;&lt;author&gt;Hurst J,&lt;/author&gt;&lt;/authors&gt;&lt;/contributors&gt;&lt;titles&gt;&lt;title&gt;The NHS payment system: evolving policy and emerging evidence&lt;/title&gt;&lt;/titles&gt;&lt;dates&gt;&lt;year&gt;2014&lt;/year&gt;&lt;/dates&gt;&lt;publisher&gt;Nuffield Trust&lt;/publisher&gt;&lt;urls&gt;&lt;/urls&gt;&lt;/record&gt;&lt;/Cite&gt;&lt;/EndNote&gt;</w:instrText>
              </w:r>
              <w:r w:rsidRPr="00D04E8B">
                <w:rPr>
                  <w:rStyle w:val="Emphasis"/>
                  <w:rFonts w:cs="Arial"/>
                  <w:i w:val="0"/>
                  <w:sz w:val="20"/>
                </w:rPr>
                <w:fldChar w:fldCharType="separate"/>
              </w:r>
              <w:r w:rsidRPr="00D04E8B">
                <w:rPr>
                  <w:rStyle w:val="Emphasis"/>
                  <w:rFonts w:cs="Arial"/>
                  <w:i w:val="0"/>
                  <w:noProof/>
                  <w:sz w:val="20"/>
                  <w:vertAlign w:val="superscript"/>
                </w:rPr>
                <w:t>1</w:t>
              </w:r>
              <w:r w:rsidRPr="00D04E8B">
                <w:rPr>
                  <w:rStyle w:val="Emphasis"/>
                  <w:rFonts w:cs="Arial"/>
                  <w:i w:val="0"/>
                  <w:sz w:val="20"/>
                </w:rPr>
                <w:fldChar w:fldCharType="end"/>
              </w:r>
            </w:hyperlink>
          </w:p>
        </w:tc>
        <w:tc>
          <w:tcPr>
            <w:tcW w:w="1440" w:type="dxa"/>
          </w:tcPr>
          <w:p w:rsidR="00721A5B" w:rsidRPr="00721A5B" w:rsidRDefault="00721A5B" w:rsidP="00B060E0">
            <w:pPr>
              <w:spacing w:before="20" w:after="20" w:line="264" w:lineRule="auto"/>
              <w:rPr>
                <w:rFonts w:cs="Arial"/>
                <w:sz w:val="20"/>
              </w:rPr>
            </w:pPr>
            <w:r w:rsidRPr="00721A5B">
              <w:rPr>
                <w:rFonts w:cs="Arial"/>
                <w:sz w:val="20"/>
              </w:rPr>
              <w:t>Marshall L, Charlesworth A, Hurst J</w:t>
            </w:r>
          </w:p>
        </w:tc>
        <w:tc>
          <w:tcPr>
            <w:tcW w:w="1440" w:type="dxa"/>
          </w:tcPr>
          <w:p w:rsidR="00721A5B" w:rsidRPr="00721A5B" w:rsidRDefault="00721A5B" w:rsidP="00B060E0">
            <w:pPr>
              <w:spacing w:before="20" w:after="20" w:line="264" w:lineRule="auto"/>
              <w:rPr>
                <w:rFonts w:cs="Arial"/>
                <w:sz w:val="20"/>
              </w:rPr>
            </w:pPr>
            <w:r w:rsidRPr="00721A5B">
              <w:rPr>
                <w:rFonts w:cs="Arial"/>
                <w:sz w:val="20"/>
              </w:rPr>
              <w:t xml:space="preserve">Nuffield Trust </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Report</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Best practice tariffs; Payment by results; 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UK</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National Health Service</w:t>
            </w:r>
          </w:p>
        </w:tc>
        <w:tc>
          <w:tcPr>
            <w:tcW w:w="10310" w:type="dxa"/>
          </w:tcPr>
          <w:p w:rsidR="00721A5B" w:rsidRPr="00721A5B" w:rsidRDefault="00721A5B" w:rsidP="00B060E0">
            <w:pPr>
              <w:autoSpaceDE w:val="0"/>
              <w:autoSpaceDN w:val="0"/>
              <w:adjustRightInd w:val="0"/>
              <w:rPr>
                <w:rFonts w:cs="Arial"/>
                <w:sz w:val="20"/>
              </w:rPr>
            </w:pPr>
            <w:r w:rsidRPr="00721A5B">
              <w:rPr>
                <w:rFonts w:cs="Arial"/>
                <w:sz w:val="20"/>
              </w:rPr>
              <w:t>This report analysed the effectiveness of different healthcare payment approaches in the NHS in terms of meeting their objectives. Key findings germane to this review include:</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The structure of incentives across services does little to support policy ambitions to shift care out of the hospital setting, with the payment systems often giving conflicting signals. The predominance of activity-based payment in the acute sector, introduced at a time of long waiting lists, encourages activity in hospitals; at the same time, block budgets in community services and capitated budgets in primary care offer little incentive to increase activity or efficiency in these settings.</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For something to be incentivised, it must be both measurable and directly attributed to the provider. Outcomes are often difficult to measure, distant in time from the care activity, and influenced by multiple determinants, including many outside the control of the health sector, making attribution to specific provider actions problematic. There are also inherent risks to incentivising outcomes, including to equity of access to care.</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Features associated with the success of pay-for-performance schemes in the NHS have been: (a) a clear evidence base (b) clinical engagement and support (c) sufficient longevity to encourage investment in change by providers (d) feasibility in practice (e) simplicity.</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The most successful schemes have also included non-payment quality improvement measures, such as shared learning and public reporting of data.</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Pay-for-performance schemes have not been universally successful; the evaluation of Commissioning for Quality and Innovation (CQUIN) schemes has been more negative (the definition of goals and targets can often be done best at a local level, and may help clinical engagement, developing the technical aspects of payment and pricing requires specific expertise and use of evidence, which may not be available locally).</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Best practice care for many conditions, including long-term chronic conditions, requires coordinated action across multiple health and non-health organisations and individuals.  In its current form, the payment system does not support joint working between organisations within the health service, let alone more widely.</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Different services will need different payment methods. While it may be appropriate to incentivise a process where it is directly linked to an outcome, more complex outcomes with multiple determinants will need a different approach.</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In addition to financial incentives, thought should be given as to whether objectives are better achieved through other levers.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2</w:t>
            </w:r>
          </w:p>
        </w:tc>
        <w:tc>
          <w:tcPr>
            <w:tcW w:w="2791" w:type="dxa"/>
          </w:tcPr>
          <w:p w:rsidR="00721A5B" w:rsidRPr="00D04E8B" w:rsidRDefault="00721A5B" w:rsidP="00B060E0">
            <w:pPr>
              <w:spacing w:before="20" w:after="20" w:line="264" w:lineRule="auto"/>
              <w:rPr>
                <w:rStyle w:val="Emphasis"/>
                <w:rFonts w:cs="Arial"/>
                <w:i w:val="0"/>
                <w:sz w:val="20"/>
              </w:rPr>
            </w:pPr>
            <w:r w:rsidRPr="00D04E8B">
              <w:rPr>
                <w:rStyle w:val="Emphasis"/>
                <w:rFonts w:cs="Arial"/>
                <w:i w:val="0"/>
                <w:sz w:val="20"/>
              </w:rPr>
              <w:t>NHS payment reform: lessons from the past and directions for the future</w:t>
            </w:r>
            <w:hyperlink w:anchor="_ENREF_2" w:tooltip="Charlesworth A, 2014 #13867" w:history="1">
              <w:r w:rsidRPr="00D04E8B">
                <w:rPr>
                  <w:rStyle w:val="Emphasis"/>
                  <w:rFonts w:cs="Arial"/>
                  <w:i w:val="0"/>
                  <w:sz w:val="20"/>
                </w:rPr>
                <w:fldChar w:fldCharType="begin"/>
              </w:r>
              <w:r w:rsidRPr="00D04E8B">
                <w:rPr>
                  <w:rStyle w:val="Emphasis"/>
                  <w:rFonts w:cs="Arial"/>
                  <w:i w:val="0"/>
                  <w:sz w:val="20"/>
                </w:rPr>
                <w:instrText xml:space="preserve"> ADDIN EN.CITE &lt;EndNote&gt;&lt;Cite&gt;&lt;Author&gt;Charlesworth A&lt;/Author&gt;&lt;Year&gt;2014&lt;/Year&gt;&lt;RecNum&gt;13867&lt;/RecNum&gt;&lt;DisplayText&gt;&lt;style face="superscript"&gt;2&lt;/style&gt;&lt;/DisplayText&gt;&lt;record&gt;&lt;rec-number&gt;13867&lt;/rec-number&gt;&lt;foreign-keys&gt;&lt;key app="EN" db-id="5r0eapxzsestz4er5zaxe5zqz99fvpawedp5"&gt;13867&lt;/key&gt;&lt;/foreign-keys&gt;&lt;ref-type name="Report"&gt;27&lt;/ref-type&gt;&lt;contributors&gt;&lt;authors&gt;&lt;author&gt;Charlesworth A,&lt;/author&gt;&lt;author&gt;Hawkins L,&lt;/author&gt;&lt;author&gt;Marshall L,&lt;/author&gt;&lt;/authors&gt;&lt;/contributors&gt;&lt;titles&gt;&lt;title&gt;NHS payment reform: lessons from the past and directions for the future&lt;/title&gt;&lt;/titles&gt;&lt;dates&gt;&lt;year&gt;2014&lt;/year&gt;&lt;/dates&gt;&lt;publisher&gt;Nuffield Trust&lt;/publisher&gt;&lt;urls&gt;&lt;/urls&gt;&lt;/record&gt;&lt;/Cite&gt;&lt;/EndNote&gt;</w:instrText>
              </w:r>
              <w:r w:rsidRPr="00D04E8B">
                <w:rPr>
                  <w:rStyle w:val="Emphasis"/>
                  <w:rFonts w:cs="Arial"/>
                  <w:i w:val="0"/>
                  <w:sz w:val="20"/>
                </w:rPr>
                <w:fldChar w:fldCharType="separate"/>
              </w:r>
              <w:r w:rsidRPr="00D04E8B">
                <w:rPr>
                  <w:rStyle w:val="Emphasis"/>
                  <w:rFonts w:cs="Arial"/>
                  <w:i w:val="0"/>
                  <w:noProof/>
                  <w:sz w:val="20"/>
                  <w:vertAlign w:val="superscript"/>
                </w:rPr>
                <w:t>2</w:t>
              </w:r>
              <w:r w:rsidRPr="00D04E8B">
                <w:rPr>
                  <w:rStyle w:val="Emphasis"/>
                  <w:rFonts w:cs="Arial"/>
                  <w:i w:val="0"/>
                  <w:sz w:val="20"/>
                </w:rPr>
                <w:fldChar w:fldCharType="end"/>
              </w:r>
            </w:hyperlink>
          </w:p>
        </w:tc>
        <w:tc>
          <w:tcPr>
            <w:tcW w:w="1440" w:type="dxa"/>
          </w:tcPr>
          <w:p w:rsidR="00721A5B" w:rsidRPr="00721A5B" w:rsidRDefault="00721A5B" w:rsidP="00B060E0">
            <w:pPr>
              <w:spacing w:before="20" w:after="20" w:line="264" w:lineRule="auto"/>
              <w:rPr>
                <w:rFonts w:cs="Arial"/>
                <w:sz w:val="20"/>
              </w:rPr>
            </w:pPr>
            <w:r w:rsidRPr="00721A5B">
              <w:rPr>
                <w:rFonts w:cs="Arial"/>
                <w:sz w:val="20"/>
              </w:rPr>
              <w:t xml:space="preserve">Charlesworth A, Hawkins L, Marshall L, </w:t>
            </w:r>
          </w:p>
        </w:tc>
        <w:tc>
          <w:tcPr>
            <w:tcW w:w="1440" w:type="dxa"/>
          </w:tcPr>
          <w:p w:rsidR="00721A5B" w:rsidRPr="00721A5B" w:rsidRDefault="00721A5B" w:rsidP="00B060E0">
            <w:pPr>
              <w:spacing w:before="20" w:after="20" w:line="264" w:lineRule="auto"/>
              <w:rPr>
                <w:rFonts w:cs="Arial"/>
                <w:sz w:val="20"/>
              </w:rPr>
            </w:pPr>
            <w:r w:rsidRPr="00721A5B">
              <w:rPr>
                <w:rFonts w:cs="Arial"/>
                <w:sz w:val="20"/>
              </w:rPr>
              <w:t xml:space="preserve">Nuffield Trust </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Report</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Best practice tariffs; Payment by results; 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UK</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National Health Service</w:t>
            </w:r>
          </w:p>
        </w:tc>
        <w:tc>
          <w:tcPr>
            <w:tcW w:w="10310" w:type="dxa"/>
          </w:tcPr>
          <w:p w:rsidR="00721A5B" w:rsidRPr="00721A5B" w:rsidRDefault="00721A5B" w:rsidP="00B060E0">
            <w:pPr>
              <w:autoSpaceDE w:val="0"/>
              <w:autoSpaceDN w:val="0"/>
              <w:adjustRightInd w:val="0"/>
              <w:rPr>
                <w:rFonts w:cs="Arial"/>
                <w:sz w:val="20"/>
              </w:rPr>
            </w:pPr>
            <w:r w:rsidRPr="00721A5B">
              <w:rPr>
                <w:rFonts w:cs="Arial"/>
                <w:sz w:val="20"/>
              </w:rPr>
              <w:t>Companion the above Report; presents longer-term recommendations for the NHS payment system. Key points and recommendations germane to this review include:</w:t>
            </w:r>
          </w:p>
          <w:p w:rsidR="00721A5B" w:rsidRPr="00721A5B" w:rsidRDefault="00721A5B" w:rsidP="00721A5B">
            <w:pPr>
              <w:pStyle w:val="ListParagraph"/>
              <w:numPr>
                <w:ilvl w:val="0"/>
                <w:numId w:val="47"/>
              </w:numPr>
              <w:autoSpaceDE w:val="0"/>
              <w:autoSpaceDN w:val="0"/>
              <w:adjustRightInd w:val="0"/>
              <w:rPr>
                <w:rFonts w:ascii="Arial" w:hAnsi="Arial" w:cs="Arial"/>
                <w:sz w:val="20"/>
                <w:szCs w:val="20"/>
              </w:rPr>
            </w:pPr>
            <w:r w:rsidRPr="00721A5B">
              <w:rPr>
                <w:rFonts w:ascii="Arial" w:hAnsi="Arial" w:cs="Arial"/>
                <w:sz w:val="20"/>
                <w:szCs w:val="20"/>
              </w:rPr>
              <w:t>Fundamental reform the payment system for emergency care, shifting away from Payment by Results towards global budgets for capacity, informed by standardised benchmarks</w:t>
            </w:r>
          </w:p>
          <w:p w:rsidR="00721A5B" w:rsidRPr="00721A5B" w:rsidRDefault="00721A5B" w:rsidP="00721A5B">
            <w:pPr>
              <w:pStyle w:val="ListParagraph"/>
              <w:numPr>
                <w:ilvl w:val="0"/>
                <w:numId w:val="47"/>
              </w:numPr>
              <w:autoSpaceDE w:val="0"/>
              <w:autoSpaceDN w:val="0"/>
              <w:adjustRightInd w:val="0"/>
              <w:rPr>
                <w:rFonts w:ascii="Arial" w:hAnsi="Arial" w:cs="Arial"/>
                <w:sz w:val="20"/>
                <w:szCs w:val="20"/>
              </w:rPr>
            </w:pPr>
            <w:r w:rsidRPr="00721A5B">
              <w:rPr>
                <w:rFonts w:ascii="Arial" w:hAnsi="Arial" w:cs="Arial"/>
                <w:sz w:val="20"/>
                <w:szCs w:val="20"/>
              </w:rPr>
              <w:t>Developing nationally priced currencies for a wider range of non-emergency services, including community health services, to make it easier for clinical commissioning groups to commission bundles or packages of care for pathways or patient groups spanning hospital- and community-based services</w:t>
            </w:r>
          </w:p>
          <w:p w:rsidR="00721A5B" w:rsidRPr="00721A5B" w:rsidRDefault="00721A5B" w:rsidP="00721A5B">
            <w:pPr>
              <w:pStyle w:val="ListParagraph"/>
              <w:numPr>
                <w:ilvl w:val="0"/>
                <w:numId w:val="47"/>
              </w:numPr>
              <w:autoSpaceDE w:val="0"/>
              <w:autoSpaceDN w:val="0"/>
              <w:adjustRightInd w:val="0"/>
              <w:rPr>
                <w:rFonts w:ascii="Arial" w:hAnsi="Arial" w:cs="Arial"/>
                <w:sz w:val="20"/>
                <w:szCs w:val="20"/>
              </w:rPr>
            </w:pPr>
            <w:r w:rsidRPr="00721A5B">
              <w:rPr>
                <w:rFonts w:ascii="Arial" w:hAnsi="Arial" w:cs="Arial"/>
                <w:sz w:val="20"/>
                <w:szCs w:val="20"/>
              </w:rPr>
              <w:t>Refocusing the pay-for-performance elements of the payment system towards improving the integration and coordination of care.</w:t>
            </w:r>
          </w:p>
          <w:p w:rsidR="00721A5B" w:rsidRPr="00721A5B" w:rsidRDefault="00721A5B" w:rsidP="00721A5B">
            <w:pPr>
              <w:pStyle w:val="ListParagraph"/>
              <w:numPr>
                <w:ilvl w:val="0"/>
                <w:numId w:val="47"/>
              </w:numPr>
              <w:autoSpaceDE w:val="0"/>
              <w:autoSpaceDN w:val="0"/>
              <w:adjustRightInd w:val="0"/>
              <w:rPr>
                <w:rFonts w:ascii="Arial" w:hAnsi="Arial" w:cs="Arial"/>
                <w:sz w:val="20"/>
                <w:szCs w:val="20"/>
              </w:rPr>
            </w:pPr>
            <w:r w:rsidRPr="00721A5B">
              <w:rPr>
                <w:rFonts w:ascii="Arial" w:hAnsi="Arial" w:cs="Arial"/>
                <w:sz w:val="20"/>
                <w:szCs w:val="20"/>
              </w:rPr>
              <w:t>Improving the e</w:t>
            </w:r>
            <w:r w:rsidRPr="00721A5B">
              <w:rPr>
                <w:rFonts w:ascii="Cambria Math" w:hAnsi="Cambria Math" w:cs="Cambria Math"/>
                <w:sz w:val="20"/>
                <w:szCs w:val="20"/>
              </w:rPr>
              <w:t>ﬃ</w:t>
            </w:r>
            <w:r w:rsidRPr="00721A5B">
              <w:rPr>
                <w:rFonts w:ascii="Arial" w:hAnsi="Arial" w:cs="Arial"/>
                <w:sz w:val="20"/>
                <w:szCs w:val="20"/>
              </w:rPr>
              <w:t>ciency incentives in the payment system through signiﬁcant extension of best practice tari</w:t>
            </w:r>
            <w:r w:rsidRPr="00721A5B">
              <w:rPr>
                <w:rFonts w:ascii="Cambria Math" w:hAnsi="Cambria Math" w:cs="Cambria Math"/>
                <w:sz w:val="20"/>
                <w:szCs w:val="20"/>
              </w:rPr>
              <w:t>ﬀ</w:t>
            </w:r>
            <w:r w:rsidRPr="00721A5B">
              <w:rPr>
                <w:rFonts w:ascii="Arial" w:hAnsi="Arial" w:cs="Arial"/>
                <w:sz w:val="20"/>
                <w:szCs w:val="20"/>
              </w:rPr>
              <w:t>s to more planned care</w:t>
            </w:r>
          </w:p>
          <w:p w:rsidR="00721A5B" w:rsidRPr="00721A5B" w:rsidRDefault="00721A5B" w:rsidP="00721A5B">
            <w:pPr>
              <w:pStyle w:val="ListParagraph"/>
              <w:numPr>
                <w:ilvl w:val="0"/>
                <w:numId w:val="47"/>
              </w:numPr>
              <w:autoSpaceDE w:val="0"/>
              <w:autoSpaceDN w:val="0"/>
              <w:adjustRightInd w:val="0"/>
              <w:rPr>
                <w:rFonts w:ascii="Arial" w:hAnsi="Arial" w:cs="Arial"/>
                <w:sz w:val="20"/>
                <w:szCs w:val="20"/>
              </w:rPr>
            </w:pPr>
            <w:r w:rsidRPr="00721A5B">
              <w:rPr>
                <w:rFonts w:ascii="Arial" w:hAnsi="Arial" w:cs="Arial"/>
                <w:sz w:val="20"/>
                <w:szCs w:val="20"/>
              </w:rPr>
              <w:t xml:space="preserve">Sustained focus on improving costing information across the NHS. Incentives can only operate if they are clear, consistent and transparent. </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p>
        </w:tc>
        <w:tc>
          <w:tcPr>
            <w:tcW w:w="2791" w:type="dxa"/>
          </w:tcPr>
          <w:p w:rsidR="00721A5B" w:rsidRPr="00D04E8B" w:rsidRDefault="00721A5B" w:rsidP="00B060E0">
            <w:pPr>
              <w:spacing w:before="20" w:after="20" w:line="264" w:lineRule="auto"/>
              <w:rPr>
                <w:rStyle w:val="Emphasis"/>
                <w:rFonts w:cs="Arial"/>
                <w:i w:val="0"/>
                <w:sz w:val="20"/>
              </w:rPr>
            </w:pPr>
            <w:r w:rsidRPr="00D04E8B">
              <w:rPr>
                <w:rStyle w:val="Emphasis"/>
                <w:rFonts w:cs="Arial"/>
                <w:i w:val="0"/>
                <w:sz w:val="20"/>
              </w:rPr>
              <w:t>Paying for improvements in quality: recent experience in the NHS in England</w:t>
            </w:r>
            <w:hyperlink w:anchor="_ENREF_3" w:tooltip="Meacock R, 2014 #13877" w:history="1">
              <w:r w:rsidRPr="00D04E8B">
                <w:rPr>
                  <w:rStyle w:val="Emphasis"/>
                  <w:rFonts w:cs="Arial"/>
                  <w:i w:val="0"/>
                  <w:sz w:val="20"/>
                </w:rPr>
                <w:fldChar w:fldCharType="begin"/>
              </w:r>
              <w:r w:rsidRPr="00D04E8B">
                <w:rPr>
                  <w:rStyle w:val="Emphasis"/>
                  <w:rFonts w:cs="Arial"/>
                  <w:i w:val="0"/>
                  <w:sz w:val="20"/>
                </w:rPr>
                <w:instrText xml:space="preserve"> ADDIN EN.CITE &lt;EndNote&gt;&lt;Cite&gt;&lt;Author&gt;Meacock R&lt;/Author&gt;&lt;Year&gt;2014&lt;/Year&gt;&lt;RecNum&gt;13877&lt;/RecNum&gt;&lt;DisplayText&gt;&lt;style face="superscript"&gt;3&lt;/style&gt;&lt;/DisplayText&gt;&lt;record&gt;&lt;rec-number&gt;13877&lt;/rec-number&gt;&lt;foreign-keys&gt;&lt;key app="EN" db-id="5r0eapxzsestz4er5zaxe5zqz99fvpawedp5"&gt;13877&lt;/key&gt;&lt;/foreign-keys&gt;&lt;ref-type name="Journal Article"&gt;17&lt;/ref-type&gt;&lt;contributors&gt;&lt;authors&gt;&lt;author&gt;Meacock R,&lt;/author&gt;&lt;author&gt;Kristensen SR,&lt;/author&gt;&lt;author&gt;Sutton M&lt;/author&gt;&lt;/authors&gt;&lt;/contributors&gt;&lt;titles&gt;&lt;title&gt;Paying for improvements in quality: recent experience in the NHS in England&lt;/title&gt;&lt;secondary-title&gt;Nordic Journal of Health Economics&lt;/secondary-title&gt;&lt;/titles&gt;&lt;periodical&gt;&lt;full-title&gt;Nordic Journal of Health Economics&lt;/full-title&gt;&lt;/periodical&gt;&lt;pages&gt;239-255&lt;/pages&gt;&lt;volume&gt;March&lt;/volume&gt;&lt;dates&gt;&lt;year&gt;2014&lt;/year&gt;&lt;/dates&gt;&lt;urls&gt;&lt;/urls&gt;&lt;/record&gt;&lt;/Cite&gt;&lt;/EndNote&gt;</w:instrText>
              </w:r>
              <w:r w:rsidRPr="00D04E8B">
                <w:rPr>
                  <w:rStyle w:val="Emphasis"/>
                  <w:rFonts w:cs="Arial"/>
                  <w:i w:val="0"/>
                  <w:sz w:val="20"/>
                </w:rPr>
                <w:fldChar w:fldCharType="separate"/>
              </w:r>
              <w:r w:rsidRPr="00D04E8B">
                <w:rPr>
                  <w:rStyle w:val="Emphasis"/>
                  <w:rFonts w:cs="Arial"/>
                  <w:i w:val="0"/>
                  <w:noProof/>
                  <w:sz w:val="20"/>
                  <w:vertAlign w:val="superscript"/>
                </w:rPr>
                <w:t>3</w:t>
              </w:r>
              <w:r w:rsidRPr="00D04E8B">
                <w:rPr>
                  <w:rStyle w:val="Emphasis"/>
                  <w:rFonts w:cs="Arial"/>
                  <w:i w:val="0"/>
                  <w:sz w:val="20"/>
                </w:rPr>
                <w:fldChar w:fldCharType="end"/>
              </w:r>
            </w:hyperlink>
          </w:p>
        </w:tc>
        <w:tc>
          <w:tcPr>
            <w:tcW w:w="1440" w:type="dxa"/>
          </w:tcPr>
          <w:p w:rsidR="00721A5B" w:rsidRPr="00721A5B" w:rsidRDefault="00721A5B" w:rsidP="00B060E0">
            <w:pPr>
              <w:spacing w:before="20" w:after="20" w:line="264" w:lineRule="auto"/>
              <w:rPr>
                <w:rFonts w:cs="Arial"/>
                <w:sz w:val="20"/>
              </w:rPr>
            </w:pPr>
            <w:r w:rsidRPr="00721A5B">
              <w:rPr>
                <w:rFonts w:cs="Arial"/>
                <w:sz w:val="20"/>
              </w:rPr>
              <w:t>Meacock R, Kristensen SR, Sutton M</w:t>
            </w:r>
          </w:p>
        </w:tc>
        <w:tc>
          <w:tcPr>
            <w:tcW w:w="1440" w:type="dxa"/>
          </w:tcPr>
          <w:p w:rsidR="00721A5B" w:rsidRPr="00721A5B" w:rsidRDefault="00721A5B" w:rsidP="00B060E0">
            <w:pPr>
              <w:spacing w:before="20" w:after="20" w:line="264" w:lineRule="auto"/>
              <w:rPr>
                <w:rFonts w:cs="Arial"/>
                <w:sz w:val="20"/>
              </w:rPr>
            </w:pPr>
            <w:r w:rsidRPr="00721A5B">
              <w:rPr>
                <w:rFonts w:cs="Arial"/>
                <w:sz w:val="20"/>
              </w:rPr>
              <w:t>Nordic Journal of Health Economics</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Review and analysis of literature</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Best practice tariffs; Payment by results; 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UK</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National Health Service</w:t>
            </w:r>
          </w:p>
        </w:tc>
        <w:tc>
          <w:tcPr>
            <w:tcW w:w="10310" w:type="dxa"/>
          </w:tcPr>
          <w:p w:rsidR="00721A5B" w:rsidRPr="00721A5B" w:rsidRDefault="00721A5B" w:rsidP="00B060E0">
            <w:pPr>
              <w:autoSpaceDE w:val="0"/>
              <w:autoSpaceDN w:val="0"/>
              <w:adjustRightInd w:val="0"/>
              <w:rPr>
                <w:rFonts w:cs="Arial"/>
                <w:sz w:val="20"/>
              </w:rPr>
            </w:pPr>
            <w:r w:rsidRPr="00721A5B">
              <w:rPr>
                <w:rFonts w:cs="Arial"/>
                <w:sz w:val="20"/>
              </w:rPr>
              <w:t xml:space="preserve">This paper (in a Scandinavian journal) summarises the results of the various financial incentive schemes that have been applied in the NHS (Advancing Quality; CQUIN; QOF; non-payment for never events and readmissions). </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P4P programs are more effective when introduced as part of a wider QI initiative</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 xml:space="preserve">Publishing results can enhance outcomes by potentially harnessing reputational incentive </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Clinicians view schemes not as financial incentives but as an offer of supporting investment in QI, which can be used in negotiations with finance directors.</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Context, implementation and change management are important determinants of successful schemes; preparatory work and slow implementation is recommended</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There is not much evidence of widespread unintended consequences or diversion of effort</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Schemes can be cost effective</w:t>
            </w:r>
          </w:p>
          <w:p w:rsidR="00721A5B" w:rsidRPr="00721A5B" w:rsidRDefault="00721A5B" w:rsidP="00721A5B">
            <w:pPr>
              <w:pStyle w:val="ListParagraph"/>
              <w:numPr>
                <w:ilvl w:val="0"/>
                <w:numId w:val="57"/>
              </w:numPr>
              <w:autoSpaceDE w:val="0"/>
              <w:autoSpaceDN w:val="0"/>
              <w:adjustRightInd w:val="0"/>
              <w:rPr>
                <w:rFonts w:ascii="Arial" w:hAnsi="Arial" w:cs="Arial"/>
                <w:sz w:val="20"/>
                <w:szCs w:val="20"/>
              </w:rPr>
            </w:pPr>
            <w:r w:rsidRPr="00721A5B">
              <w:rPr>
                <w:rFonts w:ascii="Arial" w:hAnsi="Arial" w:cs="Arial"/>
                <w:sz w:val="20"/>
                <w:szCs w:val="20"/>
              </w:rPr>
              <w:t>There is still a considerable evidence and knowledge gap in this area.</w:t>
            </w:r>
          </w:p>
          <w:p w:rsidR="00721A5B" w:rsidRPr="00721A5B" w:rsidRDefault="00721A5B" w:rsidP="00B060E0">
            <w:pPr>
              <w:pStyle w:val="ListParagraph"/>
              <w:autoSpaceDE w:val="0"/>
              <w:autoSpaceDN w:val="0"/>
              <w:adjustRightInd w:val="0"/>
              <w:ind w:left="0"/>
              <w:rPr>
                <w:rFonts w:ascii="Arial" w:hAnsi="Arial" w:cs="Arial"/>
                <w:sz w:val="20"/>
                <w:szCs w:val="20"/>
              </w:rPr>
            </w:pPr>
            <w:r w:rsidRPr="00721A5B">
              <w:rPr>
                <w:rFonts w:ascii="Arial" w:hAnsi="Arial" w:cs="Arial"/>
                <w:sz w:val="20"/>
                <w:szCs w:val="20"/>
              </w:rPr>
              <w:t xml:space="preserve">Notably, there is more caution in the Nordic countries to link healthcare remuneration to performance (similar to Germany) compared to other countries. </w:t>
            </w:r>
          </w:p>
          <w:p w:rsidR="00721A5B" w:rsidRPr="00721A5B" w:rsidRDefault="00721A5B" w:rsidP="00B060E0">
            <w:pPr>
              <w:pStyle w:val="ListParagraph"/>
              <w:autoSpaceDE w:val="0"/>
              <w:autoSpaceDN w:val="0"/>
              <w:adjustRightInd w:val="0"/>
              <w:ind w:left="0"/>
              <w:rPr>
                <w:rFonts w:ascii="Arial" w:hAnsi="Arial" w:cs="Arial"/>
                <w:sz w:val="20"/>
                <w:szCs w:val="20"/>
              </w:rPr>
            </w:pPr>
            <w:r w:rsidRPr="00721A5B">
              <w:rPr>
                <w:rFonts w:ascii="Arial" w:hAnsi="Arial" w:cs="Arial"/>
                <w:sz w:val="20"/>
                <w:szCs w:val="20"/>
              </w:rPr>
              <w:t>However, Norway is launching a NOK 500M (AUD 90M) initiative based on performance on process, outcome and patient experience indicators.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lastRenderedPageBreak/>
              <w:t>3</w:t>
            </w:r>
          </w:p>
        </w:tc>
        <w:tc>
          <w:tcPr>
            <w:tcW w:w="2791" w:type="dxa"/>
          </w:tcPr>
          <w:p w:rsidR="00721A5B" w:rsidRPr="00D04E8B" w:rsidRDefault="00721A5B" w:rsidP="00B060E0">
            <w:pPr>
              <w:spacing w:before="20" w:after="20" w:line="264" w:lineRule="auto"/>
              <w:rPr>
                <w:rStyle w:val="Emphasis"/>
                <w:rFonts w:cs="Arial"/>
                <w:sz w:val="20"/>
              </w:rPr>
            </w:pPr>
            <w:r w:rsidRPr="00D04E8B">
              <w:rPr>
                <w:rFonts w:cs="Arial"/>
                <w:sz w:val="20"/>
                <w:lang w:eastAsia="en-AU"/>
              </w:rPr>
              <w:t>Should pay-for-performance schemes be locally designed? Evidence from the Commissioning for Quality and Innovation (CQUIN) Framework</w:t>
            </w:r>
            <w:hyperlink w:anchor="_ENREF_4" w:tooltip="Kristensen SR, 2013 #13868" w:history="1">
              <w:r w:rsidRPr="00D04E8B">
                <w:rPr>
                  <w:rFonts w:cs="Arial"/>
                  <w:sz w:val="20"/>
                  <w:lang w:eastAsia="en-AU"/>
                </w:rPr>
                <w:fldChar w:fldCharType="begin"/>
              </w:r>
              <w:r w:rsidRPr="00D04E8B">
                <w:rPr>
                  <w:rFonts w:cs="Arial"/>
                  <w:sz w:val="20"/>
                  <w:lang w:eastAsia="en-AU"/>
                </w:rPr>
                <w:instrText xml:space="preserve"> ADDIN EN.CITE &lt;EndNote&gt;&lt;Cite&gt;&lt;Author&gt;Kristensen SR&lt;/Author&gt;&lt;Year&gt;2013&lt;/Year&gt;&lt;RecNum&gt;13868&lt;/RecNum&gt;&lt;DisplayText&gt;&lt;style face="superscript"&gt;4&lt;/style&gt;&lt;/DisplayText&gt;&lt;record&gt;&lt;rec-number&gt;13868&lt;/rec-number&gt;&lt;foreign-keys&gt;&lt;key app="EN" db-id="5r0eapxzsestz4er5zaxe5zqz99fvpawedp5"&gt;13868&lt;/key&gt;&lt;/foreign-keys&gt;&lt;ref-type name="Journal Article"&gt;17&lt;/ref-type&gt;&lt;contributors&gt;&lt;authors&gt;&lt;author&gt;Kristensen SR,&lt;/author&gt;&lt;author&gt;McDonald R,&lt;/author&gt;&lt;author&gt;Sutton M,&lt;/author&gt;&lt;/authors&gt;&lt;/contributors&gt;&lt;titles&gt;&lt;title&gt;Should pay-for-performance schemes be locally designed? Evidence from the Commissioning for Quality and Innovation (CQUIN) Framework&lt;/title&gt;&lt;secondary-title&gt;Journal of Health Service Research and Policy&lt;/secondary-title&gt;&lt;/titles&gt;&lt;periodical&gt;&lt;full-title&gt;Journal of Health Service Research and Policy&lt;/full-title&gt;&lt;/periodical&gt;&lt;pages&gt;38-49&lt;/pages&gt;&lt;volume&gt;18&lt;/volume&gt;&lt;number&gt;2 Suppl&lt;/number&gt;&lt;dates&gt;&lt;year&gt;2013&lt;/year&gt;&lt;/dates&gt;&lt;urls&gt;&lt;/urls&gt;&lt;/record&gt;&lt;/Cite&gt;&lt;/EndNote&gt;</w:instrText>
              </w:r>
              <w:r w:rsidRPr="00D04E8B">
                <w:rPr>
                  <w:rFonts w:cs="Arial"/>
                  <w:sz w:val="20"/>
                  <w:lang w:eastAsia="en-AU"/>
                </w:rPr>
                <w:fldChar w:fldCharType="separate"/>
              </w:r>
              <w:r w:rsidRPr="00D04E8B">
                <w:rPr>
                  <w:rFonts w:cs="Arial"/>
                  <w:noProof/>
                  <w:sz w:val="20"/>
                  <w:vertAlign w:val="superscript"/>
                  <w:lang w:eastAsia="en-AU"/>
                </w:rPr>
                <w:t>4</w:t>
              </w:r>
              <w:r w:rsidRPr="00D04E8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rPr>
            </w:pPr>
            <w:r w:rsidRPr="00721A5B">
              <w:rPr>
                <w:rFonts w:cs="Arial"/>
                <w:sz w:val="20"/>
                <w:lang w:eastAsia="en-AU"/>
              </w:rPr>
              <w:t>Kristensen SR, McDonald R, Sutton M.</w:t>
            </w:r>
          </w:p>
        </w:tc>
        <w:tc>
          <w:tcPr>
            <w:tcW w:w="1440" w:type="dxa"/>
          </w:tcPr>
          <w:p w:rsidR="00721A5B" w:rsidRPr="00721A5B" w:rsidRDefault="00721A5B" w:rsidP="00B060E0">
            <w:pPr>
              <w:spacing w:before="20" w:after="20" w:line="264" w:lineRule="auto"/>
              <w:rPr>
                <w:rFonts w:cs="Arial"/>
                <w:sz w:val="20"/>
              </w:rPr>
            </w:pPr>
            <w:r w:rsidRPr="00721A5B">
              <w:rPr>
                <w:rFonts w:cs="Arial"/>
                <w:iCs/>
                <w:sz w:val="20"/>
                <w:lang w:eastAsia="en-AU"/>
              </w:rPr>
              <w:t>Journal of Health Service Research and Policy</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Mixed method analysis</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 xml:space="preserve">Pay for performance </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UK</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National Health Service</w:t>
            </w:r>
          </w:p>
        </w:tc>
        <w:tc>
          <w:tcPr>
            <w:tcW w:w="10310" w:type="dxa"/>
          </w:tcPr>
          <w:p w:rsidR="00721A5B" w:rsidRPr="00721A5B" w:rsidRDefault="00721A5B" w:rsidP="00721A5B">
            <w:pPr>
              <w:pStyle w:val="ListParagraph"/>
              <w:numPr>
                <w:ilvl w:val="0"/>
                <w:numId w:val="48"/>
              </w:numPr>
              <w:autoSpaceDE w:val="0"/>
              <w:autoSpaceDN w:val="0"/>
              <w:adjustRightInd w:val="0"/>
              <w:rPr>
                <w:rFonts w:ascii="Arial" w:hAnsi="Arial" w:cs="Arial"/>
                <w:color w:val="000000"/>
                <w:sz w:val="20"/>
                <w:szCs w:val="20"/>
                <w:shd w:val="clear" w:color="auto" w:fill="FFFFFF"/>
              </w:rPr>
            </w:pPr>
            <w:r w:rsidRPr="00721A5B">
              <w:rPr>
                <w:rFonts w:ascii="Arial" w:hAnsi="Arial" w:cs="Arial"/>
                <w:color w:val="000000"/>
                <w:sz w:val="20"/>
                <w:szCs w:val="20"/>
                <w:shd w:val="clear" w:color="auto" w:fill="FFFFFF"/>
              </w:rPr>
              <w:t>The English Department of Health introduced the CQUIN Framework from April 2009. In 2010/2011, these schemes covered 1.5% (£ 1.0B) of NHS expenditure. Local design was intended to offer flexibility to local priorities and generate local enthusiasm, focusing on outcomes and processes with a clear link to quality, using established indicators, and covering three key domains (safety; effectiveness; patient experience).</w:t>
            </w:r>
          </w:p>
          <w:p w:rsidR="00721A5B" w:rsidRPr="00721A5B" w:rsidRDefault="00721A5B" w:rsidP="00721A5B">
            <w:pPr>
              <w:pStyle w:val="ListParagraph"/>
              <w:numPr>
                <w:ilvl w:val="0"/>
                <w:numId w:val="48"/>
              </w:numPr>
              <w:autoSpaceDE w:val="0"/>
              <w:autoSpaceDN w:val="0"/>
              <w:adjustRightInd w:val="0"/>
              <w:rPr>
                <w:rFonts w:ascii="Arial" w:hAnsi="Arial" w:cs="Arial"/>
                <w:color w:val="000000"/>
                <w:sz w:val="20"/>
                <w:szCs w:val="20"/>
                <w:shd w:val="clear" w:color="auto" w:fill="FFFFFF"/>
              </w:rPr>
            </w:pPr>
            <w:r w:rsidRPr="00721A5B">
              <w:rPr>
                <w:rFonts w:ascii="Arial" w:hAnsi="Arial" w:cs="Arial"/>
                <w:color w:val="000000"/>
                <w:sz w:val="20"/>
                <w:szCs w:val="20"/>
                <w:shd w:val="clear" w:color="auto" w:fill="FFFFFF"/>
              </w:rPr>
              <w:t>The local development process was successful in identifying variation in local needs and priorities for quality improvement.</w:t>
            </w:r>
          </w:p>
          <w:p w:rsidR="00721A5B" w:rsidRPr="00721A5B" w:rsidRDefault="00721A5B" w:rsidP="00721A5B">
            <w:pPr>
              <w:pStyle w:val="ListParagraph"/>
              <w:numPr>
                <w:ilvl w:val="0"/>
                <w:numId w:val="48"/>
              </w:numPr>
              <w:autoSpaceDE w:val="0"/>
              <w:autoSpaceDN w:val="0"/>
              <w:adjustRightInd w:val="0"/>
              <w:rPr>
                <w:rFonts w:ascii="Arial" w:hAnsi="Arial" w:cs="Arial"/>
                <w:color w:val="000000"/>
                <w:sz w:val="20"/>
                <w:szCs w:val="20"/>
                <w:shd w:val="clear" w:color="auto" w:fill="FFFFFF"/>
              </w:rPr>
            </w:pPr>
            <w:r w:rsidRPr="00721A5B">
              <w:rPr>
                <w:rFonts w:ascii="Arial" w:hAnsi="Arial" w:cs="Arial"/>
                <w:color w:val="000000"/>
                <w:sz w:val="20"/>
                <w:szCs w:val="20"/>
                <w:shd w:val="clear" w:color="auto" w:fill="FFFFFF"/>
              </w:rPr>
              <w:t xml:space="preserve">The involvement of frontline clinical staff was insufficient to generate local enthusiasm around the schemes. </w:t>
            </w:r>
          </w:p>
          <w:p w:rsidR="00721A5B" w:rsidRPr="00721A5B" w:rsidRDefault="00721A5B" w:rsidP="00721A5B">
            <w:pPr>
              <w:pStyle w:val="ListParagraph"/>
              <w:numPr>
                <w:ilvl w:val="0"/>
                <w:numId w:val="48"/>
              </w:numPr>
              <w:autoSpaceDE w:val="0"/>
              <w:autoSpaceDN w:val="0"/>
              <w:adjustRightInd w:val="0"/>
              <w:rPr>
                <w:rFonts w:ascii="Arial" w:hAnsi="Arial" w:cs="Arial"/>
                <w:sz w:val="20"/>
                <w:szCs w:val="20"/>
              </w:rPr>
            </w:pPr>
            <w:r w:rsidRPr="00721A5B">
              <w:rPr>
                <w:rFonts w:ascii="Arial" w:hAnsi="Arial" w:cs="Arial"/>
                <w:color w:val="000000"/>
                <w:sz w:val="20"/>
                <w:szCs w:val="20"/>
                <w:shd w:val="clear" w:color="auto" w:fill="FFFFFF"/>
              </w:rPr>
              <w:t>The schemes generally did not meet objectives for the CQUIN framework.</w:t>
            </w:r>
          </w:p>
          <w:p w:rsidR="00721A5B" w:rsidRPr="00721A5B" w:rsidRDefault="00721A5B" w:rsidP="00721A5B">
            <w:pPr>
              <w:pStyle w:val="ListParagraph"/>
              <w:numPr>
                <w:ilvl w:val="0"/>
                <w:numId w:val="48"/>
              </w:numPr>
              <w:autoSpaceDE w:val="0"/>
              <w:autoSpaceDN w:val="0"/>
              <w:adjustRightInd w:val="0"/>
              <w:rPr>
                <w:rStyle w:val="apple-converted-space"/>
                <w:rFonts w:ascii="Arial" w:hAnsi="Arial" w:cs="Arial"/>
                <w:sz w:val="20"/>
                <w:szCs w:val="20"/>
              </w:rPr>
            </w:pPr>
            <w:r w:rsidRPr="00721A5B">
              <w:rPr>
                <w:rFonts w:ascii="Arial" w:hAnsi="Arial" w:cs="Arial"/>
                <w:color w:val="000000"/>
                <w:sz w:val="20"/>
                <w:szCs w:val="20"/>
                <w:shd w:val="clear" w:color="auto" w:fill="FFFFFF"/>
              </w:rPr>
              <w:t>While there is clearly an important case for local strategic and clinical input into the design of pay-for-performance schemes, this should be kept separate from the technical design process, which requires expertise that is unlikely to exist in each locality.</w:t>
            </w:r>
          </w:p>
          <w:p w:rsidR="00721A5B" w:rsidRPr="00721A5B" w:rsidRDefault="00721A5B" w:rsidP="00721A5B">
            <w:pPr>
              <w:pStyle w:val="ListParagraph"/>
              <w:numPr>
                <w:ilvl w:val="0"/>
                <w:numId w:val="48"/>
              </w:numPr>
              <w:autoSpaceDE w:val="0"/>
              <w:autoSpaceDN w:val="0"/>
              <w:adjustRightInd w:val="0"/>
              <w:rPr>
                <w:rFonts w:ascii="Arial" w:hAnsi="Arial" w:cs="Arial"/>
                <w:sz w:val="20"/>
                <w:szCs w:val="20"/>
              </w:rPr>
            </w:pPr>
            <w:r w:rsidRPr="00721A5B">
              <w:rPr>
                <w:rFonts w:ascii="Arial" w:hAnsi="Arial" w:cs="Arial"/>
                <w:color w:val="000000"/>
                <w:sz w:val="20"/>
                <w:szCs w:val="20"/>
                <w:shd w:val="clear" w:color="auto" w:fill="FFFFFF"/>
              </w:rPr>
              <w:t xml:space="preserve"> A firmer national framework would be preferable to a fully locally designed framework.</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4</w:t>
            </w:r>
          </w:p>
        </w:tc>
        <w:tc>
          <w:tcPr>
            <w:tcW w:w="2791" w:type="dxa"/>
          </w:tcPr>
          <w:p w:rsidR="00721A5B" w:rsidRPr="00D04E8B" w:rsidRDefault="00721A5B" w:rsidP="00B060E0">
            <w:pPr>
              <w:spacing w:before="20" w:after="20" w:line="264" w:lineRule="auto"/>
              <w:rPr>
                <w:rFonts w:cs="Arial"/>
                <w:i/>
                <w:sz w:val="20"/>
                <w:lang w:eastAsia="en-AU"/>
              </w:rPr>
            </w:pPr>
            <w:r w:rsidRPr="00D04E8B">
              <w:rPr>
                <w:rStyle w:val="Emphasis"/>
                <w:rFonts w:cs="Arial"/>
                <w:i w:val="0"/>
                <w:sz w:val="20"/>
              </w:rPr>
              <w:t>Massachusetts General Physicians Organization’s Quality Incentive Program Produces Encouraging Results</w:t>
            </w:r>
            <w:hyperlink w:anchor="_ENREF_5" w:tooltip="Torchiana, 2013 #13859" w:history="1">
              <w:r w:rsidRPr="00D04E8B">
                <w:rPr>
                  <w:rStyle w:val="Emphasis"/>
                  <w:rFonts w:cs="Arial"/>
                  <w:i w:val="0"/>
                  <w:sz w:val="20"/>
                </w:rPr>
                <w:fldChar w:fldCharType="begin"/>
              </w:r>
              <w:r w:rsidRPr="00D04E8B">
                <w:rPr>
                  <w:rStyle w:val="Emphasis"/>
                  <w:rFonts w:cs="Arial"/>
                  <w:i w:val="0"/>
                  <w:sz w:val="20"/>
                </w:rPr>
                <w:instrText xml:space="preserve"> ADDIN EN.CITE &lt;EndNote&gt;&lt;Cite&gt;&lt;Author&gt;Torchiana&lt;/Author&gt;&lt;Year&gt;2013&lt;/Year&gt;&lt;RecNum&gt;13859&lt;/RecNum&gt;&lt;DisplayText&gt;&lt;style face="superscript"&gt;5&lt;/style&gt;&lt;/DisplayText&gt;&lt;record&gt;&lt;rec-number&gt;13859&lt;/rec-number&gt;&lt;foreign-keys&gt;&lt;key app="EN" db-id="5r0eapxzsestz4er5zaxe5zqz99fvpawedp5"&gt;13859&lt;/key&gt;&lt;/foreign-keys&gt;&lt;ref-type name="Journal Article"&gt;17&lt;/ref-type&gt;&lt;contributors&gt;&lt;authors&gt;&lt;author&gt;Torchiana, David F.&lt;/author&gt;&lt;author&gt;Colton, Deborah G.&lt;/author&gt;&lt;author&gt;Rao, Sandhya K.&lt;/author&gt;&lt;author&gt;Lenz, Sarah K.&lt;/author&gt;&lt;author&gt;Meyer, Gregg S.&lt;/author&gt;&lt;author&gt;Ferris, Timothy G.&lt;/author&gt;&lt;/authors&gt;&lt;/contributors&gt;&lt;titles&gt;&lt;title&gt;Massachusetts General Physicians Organization’s Quality Incentive Program Produces Encouraging Results&lt;/title&gt;&lt;secondary-title&gt;Health Affairs&lt;/secondary-title&gt;&lt;/titles&gt;&lt;periodical&gt;&lt;full-title&gt;Health Affairs&lt;/full-title&gt;&lt;/periodical&gt;&lt;pages&gt;1748-1756&lt;/pages&gt;&lt;volume&gt;32&lt;/volume&gt;&lt;number&gt;10&lt;/number&gt;&lt;dates&gt;&lt;year&gt;2013&lt;/year&gt;&lt;pub-dates&gt;&lt;date&gt;October 1, 2013&lt;/date&gt;&lt;/pub-dates&gt;&lt;/dates&gt;&lt;urls&gt;&lt;related-urls&gt;&lt;url&gt;http://content.healthaffairs.org/content/32/10/1748.abstract&lt;/url&gt;&lt;/related-urls&gt;&lt;/urls&gt;&lt;electronic-resource-num&gt;10.1377/hlthaff.2013.0377&lt;/electronic-resource-num&gt;&lt;/record&gt;&lt;/Cite&gt;&lt;/EndNote&gt;</w:instrText>
              </w:r>
              <w:r w:rsidRPr="00D04E8B">
                <w:rPr>
                  <w:rStyle w:val="Emphasis"/>
                  <w:rFonts w:cs="Arial"/>
                  <w:i w:val="0"/>
                  <w:sz w:val="20"/>
                </w:rPr>
                <w:fldChar w:fldCharType="separate"/>
              </w:r>
              <w:r w:rsidRPr="00D04E8B">
                <w:rPr>
                  <w:rStyle w:val="Emphasis"/>
                  <w:rFonts w:cs="Arial"/>
                  <w:i w:val="0"/>
                  <w:noProof/>
                  <w:sz w:val="20"/>
                  <w:vertAlign w:val="superscript"/>
                </w:rPr>
                <w:t>5</w:t>
              </w:r>
              <w:r w:rsidRPr="00D04E8B">
                <w:rPr>
                  <w:rStyle w:val="Emphasis"/>
                  <w:rFonts w:cs="Arial"/>
                  <w:i w:val="0"/>
                  <w:sz w:val="20"/>
                </w:rPr>
                <w:fldChar w:fldCharType="end"/>
              </w:r>
            </w:hyperlink>
          </w:p>
        </w:tc>
        <w:tc>
          <w:tcPr>
            <w:tcW w:w="1440" w:type="dxa"/>
          </w:tcPr>
          <w:p w:rsidR="00721A5B" w:rsidRPr="00721A5B" w:rsidRDefault="00721A5B" w:rsidP="00B060E0">
            <w:pPr>
              <w:spacing w:before="20" w:after="20" w:line="264" w:lineRule="auto"/>
              <w:rPr>
                <w:rFonts w:cs="Arial"/>
                <w:sz w:val="20"/>
                <w:lang w:val="fr-FR" w:eastAsia="en-AU"/>
              </w:rPr>
            </w:pPr>
            <w:r w:rsidRPr="00721A5B">
              <w:rPr>
                <w:rFonts w:cs="Arial"/>
                <w:sz w:val="20"/>
              </w:rPr>
              <w:t>Torchiana DF, Colton DG, Rao SK, Lenz SK, Meyer GS, Ferris TG</w:t>
            </w:r>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rPr>
              <w:t>Health Affairs</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Mixed-method longitudinal evaluation</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USA</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Hospital</w:t>
            </w:r>
          </w:p>
        </w:tc>
        <w:tc>
          <w:tcPr>
            <w:tcW w:w="10310" w:type="dxa"/>
          </w:tcPr>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Evaluation of a major US hospital incentive payment scheme  for salaried physicians</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Key elements:</w:t>
            </w:r>
          </w:p>
          <w:p w:rsidR="00721A5B" w:rsidRPr="00721A5B" w:rsidRDefault="00721A5B" w:rsidP="00721A5B">
            <w:pPr>
              <w:pStyle w:val="ListParagraph"/>
              <w:numPr>
                <w:ilvl w:val="1"/>
                <w:numId w:val="45"/>
              </w:numPr>
              <w:autoSpaceDE w:val="0"/>
              <w:autoSpaceDN w:val="0"/>
              <w:adjustRightInd w:val="0"/>
              <w:rPr>
                <w:rFonts w:ascii="Arial" w:hAnsi="Arial" w:cs="Arial"/>
                <w:sz w:val="20"/>
                <w:szCs w:val="20"/>
              </w:rPr>
            </w:pPr>
            <w:r w:rsidRPr="00721A5B">
              <w:rPr>
                <w:rFonts w:ascii="Arial" w:hAnsi="Arial" w:cs="Arial"/>
                <w:sz w:val="20"/>
                <w:szCs w:val="20"/>
              </w:rPr>
              <w:t>Short (6-month) cycle times</w:t>
            </w:r>
          </w:p>
          <w:p w:rsidR="00721A5B" w:rsidRPr="00721A5B" w:rsidRDefault="00721A5B" w:rsidP="00721A5B">
            <w:pPr>
              <w:pStyle w:val="ListParagraph"/>
              <w:numPr>
                <w:ilvl w:val="1"/>
                <w:numId w:val="45"/>
              </w:numPr>
              <w:autoSpaceDE w:val="0"/>
              <w:autoSpaceDN w:val="0"/>
              <w:adjustRightInd w:val="0"/>
              <w:rPr>
                <w:rFonts w:ascii="Arial" w:hAnsi="Arial" w:cs="Arial"/>
                <w:sz w:val="20"/>
                <w:szCs w:val="20"/>
              </w:rPr>
            </w:pPr>
            <w:r w:rsidRPr="00721A5B">
              <w:rPr>
                <w:rFonts w:ascii="Arial" w:hAnsi="Arial" w:cs="Arial"/>
                <w:sz w:val="20"/>
                <w:szCs w:val="20"/>
              </w:rPr>
              <w:t>Linking measures to organisational and departmental priorities</w:t>
            </w:r>
          </w:p>
          <w:p w:rsidR="00721A5B" w:rsidRPr="00721A5B" w:rsidRDefault="00721A5B" w:rsidP="00721A5B">
            <w:pPr>
              <w:pStyle w:val="ListParagraph"/>
              <w:numPr>
                <w:ilvl w:val="1"/>
                <w:numId w:val="45"/>
              </w:numPr>
              <w:autoSpaceDE w:val="0"/>
              <w:autoSpaceDN w:val="0"/>
              <w:adjustRightInd w:val="0"/>
              <w:rPr>
                <w:rFonts w:ascii="Arial" w:hAnsi="Arial" w:cs="Arial"/>
                <w:sz w:val="20"/>
                <w:szCs w:val="20"/>
              </w:rPr>
            </w:pPr>
            <w:r w:rsidRPr="00721A5B">
              <w:rPr>
                <w:rFonts w:ascii="Arial" w:hAnsi="Arial" w:cs="Arial"/>
                <w:sz w:val="20"/>
                <w:szCs w:val="20"/>
              </w:rPr>
              <w:t>Careful attention to data integrity and procedural fairness</w:t>
            </w:r>
          </w:p>
          <w:p w:rsidR="00721A5B" w:rsidRPr="00721A5B" w:rsidRDefault="00721A5B" w:rsidP="00721A5B">
            <w:pPr>
              <w:pStyle w:val="ListParagraph"/>
              <w:numPr>
                <w:ilvl w:val="1"/>
                <w:numId w:val="45"/>
              </w:numPr>
              <w:autoSpaceDE w:val="0"/>
              <w:autoSpaceDN w:val="0"/>
              <w:adjustRightInd w:val="0"/>
              <w:rPr>
                <w:rFonts w:ascii="Arial" w:hAnsi="Arial" w:cs="Arial"/>
                <w:sz w:val="20"/>
                <w:szCs w:val="20"/>
              </w:rPr>
            </w:pPr>
            <w:r w:rsidRPr="00721A5B">
              <w:rPr>
                <w:rFonts w:ascii="Arial" w:hAnsi="Arial" w:cs="Arial"/>
                <w:sz w:val="20"/>
                <w:szCs w:val="20"/>
              </w:rPr>
              <w:t>Clear, consistent communication with physicians</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rPr>
            </w:pPr>
            <w:r w:rsidRPr="00721A5B">
              <w:rPr>
                <w:rFonts w:ascii="Arial" w:hAnsi="Arial" w:cs="Arial"/>
                <w:sz w:val="20"/>
                <w:szCs w:val="20"/>
              </w:rPr>
              <w:t xml:space="preserve">The program facilitated the adoption of an electronic health record, improved hand hygiene compliance, increased efficiency in radiology and the cancer centre, and decreased emergency department use. </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lang w:eastAsia="en-AU"/>
              </w:rPr>
            </w:pPr>
            <w:r w:rsidRPr="00721A5B">
              <w:rPr>
                <w:rStyle w:val="Strong"/>
                <w:rFonts w:ascii="Arial" w:hAnsi="Arial" w:cs="Arial"/>
                <w:b w:val="0"/>
                <w:sz w:val="20"/>
                <w:szCs w:val="20"/>
              </w:rPr>
              <w:t>Authors concluded that “small incentives</w:t>
            </w:r>
            <w:r w:rsidRPr="00721A5B">
              <w:rPr>
                <w:rStyle w:val="Strong"/>
                <w:rFonts w:ascii="Arial" w:hAnsi="Arial" w:cs="Arial"/>
                <w:sz w:val="20"/>
                <w:szCs w:val="20"/>
              </w:rPr>
              <w:t xml:space="preserve"> </w:t>
            </w:r>
            <w:r w:rsidRPr="00721A5B">
              <w:rPr>
                <w:rFonts w:ascii="Arial" w:hAnsi="Arial" w:cs="Arial"/>
                <w:sz w:val="20"/>
                <w:szCs w:val="20"/>
              </w:rPr>
              <w:t xml:space="preserve">tied to carefully structured metrics, priority setting, and clear communication </w:t>
            </w:r>
            <w:r w:rsidRPr="00721A5B">
              <w:rPr>
                <w:rStyle w:val="Strong"/>
                <w:rFonts w:ascii="Arial" w:hAnsi="Arial" w:cs="Arial"/>
                <w:b w:val="0"/>
                <w:sz w:val="20"/>
                <w:szCs w:val="20"/>
              </w:rPr>
              <w:t>can help change</w:t>
            </w:r>
            <w:r w:rsidRPr="00721A5B">
              <w:rPr>
                <w:rStyle w:val="Strong"/>
                <w:rFonts w:ascii="Arial" w:hAnsi="Arial" w:cs="Arial"/>
                <w:sz w:val="20"/>
                <w:szCs w:val="20"/>
              </w:rPr>
              <w:t xml:space="preserve"> </w:t>
            </w:r>
            <w:r w:rsidRPr="00721A5B">
              <w:rPr>
                <w:rFonts w:ascii="Arial" w:hAnsi="Arial" w:cs="Arial"/>
                <w:sz w:val="20"/>
                <w:szCs w:val="20"/>
              </w:rPr>
              <w:t>salaried physicians’ behaviour and ease the physicians’ sense of administrative burden.”</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5</w:t>
            </w:r>
          </w:p>
        </w:tc>
        <w:tc>
          <w:tcPr>
            <w:tcW w:w="2791" w:type="dxa"/>
          </w:tcPr>
          <w:p w:rsidR="00721A5B" w:rsidRPr="00D04E8B" w:rsidRDefault="00721A5B" w:rsidP="00B060E0">
            <w:pPr>
              <w:spacing w:before="20" w:after="20" w:line="264" w:lineRule="auto"/>
              <w:rPr>
                <w:rFonts w:cs="Arial"/>
                <w:i/>
                <w:sz w:val="20"/>
                <w:lang w:eastAsia="en-AU"/>
              </w:rPr>
            </w:pPr>
            <w:r w:rsidRPr="00D04E8B">
              <w:rPr>
                <w:rStyle w:val="Emphasis"/>
                <w:rFonts w:cs="Arial"/>
                <w:i w:val="0"/>
                <w:sz w:val="20"/>
              </w:rPr>
              <w:t>Effect of Modest Pay-for-Performance Financial Incentive on Time-to-Discharge Summary Dictation Among Medical Residents</w:t>
            </w:r>
            <w:hyperlink w:anchor="_ENREF_6" w:tooltip="Wolk, 2013 #13860" w:history="1">
              <w:r w:rsidRPr="00D04E8B">
                <w:rPr>
                  <w:rStyle w:val="Emphasis"/>
                  <w:rFonts w:cs="Arial"/>
                  <w:i w:val="0"/>
                  <w:sz w:val="20"/>
                </w:rPr>
                <w:fldChar w:fldCharType="begin"/>
              </w:r>
              <w:r w:rsidRPr="00D04E8B">
                <w:rPr>
                  <w:rStyle w:val="Emphasis"/>
                  <w:rFonts w:cs="Arial"/>
                  <w:i w:val="0"/>
                  <w:sz w:val="20"/>
                </w:rPr>
                <w:instrText xml:space="preserve"> ADDIN EN.CITE &lt;EndNote&gt;&lt;Cite&gt;&lt;Author&gt;Wolk&lt;/Author&gt;&lt;Year&gt;2013&lt;/Year&gt;&lt;RecNum&gt;13860&lt;/RecNum&gt;&lt;DisplayText&gt;&lt;style face="superscript"&gt;6&lt;/style&gt;&lt;/DisplayText&gt;&lt;record&gt;&lt;rec-number&gt;13860&lt;/rec-number&gt;&lt;foreign-keys&gt;&lt;key app="EN" db-id="5r0eapxzsestz4er5zaxe5zqz99fvpawedp5"&gt;13860&lt;/key&gt;&lt;/foreign-keys&gt;&lt;ref-type name="Journal Article"&gt;17&lt;/ref-type&gt;&lt;contributors&gt;&lt;authors&gt;&lt;author&gt;Wolk, Adam&lt;/author&gt;&lt;author&gt;Wang, Erwin&lt;/author&gt;&lt;author&gt;Horak, Bernard&lt;/author&gt;&lt;author&gt;Cloonan, Patricia&lt;/author&gt;&lt;author&gt;Adams, Michael&lt;/author&gt;&lt;author&gt;Moore, Eileen&lt;/author&gt;&lt;author&gt;Jaipaul, Chitra Komal&lt;/author&gt;&lt;author&gt;Brown, Gabrielle&lt;/author&gt;&lt;author&gt;Dasgupta, Dabanjan&lt;/author&gt;&lt;author&gt;Deluca, Danielle&lt;/author&gt;&lt;author&gt;Grossman, Mila&lt;/author&gt;&lt;/authors&gt;&lt;/contributors&gt;&lt;titles&gt;&lt;title&gt;Effect of Modest Pay-for-Performance Financial Incentive on Time-to-Discharge Summary Dictation Among Medical Residents&lt;/title&gt;&lt;secondary-title&gt;Quality Management in Healthcare&lt;/secondary-title&gt;&lt;/titles&gt;&lt;periodical&gt;&lt;full-title&gt;Quality Management in Healthcare&lt;/full-title&gt;&lt;/periodical&gt;&lt;pages&gt;272-275 10.1097/QMH.0000000000000008&lt;/pages&gt;&lt;volume&gt;22&lt;/volume&gt;&lt;number&gt;4&lt;/number&gt;&lt;keywords&gt;&lt;keyword&gt;delivery of health care&lt;/keyword&gt;&lt;keyword&gt;incentive&lt;/keyword&gt;&lt;keyword&gt;internship and residency&lt;/keyword&gt;&lt;keyword&gt;organizational improvement&lt;/keyword&gt;&lt;keyword&gt;performance improvement&lt;/keyword&gt;&lt;keyword&gt;quality improvement&lt;/keyword&gt;&lt;keyword&gt;reimbursement&lt;/keyword&gt;&lt;keyword&gt;00019514-201310000-00002&lt;/keyword&gt;&lt;/keywords&gt;&lt;dates&gt;&lt;year&gt;2013&lt;/year&gt;&lt;/dates&gt;&lt;isbn&gt;1063-8628&lt;/isbn&gt;&lt;urls&gt;&lt;related-urls&gt;&lt;url&gt;http://journals.lww.com/qmhcjournal/Fulltext/2013/10000/Effect_of_Modest_Pay_for_Performance_Financial.2.aspx&lt;/url&gt;&lt;/related-urls&gt;&lt;/urls&gt;&lt;/record&gt;&lt;/Cite&gt;&lt;/EndNote&gt;</w:instrText>
              </w:r>
              <w:r w:rsidRPr="00D04E8B">
                <w:rPr>
                  <w:rStyle w:val="Emphasis"/>
                  <w:rFonts w:cs="Arial"/>
                  <w:i w:val="0"/>
                  <w:sz w:val="20"/>
                </w:rPr>
                <w:fldChar w:fldCharType="separate"/>
              </w:r>
              <w:r w:rsidRPr="00D04E8B">
                <w:rPr>
                  <w:rStyle w:val="Emphasis"/>
                  <w:rFonts w:cs="Arial"/>
                  <w:i w:val="0"/>
                  <w:noProof/>
                  <w:sz w:val="20"/>
                  <w:vertAlign w:val="superscript"/>
                </w:rPr>
                <w:t>6</w:t>
              </w:r>
              <w:r w:rsidRPr="00D04E8B">
                <w:rPr>
                  <w:rStyle w:val="Emphasis"/>
                  <w:rFonts w:cs="Arial"/>
                  <w:i w:val="0"/>
                  <w:sz w:val="20"/>
                </w:rPr>
                <w:fldChar w:fldCharType="end"/>
              </w:r>
            </w:hyperlink>
          </w:p>
        </w:tc>
        <w:tc>
          <w:tcPr>
            <w:tcW w:w="1440" w:type="dxa"/>
          </w:tcPr>
          <w:p w:rsidR="00721A5B" w:rsidRPr="00721A5B" w:rsidRDefault="00721A5B" w:rsidP="00B060E0">
            <w:pPr>
              <w:spacing w:before="20" w:after="20" w:line="264" w:lineRule="auto"/>
              <w:rPr>
                <w:rFonts w:cs="Arial"/>
                <w:sz w:val="20"/>
                <w:lang w:val="de-DE" w:eastAsia="en-AU"/>
              </w:rPr>
            </w:pPr>
            <w:r w:rsidRPr="00721A5B">
              <w:rPr>
                <w:rFonts w:cs="Arial"/>
                <w:sz w:val="20"/>
                <w:lang w:eastAsia="en-AU"/>
              </w:rPr>
              <w:t>Wolk A, Wang E, Horak B. et al</w:t>
            </w:r>
          </w:p>
        </w:tc>
        <w:tc>
          <w:tcPr>
            <w:tcW w:w="1440" w:type="dxa"/>
          </w:tcPr>
          <w:p w:rsidR="00721A5B" w:rsidRPr="00721A5B" w:rsidRDefault="00721A5B" w:rsidP="00B060E0">
            <w:pPr>
              <w:spacing w:before="20" w:after="20" w:line="264" w:lineRule="auto"/>
              <w:rPr>
                <w:rFonts w:cs="Arial"/>
                <w:sz w:val="20"/>
              </w:rPr>
            </w:pPr>
            <w:r w:rsidRPr="00721A5B">
              <w:rPr>
                <w:rFonts w:cs="Arial"/>
                <w:sz w:val="20"/>
              </w:rPr>
              <w:t>Quality Management in Health Care</w:t>
            </w:r>
          </w:p>
          <w:p w:rsidR="00721A5B" w:rsidRPr="00721A5B" w:rsidRDefault="00721A5B" w:rsidP="00B060E0">
            <w:pPr>
              <w:spacing w:before="20" w:after="20" w:line="264" w:lineRule="auto"/>
              <w:rPr>
                <w:rFonts w:cs="Arial"/>
                <w:sz w:val="20"/>
                <w:lang w:eastAsia="en-AU"/>
              </w:rPr>
            </w:pP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Pre-and post-intervention analysis</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USA</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 xml:space="preserve">Hospital </w:t>
            </w:r>
          </w:p>
        </w:tc>
        <w:tc>
          <w:tcPr>
            <w:tcW w:w="10310" w:type="dxa"/>
          </w:tcPr>
          <w:p w:rsidR="00721A5B" w:rsidRPr="00721A5B" w:rsidRDefault="00721A5B" w:rsidP="00721A5B">
            <w:pPr>
              <w:pStyle w:val="ListParagraph"/>
              <w:numPr>
                <w:ilvl w:val="0"/>
                <w:numId w:val="45"/>
              </w:numPr>
              <w:autoSpaceDE w:val="0"/>
              <w:autoSpaceDN w:val="0"/>
              <w:adjustRightInd w:val="0"/>
              <w:rPr>
                <w:rFonts w:ascii="Arial" w:hAnsi="Arial" w:cs="Arial"/>
                <w:sz w:val="20"/>
                <w:szCs w:val="20"/>
                <w:lang w:eastAsia="en-AU"/>
              </w:rPr>
            </w:pPr>
            <w:r w:rsidRPr="00721A5B">
              <w:rPr>
                <w:rFonts w:ascii="Arial" w:hAnsi="Arial" w:cs="Arial"/>
                <w:sz w:val="20"/>
                <w:szCs w:val="20"/>
                <w:lang w:eastAsia="en-AU"/>
              </w:rPr>
              <w:t xml:space="preserve">This study sought to evaluate the effect of a modest financial incentive on time-to-discharge summary dictation among medical residents. Those with the lowest average discharge-to-dictation time during their 1-month inpatient medicine ward rotation were rewarded with a $50 gift card. Discharge data were captured using an auto-populating electronic database. </w:t>
            </w:r>
          </w:p>
          <w:p w:rsidR="00721A5B" w:rsidRPr="00721A5B" w:rsidRDefault="00721A5B" w:rsidP="00721A5B">
            <w:pPr>
              <w:pStyle w:val="ListParagraph"/>
              <w:numPr>
                <w:ilvl w:val="0"/>
                <w:numId w:val="45"/>
              </w:numPr>
              <w:autoSpaceDE w:val="0"/>
              <w:autoSpaceDN w:val="0"/>
              <w:adjustRightInd w:val="0"/>
              <w:rPr>
                <w:rFonts w:ascii="Arial" w:hAnsi="Arial" w:cs="Arial"/>
                <w:sz w:val="20"/>
                <w:szCs w:val="20"/>
                <w:lang w:eastAsia="en-AU"/>
              </w:rPr>
            </w:pPr>
            <w:r w:rsidRPr="00721A5B">
              <w:rPr>
                <w:rFonts w:ascii="Arial" w:hAnsi="Arial" w:cs="Arial"/>
                <w:sz w:val="20"/>
                <w:szCs w:val="20"/>
                <w:lang w:eastAsia="en-AU"/>
              </w:rPr>
              <w:t>The average discharge-to-dictation time was reduced from 7.44 to 1.84 days, representing a 75.3% decrease. Almost 90% of discharge summary dictations were performed on the day of discharge.</w:t>
            </w:r>
          </w:p>
          <w:p w:rsidR="00721A5B" w:rsidRPr="00721A5B" w:rsidRDefault="00721A5B" w:rsidP="00721A5B">
            <w:pPr>
              <w:pStyle w:val="ListParagraph"/>
              <w:numPr>
                <w:ilvl w:val="0"/>
                <w:numId w:val="45"/>
              </w:numPr>
              <w:autoSpaceDE w:val="0"/>
              <w:autoSpaceDN w:val="0"/>
              <w:adjustRightInd w:val="0"/>
              <w:rPr>
                <w:rFonts w:ascii="Arial" w:eastAsia="MS Mincho" w:hAnsi="Arial" w:cs="Arial"/>
                <w:sz w:val="20"/>
                <w:szCs w:val="20"/>
                <w:lang w:val="en-US" w:eastAsia="ja-JP"/>
              </w:rPr>
            </w:pPr>
            <w:r w:rsidRPr="00721A5B">
              <w:rPr>
                <w:rFonts w:ascii="Arial" w:hAnsi="Arial" w:cs="Arial"/>
                <w:sz w:val="20"/>
                <w:szCs w:val="20"/>
                <w:lang w:eastAsia="en-AU"/>
              </w:rPr>
              <w:t>This aligns with previous findings that financial incentives can be effective in improving individual tasks that do not require collaboration and team work.</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6</w:t>
            </w:r>
          </w:p>
        </w:tc>
        <w:tc>
          <w:tcPr>
            <w:tcW w:w="2791" w:type="dxa"/>
          </w:tcPr>
          <w:p w:rsidR="00721A5B" w:rsidRPr="00721A5B" w:rsidRDefault="00721A5B" w:rsidP="00B060E0">
            <w:pPr>
              <w:keepNext/>
              <w:rPr>
                <w:rFonts w:cs="Arial"/>
                <w:sz w:val="20"/>
              </w:rPr>
            </w:pPr>
            <w:r w:rsidRPr="00721A5B">
              <w:rPr>
                <w:rFonts w:cs="Arial"/>
                <w:sz w:val="20"/>
              </w:rPr>
              <w:t>Engaging Residents and Fellows to Improve Institution-Wide Quality: The First Six Years of a Novel Financial Incentive Program</w:t>
            </w:r>
            <w:hyperlink w:anchor="_ENREF_7" w:tooltip="Vidyarthi, 2014 #13864" w:history="1">
              <w:r w:rsidRPr="00721A5B">
                <w:rPr>
                  <w:rFonts w:cs="Arial"/>
                  <w:sz w:val="20"/>
                </w:rPr>
                <w:fldChar w:fldCharType="begin"/>
              </w:r>
              <w:r w:rsidRPr="00721A5B">
                <w:rPr>
                  <w:rFonts w:cs="Arial"/>
                  <w:sz w:val="20"/>
                </w:rPr>
                <w:instrText xml:space="preserve"> ADDIN EN.CITE &lt;EndNote&gt;&lt;Cite&gt;&lt;Author&gt;Vidyarthi&lt;/Author&gt;&lt;Year&gt;2014&lt;/Year&gt;&lt;RecNum&gt;13864&lt;/RecNum&gt;&lt;DisplayText&gt;&lt;style face="superscript"&gt;7&lt;/style&gt;&lt;/DisplayText&gt;&lt;record&gt;&lt;rec-number&gt;13864&lt;/rec-number&gt;&lt;foreign-keys&gt;&lt;key app="EN" db-id="5r0eapxzsestz4er5zaxe5zqz99fvpawedp5"&gt;13864&lt;/key&gt;&lt;/foreign-keys&gt;&lt;ref-type name="Journal Article"&gt;17&lt;/ref-type&gt;&lt;contributors&gt;&lt;authors&gt;&lt;author&gt;Vidyarthi, Arpana R.&lt;/author&gt;&lt;author&gt;Green, Adrienne L.&lt;/author&gt;&lt;author&gt;Rosenbluth, Glenn&lt;/author&gt;&lt;author&gt;Baron, Robert B.&lt;/author&gt;&lt;/authors&gt;&lt;/contributors&gt;&lt;titles&gt;&lt;title&gt;Engaging Residents and Fellows to Improve Institution-Wide Quality: The First Six Years of a Novel Financial Incentive Program&lt;/title&gt;&lt;secondary-title&gt;Academic Medicine&lt;/secondary-title&gt;&lt;/titles&gt;&lt;periodical&gt;&lt;full-title&gt;Academic Medicine&lt;/full-title&gt;&lt;/periodical&gt;&lt;pages&gt;460-468 10.1097/ACM.0000000000000159&lt;/pages&gt;&lt;volume&gt;89&lt;/volume&gt;&lt;number&gt;3&lt;/number&gt;&lt;keywords&gt;&lt;keyword&gt;00001888-201403000-00027&lt;/keyword&gt;&lt;/keywords&gt;&lt;dates&gt;&lt;year&gt;2014&lt;/year&gt;&lt;/dates&gt;&lt;isbn&gt;1040-2446&lt;/isbn&gt;&lt;urls&gt;&lt;related-urls&gt;&lt;url&gt;http://journals.lww.com/academicmedicine/Fulltext/2014/03000/Engaging_Residents_and_Fellows_to_Improve.27.aspx&lt;/url&gt;&lt;/related-urls&gt;&lt;/urls&gt;&lt;/record&gt;&lt;/Cite&gt;&lt;/EndNote&gt;</w:instrText>
              </w:r>
              <w:r w:rsidRPr="00721A5B">
                <w:rPr>
                  <w:rFonts w:cs="Arial"/>
                  <w:sz w:val="20"/>
                </w:rPr>
                <w:fldChar w:fldCharType="separate"/>
              </w:r>
              <w:r w:rsidRPr="00721A5B">
                <w:rPr>
                  <w:rFonts w:cs="Arial"/>
                  <w:noProof/>
                  <w:sz w:val="20"/>
                  <w:vertAlign w:val="superscript"/>
                </w:rPr>
                <w:t>7</w:t>
              </w:r>
              <w:r w:rsidRPr="00721A5B">
                <w:rPr>
                  <w:rFonts w:cs="Arial"/>
                  <w:sz w:val="20"/>
                </w:rPr>
                <w:fldChar w:fldCharType="end"/>
              </w:r>
            </w:hyperlink>
          </w:p>
          <w:p w:rsidR="00721A5B" w:rsidRPr="00721A5B" w:rsidRDefault="00721A5B" w:rsidP="00B060E0">
            <w:pPr>
              <w:spacing w:before="20" w:after="20" w:line="264" w:lineRule="auto"/>
              <w:rPr>
                <w:rFonts w:cs="Arial"/>
                <w:sz w:val="20"/>
                <w:lang w:eastAsia="en-AU"/>
              </w:rPr>
            </w:pPr>
          </w:p>
        </w:tc>
        <w:tc>
          <w:tcPr>
            <w:tcW w:w="1440" w:type="dxa"/>
          </w:tcPr>
          <w:p w:rsidR="00721A5B" w:rsidRPr="00721A5B" w:rsidRDefault="00721A5B" w:rsidP="00B060E0">
            <w:pPr>
              <w:keepNext/>
              <w:rPr>
                <w:rFonts w:cs="Arial"/>
                <w:sz w:val="20"/>
              </w:rPr>
            </w:pPr>
            <w:r w:rsidRPr="00721A5B">
              <w:rPr>
                <w:rFonts w:cs="Arial"/>
                <w:sz w:val="20"/>
              </w:rPr>
              <w:t>Vidyarthi AR, Green AL, Rosenbluth G, Baron RB</w:t>
            </w:r>
          </w:p>
          <w:p w:rsidR="00721A5B" w:rsidRPr="00721A5B" w:rsidRDefault="00721A5B" w:rsidP="00B060E0">
            <w:pPr>
              <w:spacing w:before="20" w:after="20" w:line="264" w:lineRule="auto"/>
              <w:rPr>
                <w:rFonts w:cs="Arial"/>
                <w:sz w:val="20"/>
                <w:lang w:val="de-DE" w:eastAsia="en-AU"/>
              </w:rPr>
            </w:pPr>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rPr>
              <w:t>Academic Medicine</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 xml:space="preserve">Longitudinal quantitative analysis </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USA</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Hospital</w:t>
            </w:r>
          </w:p>
        </w:tc>
        <w:tc>
          <w:tcPr>
            <w:tcW w:w="10310" w:type="dxa"/>
          </w:tcPr>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The aim of this program was to engage residents and fellows in hospital-wide QI efforts by providing financial incentives</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5,275 residents and fellows participated in the QI program over six years. Residents and fellows earned an average of $800 in bonuses per fiscal year for achieving these goals.</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lang w:eastAsia="en-AU"/>
              </w:rPr>
            </w:pPr>
            <w:r w:rsidRPr="00721A5B">
              <w:rPr>
                <w:rFonts w:ascii="Arial" w:hAnsi="Arial" w:cs="Arial"/>
                <w:sz w:val="20"/>
                <w:szCs w:val="20"/>
              </w:rPr>
              <w:t>Agreed goals were achieved for 39 of 55 QI projects that formed part of the incentive scheme.</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lang w:eastAsia="en-AU"/>
              </w:rPr>
            </w:pPr>
            <w:r w:rsidRPr="00721A5B">
              <w:rPr>
                <w:rFonts w:ascii="Arial" w:hAnsi="Arial" w:cs="Arial"/>
                <w:sz w:val="20"/>
                <w:szCs w:val="20"/>
              </w:rPr>
              <w:t>Absence of a control group is a major limitation of this study.</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7</w:t>
            </w:r>
          </w:p>
        </w:tc>
        <w:tc>
          <w:tcPr>
            <w:tcW w:w="2791" w:type="dxa"/>
          </w:tcPr>
          <w:p w:rsidR="00721A5B" w:rsidRPr="00721A5B" w:rsidRDefault="00721A5B" w:rsidP="00B060E0">
            <w:pPr>
              <w:spacing w:before="20" w:after="20" w:line="264" w:lineRule="auto"/>
              <w:rPr>
                <w:rFonts w:cs="Arial"/>
                <w:sz w:val="20"/>
                <w:lang w:eastAsia="en-AU"/>
              </w:rPr>
            </w:pPr>
            <w:r w:rsidRPr="00721A5B">
              <w:rPr>
                <w:rFonts w:eastAsia="Arial Unicode MS" w:cs="Arial"/>
                <w:bCs/>
                <w:kern w:val="36"/>
                <w:sz w:val="20"/>
                <w:lang w:eastAsia="en-AU"/>
              </w:rPr>
              <w:t>British Columbia's pay-for-performance experiment: Part of the solution to reduce emergency department crowding?</w:t>
            </w:r>
            <w:hyperlink w:anchor="_ENREF_8" w:tooltip="Cheng, 2013 #13862" w:history="1">
              <w:r w:rsidRPr="00721A5B">
                <w:rPr>
                  <w:rFonts w:eastAsia="Arial Unicode MS" w:cs="Arial"/>
                  <w:bCs/>
                  <w:kern w:val="36"/>
                  <w:sz w:val="20"/>
                  <w:lang w:eastAsia="en-AU"/>
                </w:rPr>
                <w:fldChar w:fldCharType="begin"/>
              </w:r>
              <w:r w:rsidRPr="00721A5B">
                <w:rPr>
                  <w:rFonts w:eastAsia="Arial Unicode MS" w:cs="Arial"/>
                  <w:bCs/>
                  <w:kern w:val="36"/>
                  <w:sz w:val="20"/>
                  <w:lang w:eastAsia="en-AU"/>
                </w:rPr>
                <w:instrText xml:space="preserve"> ADDIN EN.CITE &lt;EndNote&gt;&lt;Cite&gt;&lt;Author&gt;Cheng&lt;/Author&gt;&lt;Year&gt;2013&lt;/Year&gt;&lt;RecNum&gt;13862&lt;/RecNum&gt;&lt;DisplayText&gt;&lt;style face="superscript"&gt;8&lt;/style&gt;&lt;/DisplayText&gt;&lt;record&gt;&lt;rec-number&gt;13862&lt;/rec-number&gt;&lt;foreign-keys&gt;&lt;key app="EN" db-id="5r0eapxzsestz4er5zaxe5zqz99fvpawedp5"&gt;13862&lt;/key&gt;&lt;/foreign-keys&gt;&lt;ref-type name="Journal Article"&gt;17&lt;/ref-type&gt;&lt;contributors&gt;&lt;authors&gt;&lt;author&gt;Cheng, Amy H. Y.&lt;/author&gt;&lt;author&gt;Sutherland, Jason M.&lt;/author&gt;&lt;/authors&gt;&lt;/contributors&gt;&lt;titles&gt;&lt;title&gt;British Columbia&amp;apos;s pay-for-performance experiment: Part of the solution to reduce emergency department crowding?&lt;/title&gt;&lt;secondary-title&gt;Health Policy&lt;/secondary-title&gt;&lt;/titles&gt;&lt;periodical&gt;&lt;full-title&gt;Health Policy&lt;/full-title&gt;&lt;/periodical&gt;&lt;pages&gt;86-92&lt;/pages&gt;&lt;volume&gt;113&lt;/volume&gt;&lt;number&gt;1–2&lt;/number&gt;&lt;keywords&gt;&lt;keyword&gt;Emergency department overcrowding&lt;/keyword&gt;&lt;keyword&gt;Hospital funding policy&lt;/keyword&gt;&lt;keyword&gt;Emergency department wait time&lt;/keyword&gt;&lt;keyword&gt;Emergency department length of stay&lt;/keyword&gt;&lt;/keywords&gt;&lt;dates&gt;&lt;year&gt;2013&lt;/year&gt;&lt;/dates&gt;&lt;isbn&gt;0168-8510&lt;/isbn&gt;&lt;urls&gt;&lt;related-urls&gt;&lt;url&gt;http://www.sciencedirect.com/science/article/pii/S0168851013001991&lt;/url&gt;&lt;/related-urls&gt;&lt;/urls&gt;&lt;electronic-resource-num&gt;http://dx.doi.org/10.1016/j.healthpol.2013.07.010&lt;/electronic-resource-num&gt;&lt;/record&gt;&lt;/Cite&gt;&lt;/EndNote&gt;</w:instrText>
              </w:r>
              <w:r w:rsidRPr="00721A5B">
                <w:rPr>
                  <w:rFonts w:eastAsia="Arial Unicode MS" w:cs="Arial"/>
                  <w:bCs/>
                  <w:kern w:val="36"/>
                  <w:sz w:val="20"/>
                  <w:lang w:eastAsia="en-AU"/>
                </w:rPr>
                <w:fldChar w:fldCharType="separate"/>
              </w:r>
              <w:r w:rsidRPr="00721A5B">
                <w:rPr>
                  <w:rFonts w:eastAsia="Arial Unicode MS" w:cs="Arial"/>
                  <w:bCs/>
                  <w:noProof/>
                  <w:kern w:val="36"/>
                  <w:sz w:val="20"/>
                  <w:vertAlign w:val="superscript"/>
                  <w:lang w:eastAsia="en-AU"/>
                </w:rPr>
                <w:t>8</w:t>
              </w:r>
              <w:r w:rsidRPr="00721A5B">
                <w:rPr>
                  <w:rFonts w:eastAsia="Arial Unicode MS" w:cs="Arial"/>
                  <w:bCs/>
                  <w:kern w:val="36"/>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val="de-DE" w:eastAsia="en-AU"/>
              </w:rPr>
            </w:pPr>
            <w:r w:rsidRPr="00721A5B">
              <w:rPr>
                <w:rFonts w:cs="Arial"/>
                <w:sz w:val="20"/>
                <w:lang w:val="de-DE" w:eastAsia="en-AU"/>
              </w:rPr>
              <w:t>Cheng AY, Sutherland JM</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Health Policy</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Pre- and post-intervention analysis</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sz w:val="20"/>
                <w:lang w:eastAsia="en-AU"/>
              </w:rPr>
              <w:t>Pay for performance</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Canada</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 (ED)</w:t>
            </w:r>
          </w:p>
        </w:tc>
        <w:tc>
          <w:tcPr>
            <w:tcW w:w="10310" w:type="dxa"/>
          </w:tcPr>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 xml:space="preserve">In British Columbia an ED pay-for-performance program was initiated in 2007 to create financial incentives for hospitals to reduce patients’ ED length of stay (ED LOS). </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Size of the incentives ranged from $100 to $600 per patient.</w:t>
            </w:r>
          </w:p>
          <w:p w:rsidR="00721A5B" w:rsidRPr="00721A5B" w:rsidRDefault="00721A5B" w:rsidP="00721A5B">
            <w:pPr>
              <w:pStyle w:val="ListParagraph"/>
              <w:numPr>
                <w:ilvl w:val="0"/>
                <w:numId w:val="46"/>
              </w:numPr>
              <w:autoSpaceDE w:val="0"/>
              <w:autoSpaceDN w:val="0"/>
              <w:adjustRightInd w:val="0"/>
              <w:rPr>
                <w:rFonts w:ascii="Arial" w:hAnsi="Arial" w:cs="Arial"/>
                <w:color w:val="000000"/>
                <w:sz w:val="20"/>
                <w:szCs w:val="20"/>
                <w:lang w:eastAsia="en-AU"/>
              </w:rPr>
            </w:pPr>
            <w:r w:rsidRPr="00721A5B">
              <w:rPr>
                <w:rFonts w:ascii="Arial" w:hAnsi="Arial" w:cs="Arial"/>
                <w:sz w:val="20"/>
                <w:szCs w:val="20"/>
              </w:rPr>
              <w:t>There was association between the implementation of ED P4P and ED LOS time data in some hospitals, but overall the study reveals mixed results, which, according to the authors, ‘should give the government pause’</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8</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The impact of a pay-for-performance system on timing to hip fracture surgery: experience from the Lazio Region (Italy)</w:t>
            </w:r>
            <w:hyperlink w:anchor="_ENREF_9" w:tooltip="Colais, 2013 #13865" w:history="1">
              <w:r w:rsidRPr="00721A5B">
                <w:rPr>
                  <w:rFonts w:cs="Arial"/>
                  <w:sz w:val="20"/>
                  <w:lang w:eastAsia="en-AU"/>
                </w:rPr>
                <w:fldChar w:fldCharType="begin"/>
              </w:r>
              <w:r w:rsidRPr="00721A5B">
                <w:rPr>
                  <w:rFonts w:cs="Arial"/>
                  <w:sz w:val="20"/>
                  <w:lang w:eastAsia="en-AU"/>
                </w:rPr>
                <w:instrText xml:space="preserve"> ADDIN EN.CITE &lt;EndNote&gt;&lt;Cite&gt;&lt;Author&gt;Colais&lt;/Author&gt;&lt;Year&gt;2013&lt;/Year&gt;&lt;RecNum&gt;13865&lt;/RecNum&gt;&lt;DisplayText&gt;&lt;style face="superscript"&gt;9&lt;/style&gt;&lt;/DisplayText&gt;&lt;record&gt;&lt;rec-number&gt;13865&lt;/rec-number&gt;&lt;foreign-keys&gt;&lt;key app="EN" db-id="5r0eapxzsestz4er5zaxe5zqz99fvpawedp5"&gt;13865&lt;/key&gt;&lt;/foreign-keys&gt;&lt;ref-type name="Journal Article"&gt;17&lt;/ref-type&gt;&lt;contributors&gt;&lt;authors&gt;&lt;author&gt;Colais, Paola&lt;/author&gt;&lt;author&gt;Pinnarelli, Luigi&lt;/author&gt;&lt;author&gt;Fusco, Danilo&lt;/author&gt;&lt;author&gt;Davoli, Marina&lt;/author&gt;&lt;author&gt;Braga, Mario&lt;/author&gt;&lt;author&gt;Perucci, CarloA&lt;/author&gt;&lt;/authors&gt;&lt;/contributors&gt;&lt;titles&gt;&lt;title&gt;The impact of a pay-for-performance system on timing to hip fracture surgery: experience from the Lazio Region (Italy)&lt;/title&gt;&lt;secondary-title&gt;BMC Health Services Research&lt;/secondary-title&gt;&lt;alt-title&gt;BMC Health Serv Res&lt;/alt-title&gt;&lt;/titles&gt;&lt;periodical&gt;&lt;full-title&gt;BMC Health Services Research&lt;/full-title&gt;&lt;/periodical&gt;&lt;alt-periodical&gt;&lt;full-title&gt;BMC Health Serv Res&lt;/full-title&gt;&lt;/alt-periodical&gt;&lt;pages&gt;1-7&lt;/pages&gt;&lt;volume&gt;13&lt;/volume&gt;&lt;number&gt;1&lt;/number&gt;&lt;keywords&gt;&lt;keyword&gt;Pay-for-performance&lt;/keyword&gt;&lt;keyword&gt;Hip fracture&lt;/keyword&gt;&lt;keyword&gt;Surgery&lt;/keyword&gt;&lt;keyword&gt;Information systems&lt;/keyword&gt;&lt;/keywords&gt;&lt;dates&gt;&lt;year&gt;2013&lt;/year&gt;&lt;pub-dates&gt;&lt;date&gt;2013/10/07&lt;/date&gt;&lt;/pub-dates&gt;&lt;/dates&gt;&lt;publisher&gt;BioMed Central&lt;/publisher&gt;&lt;urls&gt;&lt;related-urls&gt;&lt;url&gt;http://dx.doi.org/10.1186/1472-6963-13-393&lt;/url&gt;&lt;/related-urls&gt;&lt;/urls&gt;&lt;custom7&gt;393&lt;/custom7&gt;&lt;electronic-resource-num&gt;10.1186/1472-6963-13-393&lt;/electronic-resource-num&gt;&lt;language&gt;English&lt;/language&gt;&lt;/record&gt;&lt;/Cite&gt;&lt;/EndNote&gt;</w:instrText>
              </w:r>
              <w:r w:rsidRPr="00721A5B">
                <w:rPr>
                  <w:rFonts w:cs="Arial"/>
                  <w:sz w:val="20"/>
                  <w:lang w:eastAsia="en-AU"/>
                </w:rPr>
                <w:fldChar w:fldCharType="separate"/>
              </w:r>
              <w:r w:rsidRPr="00721A5B">
                <w:rPr>
                  <w:rFonts w:cs="Arial"/>
                  <w:noProof/>
                  <w:sz w:val="20"/>
                  <w:vertAlign w:val="superscript"/>
                  <w:lang w:eastAsia="en-AU"/>
                </w:rPr>
                <w:t>9</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val="de-DE" w:eastAsia="en-AU"/>
              </w:rPr>
            </w:pPr>
            <w:r w:rsidRPr="00721A5B">
              <w:rPr>
                <w:rFonts w:cs="Arial"/>
                <w:sz w:val="20"/>
                <w:lang w:eastAsia="en-AU"/>
              </w:rPr>
              <w:t>Colais P, Pinnarelli L, Fusco D, et al.</w:t>
            </w:r>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BMC Health Services Research</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color w:val="000000"/>
                <w:sz w:val="20"/>
                <w:lang w:eastAsia="en-AU"/>
              </w:rPr>
              <w:t>Pre- and post-intervention analysis, regression modelling</w:t>
            </w:r>
          </w:p>
        </w:tc>
        <w:tc>
          <w:tcPr>
            <w:tcW w:w="180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Pay for performance</w:t>
            </w:r>
          </w:p>
        </w:tc>
        <w:tc>
          <w:tcPr>
            <w:tcW w:w="105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Italy</w:t>
            </w:r>
          </w:p>
        </w:tc>
        <w:tc>
          <w:tcPr>
            <w:tcW w:w="1285"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Hospital</w:t>
            </w:r>
          </w:p>
        </w:tc>
        <w:tc>
          <w:tcPr>
            <w:tcW w:w="10310" w:type="dxa"/>
          </w:tcPr>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In 2010 Hospitals in Lazio adopted a clinical pathway for elderly patients with hip fracture and introduced a pay-for-performance model payment system based on the quality of care.</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This study used surgery within 48 hours as the main outcome indicator to gauge the effect of the scheme.</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 xml:space="preserve">The share of patients that had surgery within 48 hours was 11.7% before the introduction of the pay-for-performance and 22.2% after. </w:t>
            </w:r>
          </w:p>
          <w:p w:rsidR="00721A5B" w:rsidRPr="00721A5B" w:rsidRDefault="00721A5B" w:rsidP="00721A5B">
            <w:pPr>
              <w:pStyle w:val="ListParagraph"/>
              <w:numPr>
                <w:ilvl w:val="0"/>
                <w:numId w:val="46"/>
              </w:numPr>
              <w:autoSpaceDE w:val="0"/>
              <w:autoSpaceDN w:val="0"/>
              <w:adjustRightInd w:val="0"/>
              <w:rPr>
                <w:rFonts w:ascii="Arial" w:hAnsi="Arial" w:cs="Arial"/>
                <w:sz w:val="20"/>
                <w:szCs w:val="20"/>
              </w:rPr>
            </w:pPr>
            <w:r w:rsidRPr="00721A5B">
              <w:rPr>
                <w:rFonts w:ascii="Arial" w:hAnsi="Arial" w:cs="Arial"/>
                <w:sz w:val="20"/>
                <w:szCs w:val="20"/>
              </w:rPr>
              <w:t>The proportion of early hip fracture operations increased after the pay-for-performance act, regardless of hospital payment type. The largest increase of surgery within 48h occurred in private hospitals.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9</w:t>
            </w:r>
          </w:p>
        </w:tc>
        <w:tc>
          <w:tcPr>
            <w:tcW w:w="2791" w:type="dxa"/>
          </w:tcPr>
          <w:p w:rsidR="00721A5B" w:rsidRPr="00721A5B" w:rsidRDefault="00721A5B" w:rsidP="00B060E0">
            <w:pPr>
              <w:spacing w:before="20" w:after="20" w:line="264" w:lineRule="auto"/>
              <w:rPr>
                <w:rFonts w:cs="Arial"/>
                <w:sz w:val="20"/>
                <w:vertAlign w:val="superscript"/>
                <w:lang w:eastAsia="en-AU"/>
              </w:rPr>
            </w:pPr>
            <w:r w:rsidRPr="00721A5B">
              <w:rPr>
                <w:rFonts w:cs="Arial"/>
                <w:sz w:val="20"/>
                <w:lang w:eastAsia="en-AU"/>
              </w:rPr>
              <w:t>Optimal price-setting in pay for performance schemes in health care</w:t>
            </w:r>
            <w:hyperlink w:anchor="_ENREF_10" w:tooltip="Kristensen SR, 2014 #13869" w:history="1">
              <w:r w:rsidRPr="00721A5B">
                <w:rPr>
                  <w:rFonts w:cs="Arial"/>
                  <w:sz w:val="20"/>
                  <w:lang w:eastAsia="en-AU"/>
                </w:rPr>
                <w:fldChar w:fldCharType="begin"/>
              </w:r>
              <w:r w:rsidRPr="00721A5B">
                <w:rPr>
                  <w:rFonts w:cs="Arial"/>
                  <w:sz w:val="20"/>
                  <w:lang w:eastAsia="en-AU"/>
                </w:rPr>
                <w:instrText xml:space="preserve"> ADDIN EN.CITE &lt;EndNote&gt;&lt;Cite&gt;&lt;Author&gt;Kristensen SR&lt;/Author&gt;&lt;Year&gt;2014&lt;/Year&gt;&lt;RecNum&gt;13869&lt;/RecNum&gt;&lt;DisplayText&gt;&lt;style face="superscript"&gt;10&lt;/style&gt;&lt;/DisplayText&gt;&lt;record&gt;&lt;rec-number&gt;13869&lt;/rec-number&gt;&lt;foreign-keys&gt;&lt;key app="EN" db-id="5r0eapxzsestz4er5zaxe5zqz99fvpawedp5"&gt;13869&lt;/key&gt;&lt;/foreign-keys&gt;&lt;ref-type name="Report"&gt;27&lt;/ref-type&gt;&lt;contributors&gt;&lt;authors&gt;&lt;author&gt;Kristensen SR,&lt;/author&gt;&lt;author&gt;Siciliani L,&lt;/author&gt;&lt;author&gt;Sutton M,&lt;/author&gt;&lt;/authors&gt;&lt;/contributors&gt;&lt;titles&gt;&lt;title&gt;Optimal price-setting in pay for performance schemes in health care&lt;/title&gt;&lt;secondary-title&gt;Discussion Papers in Economics&lt;/secondary-title&gt;&lt;/titles&gt;&lt;volume&gt;14/03&lt;/volume&gt;&lt;dates&gt;&lt;year&gt;2014&lt;/year&gt;&lt;/dates&gt;&lt;publisher&gt;University of York&lt;/publisher&gt;&lt;urls&gt;&lt;/urls&gt;&lt;/record&gt;&lt;/Cite&gt;&lt;/EndNote&gt;</w:instrText>
              </w:r>
              <w:r w:rsidRPr="00721A5B">
                <w:rPr>
                  <w:rFonts w:cs="Arial"/>
                  <w:sz w:val="20"/>
                  <w:lang w:eastAsia="en-AU"/>
                </w:rPr>
                <w:fldChar w:fldCharType="separate"/>
              </w:r>
              <w:r w:rsidRPr="00721A5B">
                <w:rPr>
                  <w:rFonts w:cs="Arial"/>
                  <w:noProof/>
                  <w:sz w:val="20"/>
                  <w:vertAlign w:val="superscript"/>
                  <w:lang w:eastAsia="en-AU"/>
                </w:rPr>
                <w:t>10</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Kristensen SR, Siciliani L, Sutton M.</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University of York</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 xml:space="preserve">Economic modelling </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Best practice tariffs</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UK</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w:t>
            </w:r>
          </w:p>
        </w:tc>
        <w:tc>
          <w:tcPr>
            <w:tcW w:w="10310" w:type="dxa"/>
          </w:tcPr>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 size of incentive payments or tariffs in P4P schemes is often set arbitrarily. Drawing on extensive regulation theory literature his theoretical paper develops a model for setting prices for pay for performance schemes reflecting:</w:t>
            </w:r>
          </w:p>
          <w:p w:rsidR="00721A5B" w:rsidRPr="00721A5B" w:rsidRDefault="00721A5B" w:rsidP="00721A5B">
            <w:pPr>
              <w:pStyle w:val="ListParagraph"/>
              <w:numPr>
                <w:ilvl w:val="0"/>
                <w:numId w:val="49"/>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Marginal benefit of health gains</w:t>
            </w:r>
          </w:p>
          <w:p w:rsidR="00721A5B" w:rsidRPr="00721A5B" w:rsidRDefault="00721A5B" w:rsidP="00721A5B">
            <w:pPr>
              <w:pStyle w:val="ListParagraph"/>
              <w:numPr>
                <w:ilvl w:val="0"/>
                <w:numId w:val="49"/>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Provider altruism</w:t>
            </w:r>
          </w:p>
          <w:p w:rsidR="00721A5B" w:rsidRPr="00721A5B" w:rsidRDefault="00721A5B" w:rsidP="00721A5B">
            <w:pPr>
              <w:pStyle w:val="ListParagraph"/>
              <w:numPr>
                <w:ilvl w:val="0"/>
                <w:numId w:val="49"/>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Opportunity cost of public funds</w:t>
            </w:r>
          </w:p>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 model is then applied to derive optimal prices in the Best Practice Tariffs scheme for stroke care in the NHS, finding that these tariffs were lower than optimal, relied on implausible high levels of altruism, or implied a lower social value of health gains.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lastRenderedPageBreak/>
              <w:t>10</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Measuring the incidence of hospital-acquired complications and their effect on length of stay using CHADx</w:t>
            </w:r>
            <w:hyperlink w:anchor="_ENREF_11" w:tooltip="Trentino, 2013 #13680" w:history="1">
              <w:r w:rsidRPr="00721A5B">
                <w:rPr>
                  <w:rFonts w:cs="Arial"/>
                  <w:sz w:val="20"/>
                  <w:lang w:eastAsia="en-AU"/>
                </w:rPr>
                <w:fldChar w:fldCharType="begin"/>
              </w:r>
              <w:r w:rsidRPr="00721A5B">
                <w:rPr>
                  <w:rFonts w:cs="Arial"/>
                  <w:sz w:val="20"/>
                  <w:lang w:eastAsia="en-AU"/>
                </w:rPr>
                <w:instrText xml:space="preserve"> ADDIN EN.CITE &lt;EndNote&gt;&lt;Cite&gt;&lt;Author&gt;Trentino&lt;/Author&gt;&lt;Year&gt;2013&lt;/Year&gt;&lt;RecNum&gt;13680&lt;/RecNum&gt;&lt;DisplayText&gt;&lt;style face="superscript"&gt;11&lt;/style&gt;&lt;/DisplayText&gt;&lt;record&gt;&lt;rec-number&gt;13680&lt;/rec-number&gt;&lt;foreign-keys&gt;&lt;key app="EN" db-id="5r0eapxzsestz4er5zaxe5zqz99fvpawedp5"&gt;13680&lt;/key&gt;&lt;/foreign-keys&gt;&lt;ref-type name="Journal Article"&gt;17&lt;/ref-type&gt;&lt;contributors&gt;&lt;authors&gt;&lt;author&gt;Trentino, K. M.&lt;/author&gt;&lt;author&gt;Swain, S. G.&lt;/author&gt;&lt;author&gt;Burrows, S. A.&lt;/author&gt;&lt;author&gt;Sprivulis, P. C.&lt;/author&gt;&lt;author&gt;Daly, F. F.&lt;/author&gt;&lt;/authors&gt;&lt;/contributors&gt;&lt;auth-address&gt;Performance Unit, South Metropolitan Health Service, Perth, WA, Australia. kevin.trentino@health.wa.gov.au.&lt;/auth-address&gt;&lt;titles&gt;&lt;title&gt;Measuring the incidence of hospital-acquired complications and their effect on length of stay using CHADx&lt;/title&gt;&lt;secondary-title&gt;Med J Aust&lt;/secondary-title&gt;&lt;/titles&gt;&lt;periodical&gt;&lt;full-title&gt;Med J Aust&lt;/full-title&gt;&lt;/periodical&gt;&lt;pages&gt;543-7&lt;/pages&gt;&lt;volume&gt;199&lt;/volume&gt;&lt;number&gt;8&lt;/number&gt;&lt;edition&gt;2013/10/22&lt;/edition&gt;&lt;dates&gt;&lt;year&gt;2013&lt;/year&gt;&lt;pub-dates&gt;&lt;date&gt;Oct 21&lt;/date&gt;&lt;/pub-dates&gt;&lt;/dates&gt;&lt;isbn&gt;1326-5377 (Electronic)&amp;#xD;0025-729X (Linking)&lt;/isbn&gt;&lt;accession-num&gt;24138380&lt;/accession-num&gt;&lt;urls&gt;&lt;related-urls&gt;&lt;url&gt;http://www.ncbi.nlm.nih.gov/entrez/query.fcgi?cmd=Retrieve&amp;amp;db=PubMed&amp;amp;dopt=Citation&amp;amp;list_uids=24138380&lt;/url&gt;&lt;/related-urls&gt;&lt;/urls&gt;&lt;electronic-resource-num&gt;10.5694/mja12.11640 [pii]&lt;/electronic-resource-num&gt;&lt;language&gt;eng&lt;/language&gt;&lt;/record&gt;&lt;/Cite&gt;&lt;/EndNote&gt;</w:instrText>
              </w:r>
              <w:r w:rsidRPr="00721A5B">
                <w:rPr>
                  <w:rFonts w:cs="Arial"/>
                  <w:sz w:val="20"/>
                  <w:lang w:eastAsia="en-AU"/>
                </w:rPr>
                <w:fldChar w:fldCharType="separate"/>
              </w:r>
              <w:r w:rsidRPr="00721A5B">
                <w:rPr>
                  <w:rFonts w:cs="Arial"/>
                  <w:noProof/>
                  <w:sz w:val="20"/>
                  <w:vertAlign w:val="superscript"/>
                  <w:lang w:eastAsia="en-AU"/>
                </w:rPr>
                <w:t>11</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Trentino KM, Swain SG, Burrows SA, et al</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MJA</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Retrospective analysis of hospital  morbidity data</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N/A</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Australia</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w:t>
            </w:r>
          </w:p>
        </w:tc>
        <w:tc>
          <w:tcPr>
            <w:tcW w:w="10310" w:type="dxa"/>
          </w:tcPr>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 Classification of Hospital Acquired Conditions (CHADx) was applied to administrative data of a West Australian LHN for calendar years 2010 and 2011 (436,841 separations)</w:t>
            </w:r>
          </w:p>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6.68% of separations had at least one hospital-acquired conditions assigned.</w:t>
            </w:r>
          </w:p>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Following regression modelling to adjust for potential confounders, length of stay for episodes with hospital acquired conditions was almost 4 times the mean of episodes without complications.</w:t>
            </w:r>
          </w:p>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 authors highlight the potential utility of administrative data for clinicians and administrators set priorities and “target resources to areas where care could be improved.”</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11</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Controlling costly care: a billion dollar hospital opportunity</w:t>
            </w:r>
            <w:hyperlink w:anchor="_ENREF_12" w:tooltip="Duckett S, 2014 #13870" w:history="1">
              <w:r w:rsidRPr="00721A5B">
                <w:rPr>
                  <w:rFonts w:cs="Arial"/>
                  <w:sz w:val="20"/>
                  <w:lang w:eastAsia="en-AU"/>
                </w:rPr>
                <w:fldChar w:fldCharType="begin"/>
              </w:r>
              <w:r w:rsidRPr="00721A5B">
                <w:rPr>
                  <w:rFonts w:cs="Arial"/>
                  <w:sz w:val="20"/>
                  <w:lang w:eastAsia="en-AU"/>
                </w:rPr>
                <w:instrText xml:space="preserve"> ADDIN EN.CITE &lt;EndNote&gt;&lt;Cite&gt;&lt;Author&gt;Duckett S&lt;/Author&gt;&lt;Year&gt;2014&lt;/Year&gt;&lt;RecNum&gt;13870&lt;/RecNum&gt;&lt;DisplayText&gt;&lt;style face="superscript"&gt;12&lt;/style&gt;&lt;/DisplayText&gt;&lt;record&gt;&lt;rec-number&gt;13870&lt;/rec-number&gt;&lt;foreign-keys&gt;&lt;key app="EN" db-id="5r0eapxzsestz4er5zaxe5zqz99fvpawedp5"&gt;13870&lt;/key&gt;&lt;/foreign-keys&gt;&lt;ref-type name="Report"&gt;27&lt;/ref-type&gt;&lt;contributors&gt;&lt;authors&gt;&lt;author&gt;Duckett S,&lt;/author&gt;&lt;author&gt;Breadon P,&lt;/author&gt;&lt;/authors&gt;&lt;/contributors&gt;&lt;titles&gt;&lt;title&gt;Controlling costly care: a billion dollar hospital opportunity&lt;/title&gt;&lt;/titles&gt;&lt;dates&gt;&lt;year&gt;2014&lt;/year&gt;&lt;/dates&gt;&lt;publisher&gt;Grattan Institute&lt;/publisher&gt;&lt;urls&gt;&lt;/urls&gt;&lt;/record&gt;&lt;/Cite&gt;&lt;/EndNote&gt;</w:instrText>
              </w:r>
              <w:r w:rsidRPr="00721A5B">
                <w:rPr>
                  <w:rFonts w:cs="Arial"/>
                  <w:sz w:val="20"/>
                  <w:lang w:eastAsia="en-AU"/>
                </w:rPr>
                <w:fldChar w:fldCharType="separate"/>
              </w:r>
              <w:r w:rsidRPr="00721A5B">
                <w:rPr>
                  <w:rFonts w:cs="Arial"/>
                  <w:noProof/>
                  <w:sz w:val="20"/>
                  <w:vertAlign w:val="superscript"/>
                  <w:lang w:eastAsia="en-AU"/>
                </w:rPr>
                <w:t>12</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Duckett S, Breadon P</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Grattan Institute</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 xml:space="preserve">Analysis of hospital morbidity data </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N/A</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Australia</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w:t>
            </w:r>
          </w:p>
        </w:tc>
        <w:tc>
          <w:tcPr>
            <w:tcW w:w="10310" w:type="dxa"/>
          </w:tcPr>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There is considerable variation in cost of hospital services between Australian hospitals. This report attempts to quantify ‘unexplained costs’ implying that services could potentially be provided more efficiently.</w:t>
            </w:r>
          </w:p>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Within states and territories, the variation between the most and least expensive hospitals is more than $1,500 per admission. Measurable legitimate differences among hospitals are accounted for, and a further ‘buffer’ built into the model, these costs are said to be avoidable. Nationally, the aggregate for these costs is estimated at just under $1B.</w:t>
            </w:r>
          </w:p>
          <w:p w:rsidR="00721A5B" w:rsidRPr="00721A5B" w:rsidRDefault="00721A5B" w:rsidP="00721A5B">
            <w:pPr>
              <w:pStyle w:val="ListParagraph"/>
              <w:numPr>
                <w:ilvl w:val="0"/>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The authors suggest, </w:t>
            </w:r>
            <w:r w:rsidRPr="00721A5B">
              <w:rPr>
                <w:rFonts w:ascii="Arial" w:hAnsi="Arial" w:cs="Arial"/>
                <w:i/>
                <w:color w:val="000000"/>
                <w:sz w:val="20"/>
                <w:szCs w:val="20"/>
                <w:lang w:eastAsia="en-AU"/>
              </w:rPr>
              <w:t>inter alia</w:t>
            </w:r>
            <w:r w:rsidRPr="00721A5B">
              <w:rPr>
                <w:rFonts w:ascii="Arial" w:hAnsi="Arial" w:cs="Arial"/>
                <w:color w:val="000000"/>
                <w:sz w:val="20"/>
                <w:szCs w:val="20"/>
                <w:lang w:eastAsia="en-AU"/>
              </w:rPr>
              <w:t>:</w:t>
            </w:r>
          </w:p>
          <w:p w:rsidR="00721A5B" w:rsidRPr="00721A5B" w:rsidRDefault="00721A5B" w:rsidP="00721A5B">
            <w:pPr>
              <w:pStyle w:val="ListParagraph"/>
              <w:numPr>
                <w:ilvl w:val="1"/>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Moving towards best practice pricing by, in the first instance, removing unexplained costs in the price-determination  for hospital services (paying what care </w:t>
            </w:r>
            <w:r w:rsidRPr="00721A5B">
              <w:rPr>
                <w:rFonts w:ascii="Arial" w:hAnsi="Arial" w:cs="Arial"/>
                <w:i/>
                <w:color w:val="000000"/>
                <w:sz w:val="20"/>
                <w:szCs w:val="20"/>
                <w:lang w:eastAsia="en-AU"/>
              </w:rPr>
              <w:t xml:space="preserve">should </w:t>
            </w:r>
            <w:r w:rsidRPr="00721A5B">
              <w:rPr>
                <w:rFonts w:ascii="Arial" w:hAnsi="Arial" w:cs="Arial"/>
                <w:color w:val="000000"/>
                <w:sz w:val="20"/>
                <w:szCs w:val="20"/>
                <w:lang w:eastAsia="en-AU"/>
              </w:rPr>
              <w:t>cost)</w:t>
            </w:r>
          </w:p>
          <w:p w:rsidR="00721A5B" w:rsidRPr="00721A5B" w:rsidRDefault="00721A5B" w:rsidP="00721A5B">
            <w:pPr>
              <w:pStyle w:val="ListParagraph"/>
              <w:numPr>
                <w:ilvl w:val="1"/>
                <w:numId w:val="50"/>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Providing cost data to hospitals to enable comparison with peer institutions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12</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Challenges of payment-for-performance in health care and other public services – design, implementation and evaluation</w:t>
            </w:r>
            <w:hyperlink w:anchor="_ENREF_13" w:tooltip="Lagarde M, 2013 #13681" w:history="1">
              <w:r w:rsidRPr="00721A5B">
                <w:rPr>
                  <w:rFonts w:cs="Arial"/>
                  <w:sz w:val="20"/>
                  <w:lang w:eastAsia="en-AU"/>
                </w:rPr>
                <w:fldChar w:fldCharType="begin"/>
              </w:r>
              <w:r w:rsidRPr="00721A5B">
                <w:rPr>
                  <w:rFonts w:cs="Arial"/>
                  <w:sz w:val="20"/>
                  <w:lang w:eastAsia="en-AU"/>
                </w:rPr>
                <w:instrText xml:space="preserve"> ADDIN EN.CITE &lt;EndNote&gt;&lt;Cite&gt;&lt;Author&gt;Lagarde M&lt;/Author&gt;&lt;Year&gt;2013&lt;/Year&gt;&lt;RecNum&gt;13681&lt;/RecNum&gt;&lt;DisplayText&gt;&lt;style face="superscript"&gt;13&lt;/style&gt;&lt;/DisplayText&gt;&lt;record&gt;&lt;rec-number&gt;13681&lt;/rec-number&gt;&lt;foreign-keys&gt;&lt;key app="EN" db-id="5r0eapxzsestz4er5zaxe5zqz99fvpawedp5"&gt;13681&lt;/key&gt;&lt;/foreign-keys&gt;&lt;ref-type name="Report"&gt;27&lt;/ref-type&gt;&lt;contributors&gt;&lt;authors&gt;&lt;author&gt;Lagarde M,&lt;/author&gt;&lt;author&gt;Wright M,&lt;/author&gt;&lt;author&gt;Nossiter J,&lt;/author&gt;&lt;author&gt;Mays N,&lt;/author&gt;&lt;/authors&gt;&lt;/contributors&gt;&lt;titles&gt;&lt;title&gt;Challenges of payment-for-performance in health care and other public services – design, implementation and evaluation&lt;/title&gt;&lt;/titles&gt;&lt;dates&gt;&lt;year&gt;2013&lt;/year&gt;&lt;/dates&gt;&lt;publisher&gt;Policy Innovation Research Unit, London School of Hygiene and Tropical Medicine&lt;/publisher&gt;&lt;urls&gt;&lt;/urls&gt;&lt;/record&gt;&lt;/Cite&gt;&lt;/EndNote&gt;</w:instrText>
              </w:r>
              <w:r w:rsidRPr="00721A5B">
                <w:rPr>
                  <w:rFonts w:cs="Arial"/>
                  <w:sz w:val="20"/>
                  <w:lang w:eastAsia="en-AU"/>
                </w:rPr>
                <w:fldChar w:fldCharType="separate"/>
              </w:r>
              <w:r w:rsidRPr="00721A5B">
                <w:rPr>
                  <w:rFonts w:cs="Arial"/>
                  <w:noProof/>
                  <w:sz w:val="20"/>
                  <w:vertAlign w:val="superscript"/>
                  <w:lang w:eastAsia="en-AU"/>
                </w:rPr>
                <w:t>13</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Lagarde M, Wright M, Nossiter J, Mays N.</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Policy Innovation Research Unit</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Summary of evidence and literature</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Pay for performance</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Inter-national</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All</w:t>
            </w:r>
          </w:p>
        </w:tc>
        <w:tc>
          <w:tcPr>
            <w:tcW w:w="1031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 good synopsis of financial incentives to drive quality in health care. Key findings and insights mirror those of the University of Wollongong  Literature Review and Supplementary JWP Briefings, and include:</w:t>
            </w:r>
          </w:p>
          <w:p w:rsidR="00721A5B" w:rsidRPr="00721A5B" w:rsidRDefault="00721A5B" w:rsidP="00721A5B">
            <w:pPr>
              <w:pStyle w:val="ListParagraph"/>
              <w:numPr>
                <w:ilvl w:val="0"/>
                <w:numId w:val="51"/>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Design is challenging in the public sector because production of services usually involves the pursuit of several different objectives simultaneously that may be more or less easy to identify, measure and trade off.</w:t>
            </w:r>
          </w:p>
          <w:p w:rsidR="00721A5B" w:rsidRPr="00721A5B" w:rsidRDefault="00721A5B" w:rsidP="00721A5B">
            <w:pPr>
              <w:pStyle w:val="ListParagraph"/>
              <w:numPr>
                <w:ilvl w:val="0"/>
                <w:numId w:val="51"/>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 potential effects of a P4P scheme in the public sector depend on the interactions between: (1) who is rewarded: individuals, teams, or organisations; (2) what is rewarded and how is performance measured; and (3) how is the payment structured? There are several key issues in relation to the payment structure, such as the relative size of the conditional payments, and their target.</w:t>
            </w:r>
          </w:p>
          <w:p w:rsidR="00721A5B" w:rsidRPr="00721A5B" w:rsidRDefault="00721A5B" w:rsidP="00721A5B">
            <w:pPr>
              <w:pStyle w:val="ListParagraph"/>
              <w:numPr>
                <w:ilvl w:val="0"/>
                <w:numId w:val="51"/>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The way P4P programmes are implemented can influence the likelihood of success. The context in which a P4P programme is being introduced can influence the success of implementation. Effective communication of the rationale for the P4P program is crucial to successful implementation. The right balance needs to be found between providing accurate data and ensure that the program is credible, and limiting additional administrative burden on providers. </w:t>
            </w:r>
          </w:p>
          <w:p w:rsidR="00721A5B" w:rsidRPr="00721A5B" w:rsidRDefault="00721A5B" w:rsidP="00721A5B">
            <w:pPr>
              <w:pStyle w:val="ListParagraph"/>
              <w:numPr>
                <w:ilvl w:val="0"/>
                <w:numId w:val="51"/>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To date, the evaluation of P4P schemes in public services has produced limited and mixed evidence of their effects. There is very little evidence on the cost-effectiveness of schemes. There is also evidence of perverse effects of P4P. </w:t>
            </w:r>
          </w:p>
          <w:p w:rsidR="00721A5B" w:rsidRPr="00721A5B" w:rsidRDefault="00721A5B" w:rsidP="00721A5B">
            <w:pPr>
              <w:pStyle w:val="ListParagraph"/>
              <w:numPr>
                <w:ilvl w:val="0"/>
                <w:numId w:val="51"/>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It is not possible to generalise about the effects associated with P4P since these are linked to the many ways in which the design of schemes can vary. The body of evidence is further limited by a frequent lack of political willingness and/or technical ability to introduce P4P on an experimental basis.</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13</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Will Value-Based Purchasing Increase Disparities in Care?</w:t>
            </w:r>
            <w:hyperlink w:anchor="_ENREF_14" w:tooltip="Ryan, 2013 #13871" w:history="1">
              <w:r w:rsidRPr="00721A5B">
                <w:rPr>
                  <w:rFonts w:cs="Arial"/>
                  <w:sz w:val="20"/>
                  <w:lang w:eastAsia="en-AU"/>
                </w:rPr>
                <w:fldChar w:fldCharType="begin"/>
              </w:r>
              <w:r w:rsidRPr="00721A5B">
                <w:rPr>
                  <w:rFonts w:cs="Arial"/>
                  <w:sz w:val="20"/>
                  <w:lang w:eastAsia="en-AU"/>
                </w:rPr>
                <w:instrText xml:space="preserve"> ADDIN EN.CITE &lt;EndNote&gt;&lt;Cite&gt;&lt;Author&gt;Ryan&lt;/Author&gt;&lt;Year&gt;2013&lt;/Year&gt;&lt;RecNum&gt;13871&lt;/RecNum&gt;&lt;DisplayText&gt;&lt;style face="superscript"&gt;14&lt;/style&gt;&lt;/DisplayText&gt;&lt;record&gt;&lt;rec-number&gt;13871&lt;/rec-number&gt;&lt;foreign-keys&gt;&lt;key app="EN" db-id="5r0eapxzsestz4er5zaxe5zqz99fvpawedp5"&gt;13871&lt;/key&gt;&lt;/foreign-keys&gt;&lt;ref-type name="Journal Article"&gt;17&lt;/ref-type&gt;&lt;contributors&gt;&lt;authors&gt;&lt;author&gt;Ryan, Andrew M.&lt;/author&gt;&lt;/authors&gt;&lt;/contributors&gt;&lt;titles&gt;&lt;title&gt;Will Value-Based Purchasing Increase Disparities in Care?&lt;/title&gt;&lt;secondary-title&gt;New England Journal of Medicine&lt;/secondary-title&gt;&lt;/titles&gt;&lt;periodical&gt;&lt;full-title&gt;New England Journal of Medicine&lt;/full-title&gt;&lt;/periodical&gt;&lt;pages&gt;2472-2474&lt;/pages&gt;&lt;volume&gt;369&lt;/volume&gt;&lt;number&gt;26&lt;/number&gt;&lt;dates&gt;&lt;year&gt;2013&lt;/year&gt;&lt;/dates&gt;&lt;accession-num&gt;24369072&lt;/accession-num&gt;&lt;urls&gt;&lt;related-urls&gt;&lt;url&gt;http://www.nejm.org/doi/full/10.1056/NEJMp1312654&lt;/url&gt;&lt;/related-urls&gt;&lt;/urls&gt;&lt;electronic-resource-num&gt;doi:10.1056/NEJMp1312654&lt;/electronic-resource-num&gt;&lt;/record&gt;&lt;/Cite&gt;&lt;/EndNote&gt;</w:instrText>
              </w:r>
              <w:r w:rsidRPr="00721A5B">
                <w:rPr>
                  <w:rFonts w:cs="Arial"/>
                  <w:sz w:val="20"/>
                  <w:lang w:eastAsia="en-AU"/>
                </w:rPr>
                <w:fldChar w:fldCharType="separate"/>
              </w:r>
              <w:r w:rsidRPr="00721A5B">
                <w:rPr>
                  <w:rFonts w:cs="Arial"/>
                  <w:noProof/>
                  <w:sz w:val="20"/>
                  <w:vertAlign w:val="superscript"/>
                  <w:lang w:eastAsia="en-AU"/>
                </w:rPr>
                <w:t>14</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Ryan AM.</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NEJM</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Analysis of Medicare payment data</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Pay for performance</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USA</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w:t>
            </w:r>
          </w:p>
        </w:tc>
        <w:tc>
          <w:tcPr>
            <w:tcW w:w="10310" w:type="dxa"/>
          </w:tcPr>
          <w:p w:rsidR="00721A5B" w:rsidRPr="00721A5B" w:rsidRDefault="00721A5B" w:rsidP="00721A5B">
            <w:pPr>
              <w:pStyle w:val="ListParagraph"/>
              <w:numPr>
                <w:ilvl w:val="0"/>
                <w:numId w:val="52"/>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To mitigate punishing hospitals treating more disadvantaged patients, the Medicare and Medicaid Hospital Value-based purchasing (HVBP) scheme rewards both absolute performance and improvement (in addition to Casemix adjustment).</w:t>
            </w:r>
          </w:p>
          <w:p w:rsidR="00721A5B" w:rsidRPr="00721A5B" w:rsidRDefault="00721A5B" w:rsidP="00721A5B">
            <w:pPr>
              <w:pStyle w:val="ListParagraph"/>
              <w:numPr>
                <w:ilvl w:val="0"/>
                <w:numId w:val="52"/>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This paper examines if there is a link between payments and patient demographics, by comparing the payments issued to hospitals and the Disproportionate Share Hospital index.</w:t>
            </w:r>
          </w:p>
          <w:p w:rsidR="00721A5B" w:rsidRPr="00721A5B" w:rsidRDefault="00721A5B" w:rsidP="00721A5B">
            <w:pPr>
              <w:pStyle w:val="ListParagraph"/>
              <w:numPr>
                <w:ilvl w:val="0"/>
                <w:numId w:val="52"/>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Results indicate that in the first year of HVBP hospitals caring for disadvantaged patients did fare worse than their counterparts. </w:t>
            </w:r>
          </w:p>
          <w:p w:rsidR="00721A5B" w:rsidRPr="00721A5B" w:rsidRDefault="00721A5B" w:rsidP="00721A5B">
            <w:pPr>
              <w:pStyle w:val="ListParagraph"/>
              <w:numPr>
                <w:ilvl w:val="0"/>
                <w:numId w:val="52"/>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Hospitals with higher DSH indices received lower points for both achievement and improvement. </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14</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Grading a Physician's Value — The Misapplication of Performance Measurement.</w:t>
            </w:r>
            <w:hyperlink w:anchor="_ENREF_15" w:tooltip="Berenson,  #13678" w:history="1">
              <w:r w:rsidRPr="00721A5B">
                <w:rPr>
                  <w:rFonts w:cs="Arial"/>
                  <w:sz w:val="20"/>
                  <w:lang w:eastAsia="en-AU"/>
                </w:rPr>
                <w:fldChar w:fldCharType="begin"/>
              </w:r>
              <w:r w:rsidRPr="00721A5B">
                <w:rPr>
                  <w:rFonts w:cs="Arial"/>
                  <w:sz w:val="20"/>
                  <w:lang w:eastAsia="en-AU"/>
                </w:rPr>
                <w:instrText xml:space="preserve"> ADDIN EN.CITE &lt;EndNote&gt;&lt;Cite&gt;&lt;Author&gt;Berenson&lt;/Author&gt;&lt;RecNum&gt;13678&lt;/RecNum&gt;&lt;DisplayText&gt;&lt;style face="superscript"&gt;15&lt;/style&gt;&lt;/DisplayText&gt;&lt;record&gt;&lt;rec-number&gt;13678&lt;/rec-number&gt;&lt;foreign-keys&gt;&lt;key app="EN" db-id="5r0eapxzsestz4er5zaxe5zqz99fvpawedp5"&gt;13678&lt;/key&gt;&lt;/foreign-keys&gt;&lt;ref-type name="Journal Article"&gt;17&lt;/ref-type&gt;&lt;contributors&gt;&lt;authors&gt;&lt;author&gt;Berenson, Robert A.&lt;/author&gt;&lt;author&gt;Kaye, Deborah R.&lt;/author&gt;&lt;/authors&gt;&lt;/contributors&gt;&lt;titles&gt;&lt;title&gt;Grading a Physician&amp;apos;s Value — The Misapplication of Performance Measurement&lt;/title&gt;&lt;secondary-title&gt;New England Journal of Medicine&lt;/secondary-title&gt;&lt;/titles&gt;&lt;periodical&gt;&lt;full-title&gt;New England Journal of Medicine&lt;/full-title&gt;&lt;/periodical&gt;&lt;pages&gt;null&lt;/pages&gt;&lt;volume&gt;0&lt;/volume&gt;&lt;number&gt;0&lt;/number&gt;&lt;dates&gt;&lt;/dates&gt;&lt;accession-num&gt;24195500&lt;/accession-num&gt;&lt;urls&gt;&lt;related-urls&gt;&lt;url&gt;http://www.nejm.org/doi/full/10.1056/NEJMp1312287&lt;/url&gt;&lt;/related-urls&gt;&lt;/urls&gt;&lt;electronic-resource-num&gt;doi:10.1056/NEJMp1312287&lt;/electronic-resource-num&gt;&lt;/record&gt;&lt;/Cite&gt;&lt;/EndNote&gt;</w:instrText>
              </w:r>
              <w:r w:rsidRPr="00721A5B">
                <w:rPr>
                  <w:rFonts w:cs="Arial"/>
                  <w:sz w:val="20"/>
                  <w:lang w:eastAsia="en-AU"/>
                </w:rPr>
                <w:fldChar w:fldCharType="separate"/>
              </w:r>
              <w:r w:rsidRPr="00721A5B">
                <w:rPr>
                  <w:rFonts w:cs="Arial"/>
                  <w:noProof/>
                  <w:sz w:val="20"/>
                  <w:vertAlign w:val="superscript"/>
                  <w:lang w:eastAsia="en-AU"/>
                </w:rPr>
                <w:t>15</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Berenson RA, Kaye DR</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NEJM</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Commentary</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Pay for performance</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USA</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w:t>
            </w:r>
          </w:p>
        </w:tc>
        <w:tc>
          <w:tcPr>
            <w:tcW w:w="10310" w:type="dxa"/>
          </w:tcPr>
          <w:p w:rsidR="00721A5B" w:rsidRPr="00721A5B" w:rsidRDefault="00721A5B" w:rsidP="00721A5B">
            <w:pPr>
              <w:pStyle w:val="ListParagraph"/>
              <w:numPr>
                <w:ilvl w:val="0"/>
                <w:numId w:val="53"/>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Another paper warning of the pitfalls of applying financial incentive models to complex, team-based tasks, focusing on the Physician Quality Reporting System (PQRS).</w:t>
            </w:r>
          </w:p>
          <w:p w:rsidR="00721A5B" w:rsidRPr="00721A5B" w:rsidRDefault="00721A5B" w:rsidP="00721A5B">
            <w:pPr>
              <w:pStyle w:val="ListParagraph"/>
              <w:numPr>
                <w:ilvl w:val="0"/>
                <w:numId w:val="53"/>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The authors warn that the reductionist nature of the PQRS will miss important features of quality (such as appropriateness and value) in complex clinical domains such as surgery.  </w:t>
            </w:r>
          </w:p>
          <w:p w:rsidR="00721A5B" w:rsidRPr="00721A5B" w:rsidRDefault="00721A5B" w:rsidP="00721A5B">
            <w:pPr>
              <w:pStyle w:val="ListParagraph"/>
              <w:numPr>
                <w:ilvl w:val="0"/>
                <w:numId w:val="53"/>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Based on behavioural economics literature, P4P is unlikely to have an impact in professions that involve creative problem solving and team-work. </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lastRenderedPageBreak/>
              <w:t>15</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Take the money and run: the challenges of designing and evaluating financial incentives in health care.</w:t>
            </w:r>
            <w:hyperlink w:anchor="_ENREF_16" w:tooltip="Mannion R, 2014 #13872" w:history="1">
              <w:r w:rsidRPr="00721A5B">
                <w:rPr>
                  <w:rFonts w:cs="Arial"/>
                  <w:sz w:val="20"/>
                  <w:lang w:eastAsia="en-AU"/>
                </w:rPr>
                <w:fldChar w:fldCharType="begin"/>
              </w:r>
              <w:r w:rsidRPr="00721A5B">
                <w:rPr>
                  <w:rFonts w:cs="Arial"/>
                  <w:sz w:val="20"/>
                  <w:lang w:eastAsia="en-AU"/>
                </w:rPr>
                <w:instrText xml:space="preserve"> ADDIN EN.CITE &lt;EndNote&gt;&lt;Cite&gt;&lt;Author&gt;Mannion R&lt;/Author&gt;&lt;Year&gt;2014&lt;/Year&gt;&lt;RecNum&gt;13872&lt;/RecNum&gt;&lt;DisplayText&gt;&lt;style face="superscript"&gt;16&lt;/style&gt;&lt;/DisplayText&gt;&lt;record&gt;&lt;rec-number&gt;13872&lt;/rec-number&gt;&lt;foreign-keys&gt;&lt;key app="EN" db-id="5r0eapxzsestz4er5zaxe5zqz99fvpawedp5"&gt;13872&lt;/key&gt;&lt;/foreign-keys&gt;&lt;ref-type name="Journal Article"&gt;17&lt;/ref-type&gt;&lt;contributors&gt;&lt;authors&gt;&lt;author&gt;Mannion R,&lt;/author&gt;&lt;/authors&gt;&lt;/contributors&gt;&lt;titles&gt;&lt;title&gt;Take the money and run: the challenges of designing and evaluating financial incentives in health care&lt;/title&gt;&lt;secondary-title&gt;International Journal of Health Policy and Management&lt;/secondary-title&gt;&lt;/titles&gt;&lt;periodical&gt;&lt;full-title&gt;International Journal of Health Policy and Management&lt;/full-title&gt;&lt;/periodical&gt;&lt;pages&gt;1-2&lt;/pages&gt;&lt;volume&gt;2&lt;/volume&gt;&lt;number&gt;x&lt;/number&gt;&lt;dates&gt;&lt;year&gt;2014&lt;/year&gt;&lt;/dates&gt;&lt;urls&gt;&lt;/urls&gt;&lt;/record&gt;&lt;/Cite&gt;&lt;/EndNote&gt;</w:instrText>
              </w:r>
              <w:r w:rsidRPr="00721A5B">
                <w:rPr>
                  <w:rFonts w:cs="Arial"/>
                  <w:sz w:val="20"/>
                  <w:lang w:eastAsia="en-AU"/>
                </w:rPr>
                <w:fldChar w:fldCharType="separate"/>
              </w:r>
              <w:r w:rsidRPr="00721A5B">
                <w:rPr>
                  <w:rFonts w:cs="Arial"/>
                  <w:noProof/>
                  <w:sz w:val="20"/>
                  <w:vertAlign w:val="superscript"/>
                  <w:lang w:eastAsia="en-AU"/>
                </w:rPr>
                <w:t>16</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Mannion R</w:t>
            </w:r>
          </w:p>
        </w:tc>
        <w:tc>
          <w:tcPr>
            <w:tcW w:w="1440" w:type="dxa"/>
          </w:tcPr>
          <w:p w:rsidR="00721A5B" w:rsidRPr="00721A5B" w:rsidRDefault="00721A5B" w:rsidP="00B060E0">
            <w:pPr>
              <w:spacing w:before="20" w:after="20" w:line="264" w:lineRule="auto"/>
              <w:rPr>
                <w:rFonts w:cs="Arial"/>
                <w:color w:val="000000"/>
                <w:sz w:val="20"/>
                <w:lang w:eastAsia="en-AU"/>
              </w:rPr>
            </w:pPr>
            <w:r w:rsidRPr="00721A5B">
              <w:rPr>
                <w:rFonts w:cs="Arial"/>
                <w:iCs/>
                <w:sz w:val="20"/>
                <w:lang w:eastAsia="en-AU"/>
              </w:rPr>
              <w:t>International Journal of Health Policy and Management</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Commentary</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Pay for performance</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Inter-national</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All</w:t>
            </w:r>
          </w:p>
        </w:tc>
        <w:tc>
          <w:tcPr>
            <w:tcW w:w="10310" w:type="dxa"/>
          </w:tcPr>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Another piece examining the tenuous assumptions and evidence for P4P schemes. This paper lists some unintended consequences including:</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Tunnel vision (excessive focus on indicators linked to P4P)</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Bullying and intimidation</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Adverse selection</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Crowding out of intrinsic motivation</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Inequity</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Over-compensation</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Gaming and fraud</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16</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Paying for performance in healthcare organisations</w:t>
            </w:r>
            <w:hyperlink w:anchor="_ENREF_17" w:tooltip="McDonald R, 2014 #13873" w:history="1">
              <w:r w:rsidRPr="00721A5B">
                <w:rPr>
                  <w:rFonts w:cs="Arial"/>
                  <w:sz w:val="20"/>
                  <w:lang w:eastAsia="en-AU"/>
                </w:rPr>
                <w:fldChar w:fldCharType="begin"/>
              </w:r>
              <w:r w:rsidRPr="00721A5B">
                <w:rPr>
                  <w:rFonts w:cs="Arial"/>
                  <w:sz w:val="20"/>
                  <w:lang w:eastAsia="en-AU"/>
                </w:rPr>
                <w:instrText xml:space="preserve"> ADDIN EN.CITE &lt;EndNote&gt;&lt;Cite&gt;&lt;Author&gt;McDonald R&lt;/Author&gt;&lt;Year&gt;2014&lt;/Year&gt;&lt;RecNum&gt;13873&lt;/RecNum&gt;&lt;DisplayText&gt;&lt;style face="superscript"&gt;17&lt;/style&gt;&lt;/DisplayText&gt;&lt;record&gt;&lt;rec-number&gt;13873&lt;/rec-number&gt;&lt;foreign-keys&gt;&lt;key app="EN" db-id="5r0eapxzsestz4er5zaxe5zqz99fvpawedp5"&gt;13873&lt;/key&gt;&lt;/foreign-keys&gt;&lt;ref-type name="Journal Article"&gt;17&lt;/ref-type&gt;&lt;contributors&gt;&lt;authors&gt;&lt;author&gt;McDonald R,&lt;/author&gt;&lt;/authors&gt;&lt;/contributors&gt;&lt;titles&gt;&lt;title&gt;Paying for performance in healthcare organisations&lt;/title&gt;&lt;secondary-title&gt;International Journal of Health Policy and Management&lt;/secondary-title&gt;&lt;/titles&gt;&lt;periodical&gt;&lt;full-title&gt;International Journal of Health Policy and Management&lt;/full-title&gt;&lt;/periodical&gt;&lt;pages&gt;59-60&lt;/pages&gt;&lt;volume&gt;2&lt;/volume&gt;&lt;number&gt;2&lt;/number&gt;&lt;dates&gt;&lt;year&gt;2014&lt;/year&gt;&lt;/dates&gt;&lt;urls&gt;&lt;/urls&gt;&lt;/record&gt;&lt;/Cite&gt;&lt;/EndNote&gt;</w:instrText>
              </w:r>
              <w:r w:rsidRPr="00721A5B">
                <w:rPr>
                  <w:rFonts w:cs="Arial"/>
                  <w:sz w:val="20"/>
                  <w:lang w:eastAsia="en-AU"/>
                </w:rPr>
                <w:fldChar w:fldCharType="separate"/>
              </w:r>
              <w:r w:rsidRPr="00721A5B">
                <w:rPr>
                  <w:rFonts w:cs="Arial"/>
                  <w:noProof/>
                  <w:sz w:val="20"/>
                  <w:vertAlign w:val="superscript"/>
                  <w:lang w:eastAsia="en-AU"/>
                </w:rPr>
                <w:t>17</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McDonald R</w:t>
            </w:r>
          </w:p>
        </w:tc>
        <w:tc>
          <w:tcPr>
            <w:tcW w:w="1440" w:type="dxa"/>
          </w:tcPr>
          <w:p w:rsidR="00721A5B" w:rsidRPr="00721A5B" w:rsidRDefault="00721A5B" w:rsidP="00B060E0">
            <w:pPr>
              <w:spacing w:before="20" w:after="20" w:line="264" w:lineRule="auto"/>
              <w:rPr>
                <w:rFonts w:cs="Arial"/>
                <w:iCs/>
                <w:sz w:val="20"/>
                <w:lang w:eastAsia="en-AU"/>
              </w:rPr>
            </w:pPr>
            <w:r w:rsidRPr="00721A5B">
              <w:rPr>
                <w:rFonts w:cs="Arial"/>
                <w:iCs/>
                <w:sz w:val="20"/>
                <w:lang w:eastAsia="en-AU"/>
              </w:rPr>
              <w:t>International Journal of Health Policy and Management</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Commentary</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Pay for performance</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Inter-national</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All</w:t>
            </w:r>
          </w:p>
        </w:tc>
        <w:tc>
          <w:tcPr>
            <w:tcW w:w="10310" w:type="dxa"/>
          </w:tcPr>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This paper explores the potential reasons why P4P schemes fail to deliver intended outcomes.</w:t>
            </w:r>
          </w:p>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To a large extent, initiatives fail to consider design and implementation with regard to social, cultural and historical contexts. Schemes appear to work better if accompanied by mechanisms to enable change in behaviour (e.g. electronic health records).</w:t>
            </w:r>
          </w:p>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The failure of the US PHQID scheme, compared with the success of </w:t>
            </w:r>
            <w:r w:rsidRPr="00721A5B">
              <w:rPr>
                <w:rFonts w:ascii="Arial" w:hAnsi="Arial" w:cs="Arial"/>
                <w:i/>
                <w:color w:val="000000"/>
                <w:sz w:val="20"/>
                <w:szCs w:val="20"/>
                <w:lang w:eastAsia="en-AU"/>
              </w:rPr>
              <w:t xml:space="preserve">Advancing Quality </w:t>
            </w:r>
            <w:r w:rsidRPr="00721A5B">
              <w:rPr>
                <w:rFonts w:ascii="Arial" w:hAnsi="Arial" w:cs="Arial"/>
                <w:color w:val="000000"/>
                <w:sz w:val="20"/>
                <w:szCs w:val="20"/>
                <w:lang w:eastAsia="en-AU"/>
              </w:rPr>
              <w:t xml:space="preserve">in northern England (two very similar initiatives in terms of design) is used to highlight the importance of implementation. </w:t>
            </w:r>
          </w:p>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Shortcomings in the implementation of CQUIN are also discussed, particularly the lack of genuine clinician engagement. </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r w:rsidRPr="00721A5B">
              <w:rPr>
                <w:rFonts w:ascii="Arial" w:hAnsi="Arial" w:cs="Arial"/>
                <w:b/>
                <w:color w:val="FFFFFF"/>
                <w:sz w:val="20"/>
                <w:szCs w:val="20"/>
                <w:lang w:eastAsia="en-AU"/>
              </w:rPr>
              <w:t>17</w:t>
            </w: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 xml:space="preserve">Vergutungssysteme und Wettbewerb im </w:t>
            </w:r>
            <w:r w:rsidRPr="00721A5B">
              <w:rPr>
                <w:rFonts w:cs="Arial"/>
                <w:i/>
                <w:sz w:val="20"/>
                <w:lang w:eastAsia="en-AU"/>
              </w:rPr>
              <w:t>Gesundheitssytem (Payment mechanisms and competition in health care)</w:t>
            </w:r>
            <w:hyperlink w:anchor="_ENREF_18" w:tooltip="Krauth C, 2013 #13874" w:history="1">
              <w:r w:rsidRPr="00721A5B">
                <w:rPr>
                  <w:rFonts w:cs="Arial"/>
                  <w:i/>
                  <w:sz w:val="20"/>
                  <w:lang w:eastAsia="en-AU"/>
                </w:rPr>
                <w:fldChar w:fldCharType="begin"/>
              </w:r>
              <w:r w:rsidRPr="00721A5B">
                <w:rPr>
                  <w:rFonts w:cs="Arial"/>
                  <w:i/>
                  <w:sz w:val="20"/>
                  <w:lang w:eastAsia="en-AU"/>
                </w:rPr>
                <w:instrText xml:space="preserve"> ADDIN EN.CITE &lt;EndNote&gt;&lt;Cite&gt;&lt;Author&gt;Krauth C&lt;/Author&gt;&lt;Year&gt;2013&lt;/Year&gt;&lt;RecNum&gt;13874&lt;/RecNum&gt;&lt;DisplayText&gt;&lt;style face="superscript"&gt;18&lt;/style&gt;&lt;/DisplayText&gt;&lt;record&gt;&lt;rec-number&gt;13874&lt;/rec-number&gt;&lt;foreign-keys&gt;&lt;key app="EN" db-id="5r0eapxzsestz4er5zaxe5zqz99fvpawedp5"&gt;13874&lt;/key&gt;&lt;/foreign-keys&gt;&lt;ref-type name="Journal Article"&gt;17&lt;/ref-type&gt;&lt;contributors&gt;&lt;authors&gt;&lt;author&gt;Krauth C,&lt;/author&gt;&lt;author&gt;Jensen S,&lt;/author&gt;&lt;author&gt;Wolf S,&lt;/author&gt;&lt;author&gt;Amelung V,&lt;/author&gt;&lt;/authors&gt;&lt;/contributors&gt;&lt;titles&gt;&lt;title&gt;Vergutungssysteme und Wettbewerb im Gesundheitssytem (Payment mechanisms and competition in the healthcare system)&lt;/title&gt;&lt;secondary-title&gt;Public Health Forum&lt;/secondary-title&gt;&lt;/titles&gt;&lt;periodical&gt;&lt;full-title&gt;Public Health Forum&lt;/full-title&gt;&lt;/periodical&gt;&lt;dates&gt;&lt;year&gt;2013&lt;/year&gt;&lt;/dates&gt;&lt;urls&gt;&lt;/urls&gt;&lt;/record&gt;&lt;/Cite&gt;&lt;/EndNote&gt;</w:instrText>
              </w:r>
              <w:r w:rsidRPr="00721A5B">
                <w:rPr>
                  <w:rFonts w:cs="Arial"/>
                  <w:i/>
                  <w:sz w:val="20"/>
                  <w:lang w:eastAsia="en-AU"/>
                </w:rPr>
                <w:fldChar w:fldCharType="separate"/>
              </w:r>
              <w:r w:rsidRPr="00721A5B">
                <w:rPr>
                  <w:rFonts w:cs="Arial"/>
                  <w:i/>
                  <w:noProof/>
                  <w:sz w:val="20"/>
                  <w:vertAlign w:val="superscript"/>
                  <w:lang w:eastAsia="en-AU"/>
                </w:rPr>
                <w:t>18</w:t>
              </w:r>
              <w:r w:rsidRPr="00721A5B">
                <w:rPr>
                  <w:rFonts w:cs="Arial"/>
                  <w:i/>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Krauth C, Jensen S, Wolf S, Amelung V</w:t>
            </w:r>
          </w:p>
        </w:tc>
        <w:tc>
          <w:tcPr>
            <w:tcW w:w="1440" w:type="dxa"/>
          </w:tcPr>
          <w:p w:rsidR="00721A5B" w:rsidRPr="00721A5B" w:rsidRDefault="00721A5B" w:rsidP="00B060E0">
            <w:pPr>
              <w:spacing w:before="20" w:after="20" w:line="264" w:lineRule="auto"/>
              <w:rPr>
                <w:rFonts w:cs="Arial"/>
                <w:iCs/>
                <w:sz w:val="20"/>
                <w:lang w:eastAsia="en-AU"/>
              </w:rPr>
            </w:pPr>
            <w:r w:rsidRPr="00721A5B">
              <w:rPr>
                <w:rFonts w:cs="Arial"/>
                <w:iCs/>
                <w:sz w:val="20"/>
                <w:lang w:eastAsia="en-AU"/>
              </w:rPr>
              <w:t>Public Health Forum</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Summary of evidence and literature</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Various</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Germany</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All</w:t>
            </w:r>
          </w:p>
        </w:tc>
        <w:tc>
          <w:tcPr>
            <w:tcW w:w="10310" w:type="dxa"/>
          </w:tcPr>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Another paper providing a useful perspective from Germany, building on previously presented material from that country (Veit et al 2012).</w:t>
            </w:r>
          </w:p>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The enthusiasm for P4P in English-speaking countries is noted, whereas such interventions are merely at the discussion stage in Germany. </w:t>
            </w:r>
          </w:p>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The literature cited suggests that while P4P can deliver desired increase in quality, unintended consequences are also common. </w:t>
            </w:r>
          </w:p>
          <w:p w:rsidR="00721A5B" w:rsidRPr="00721A5B" w:rsidRDefault="00721A5B" w:rsidP="00721A5B">
            <w:pPr>
              <w:pStyle w:val="ListParagraph"/>
              <w:numPr>
                <w:ilvl w:val="0"/>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The following conclusions are made:</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 xml:space="preserve">More nuanced and rigorous evaluation of P4P schemes is necessary </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Implementation of P4P should be coupled with other payment mechanisms</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Unintended consequences should be balanced with non-financial structures and controls</w:t>
            </w:r>
          </w:p>
          <w:p w:rsidR="00721A5B" w:rsidRPr="00721A5B" w:rsidRDefault="00721A5B" w:rsidP="00721A5B">
            <w:pPr>
              <w:pStyle w:val="ListParagraph"/>
              <w:numPr>
                <w:ilvl w:val="1"/>
                <w:numId w:val="54"/>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Financial incentives should not crowd out intrinsic motivations for quality care.</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Ergebnisorientierte Vergutung: Pay for Perfromance</w:t>
            </w:r>
            <w:hyperlink w:anchor="_ENREF_19" w:tooltip="Göpffarth, 2014 #13878" w:history="1">
              <w:r w:rsidRPr="00721A5B">
                <w:rPr>
                  <w:rFonts w:cs="Arial"/>
                  <w:sz w:val="20"/>
                  <w:lang w:eastAsia="en-AU"/>
                </w:rPr>
                <w:fldChar w:fldCharType="begin"/>
              </w:r>
              <w:r w:rsidRPr="00721A5B">
                <w:rPr>
                  <w:rFonts w:cs="Arial"/>
                  <w:sz w:val="20"/>
                  <w:lang w:eastAsia="en-AU"/>
                </w:rPr>
                <w:instrText xml:space="preserve"> ADDIN EN.CITE &lt;EndNote&gt;&lt;Cite&gt;&lt;Author&gt;Göpffarth&lt;/Author&gt;&lt;Year&gt;2014&lt;/Year&gt;&lt;RecNum&gt;13878&lt;/RecNum&gt;&lt;DisplayText&gt;&lt;style face="superscript"&gt;19&lt;/style&gt;&lt;/DisplayText&gt;&lt;record&gt;&lt;rec-number&gt;13878&lt;/rec-number&gt;&lt;foreign-keys&gt;&lt;key app="EN" db-id="5r0eapxzsestz4er5zaxe5zqz99fvpawedp5"&gt;13878&lt;/key&gt;&lt;/foreign-keys&gt;&lt;ref-type name="Journal Article"&gt;17&lt;/ref-type&gt;&lt;contributors&gt;&lt;authors&gt;&lt;author&gt;Göpffarth, Dirk&lt;/author&gt;&lt;/authors&gt;&lt;/contributors&gt;&lt;titles&gt;&lt;title&gt;Ergebnisorientierte Vergütung: Pay for performance&lt;/title&gt;&lt;secondary-title&gt;Public Health Forum&lt;/secondary-title&gt;&lt;/titles&gt;&lt;periodical&gt;&lt;full-title&gt;Public Health Forum&lt;/full-title&gt;&lt;/periodical&gt;&lt;pages&gt;16.e1-16.e3&lt;/pages&gt;&lt;volume&gt;22&lt;/volume&gt;&lt;number&gt;2&lt;/number&gt;&lt;keywords&gt;&lt;keyword&gt;Erfolgsorientierte Vergütung&lt;/keyword&gt;&lt;keyword&gt;Anreizsysteme&lt;/keyword&gt;&lt;keyword&gt;Versorgungsqualität&lt;/keyword&gt;&lt;keyword&gt;Pay-for-Performance&lt;/keyword&gt;&lt;keyword&gt;Incentives&lt;/keyword&gt;&lt;keyword&gt;Quality of Care&lt;/keyword&gt;&lt;/keywords&gt;&lt;dates&gt;&lt;year&gt;2014&lt;/year&gt;&lt;/dates&gt;&lt;isbn&gt;0944-5587&lt;/isbn&gt;&lt;urls&gt;&lt;related-urls&gt;&lt;url&gt;http://www.sciencedirect.com/science/article/pii/S0944558714000237&lt;/url&gt;&lt;/related-urls&gt;&lt;/urls&gt;&lt;electronic-resource-num&gt;http://dx.doi.org/10.1016/j.phf.2014.03.018&lt;/electronic-resource-num&gt;&lt;/record&gt;&lt;/Cite&gt;&lt;/EndNote&gt;</w:instrText>
              </w:r>
              <w:r w:rsidRPr="00721A5B">
                <w:rPr>
                  <w:rFonts w:cs="Arial"/>
                  <w:sz w:val="20"/>
                  <w:lang w:eastAsia="en-AU"/>
                </w:rPr>
                <w:fldChar w:fldCharType="separate"/>
              </w:r>
              <w:r w:rsidRPr="00721A5B">
                <w:rPr>
                  <w:rFonts w:cs="Arial"/>
                  <w:noProof/>
                  <w:sz w:val="20"/>
                  <w:vertAlign w:val="superscript"/>
                  <w:lang w:eastAsia="en-AU"/>
                </w:rPr>
                <w:t>19</w:t>
              </w:r>
              <w:r w:rsidRPr="00721A5B">
                <w:rPr>
                  <w:rFonts w:cs="Arial"/>
                  <w:sz w:val="20"/>
                  <w:lang w:eastAsia="en-AU"/>
                </w:rPr>
                <w:fldChar w:fldCharType="end"/>
              </w:r>
            </w:hyperlink>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Gopffahrt D</w:t>
            </w:r>
          </w:p>
        </w:tc>
        <w:tc>
          <w:tcPr>
            <w:tcW w:w="1440" w:type="dxa"/>
          </w:tcPr>
          <w:p w:rsidR="00721A5B" w:rsidRPr="00721A5B" w:rsidRDefault="00721A5B" w:rsidP="00B060E0">
            <w:pPr>
              <w:spacing w:before="20" w:after="20" w:line="264" w:lineRule="auto"/>
              <w:rPr>
                <w:rFonts w:cs="Arial"/>
                <w:iCs/>
                <w:sz w:val="20"/>
                <w:lang w:eastAsia="en-AU"/>
              </w:rPr>
            </w:pPr>
            <w:r w:rsidRPr="00721A5B">
              <w:rPr>
                <w:rFonts w:cs="Arial"/>
                <w:iCs/>
                <w:sz w:val="20"/>
                <w:lang w:eastAsia="en-AU"/>
              </w:rPr>
              <w:t xml:space="preserve">Public Health Forum </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Commentary; summary</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Various</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Germany</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All</w:t>
            </w:r>
          </w:p>
        </w:tc>
        <w:tc>
          <w:tcPr>
            <w:tcW w:w="1031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Another German perspective, confirming the overall caution to financial incentivisation in health care. This piece reiterates the themes and findings of other literature, including issues of:</w:t>
            </w:r>
          </w:p>
          <w:p w:rsidR="00721A5B" w:rsidRPr="00721A5B" w:rsidRDefault="00721A5B" w:rsidP="00721A5B">
            <w:pPr>
              <w:pStyle w:val="ListParagraph"/>
              <w:numPr>
                <w:ilvl w:val="0"/>
                <w:numId w:val="58"/>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measurement</w:t>
            </w:r>
          </w:p>
          <w:p w:rsidR="00721A5B" w:rsidRPr="00721A5B" w:rsidRDefault="00721A5B" w:rsidP="00721A5B">
            <w:pPr>
              <w:pStyle w:val="ListParagraph"/>
              <w:numPr>
                <w:ilvl w:val="0"/>
                <w:numId w:val="58"/>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accountability</w:t>
            </w:r>
          </w:p>
          <w:p w:rsidR="00721A5B" w:rsidRPr="00721A5B" w:rsidRDefault="00721A5B" w:rsidP="00721A5B">
            <w:pPr>
              <w:pStyle w:val="ListParagraph"/>
              <w:numPr>
                <w:ilvl w:val="0"/>
                <w:numId w:val="58"/>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method/structure</w:t>
            </w:r>
          </w:p>
          <w:p w:rsidR="00721A5B" w:rsidRPr="00721A5B" w:rsidRDefault="00721A5B" w:rsidP="00721A5B">
            <w:pPr>
              <w:pStyle w:val="ListParagraph"/>
              <w:numPr>
                <w:ilvl w:val="0"/>
                <w:numId w:val="58"/>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coordination versus cooperation</w:t>
            </w:r>
          </w:p>
          <w:p w:rsidR="00721A5B" w:rsidRPr="00721A5B" w:rsidRDefault="00721A5B" w:rsidP="00721A5B">
            <w:pPr>
              <w:pStyle w:val="ListParagraph"/>
              <w:numPr>
                <w:ilvl w:val="0"/>
                <w:numId w:val="58"/>
              </w:numPr>
              <w:spacing w:before="20" w:after="20" w:line="264" w:lineRule="auto"/>
              <w:rPr>
                <w:rFonts w:ascii="Arial" w:hAnsi="Arial" w:cs="Arial"/>
                <w:color w:val="000000"/>
                <w:sz w:val="20"/>
                <w:szCs w:val="20"/>
                <w:lang w:eastAsia="en-AU"/>
              </w:rPr>
            </w:pPr>
            <w:r w:rsidRPr="00721A5B">
              <w:rPr>
                <w:rFonts w:ascii="Arial" w:hAnsi="Arial" w:cs="Arial"/>
                <w:color w:val="000000"/>
                <w:sz w:val="20"/>
                <w:szCs w:val="20"/>
                <w:lang w:eastAsia="en-AU"/>
              </w:rPr>
              <w:t>context-dependency</w:t>
            </w:r>
          </w:p>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The author recommends experimental pilot schemes to develop a stronger empirical base for their broader application.</w:t>
            </w:r>
          </w:p>
        </w:tc>
      </w:tr>
      <w:tr w:rsidR="00721A5B" w:rsidRPr="00721A5B" w:rsidTr="00D04E8B">
        <w:trPr>
          <w:cantSplit/>
          <w:trHeight w:val="1198"/>
          <w:tblHeader/>
        </w:trPr>
        <w:tc>
          <w:tcPr>
            <w:tcW w:w="449" w:type="dxa"/>
            <w:shd w:val="clear" w:color="auto" w:fill="8DB3E2"/>
          </w:tcPr>
          <w:p w:rsidR="00721A5B" w:rsidRPr="00721A5B" w:rsidRDefault="00721A5B" w:rsidP="00721A5B">
            <w:pPr>
              <w:pStyle w:val="ListParagraph"/>
              <w:numPr>
                <w:ilvl w:val="0"/>
                <w:numId w:val="56"/>
              </w:numPr>
              <w:spacing w:before="20" w:after="20" w:line="264" w:lineRule="auto"/>
              <w:rPr>
                <w:rFonts w:ascii="Arial" w:hAnsi="Arial" w:cs="Arial"/>
                <w:b/>
                <w:color w:val="FFFFFF"/>
                <w:sz w:val="20"/>
                <w:szCs w:val="20"/>
                <w:lang w:eastAsia="en-AU"/>
              </w:rPr>
            </w:pPr>
          </w:p>
        </w:tc>
        <w:tc>
          <w:tcPr>
            <w:tcW w:w="2791"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Variation in Surgical-Readmission Rates and Quality of Hospital Care</w:t>
            </w:r>
            <w:hyperlink w:anchor="_ENREF_20" w:tooltip="Tsai, 2013 #13879" w:history="1">
              <w:r w:rsidRPr="00721A5B">
                <w:rPr>
                  <w:rFonts w:cs="Arial"/>
                  <w:sz w:val="20"/>
                  <w:lang w:eastAsia="en-AU"/>
                </w:rPr>
                <w:fldChar w:fldCharType="begin"/>
              </w:r>
              <w:r w:rsidRPr="00721A5B">
                <w:rPr>
                  <w:rFonts w:cs="Arial"/>
                  <w:sz w:val="20"/>
                  <w:lang w:eastAsia="en-AU"/>
                </w:rPr>
                <w:instrText xml:space="preserve"> ADDIN EN.CITE &lt;EndNote&gt;&lt;Cite&gt;&lt;Author&gt;Tsai&lt;/Author&gt;&lt;Year&gt;2013&lt;/Year&gt;&lt;RecNum&gt;13879&lt;/RecNum&gt;&lt;DisplayText&gt;&lt;style face="superscript"&gt;20&lt;/style&gt;&lt;/DisplayText&gt;&lt;record&gt;&lt;rec-number&gt;13879&lt;/rec-number&gt;&lt;foreign-keys&gt;&lt;key app="EN" db-id="5r0eapxzsestz4er5zaxe5zqz99fvpawedp5"&gt;13879&lt;/key&gt;&lt;/foreign-keys&gt;&lt;ref-type name="Journal Article"&gt;17&lt;/ref-type&gt;&lt;contributors&gt;&lt;authors&gt;&lt;author&gt;Tsai, Thomas C.&lt;/author&gt;&lt;author&gt;Joynt, Karen E.&lt;/author&gt;&lt;author&gt;Orav, E. John&lt;/author&gt;&lt;author&gt;Gawande, Atul A.&lt;/author&gt;&lt;author&gt;Jha, Ashish K.&lt;/author&gt;&lt;/authors&gt;&lt;/contributors&gt;&lt;titles&gt;&lt;title&gt;Variation in Surgical-Readmission Rates and Quality of Hospital Care&lt;/title&gt;&lt;secondary-title&gt;New England Journal of Medicine&lt;/secondary-title&gt;&lt;/titles&gt;&lt;periodical&gt;&lt;full-title&gt;New England Journal of Medicine&lt;/full-title&gt;&lt;/periodical&gt;&lt;pages&gt;1134-1142&lt;/pages&gt;&lt;volume&gt;369&lt;/volume&gt;&lt;number&gt;12&lt;/number&gt;&lt;dates&gt;&lt;year&gt;2013&lt;/year&gt;&lt;/dates&gt;&lt;accession-num&gt;24047062&lt;/accession-num&gt;&lt;urls&gt;&lt;related-urls&gt;&lt;url&gt;http://www.nejm.org/doi/full/10.1056/NEJMsa1303118&lt;/url&gt;&lt;/related-urls&gt;&lt;/urls&gt;&lt;electronic-resource-num&gt;doi:10.1056/NEJMsa1303118&lt;/electronic-resource-num&gt;&lt;/record&gt;&lt;/Cite&gt;&lt;/EndNote&gt;</w:instrText>
              </w:r>
              <w:r w:rsidRPr="00721A5B">
                <w:rPr>
                  <w:rFonts w:cs="Arial"/>
                  <w:sz w:val="20"/>
                  <w:lang w:eastAsia="en-AU"/>
                </w:rPr>
                <w:fldChar w:fldCharType="separate"/>
              </w:r>
              <w:r w:rsidRPr="00721A5B">
                <w:rPr>
                  <w:rFonts w:cs="Arial"/>
                  <w:noProof/>
                  <w:sz w:val="20"/>
                  <w:vertAlign w:val="superscript"/>
                  <w:lang w:eastAsia="en-AU"/>
                </w:rPr>
                <w:t>20</w:t>
              </w:r>
              <w:r w:rsidRPr="00721A5B">
                <w:rPr>
                  <w:rFonts w:cs="Arial"/>
                  <w:sz w:val="20"/>
                  <w:lang w:eastAsia="en-AU"/>
                </w:rPr>
                <w:fldChar w:fldCharType="end"/>
              </w:r>
            </w:hyperlink>
          </w:p>
          <w:p w:rsidR="00721A5B" w:rsidRPr="00721A5B" w:rsidRDefault="00721A5B" w:rsidP="00B060E0">
            <w:pPr>
              <w:spacing w:before="20" w:after="20" w:line="264" w:lineRule="auto"/>
              <w:rPr>
                <w:rFonts w:cs="Arial"/>
                <w:sz w:val="20"/>
                <w:lang w:eastAsia="en-AU"/>
              </w:rPr>
            </w:pPr>
          </w:p>
        </w:tc>
        <w:tc>
          <w:tcPr>
            <w:tcW w:w="1440" w:type="dxa"/>
          </w:tcPr>
          <w:p w:rsidR="00721A5B" w:rsidRPr="00721A5B" w:rsidRDefault="00721A5B" w:rsidP="00B060E0">
            <w:pPr>
              <w:spacing w:before="20" w:after="20" w:line="264" w:lineRule="auto"/>
              <w:rPr>
                <w:rFonts w:cs="Arial"/>
                <w:sz w:val="20"/>
                <w:lang w:eastAsia="en-AU"/>
              </w:rPr>
            </w:pPr>
            <w:r w:rsidRPr="00721A5B">
              <w:rPr>
                <w:rFonts w:cs="Arial"/>
                <w:sz w:val="20"/>
                <w:lang w:eastAsia="en-AU"/>
              </w:rPr>
              <w:t>Thomas C. Tsai,  Karen E. Joynt,  John Orav, D., Atul A. Gawande, Ashish K. Jha</w:t>
            </w:r>
          </w:p>
        </w:tc>
        <w:tc>
          <w:tcPr>
            <w:tcW w:w="1440" w:type="dxa"/>
          </w:tcPr>
          <w:p w:rsidR="00721A5B" w:rsidRPr="00721A5B" w:rsidRDefault="00721A5B" w:rsidP="00B060E0">
            <w:pPr>
              <w:spacing w:before="20" w:after="20" w:line="264" w:lineRule="auto"/>
              <w:rPr>
                <w:rFonts w:cs="Arial"/>
                <w:iCs/>
                <w:sz w:val="20"/>
                <w:lang w:eastAsia="en-AU"/>
              </w:rPr>
            </w:pPr>
            <w:r w:rsidRPr="00721A5B">
              <w:rPr>
                <w:rFonts w:cs="Arial"/>
                <w:iCs/>
                <w:sz w:val="20"/>
                <w:lang w:eastAsia="en-AU"/>
              </w:rPr>
              <w:t>New England Journal of Medicine</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Analysis of hospital data</w:t>
            </w:r>
          </w:p>
        </w:tc>
        <w:tc>
          <w:tcPr>
            <w:tcW w:w="1800"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N/A</w:t>
            </w:r>
          </w:p>
        </w:tc>
        <w:tc>
          <w:tcPr>
            <w:tcW w:w="105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USA</w:t>
            </w:r>
          </w:p>
        </w:tc>
        <w:tc>
          <w:tcPr>
            <w:tcW w:w="1285" w:type="dxa"/>
          </w:tcPr>
          <w:p w:rsidR="00721A5B" w:rsidRPr="00721A5B" w:rsidRDefault="00721A5B" w:rsidP="00B060E0">
            <w:pPr>
              <w:spacing w:before="20" w:after="20" w:line="264" w:lineRule="auto"/>
              <w:rPr>
                <w:rFonts w:cs="Arial"/>
                <w:color w:val="000000"/>
                <w:sz w:val="20"/>
                <w:lang w:eastAsia="en-AU"/>
              </w:rPr>
            </w:pPr>
            <w:r w:rsidRPr="00721A5B">
              <w:rPr>
                <w:rFonts w:cs="Arial"/>
                <w:color w:val="000000"/>
                <w:sz w:val="20"/>
                <w:lang w:eastAsia="en-AU"/>
              </w:rPr>
              <w:t>Hospital</w:t>
            </w:r>
          </w:p>
        </w:tc>
        <w:tc>
          <w:tcPr>
            <w:tcW w:w="10310" w:type="dxa"/>
          </w:tcPr>
          <w:p w:rsidR="00721A5B" w:rsidRPr="00721A5B" w:rsidRDefault="00721A5B" w:rsidP="00721A5B">
            <w:pPr>
              <w:pStyle w:val="ListParagraph"/>
              <w:numPr>
                <w:ilvl w:val="0"/>
                <w:numId w:val="59"/>
              </w:numPr>
              <w:spacing w:before="20" w:after="20" w:line="264" w:lineRule="auto"/>
              <w:rPr>
                <w:rFonts w:ascii="Arial" w:hAnsi="Arial" w:cs="Arial"/>
                <w:color w:val="333333"/>
                <w:sz w:val="20"/>
                <w:szCs w:val="20"/>
                <w:shd w:val="clear" w:color="auto" w:fill="FFFFFF"/>
              </w:rPr>
            </w:pPr>
            <w:r w:rsidRPr="00721A5B">
              <w:rPr>
                <w:rFonts w:ascii="Arial" w:hAnsi="Arial" w:cs="Arial"/>
                <w:color w:val="333333"/>
                <w:sz w:val="20"/>
                <w:szCs w:val="20"/>
                <w:shd w:val="clear" w:color="auto" w:fill="FFFFFF"/>
              </w:rPr>
              <w:t xml:space="preserve">The relationship between 30-day readmission rates after surgery and other measures of surgical quality, including adherence to surgical process measures, procedure volume, and mortality was calculated using Medicare (US) data. </w:t>
            </w:r>
          </w:p>
          <w:p w:rsidR="00721A5B" w:rsidRPr="00721A5B" w:rsidRDefault="00721A5B" w:rsidP="00721A5B">
            <w:pPr>
              <w:pStyle w:val="ListParagraph"/>
              <w:numPr>
                <w:ilvl w:val="0"/>
                <w:numId w:val="59"/>
              </w:numPr>
              <w:spacing w:before="20" w:after="20" w:line="264" w:lineRule="auto"/>
              <w:rPr>
                <w:rFonts w:ascii="Arial" w:hAnsi="Arial" w:cs="Arial"/>
                <w:color w:val="333333"/>
                <w:sz w:val="20"/>
                <w:szCs w:val="20"/>
                <w:shd w:val="clear" w:color="auto" w:fill="FFFFFF"/>
              </w:rPr>
            </w:pPr>
            <w:r w:rsidRPr="00721A5B">
              <w:rPr>
                <w:rFonts w:ascii="Arial" w:hAnsi="Arial" w:cs="Arial"/>
                <w:color w:val="333333"/>
                <w:sz w:val="20"/>
                <w:szCs w:val="20"/>
                <w:shd w:val="clear" w:color="auto" w:fill="FFFFFF"/>
              </w:rPr>
              <w:t xml:space="preserve">Procedures included coronary-artery bypass grafting, pulmonary lobectomy, endovascular repair of abdominal aortic aneurysm, open repair of abdominal aortic aneurysm, colectomy, and hip replacement. </w:t>
            </w:r>
          </w:p>
          <w:p w:rsidR="00721A5B" w:rsidRPr="00721A5B" w:rsidRDefault="00721A5B" w:rsidP="00721A5B">
            <w:pPr>
              <w:pStyle w:val="ListParagraph"/>
              <w:numPr>
                <w:ilvl w:val="0"/>
                <w:numId w:val="59"/>
              </w:numPr>
              <w:spacing w:before="20" w:after="20" w:line="264" w:lineRule="auto"/>
              <w:rPr>
                <w:rFonts w:ascii="Arial" w:hAnsi="Arial" w:cs="Arial"/>
                <w:color w:val="333333"/>
                <w:sz w:val="20"/>
                <w:szCs w:val="20"/>
                <w:shd w:val="clear" w:color="auto" w:fill="FFFFFF"/>
              </w:rPr>
            </w:pPr>
            <w:r w:rsidRPr="00721A5B">
              <w:rPr>
                <w:rFonts w:ascii="Arial" w:hAnsi="Arial" w:cs="Arial"/>
                <w:color w:val="333333"/>
                <w:sz w:val="20"/>
                <w:szCs w:val="20"/>
                <w:shd w:val="clear" w:color="auto" w:fill="FFFFFF"/>
              </w:rPr>
              <w:t>Data comprised 479,471 separations  from 3,004 hospitals.</w:t>
            </w:r>
          </w:p>
          <w:p w:rsidR="00721A5B" w:rsidRPr="00721A5B" w:rsidRDefault="00721A5B" w:rsidP="00721A5B">
            <w:pPr>
              <w:pStyle w:val="ListParagraph"/>
              <w:numPr>
                <w:ilvl w:val="0"/>
                <w:numId w:val="59"/>
              </w:numPr>
              <w:spacing w:before="20" w:after="20" w:line="264" w:lineRule="auto"/>
              <w:rPr>
                <w:rFonts w:ascii="Arial" w:hAnsi="Arial" w:cs="Arial"/>
                <w:color w:val="333333"/>
                <w:sz w:val="20"/>
                <w:szCs w:val="20"/>
                <w:shd w:val="clear" w:color="auto" w:fill="FFFFFF"/>
              </w:rPr>
            </w:pPr>
            <w:r w:rsidRPr="00721A5B">
              <w:rPr>
                <w:rFonts w:ascii="Arial" w:hAnsi="Arial" w:cs="Arial"/>
                <w:color w:val="333333"/>
                <w:sz w:val="20"/>
                <w:szCs w:val="20"/>
                <w:shd w:val="clear" w:color="auto" w:fill="FFFFFF"/>
              </w:rPr>
              <w:t>Nearly one in seven patients hospitalized for a major surgical procedure is readmitted to the hospital within 30 days after discharge. Hospitals with high surgical volume and low surgical mortality have lower rates of surgical readmission than other hospitals.</w:t>
            </w:r>
          </w:p>
        </w:tc>
      </w:tr>
    </w:tbl>
    <w:p w:rsidR="00721A5B" w:rsidRDefault="00721A5B" w:rsidP="00721A5B">
      <w:pPr>
        <w:rPr>
          <w:rStyle w:val="IntenseReference"/>
          <w:bCs w:val="0"/>
          <w:i w:val="0"/>
          <w:smallCaps w:val="0"/>
          <w:lang w:val="en-US"/>
        </w:rPr>
      </w:pPr>
    </w:p>
    <w:p w:rsidR="00721A5B" w:rsidRPr="00D04E8B" w:rsidRDefault="00D04E8B" w:rsidP="00721A5B">
      <w:pPr>
        <w:rPr>
          <w:rStyle w:val="Strong"/>
          <w:szCs w:val="22"/>
        </w:rPr>
      </w:pPr>
      <w:r>
        <w:rPr>
          <w:rStyle w:val="Strong"/>
          <w:szCs w:val="22"/>
        </w:rPr>
        <w:br w:type="page"/>
      </w:r>
      <w:r w:rsidRPr="00D04E8B">
        <w:rPr>
          <w:rStyle w:val="Strong"/>
          <w:sz w:val="28"/>
          <w:szCs w:val="22"/>
        </w:rPr>
        <w:lastRenderedPageBreak/>
        <w:t xml:space="preserve">3.5.1 </w:t>
      </w:r>
      <w:r w:rsidR="00721A5B" w:rsidRPr="00D04E8B">
        <w:rPr>
          <w:rStyle w:val="Strong"/>
          <w:sz w:val="28"/>
          <w:szCs w:val="22"/>
        </w:rPr>
        <w:t xml:space="preserve">References </w:t>
      </w:r>
    </w:p>
    <w:p w:rsidR="00721A5B" w:rsidRPr="00D04E8B" w:rsidRDefault="00721A5B" w:rsidP="00721A5B">
      <w:pPr>
        <w:rPr>
          <w:rStyle w:val="Strong"/>
          <w:b w:val="0"/>
          <w:sz w:val="22"/>
          <w:szCs w:val="22"/>
        </w:rPr>
      </w:pPr>
    </w:p>
    <w:p w:rsidR="00721A5B" w:rsidRPr="00D04E8B" w:rsidRDefault="00721A5B" w:rsidP="00D04E8B">
      <w:pPr>
        <w:ind w:left="284" w:hanging="284"/>
        <w:rPr>
          <w:rStyle w:val="Strong"/>
          <w:b w:val="0"/>
          <w:szCs w:val="22"/>
        </w:rPr>
      </w:pPr>
      <w:r w:rsidRPr="00D04E8B">
        <w:rPr>
          <w:rStyle w:val="Strong"/>
          <w:b w:val="0"/>
          <w:sz w:val="22"/>
          <w:szCs w:val="22"/>
        </w:rPr>
        <w:fldChar w:fldCharType="begin"/>
      </w:r>
      <w:r w:rsidRPr="00D04E8B">
        <w:rPr>
          <w:rStyle w:val="Strong"/>
          <w:b w:val="0"/>
          <w:sz w:val="22"/>
          <w:szCs w:val="22"/>
        </w:rPr>
        <w:instrText xml:space="preserve"> ADDIN EN.REFLIST </w:instrText>
      </w:r>
      <w:r w:rsidRPr="00D04E8B">
        <w:rPr>
          <w:rStyle w:val="Strong"/>
          <w:b w:val="0"/>
          <w:sz w:val="22"/>
          <w:szCs w:val="22"/>
        </w:rPr>
        <w:fldChar w:fldCharType="separate"/>
      </w:r>
      <w:bookmarkStart w:id="14" w:name="_ENREF_1"/>
      <w:r w:rsidRPr="00D04E8B">
        <w:rPr>
          <w:rStyle w:val="Strong"/>
          <w:b w:val="0"/>
          <w:szCs w:val="22"/>
        </w:rPr>
        <w:t>1.Marshall L, Charlesworth A, Hurst J. The NHS payment system: evolving policy and emerging evidence. Nuffield Trust, 2014.</w:t>
      </w:r>
      <w:bookmarkEnd w:id="14"/>
    </w:p>
    <w:p w:rsidR="00721A5B" w:rsidRPr="00D04E8B" w:rsidRDefault="00721A5B" w:rsidP="00D04E8B">
      <w:pPr>
        <w:ind w:left="284" w:hanging="284"/>
        <w:rPr>
          <w:rStyle w:val="Strong"/>
          <w:b w:val="0"/>
          <w:szCs w:val="22"/>
        </w:rPr>
      </w:pPr>
      <w:bookmarkStart w:id="15" w:name="_ENREF_2"/>
      <w:r w:rsidRPr="00D04E8B">
        <w:rPr>
          <w:rStyle w:val="Strong"/>
          <w:b w:val="0"/>
          <w:szCs w:val="22"/>
        </w:rPr>
        <w:t>2.Charlesworth A, Hawkins L, Marshall L. NHS payment reform: lessons from the past and directions for the future. Nuffield Trust, 2014.</w:t>
      </w:r>
      <w:bookmarkEnd w:id="15"/>
    </w:p>
    <w:p w:rsidR="00721A5B" w:rsidRPr="00D04E8B" w:rsidRDefault="00721A5B" w:rsidP="00D04E8B">
      <w:pPr>
        <w:ind w:left="284" w:hanging="284"/>
        <w:rPr>
          <w:rStyle w:val="Strong"/>
          <w:b w:val="0"/>
          <w:szCs w:val="22"/>
        </w:rPr>
      </w:pPr>
      <w:bookmarkStart w:id="16" w:name="_ENREF_3"/>
      <w:r w:rsidRPr="00D04E8B">
        <w:rPr>
          <w:rStyle w:val="Strong"/>
          <w:b w:val="0"/>
          <w:szCs w:val="22"/>
        </w:rPr>
        <w:t>3.Meacock R, Kristensen SR, M S. Paying for improvements in quality: recent experience in the NHS in England. Nordic Journal of Health Economics 2014;March:239-255.</w:t>
      </w:r>
      <w:bookmarkEnd w:id="16"/>
    </w:p>
    <w:p w:rsidR="00721A5B" w:rsidRPr="00D04E8B" w:rsidRDefault="00721A5B" w:rsidP="00D04E8B">
      <w:pPr>
        <w:ind w:left="284" w:hanging="284"/>
        <w:rPr>
          <w:rStyle w:val="Strong"/>
          <w:b w:val="0"/>
          <w:szCs w:val="22"/>
        </w:rPr>
      </w:pPr>
      <w:bookmarkStart w:id="17" w:name="_ENREF_4"/>
      <w:r w:rsidRPr="00D04E8B">
        <w:rPr>
          <w:rStyle w:val="Strong"/>
          <w:b w:val="0"/>
          <w:szCs w:val="22"/>
        </w:rPr>
        <w:t>4.Kristensen SR, McDonald R, Sutton M. Should pay-for-performance schemes be locally designed? Evidence from the Commissioning for Quality and Innovation (CQUIN) Framework. Journal of Health Service Research and Policy 2013;18(2 Suppl):38-49.</w:t>
      </w:r>
      <w:bookmarkEnd w:id="17"/>
    </w:p>
    <w:p w:rsidR="00721A5B" w:rsidRPr="00D04E8B" w:rsidRDefault="00721A5B" w:rsidP="00D04E8B">
      <w:pPr>
        <w:ind w:left="284" w:hanging="284"/>
        <w:rPr>
          <w:rStyle w:val="Strong"/>
          <w:b w:val="0"/>
          <w:szCs w:val="22"/>
        </w:rPr>
      </w:pPr>
      <w:bookmarkStart w:id="18" w:name="_ENREF_5"/>
      <w:r w:rsidRPr="00D04E8B">
        <w:rPr>
          <w:rStyle w:val="Strong"/>
          <w:b w:val="0"/>
          <w:szCs w:val="22"/>
        </w:rPr>
        <w:t>5.Torchiana DF, Colton DG, Rao SK, Lenz SK, Meyer GS, Ferris TG. Massachusetts General Physicians Organization’s Quality Incentive Program Produces Encouraging Results. Health Affairs 2013;32(10):1748-1756.</w:t>
      </w:r>
      <w:bookmarkEnd w:id="18"/>
    </w:p>
    <w:p w:rsidR="00721A5B" w:rsidRPr="00D04E8B" w:rsidRDefault="00721A5B" w:rsidP="00D04E8B">
      <w:pPr>
        <w:ind w:left="284" w:hanging="284"/>
        <w:rPr>
          <w:rStyle w:val="Strong"/>
          <w:b w:val="0"/>
          <w:szCs w:val="22"/>
        </w:rPr>
      </w:pPr>
      <w:bookmarkStart w:id="19" w:name="_ENREF_6"/>
      <w:r w:rsidRPr="00D04E8B">
        <w:rPr>
          <w:rStyle w:val="Strong"/>
          <w:b w:val="0"/>
          <w:szCs w:val="22"/>
        </w:rPr>
        <w:t>6.Wolk A, Wang E, Horak B, Cloonan P, Adams M, Moore E, et al. Effect of Modest Pay-for-Performance Financial Incentive on Time-to-Discharge Summary Dictation Among Medical Residents. Quality Management in Healthcare 2013;22(4):272-275 210.1097/QMH.0000000000000008.</w:t>
      </w:r>
      <w:bookmarkEnd w:id="19"/>
    </w:p>
    <w:p w:rsidR="00721A5B" w:rsidRPr="00D04E8B" w:rsidRDefault="00721A5B" w:rsidP="00D04E8B">
      <w:pPr>
        <w:ind w:left="284" w:hanging="284"/>
        <w:rPr>
          <w:rStyle w:val="Strong"/>
          <w:b w:val="0"/>
          <w:szCs w:val="22"/>
        </w:rPr>
      </w:pPr>
      <w:bookmarkStart w:id="20" w:name="_ENREF_7"/>
      <w:r w:rsidRPr="00D04E8B">
        <w:rPr>
          <w:rStyle w:val="Strong"/>
          <w:b w:val="0"/>
          <w:szCs w:val="22"/>
        </w:rPr>
        <w:t>7.Vidyarthi AR, Green AL, Rosenbluth G, Baron RB. Engaging Residents and Fellows to Improve Institution-Wide Quality: The First Six Years of a Novel Financial Incentive Program. Academic Medicine 2014;89(3):460-468 410.1097/ACM.0000000000000159.</w:t>
      </w:r>
      <w:bookmarkEnd w:id="20"/>
    </w:p>
    <w:p w:rsidR="00721A5B" w:rsidRPr="00D04E8B" w:rsidRDefault="00721A5B" w:rsidP="00D04E8B">
      <w:pPr>
        <w:ind w:left="284" w:hanging="284"/>
        <w:rPr>
          <w:rStyle w:val="Strong"/>
          <w:b w:val="0"/>
          <w:szCs w:val="22"/>
        </w:rPr>
      </w:pPr>
      <w:bookmarkStart w:id="21" w:name="_ENREF_8"/>
      <w:r w:rsidRPr="00D04E8B">
        <w:rPr>
          <w:rStyle w:val="Strong"/>
          <w:b w:val="0"/>
          <w:szCs w:val="22"/>
        </w:rPr>
        <w:t>8.Cheng AHY, Sutherland JM. British Columbia's pay-for-performance experiment: Part of the solution to reduce emergency department crowding? Health Policy 2013;113(1–2):86-92.</w:t>
      </w:r>
      <w:bookmarkEnd w:id="21"/>
    </w:p>
    <w:p w:rsidR="00721A5B" w:rsidRPr="00D04E8B" w:rsidRDefault="00721A5B" w:rsidP="00D04E8B">
      <w:pPr>
        <w:ind w:left="284" w:hanging="284"/>
        <w:rPr>
          <w:rStyle w:val="Strong"/>
          <w:b w:val="0"/>
          <w:szCs w:val="22"/>
        </w:rPr>
      </w:pPr>
      <w:bookmarkStart w:id="22" w:name="_ENREF_9"/>
      <w:r w:rsidRPr="00D04E8B">
        <w:rPr>
          <w:rStyle w:val="Strong"/>
          <w:b w:val="0"/>
          <w:szCs w:val="22"/>
        </w:rPr>
        <w:t>9.Colais P, Pinnarelli L, Fusco D, Davoli M, Braga M, Perucci C. The impact of a pay-for-performance system on timing to hip fracture surgery: experience from the Lazio Region (Italy). BMC Health Services Research 2013;13(1):1-7.</w:t>
      </w:r>
      <w:bookmarkEnd w:id="22"/>
    </w:p>
    <w:p w:rsidR="00721A5B" w:rsidRPr="00D04E8B" w:rsidRDefault="00721A5B" w:rsidP="00D04E8B">
      <w:pPr>
        <w:ind w:left="284" w:hanging="284"/>
        <w:rPr>
          <w:rStyle w:val="Strong"/>
          <w:b w:val="0"/>
          <w:szCs w:val="22"/>
        </w:rPr>
      </w:pPr>
      <w:bookmarkStart w:id="23" w:name="_ENREF_10"/>
      <w:r w:rsidRPr="00D04E8B">
        <w:rPr>
          <w:rStyle w:val="Strong"/>
          <w:b w:val="0"/>
          <w:szCs w:val="22"/>
        </w:rPr>
        <w:t>10.Kristensen SR, Siciliani L, Sutton M. Optimal price-setting in pay for performance schemes in health care. Discussion Papers in Economics. University of York, 2014.</w:t>
      </w:r>
      <w:bookmarkEnd w:id="23"/>
    </w:p>
    <w:p w:rsidR="00721A5B" w:rsidRPr="00D04E8B" w:rsidRDefault="00721A5B" w:rsidP="00D04E8B">
      <w:pPr>
        <w:ind w:left="284" w:hanging="284"/>
        <w:rPr>
          <w:rStyle w:val="Strong"/>
          <w:b w:val="0"/>
          <w:szCs w:val="22"/>
        </w:rPr>
      </w:pPr>
      <w:bookmarkStart w:id="24" w:name="_ENREF_11"/>
      <w:r w:rsidRPr="00D04E8B">
        <w:rPr>
          <w:rStyle w:val="Strong"/>
          <w:b w:val="0"/>
          <w:szCs w:val="22"/>
        </w:rPr>
        <w:t>11.Trentino KM, Swain SG, Burrows SA, Sprivulis PC, Daly FF. Measuring the incidence of hospital-acquired complications and their effect on length of stay using CHADx. Med J Aust 2013;199(8):543-547.</w:t>
      </w:r>
      <w:bookmarkEnd w:id="24"/>
    </w:p>
    <w:p w:rsidR="00721A5B" w:rsidRPr="00D04E8B" w:rsidRDefault="00721A5B" w:rsidP="00D04E8B">
      <w:pPr>
        <w:ind w:left="284" w:hanging="284"/>
        <w:rPr>
          <w:rStyle w:val="Strong"/>
          <w:b w:val="0"/>
          <w:szCs w:val="22"/>
        </w:rPr>
      </w:pPr>
      <w:bookmarkStart w:id="25" w:name="_ENREF_12"/>
      <w:r w:rsidRPr="00D04E8B">
        <w:rPr>
          <w:rStyle w:val="Strong"/>
          <w:b w:val="0"/>
          <w:szCs w:val="22"/>
        </w:rPr>
        <w:t>12.Duckett S, Breadon P. Controlling costly care: a billion dollar hospital opportunity. Grattan Institute, 2014.</w:t>
      </w:r>
      <w:bookmarkEnd w:id="25"/>
    </w:p>
    <w:p w:rsidR="00721A5B" w:rsidRPr="00D04E8B" w:rsidRDefault="00721A5B" w:rsidP="00D04E8B">
      <w:pPr>
        <w:ind w:left="284" w:hanging="284"/>
        <w:rPr>
          <w:rStyle w:val="Strong"/>
          <w:b w:val="0"/>
          <w:szCs w:val="22"/>
        </w:rPr>
      </w:pPr>
      <w:bookmarkStart w:id="26" w:name="_ENREF_13"/>
      <w:r w:rsidRPr="00D04E8B">
        <w:rPr>
          <w:rStyle w:val="Strong"/>
          <w:b w:val="0"/>
          <w:szCs w:val="22"/>
        </w:rPr>
        <w:t>13.Lagarde M, Wright M, Nossiter J, Mays N. Challenges of payment-for-performance in health care and other public services – design, implementation and evaluation. Policy Innovation Research Unit, London School of Hygiene and Tropical Medicine, 2013.</w:t>
      </w:r>
      <w:bookmarkEnd w:id="26"/>
    </w:p>
    <w:p w:rsidR="00721A5B" w:rsidRPr="00D04E8B" w:rsidRDefault="00721A5B" w:rsidP="00D04E8B">
      <w:pPr>
        <w:ind w:left="284" w:hanging="284"/>
        <w:rPr>
          <w:rStyle w:val="Strong"/>
          <w:b w:val="0"/>
          <w:szCs w:val="22"/>
        </w:rPr>
      </w:pPr>
      <w:bookmarkStart w:id="27" w:name="_ENREF_14"/>
      <w:r w:rsidRPr="00D04E8B">
        <w:rPr>
          <w:rStyle w:val="Strong"/>
          <w:b w:val="0"/>
          <w:szCs w:val="22"/>
        </w:rPr>
        <w:t>14.Ryan AM. Will Value-Based Purchasing Increase Disparities in Care? New England Journal of Medicine 2013;369(26):2472-2474.</w:t>
      </w:r>
      <w:bookmarkEnd w:id="27"/>
    </w:p>
    <w:p w:rsidR="00721A5B" w:rsidRPr="00D04E8B" w:rsidRDefault="00721A5B" w:rsidP="00D04E8B">
      <w:pPr>
        <w:ind w:left="284" w:hanging="284"/>
        <w:rPr>
          <w:rStyle w:val="Strong"/>
          <w:b w:val="0"/>
          <w:szCs w:val="22"/>
        </w:rPr>
      </w:pPr>
      <w:bookmarkStart w:id="28" w:name="_ENREF_15"/>
      <w:r w:rsidRPr="00D04E8B">
        <w:rPr>
          <w:rStyle w:val="Strong"/>
          <w:b w:val="0"/>
          <w:szCs w:val="22"/>
        </w:rPr>
        <w:t>15.Berenson RA, Kaye DR. Grading a Physician's Value — The Misapplication of Performance Measurement. New England Journal of Medicine;0(0):null.</w:t>
      </w:r>
      <w:bookmarkEnd w:id="28"/>
    </w:p>
    <w:p w:rsidR="00721A5B" w:rsidRPr="00D04E8B" w:rsidRDefault="00721A5B" w:rsidP="00D04E8B">
      <w:pPr>
        <w:ind w:left="284" w:hanging="284"/>
        <w:rPr>
          <w:rStyle w:val="Strong"/>
          <w:b w:val="0"/>
          <w:szCs w:val="22"/>
        </w:rPr>
      </w:pPr>
      <w:bookmarkStart w:id="29" w:name="_ENREF_16"/>
      <w:r w:rsidRPr="00D04E8B">
        <w:rPr>
          <w:rStyle w:val="Strong"/>
          <w:b w:val="0"/>
          <w:szCs w:val="22"/>
        </w:rPr>
        <w:t>16.Mannion R. Take the money and run: the challenges of designing and evaluating financial incentives in health care. International Journal of Health Policy and Management 2014;2(x):1-2.</w:t>
      </w:r>
      <w:bookmarkEnd w:id="29"/>
    </w:p>
    <w:p w:rsidR="00721A5B" w:rsidRPr="00D04E8B" w:rsidRDefault="00721A5B" w:rsidP="00D04E8B">
      <w:pPr>
        <w:ind w:left="284" w:hanging="284"/>
        <w:rPr>
          <w:rStyle w:val="Strong"/>
          <w:b w:val="0"/>
          <w:szCs w:val="22"/>
        </w:rPr>
      </w:pPr>
      <w:bookmarkStart w:id="30" w:name="_ENREF_17"/>
      <w:r w:rsidRPr="00D04E8B">
        <w:rPr>
          <w:rStyle w:val="Strong"/>
          <w:b w:val="0"/>
          <w:szCs w:val="22"/>
        </w:rPr>
        <w:t>17.McDonald R. Paying for performance in healthcare organisations. International Journal of Health Policy and Management 2014;2(2):59-60.</w:t>
      </w:r>
      <w:bookmarkEnd w:id="30"/>
    </w:p>
    <w:p w:rsidR="00721A5B" w:rsidRPr="00D04E8B" w:rsidRDefault="00721A5B" w:rsidP="00D04E8B">
      <w:pPr>
        <w:ind w:left="284" w:hanging="284"/>
        <w:rPr>
          <w:rStyle w:val="Strong"/>
          <w:b w:val="0"/>
          <w:szCs w:val="22"/>
        </w:rPr>
      </w:pPr>
      <w:bookmarkStart w:id="31" w:name="_ENREF_18"/>
      <w:r w:rsidRPr="00D04E8B">
        <w:rPr>
          <w:rStyle w:val="Strong"/>
          <w:b w:val="0"/>
          <w:szCs w:val="22"/>
        </w:rPr>
        <w:t>18.Krauth C, Jensen S, Wolf S, Amelung V. Vergutungssysteme und Wettbewerb im Gesundheitssytem (Payment mechanisms and competition in the healthcare system). Public Health Forum 2013.</w:t>
      </w:r>
      <w:bookmarkEnd w:id="31"/>
    </w:p>
    <w:p w:rsidR="00721A5B" w:rsidRPr="00D04E8B" w:rsidRDefault="00721A5B" w:rsidP="00D04E8B">
      <w:pPr>
        <w:ind w:left="284" w:hanging="284"/>
        <w:rPr>
          <w:rStyle w:val="Strong"/>
          <w:b w:val="0"/>
          <w:szCs w:val="22"/>
        </w:rPr>
      </w:pPr>
      <w:bookmarkStart w:id="32" w:name="_ENREF_19"/>
      <w:r w:rsidRPr="00D04E8B">
        <w:rPr>
          <w:rStyle w:val="Strong"/>
          <w:b w:val="0"/>
          <w:szCs w:val="22"/>
        </w:rPr>
        <w:t>19.Göpffarth D. Ergebnisorientierte Vergütung: Pay for performance. Public Health Forum 2014;22(2):16.e11-16.e13.</w:t>
      </w:r>
      <w:bookmarkEnd w:id="32"/>
    </w:p>
    <w:p w:rsidR="00721A5B" w:rsidRPr="00D04E8B" w:rsidRDefault="00721A5B" w:rsidP="00D04E8B">
      <w:pPr>
        <w:ind w:left="284" w:hanging="284"/>
        <w:rPr>
          <w:rStyle w:val="Strong"/>
          <w:b w:val="0"/>
          <w:szCs w:val="22"/>
        </w:rPr>
      </w:pPr>
      <w:bookmarkStart w:id="33" w:name="_ENREF_20"/>
      <w:r w:rsidRPr="00D04E8B">
        <w:rPr>
          <w:rStyle w:val="Strong"/>
          <w:b w:val="0"/>
          <w:szCs w:val="22"/>
        </w:rPr>
        <w:t>20.Tsai TC, Joynt KE, Orav EJ, Gawande AA, Jha AK. Variation in Surgical-Readmission Rates and Quality of Hospital Care. New England Journal of Medicine 2013;369(12):1134-1142.</w:t>
      </w:r>
      <w:bookmarkEnd w:id="33"/>
    </w:p>
    <w:p w:rsidR="00721A5B" w:rsidRPr="00D04E8B" w:rsidRDefault="00721A5B" w:rsidP="00721A5B">
      <w:pPr>
        <w:rPr>
          <w:rStyle w:val="Strong"/>
          <w:b w:val="0"/>
          <w:sz w:val="22"/>
          <w:szCs w:val="22"/>
        </w:rPr>
      </w:pPr>
    </w:p>
    <w:p w:rsidR="00721A5B" w:rsidRPr="00C65287" w:rsidRDefault="00721A5B" w:rsidP="00721A5B">
      <w:pPr>
        <w:rPr>
          <w:rStyle w:val="IntenseReference"/>
          <w:b w:val="0"/>
          <w:bCs w:val="0"/>
          <w:i w:val="0"/>
          <w:smallCaps w:val="0"/>
          <w:lang w:val="en-US"/>
        </w:rPr>
      </w:pPr>
      <w:r w:rsidRPr="00D04E8B">
        <w:rPr>
          <w:rStyle w:val="Strong"/>
          <w:b w:val="0"/>
          <w:sz w:val="22"/>
          <w:szCs w:val="22"/>
        </w:rPr>
        <w:fldChar w:fldCharType="end"/>
      </w:r>
    </w:p>
    <w:p w:rsidR="00721A5B" w:rsidRDefault="00721A5B" w:rsidP="00284EB5"/>
    <w:p w:rsidR="005070F4" w:rsidRDefault="005070F4" w:rsidP="00284EB5"/>
    <w:p w:rsidR="005070F4" w:rsidRDefault="005070F4" w:rsidP="005070F4">
      <w:pPr>
        <w:ind w:right="-1418"/>
        <w:jc w:val="right"/>
        <w:rPr>
          <w:b/>
        </w:rPr>
      </w:pPr>
      <w:r>
        <w:br w:type="page"/>
      </w:r>
      <w:r>
        <w:rPr>
          <w:b/>
        </w:rPr>
        <w:lastRenderedPageBreak/>
        <w:t xml:space="preserve">.1 </w:t>
      </w:r>
    </w:p>
    <w:p w:rsidR="005070F4" w:rsidRDefault="005070F4" w:rsidP="005070F4">
      <w:pPr>
        <w:ind w:left="-567" w:right="-1418"/>
        <w:rPr>
          <w:rStyle w:val="IntenseReference"/>
          <w:b w:val="0"/>
          <w:bCs w:val="0"/>
          <w:i w:val="0"/>
          <w:smallCaps w:val="0"/>
          <w:lang w:val="en-US"/>
        </w:rPr>
      </w:pPr>
      <w:r>
        <w:rPr>
          <w:b/>
        </w:rPr>
        <w:t xml:space="preserve">3.6 </w:t>
      </w:r>
      <w:r w:rsidRPr="00C3225A">
        <w:rPr>
          <w:b/>
        </w:rPr>
        <w:t>Summary o</w:t>
      </w:r>
      <w:r>
        <w:rPr>
          <w:b/>
        </w:rPr>
        <w:t>f literature 21 May – 10 November 2014</w:t>
      </w:r>
    </w:p>
    <w:p w:rsidR="005070F4" w:rsidRDefault="005070F4" w:rsidP="005070F4">
      <w:pPr>
        <w:rPr>
          <w:rStyle w:val="IntenseReference"/>
          <w:b w:val="0"/>
          <w:bCs w:val="0"/>
          <w:i w:val="0"/>
          <w:smallCaps w:val="0"/>
          <w:lang w:val="en-US"/>
        </w:rPr>
      </w:pPr>
    </w:p>
    <w:tbl>
      <w:tblPr>
        <w:tblW w:w="23195" w:type="dxa"/>
        <w:tblInd w:w="-6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49"/>
        <w:gridCol w:w="2791"/>
        <w:gridCol w:w="1440"/>
        <w:gridCol w:w="1440"/>
        <w:gridCol w:w="1800"/>
        <w:gridCol w:w="1800"/>
        <w:gridCol w:w="1055"/>
        <w:gridCol w:w="1285"/>
        <w:gridCol w:w="11135"/>
      </w:tblGrid>
      <w:tr w:rsidR="005070F4" w:rsidRPr="00DD5F78" w:rsidTr="005070F4">
        <w:trPr>
          <w:trHeight w:val="510"/>
          <w:tblHeader/>
        </w:trPr>
        <w:tc>
          <w:tcPr>
            <w:tcW w:w="449" w:type="dxa"/>
            <w:shd w:val="clear" w:color="auto" w:fill="8DB3E2"/>
          </w:tcPr>
          <w:p w:rsidR="005070F4" w:rsidRPr="00735EA3" w:rsidRDefault="005070F4" w:rsidP="00B060E0">
            <w:pPr>
              <w:spacing w:before="20" w:after="20" w:line="264" w:lineRule="auto"/>
              <w:rPr>
                <w:rFonts w:ascii="Calibri" w:hAnsi="Calibri" w:cs="Arial"/>
                <w:b/>
                <w:color w:val="FFFFFF"/>
                <w:sz w:val="20"/>
                <w:lang w:eastAsia="en-AU"/>
              </w:rPr>
            </w:pPr>
          </w:p>
        </w:tc>
        <w:tc>
          <w:tcPr>
            <w:tcW w:w="2791"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Article name</w:t>
            </w:r>
          </w:p>
        </w:tc>
        <w:tc>
          <w:tcPr>
            <w:tcW w:w="1440"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Authors</w:t>
            </w:r>
          </w:p>
        </w:tc>
        <w:tc>
          <w:tcPr>
            <w:tcW w:w="1440"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 xml:space="preserve">Publication </w:t>
            </w:r>
          </w:p>
        </w:tc>
        <w:tc>
          <w:tcPr>
            <w:tcW w:w="1800"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Study design</w:t>
            </w:r>
          </w:p>
        </w:tc>
        <w:tc>
          <w:tcPr>
            <w:tcW w:w="1800"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 xml:space="preserve">Model(s) &amp; mechanism </w:t>
            </w:r>
          </w:p>
        </w:tc>
        <w:tc>
          <w:tcPr>
            <w:tcW w:w="1055"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 xml:space="preserve">Country </w:t>
            </w:r>
          </w:p>
        </w:tc>
        <w:tc>
          <w:tcPr>
            <w:tcW w:w="1285"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Context &amp; setting</w:t>
            </w:r>
          </w:p>
        </w:tc>
        <w:tc>
          <w:tcPr>
            <w:tcW w:w="11135" w:type="dxa"/>
            <w:shd w:val="clear" w:color="000000" w:fill="8DB3E2"/>
          </w:tcPr>
          <w:p w:rsidR="005070F4" w:rsidRPr="00735EA3" w:rsidRDefault="005070F4" w:rsidP="00B060E0">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Results, impact, key points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2</w:t>
            </w:r>
          </w:p>
        </w:tc>
        <w:tc>
          <w:tcPr>
            <w:tcW w:w="2791" w:type="dxa"/>
          </w:tcPr>
          <w:p w:rsidR="005070F4" w:rsidRPr="00735EA3" w:rsidRDefault="005070F4" w:rsidP="00B060E0">
            <w:pPr>
              <w:spacing w:before="20" w:after="20" w:line="264" w:lineRule="auto"/>
              <w:rPr>
                <w:rFonts w:ascii="Calibri" w:hAnsi="Calibri" w:cs="Arial"/>
                <w:sz w:val="20"/>
                <w:szCs w:val="24"/>
                <w:lang w:eastAsia="en-AU"/>
              </w:rPr>
            </w:pPr>
            <w:r w:rsidRPr="00735EA3">
              <w:rPr>
                <w:rFonts w:ascii="Calibri" w:hAnsi="Calibri" w:cs="Arial"/>
                <w:sz w:val="20"/>
                <w:szCs w:val="24"/>
                <w:lang w:eastAsia="en-AU"/>
              </w:rPr>
              <w:t>Long-Term Effect of Hospital Pay for Performance on Mortality in England</w:t>
            </w:r>
            <w:hyperlink w:anchor="_ENREF_1" w:tooltip="Kristensen, 2014 #13892"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&lt;EndNote&gt;&lt;Cite&gt;&lt;Author&gt;Kristensen&lt;/Author&gt;&lt;Year&gt;2014&lt;/Year&gt;&lt;RecNum&gt;13892&lt;/RecNum&gt;&lt;DisplayText&gt;&lt;style face="superscript"&gt;1&lt;/style&gt;&lt;/DisplayText&gt;&lt;record&gt;&lt;rec-number&gt;13892&lt;/rec-number&gt;&lt;foreign-keys&gt;&lt;key app="EN" db-id="5r0eapxzsestz4er5zaxe5zqz99fvpawedp5"&gt;13892&lt;/key&gt;&lt;/foreign-keys&gt;&lt;ref-type name="Journal Article"&gt;17&lt;/ref-type&gt;&lt;contributors&gt;&lt;authors&gt;&lt;author&gt;Kristensen, Søren Rud&lt;/author&gt;&lt;author&gt;Meacock, Rachel&lt;/author&gt;&lt;author&gt;Turner, Alex J.&lt;/author&gt;&lt;author&gt;Boaden, Ruth&lt;/author&gt;&lt;author&gt;McDonald, Ruth&lt;/author&gt;&lt;author&gt;Roland, Martin&lt;/author&gt;&lt;author&gt;Sutton, Matthew&lt;/author&gt;&lt;/authors&gt;&lt;/contributors&gt;&lt;titles&gt;&lt;title&gt;Long-Term Effect of Hospital Pay for Performance on Mortality in England&lt;/title&gt;&lt;secondary-title&gt;New England Journal of Medicine&lt;/secondary-title&gt;&lt;/titles&gt;&lt;periodical&gt;&lt;full-title&gt;New England Journal of Medicine&lt;/full-title&gt;&lt;/periodical&gt;&lt;pages&gt;540-548&lt;/pages&gt;&lt;volume&gt;371&lt;/volume&gt;&lt;number&gt;6&lt;/number&gt;&lt;dates&gt;&lt;year&gt;2014&lt;/year&gt;&lt;/dates&gt;&lt;urls&gt;&lt;related-urls&gt;&lt;url&gt;http://www.nejm.org/doi/full/10.1056/NEJMoa1400962&lt;/url&gt;&lt;/related-urls&gt;&lt;/urls&gt;&lt;electronic-resource-num&gt;doi:10.1056/NEJMoa1400962&lt;/electronic-resource-num&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1</w:t>
              </w:r>
              <w:r w:rsidRPr="00735EA3">
                <w:rPr>
                  <w:rFonts w:ascii="Calibri" w:hAnsi="Calibri" w:cs="Arial"/>
                  <w:sz w:val="20"/>
                  <w:szCs w:val="24"/>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szCs w:val="24"/>
                <w:lang w:eastAsia="en-AU"/>
              </w:rPr>
            </w:pPr>
            <w:r w:rsidRPr="00735EA3">
              <w:rPr>
                <w:rFonts w:ascii="Calibri" w:hAnsi="Calibri" w:cs="Arial"/>
                <w:sz w:val="20"/>
                <w:szCs w:val="24"/>
                <w:lang w:eastAsia="en-AU"/>
              </w:rPr>
              <w:t>Kristensen SR, Meacock R, Turner AJ, et al.</w:t>
            </w:r>
          </w:p>
        </w:tc>
        <w:tc>
          <w:tcPr>
            <w:tcW w:w="1440" w:type="dxa"/>
          </w:tcPr>
          <w:p w:rsidR="005070F4" w:rsidRPr="00735EA3" w:rsidRDefault="005070F4" w:rsidP="00B060E0">
            <w:pPr>
              <w:spacing w:before="20" w:after="20" w:line="264" w:lineRule="auto"/>
              <w:rPr>
                <w:rFonts w:ascii="Calibri" w:hAnsi="Calibri" w:cs="Arial"/>
                <w:iCs/>
                <w:sz w:val="20"/>
                <w:szCs w:val="24"/>
                <w:lang w:eastAsia="en-AU"/>
              </w:rPr>
            </w:pPr>
            <w:r w:rsidRPr="00735EA3">
              <w:rPr>
                <w:rFonts w:ascii="Calibri" w:hAnsi="Calibri" w:cs="Arial"/>
                <w:iCs/>
                <w:sz w:val="20"/>
                <w:szCs w:val="24"/>
                <w:lang w:eastAsia="en-AU"/>
              </w:rPr>
              <w:t>New England Journal of Medicine</w:t>
            </w:r>
            <w:r w:rsidRPr="00735EA3">
              <w:rPr>
                <w:rFonts w:ascii="Calibri" w:hAnsi="Calibri" w:cs="Arial"/>
                <w:sz w:val="20"/>
                <w:szCs w:val="24"/>
                <w:lang w:eastAsia="en-AU"/>
              </w:rPr>
              <w:t>.</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Difference-in-differences analysis</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Pay-for-performance</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NHS</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333333"/>
                <w:sz w:val="20"/>
                <w:shd w:val="clear" w:color="auto" w:fill="FFFFFF"/>
              </w:rPr>
              <w:t xml:space="preserve">The </w:t>
            </w:r>
            <w:r w:rsidRPr="00735EA3">
              <w:rPr>
                <w:rFonts w:ascii="Calibri" w:hAnsi="Calibri" w:cs="Arial"/>
                <w:i/>
                <w:color w:val="333333"/>
                <w:sz w:val="20"/>
                <w:shd w:val="clear" w:color="auto" w:fill="FFFFFF"/>
              </w:rPr>
              <w:t xml:space="preserve">Advancing Quality </w:t>
            </w:r>
            <w:r w:rsidRPr="00735EA3">
              <w:rPr>
                <w:rFonts w:ascii="Calibri" w:hAnsi="Calibri" w:cs="Arial"/>
                <w:color w:val="333333"/>
                <w:sz w:val="20"/>
                <w:shd w:val="clear" w:color="auto" w:fill="FFFFFF"/>
              </w:rPr>
              <w:t>hospital pay-for-performance was program introduced in the northwest region of England in 2008. An initial evaluation found an 18-month reduction in risk-adjusted mortality.</w:t>
            </w:r>
          </w:p>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333333"/>
                <w:sz w:val="20"/>
                <w:shd w:val="clear" w:color="auto" w:fill="FFFFFF"/>
              </w:rPr>
              <w:t>Here, the 24 participating hospitals and 137 non-participants for eight conditions, three of which were part of the P4P initiative for 42 months following its commencement.</w:t>
            </w:r>
          </w:p>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333333"/>
                <w:sz w:val="20"/>
                <w:shd w:val="clear" w:color="auto" w:fill="FFFFFF"/>
              </w:rPr>
              <w:t xml:space="preserve">The performance of hospitals in the incentive program continued to improve, and mortality for the three conditions covered by the program continued to fall. By the end of the 42-month period, the reduced mortality in the participating hospitals was </w:t>
            </w:r>
            <w:r w:rsidRPr="00735EA3">
              <w:rPr>
                <w:rFonts w:ascii="Calibri" w:hAnsi="Calibri" w:cs="Arial"/>
                <w:b/>
                <w:color w:val="333333"/>
                <w:sz w:val="20"/>
                <w:shd w:val="clear" w:color="auto" w:fill="FFFFFF"/>
              </w:rPr>
              <w:t>no longer significant.</w:t>
            </w:r>
            <w:r w:rsidRPr="00735EA3">
              <w:rPr>
                <w:rFonts w:ascii="Calibri" w:hAnsi="Calibri" w:cs="Arial"/>
                <w:color w:val="333333"/>
                <w:sz w:val="20"/>
                <w:shd w:val="clear" w:color="auto" w:fill="FFFFFF"/>
              </w:rPr>
              <w:t xml:space="preserve">  </w:t>
            </w:r>
          </w:p>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333333"/>
                <w:sz w:val="20"/>
                <w:shd w:val="clear" w:color="auto" w:fill="FFFFFF"/>
              </w:rPr>
              <w:t xml:space="preserve">The authors conclude that “short-term </w:t>
            </w:r>
            <w:r w:rsidRPr="00735EA3">
              <w:rPr>
                <w:rFonts w:ascii="Calibri" w:hAnsi="Calibri" w:cs="Arial"/>
                <w:b/>
                <w:color w:val="333333"/>
                <w:sz w:val="20"/>
                <w:shd w:val="clear" w:color="auto" w:fill="FFFFFF"/>
              </w:rPr>
              <w:t>relative reductions in mortality</w:t>
            </w:r>
            <w:r w:rsidRPr="00735EA3">
              <w:rPr>
                <w:rFonts w:ascii="Calibri" w:hAnsi="Calibri" w:cs="Arial"/>
                <w:color w:val="333333"/>
                <w:sz w:val="20"/>
                <w:shd w:val="clear" w:color="auto" w:fill="FFFFFF"/>
              </w:rPr>
              <w:t xml:space="preserve"> for conditions linked to financial incentives in hospitals participating in a pay-for-performance program in England </w:t>
            </w:r>
            <w:r w:rsidRPr="00735EA3">
              <w:rPr>
                <w:rFonts w:ascii="Calibri" w:hAnsi="Calibri" w:cs="Arial"/>
                <w:b/>
                <w:color w:val="333333"/>
                <w:sz w:val="20"/>
                <w:shd w:val="clear" w:color="auto" w:fill="FFFFFF"/>
              </w:rPr>
              <w:t>were not maintained</w:t>
            </w:r>
            <w:r w:rsidRPr="00735EA3">
              <w:rPr>
                <w:rFonts w:ascii="Calibri" w:hAnsi="Calibri" w:cs="Arial"/>
                <w:color w:val="333333"/>
                <w:sz w:val="20"/>
                <w:shd w:val="clear" w:color="auto" w:fill="FFFFFF"/>
              </w:rPr>
              <w:t>.”</w:t>
            </w:r>
          </w:p>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333333"/>
                <w:sz w:val="20"/>
                <w:shd w:val="clear" w:color="auto" w:fill="FFFFFF"/>
              </w:rPr>
              <w:t xml:space="preserve">Interestingly, the mortality for conditions </w:t>
            </w:r>
            <w:r w:rsidRPr="00735EA3">
              <w:rPr>
                <w:rFonts w:ascii="Calibri" w:hAnsi="Calibri" w:cs="Arial"/>
                <w:b/>
                <w:color w:val="333333"/>
                <w:sz w:val="20"/>
                <w:shd w:val="clear" w:color="auto" w:fill="FFFFFF"/>
              </w:rPr>
              <w:t>not</w:t>
            </w:r>
            <w:r w:rsidRPr="00735EA3">
              <w:rPr>
                <w:rFonts w:ascii="Calibri" w:hAnsi="Calibri" w:cs="Arial"/>
                <w:color w:val="333333"/>
                <w:sz w:val="20"/>
                <w:shd w:val="clear" w:color="auto" w:fill="FFFFFF"/>
              </w:rPr>
              <w:t xml:space="preserve"> </w:t>
            </w:r>
            <w:r w:rsidRPr="00735EA3">
              <w:rPr>
                <w:rFonts w:ascii="Calibri" w:hAnsi="Calibri" w:cs="Arial"/>
                <w:b/>
                <w:color w:val="333333"/>
                <w:sz w:val="20"/>
                <w:shd w:val="clear" w:color="auto" w:fill="FFFFFF"/>
              </w:rPr>
              <w:t>covered by the program fell more in the participating hospitals</w:t>
            </w:r>
            <w:r w:rsidRPr="00735EA3">
              <w:rPr>
                <w:rFonts w:ascii="Calibri" w:hAnsi="Calibri" w:cs="Arial"/>
                <w:color w:val="333333"/>
                <w:sz w:val="20"/>
                <w:shd w:val="clear" w:color="auto" w:fill="FFFFFF"/>
              </w:rPr>
              <w:t xml:space="preserve"> than in the control hospitals (by 1.2 percentage points; 95% CI, 0.4 to 2.0), raising the possibility of a </w:t>
            </w:r>
            <w:r w:rsidRPr="00735EA3">
              <w:rPr>
                <w:rFonts w:ascii="Calibri" w:hAnsi="Calibri" w:cs="Arial"/>
                <w:b/>
                <w:color w:val="333333"/>
                <w:sz w:val="20"/>
                <w:shd w:val="clear" w:color="auto" w:fill="FFFFFF"/>
              </w:rPr>
              <w:t>spillover effect</w:t>
            </w:r>
            <w:r w:rsidRPr="00735EA3">
              <w:rPr>
                <w:rFonts w:ascii="Calibri" w:hAnsi="Calibri" w:cs="Arial"/>
                <w:color w:val="333333"/>
                <w:sz w:val="20"/>
                <w:shd w:val="clear" w:color="auto" w:fill="FFFFFF"/>
              </w:rPr>
              <w:t xml:space="preserve"> on care for conditions not covered by the program.</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b/>
                <w:color w:val="FFFFFF"/>
                <w:sz w:val="20"/>
                <w:lang w:eastAsia="en-AU"/>
              </w:rPr>
            </w:pPr>
          </w:p>
        </w:tc>
        <w:tc>
          <w:tcPr>
            <w:tcW w:w="2791" w:type="dxa"/>
          </w:tcPr>
          <w:p w:rsidR="005070F4" w:rsidRPr="00735EA3" w:rsidRDefault="005070F4" w:rsidP="00B060E0">
            <w:pPr>
              <w:spacing w:before="20" w:after="20" w:line="264" w:lineRule="auto"/>
              <w:rPr>
                <w:rStyle w:val="Emphasis"/>
                <w:rFonts w:ascii="Calibri" w:hAnsi="Calibri" w:cs="Arial"/>
                <w:i w:val="0"/>
                <w:sz w:val="20"/>
              </w:rPr>
            </w:pPr>
            <w:r w:rsidRPr="00735EA3">
              <w:rPr>
                <w:rFonts w:ascii="Calibri" w:hAnsi="Calibri" w:cs="Arial"/>
                <w:sz w:val="20"/>
                <w:lang w:eastAsia="en-AU"/>
              </w:rPr>
              <w:t>The Early Effects of Medicare's Mandatory Hospital Pay-for-Performance Program</w:t>
            </w:r>
            <w:hyperlink w:anchor="_ENREF_2" w:tooltip="Ryan, 2014 #13884" w:history="1">
              <w:r w:rsidRPr="00735EA3">
                <w:rPr>
                  <w:rFonts w:ascii="Calibri" w:hAnsi="Calibri" w:cs="Arial"/>
                  <w:sz w:val="20"/>
                  <w:lang w:eastAsia="en-AU"/>
                </w:rPr>
                <w:fldChar w:fldCharType="begin"/>
              </w:r>
              <w:r w:rsidRPr="00735EA3">
                <w:rPr>
                  <w:rFonts w:ascii="Calibri" w:hAnsi="Calibri" w:cs="Arial"/>
                  <w:sz w:val="20"/>
                  <w:lang w:eastAsia="en-AU"/>
                </w:rPr>
                <w:instrText xml:space="preserve"> ADDIN EN.CITE &lt;EndNote&gt;&lt;Cite&gt;&lt;Author&gt;Ryan&lt;/Author&gt;&lt;Year&gt;2014&lt;/Year&gt;&lt;RecNum&gt;13884&lt;/RecNum&gt;&lt;DisplayText&gt;&lt;style face="superscript"&gt;2&lt;/style&gt;&lt;/DisplayText&gt;&lt;record&gt;&lt;rec-number&gt;13884&lt;/rec-number&gt;&lt;foreign-keys&gt;&lt;key app="EN" db-id="5r0eapxzsestz4er5zaxe5zqz99fvpawedp5"&gt;13884&lt;/key&gt;&lt;/foreign-keys&gt;&lt;ref-type name="Journal Article"&gt;17&lt;/ref-type&gt;&lt;contributors&gt;&lt;authors&gt;&lt;author&gt;Ryan, Andrew M.&lt;/author&gt;&lt;author&gt;Burgess, James F.&lt;/author&gt;&lt;author&gt;Pesko, Michael F.&lt;/author&gt;&lt;author&gt;Borden, William B.&lt;/author&gt;&lt;author&gt;Dimick, Justin B.&lt;/author&gt;&lt;/authors&gt;&lt;/contributors&gt;&lt;titles&gt;&lt;title&gt;The Early Effects of Medicare&amp;apos;s Mandatory Hospital Pay-for-Performance Program&lt;/title&gt;&lt;secondary-title&gt;Health Services Research&lt;/secondary-title&gt;&lt;/titles&gt;&lt;periodical&gt;&lt;full-title&gt;Health Services Research&lt;/full-title&gt;&lt;/periodical&gt;&lt;pages&gt;n/a-n/a&lt;/pages&gt;&lt;keywords&gt;&lt;keyword&gt;Pay-for-performance&lt;/keyword&gt;&lt;keyword&gt;hospitals&lt;/keyword&gt;&lt;keyword&gt;econometrics&lt;/keyword&gt;&lt;keyword&gt;health services research&lt;/keyword&gt;&lt;/keywords&gt;&lt;dates&gt;&lt;year&gt;2014&lt;/year&gt;&lt;/dates&gt;&lt;isbn&gt;1475-6773&lt;/isbn&gt;&lt;urls&gt;&lt;related-urls&gt;&lt;url&gt;http://dx.doi.org/10.1111/1475-6773.12206&lt;/url&gt;&lt;/related-urls&gt;&lt;/urls&gt;&lt;electronic-resource-num&gt;10.1111/1475-6773.12206&lt;/electronic-resource-num&gt;&lt;/record&gt;&lt;/Cite&gt;&lt;/EndNote&gt;</w:instrText>
              </w:r>
              <w:r w:rsidRPr="00735EA3">
                <w:rPr>
                  <w:rFonts w:ascii="Calibri" w:hAnsi="Calibri" w:cs="Arial"/>
                  <w:sz w:val="20"/>
                  <w:lang w:eastAsia="en-AU"/>
                </w:rPr>
                <w:fldChar w:fldCharType="separate"/>
              </w:r>
              <w:r w:rsidRPr="00735EA3">
                <w:rPr>
                  <w:rFonts w:ascii="Calibri" w:hAnsi="Calibri" w:cs="Arial"/>
                  <w:noProof/>
                  <w:sz w:val="20"/>
                  <w:vertAlign w:val="superscript"/>
                  <w:lang w:eastAsia="en-AU"/>
                </w:rPr>
                <w:t>2</w:t>
              </w:r>
              <w:r w:rsidRPr="00735EA3">
                <w:rPr>
                  <w:rFonts w:ascii="Calibri" w:hAnsi="Calibri" w:cs="Arial"/>
                  <w:sz w:val="20"/>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sz w:val="20"/>
                <w:lang w:eastAsia="en-AU"/>
              </w:rPr>
              <w:t>Ryan AM Burgess JF Pesko MF Borden WB Dimick JB</w:t>
            </w:r>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iCs/>
                <w:sz w:val="20"/>
                <w:lang w:eastAsia="en-AU"/>
              </w:rPr>
              <w:t>Health Services Research</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 xml:space="preserve">Difference-in-differences analysis </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Pay-for-performance</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5070F4">
            <w:pPr>
              <w:pStyle w:val="ListParagraph"/>
              <w:numPr>
                <w:ilvl w:val="0"/>
                <w:numId w:val="45"/>
              </w:numPr>
              <w:autoSpaceDE w:val="0"/>
              <w:autoSpaceDN w:val="0"/>
              <w:adjustRightInd w:val="0"/>
              <w:rPr>
                <w:rFonts w:ascii="Calibri" w:hAnsi="Calibri" w:cs="Arial"/>
              </w:rPr>
            </w:pPr>
            <w:r w:rsidRPr="00735EA3">
              <w:rPr>
                <w:rFonts w:ascii="Calibri" w:hAnsi="Calibri" w:cs="Arial"/>
                <w:color w:val="000000"/>
                <w:sz w:val="20"/>
                <w:szCs w:val="18"/>
                <w:shd w:val="clear" w:color="auto" w:fill="FFFFFF"/>
              </w:rPr>
              <w:t xml:space="preserve">This study sought to evaluate the impact of hospital value-based purchasing program (HVBP) on </w:t>
            </w:r>
            <w:r w:rsidRPr="00735EA3">
              <w:rPr>
                <w:rFonts w:ascii="Calibri" w:hAnsi="Calibri" w:cs="Arial"/>
                <w:b/>
                <w:color w:val="000000"/>
                <w:sz w:val="20"/>
                <w:szCs w:val="18"/>
                <w:shd w:val="clear" w:color="auto" w:fill="FFFFFF"/>
              </w:rPr>
              <w:t>clinical quality</w:t>
            </w:r>
            <w:r w:rsidRPr="00735EA3">
              <w:rPr>
                <w:rFonts w:ascii="Calibri" w:hAnsi="Calibri" w:cs="Arial"/>
                <w:color w:val="000000"/>
                <w:sz w:val="20"/>
                <w:szCs w:val="18"/>
                <w:shd w:val="clear" w:color="auto" w:fill="FFFFFF"/>
              </w:rPr>
              <w:t xml:space="preserve"> and </w:t>
            </w:r>
            <w:r w:rsidRPr="00735EA3">
              <w:rPr>
                <w:rFonts w:ascii="Calibri" w:hAnsi="Calibri" w:cs="Arial"/>
                <w:b/>
                <w:color w:val="000000"/>
                <w:sz w:val="20"/>
                <w:szCs w:val="18"/>
                <w:shd w:val="clear" w:color="auto" w:fill="FFFFFF"/>
              </w:rPr>
              <w:t>patient experience</w:t>
            </w:r>
            <w:r w:rsidRPr="00735EA3">
              <w:rPr>
                <w:rFonts w:ascii="Calibri" w:hAnsi="Calibri" w:cs="Arial"/>
                <w:color w:val="000000"/>
                <w:sz w:val="20"/>
                <w:szCs w:val="18"/>
                <w:shd w:val="clear" w:color="auto" w:fill="FFFFFF"/>
              </w:rPr>
              <w:t xml:space="preserve"> during its initial implementation period (July 2011–March 2012)</w:t>
            </w:r>
            <w:r>
              <w:rPr>
                <w:rFonts w:ascii="Calibri" w:hAnsi="Calibri" w:cs="Arial"/>
                <w:color w:val="000000"/>
                <w:sz w:val="20"/>
                <w:szCs w:val="18"/>
                <w:shd w:val="clear" w:color="auto" w:fill="FFFFFF"/>
              </w:rPr>
              <w:t>.</w:t>
            </w:r>
            <w:r w:rsidRPr="00735EA3">
              <w:rPr>
                <w:rFonts w:ascii="Calibri" w:hAnsi="Calibri" w:cs="Arial"/>
                <w:color w:val="000000"/>
                <w:sz w:val="20"/>
                <w:szCs w:val="18"/>
                <w:shd w:val="clear" w:color="auto" w:fill="FFFFFF"/>
              </w:rPr>
              <w:t xml:space="preserve"> </w:t>
            </w:r>
          </w:p>
          <w:p w:rsidR="005070F4" w:rsidRPr="00735EA3" w:rsidRDefault="005070F4" w:rsidP="005070F4">
            <w:pPr>
              <w:pStyle w:val="ListParagraph"/>
              <w:numPr>
                <w:ilvl w:val="0"/>
                <w:numId w:val="45"/>
              </w:numPr>
              <w:autoSpaceDE w:val="0"/>
              <w:autoSpaceDN w:val="0"/>
              <w:adjustRightInd w:val="0"/>
              <w:rPr>
                <w:rFonts w:ascii="Calibri" w:hAnsi="Calibri" w:cs="Arial"/>
              </w:rPr>
            </w:pPr>
            <w:r w:rsidRPr="00735EA3">
              <w:rPr>
                <w:rFonts w:ascii="Calibri" w:hAnsi="Calibri" w:cs="Arial"/>
                <w:color w:val="000000"/>
                <w:sz w:val="20"/>
                <w:szCs w:val="18"/>
                <w:shd w:val="clear" w:color="auto" w:fill="FFFFFF"/>
              </w:rPr>
              <w:t>Hospital-level data were used from Hospital Compare from up to 5 years before, and three quarters after HVBP was initiated. Maryland hospitals (not participating in HVBP) served as a control.</w:t>
            </w:r>
          </w:p>
          <w:p w:rsidR="005070F4" w:rsidRPr="00735EA3" w:rsidRDefault="005070F4" w:rsidP="005070F4">
            <w:pPr>
              <w:pStyle w:val="ListParagraph"/>
              <w:numPr>
                <w:ilvl w:val="0"/>
                <w:numId w:val="45"/>
              </w:numPr>
              <w:autoSpaceDE w:val="0"/>
              <w:autoSpaceDN w:val="0"/>
              <w:adjustRightInd w:val="0"/>
              <w:rPr>
                <w:rFonts w:ascii="Calibri" w:hAnsi="Calibri" w:cs="Arial"/>
              </w:rPr>
            </w:pPr>
            <w:r w:rsidRPr="00735EA3">
              <w:rPr>
                <w:rFonts w:ascii="Calibri" w:hAnsi="Calibri" w:cs="Arial"/>
                <w:color w:val="000000"/>
                <w:sz w:val="20"/>
                <w:szCs w:val="18"/>
                <w:shd w:val="clear" w:color="auto" w:fill="FFFFFF"/>
              </w:rPr>
              <w:t>Hospitals that were exposed to HVBP did</w:t>
            </w:r>
            <w:r w:rsidRPr="00735EA3">
              <w:rPr>
                <w:rFonts w:ascii="Calibri" w:hAnsi="Calibri" w:cs="Arial"/>
                <w:b/>
                <w:color w:val="000000"/>
                <w:sz w:val="20"/>
                <w:szCs w:val="18"/>
                <w:shd w:val="clear" w:color="auto" w:fill="FFFFFF"/>
              </w:rPr>
              <w:t xml:space="preserve"> not </w:t>
            </w:r>
            <w:r w:rsidRPr="00735EA3">
              <w:rPr>
                <w:rFonts w:ascii="Calibri" w:hAnsi="Calibri" w:cs="Arial"/>
                <w:color w:val="000000"/>
                <w:sz w:val="20"/>
                <w:szCs w:val="18"/>
                <w:shd w:val="clear" w:color="auto" w:fill="FFFFFF"/>
              </w:rPr>
              <w:t>show greater improvement for either the clinical process or patient experience measures during the program's first implementation period.</w:t>
            </w:r>
          </w:p>
          <w:p w:rsidR="005070F4" w:rsidRPr="00735EA3" w:rsidRDefault="005070F4" w:rsidP="005070F4">
            <w:pPr>
              <w:pStyle w:val="ListParagraph"/>
              <w:numPr>
                <w:ilvl w:val="0"/>
                <w:numId w:val="45"/>
              </w:numPr>
              <w:autoSpaceDE w:val="0"/>
              <w:autoSpaceDN w:val="0"/>
              <w:adjustRightInd w:val="0"/>
              <w:rPr>
                <w:rFonts w:ascii="Calibri" w:hAnsi="Calibri" w:cs="Arial"/>
              </w:rPr>
            </w:pPr>
            <w:r w:rsidRPr="00735EA3">
              <w:rPr>
                <w:rFonts w:ascii="Calibri" w:hAnsi="Calibri" w:cs="Arial"/>
                <w:color w:val="000000"/>
                <w:sz w:val="20"/>
                <w:szCs w:val="18"/>
                <w:shd w:val="clear" w:color="auto" w:fill="FFFFFF"/>
              </w:rPr>
              <w:t xml:space="preserve">There was some evidence that hospitals improved performance on clinical process measures </w:t>
            </w:r>
            <w:r w:rsidRPr="00735EA3">
              <w:rPr>
                <w:rFonts w:ascii="Calibri" w:hAnsi="Calibri" w:cs="Arial"/>
                <w:b/>
                <w:color w:val="000000"/>
                <w:sz w:val="20"/>
                <w:szCs w:val="18"/>
                <w:shd w:val="clear" w:color="auto" w:fill="FFFFFF"/>
              </w:rPr>
              <w:t>prior to the start of HVBP</w:t>
            </w:r>
            <w:r w:rsidRPr="00735EA3">
              <w:rPr>
                <w:rFonts w:ascii="Calibri" w:hAnsi="Calibri" w:cs="Arial"/>
                <w:color w:val="000000"/>
                <w:sz w:val="20"/>
                <w:szCs w:val="18"/>
                <w:shd w:val="clear" w:color="auto" w:fill="FFFFFF"/>
              </w:rPr>
              <w:t>, but not on patient experience measures. It is unclear whether this was driven by the expectation of the program or was the result of other factors.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2</w:t>
            </w:r>
          </w:p>
        </w:tc>
        <w:tc>
          <w:tcPr>
            <w:tcW w:w="2791" w:type="dxa"/>
          </w:tcPr>
          <w:p w:rsidR="005070F4" w:rsidRPr="00735EA3" w:rsidRDefault="005070F4" w:rsidP="00B060E0">
            <w:pPr>
              <w:spacing w:before="20" w:after="20" w:line="264" w:lineRule="auto"/>
              <w:rPr>
                <w:rStyle w:val="Emphasis"/>
                <w:rFonts w:ascii="Calibri" w:hAnsi="Calibri" w:cs="Arial"/>
                <w:i w:val="0"/>
                <w:sz w:val="20"/>
              </w:rPr>
            </w:pPr>
            <w:r w:rsidRPr="00735EA3">
              <w:rPr>
                <w:rFonts w:ascii="Calibri" w:hAnsi="Calibri" w:cs="Arial"/>
                <w:sz w:val="20"/>
                <w:szCs w:val="24"/>
                <w:lang w:eastAsia="en-AU"/>
              </w:rPr>
              <w:t>Does Pay-for-Performance Improve Surgical Outcomes? An Evaluation of Phase 2 of the Premier Hospital Quality Incentive Demonstration</w:t>
            </w:r>
            <w:hyperlink w:anchor="_ENREF_3" w:tooltip="Shih, 2014 #13889"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&lt;EndNote&gt;&lt;Cite&gt;&lt;Author&gt;Shih&lt;/Author&gt;&lt;Year&gt;2014&lt;/Year&gt;&lt;RecNum&gt;13889&lt;/RecNum&gt;&lt;DisplayText&gt;&lt;style face="superscript"&gt;3&lt;/style&gt;&lt;/DisplayText&gt;&lt;record&gt;&lt;rec-number&gt;13889&lt;/rec-number&gt;&lt;foreign-keys&gt;&lt;key app="EN" db-id="5r0eapxzsestz4er5zaxe5zqz99fvpawedp5"&gt;13889&lt;/key&gt;&lt;/foreign-keys&gt;&lt;ref-type name="Journal Article"&gt;17&lt;/ref-type&gt;&lt;contributors&gt;&lt;authors&gt;&lt;author&gt;Shih, Terry&lt;/author&gt;&lt;author&gt;Nicholas, Lauren H.&lt;/author&gt;&lt;author&gt;Thumma, Jyothi R.&lt;/author&gt;&lt;author&gt;Birkmeyer, John D.&lt;/author&gt;&lt;author&gt;Dimick, Justin B.&lt;/author&gt;&lt;/authors&gt;&lt;/contributors&gt;&lt;titles&gt;&lt;title&gt;Does Pay-for-Performance Improve Surgical Outcomes? An Evaluation of Phase 2 of the Premier Hospital Quality Incentive Demonstration&lt;/title&gt;&lt;secondary-title&gt;Annals of Surgery&lt;/secondary-title&gt;&lt;/titles&gt;&lt;periodical&gt;&lt;full-title&gt;Annals of Surgery&lt;/full-title&gt;&lt;/periodical&gt;&lt;pages&gt;677-681 10.1097/SLA.0000000000000425&lt;/pages&gt;&lt;volume&gt;259&lt;/volume&gt;&lt;number&gt;4&lt;/number&gt;&lt;keywords&gt;&lt;keyword&gt;coronary artery bypass&lt;/keyword&gt;&lt;keyword&gt;health services research&lt;/keyword&gt;&lt;keyword&gt;joint replacement&lt;/keyword&gt;&lt;keyword&gt;pay-for-performance&lt;/keyword&gt;&lt;keyword&gt;policy evaluation&lt;/keyword&gt;&lt;keyword&gt;00000658-201404000-00011&lt;/keyword&gt;&lt;/keywords&gt;&lt;dates&gt;&lt;year&gt;2014&lt;/year&gt;&lt;/dates&gt;&lt;isbn&gt;0003-4932&lt;/isbn&gt;&lt;urls&gt;&lt;related-urls&gt;&lt;url&gt;http://journals.lww.com/annalsofsurgery/Fulltext/2014/04000/Does_Pay_for_Performance_Improve_Surgical.11.aspx&lt;/url&gt;&lt;/related-urls&gt;&lt;/urls&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3</w:t>
              </w:r>
              <w:r w:rsidRPr="00735EA3">
                <w:rPr>
                  <w:rFonts w:ascii="Calibri" w:hAnsi="Calibri" w:cs="Arial"/>
                  <w:sz w:val="20"/>
                  <w:szCs w:val="24"/>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sz w:val="20"/>
                <w:szCs w:val="24"/>
                <w:lang w:eastAsia="en-AU"/>
              </w:rPr>
              <w:t>Shih T Nicholas LH Thumma JR Birkmeyer JD Dimick JB</w:t>
            </w:r>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iCs/>
                <w:sz w:val="20"/>
                <w:szCs w:val="24"/>
                <w:lang w:eastAsia="en-AU"/>
              </w:rPr>
              <w:t>Annals of Surgery</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Difference-in-differences analysis</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Pay-for-performance</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shd w:val="clear" w:color="auto" w:fill="FFFFFF"/>
          </w:tcPr>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000000"/>
                <w:sz w:val="20"/>
                <w:shd w:val="clear" w:color="auto" w:fill="FFFFFF"/>
              </w:rPr>
              <w:t>Medicare’s Premier Hospital Quality Incentive Demonstration (PHQID) was initiated in 2003 to reward high-performing hospitals. The program redesigned its incentive structure in 2006 to also reward hospitals that achieved significant improvement.</w:t>
            </w:r>
            <w:r w:rsidRPr="00735EA3">
              <w:rPr>
                <w:rFonts w:ascii="Calibri" w:hAnsi="Calibri" w:cs="Arial"/>
                <w:shd w:val="clear" w:color="auto" w:fill="FFFFFF"/>
              </w:rPr>
              <w:t> </w:t>
            </w:r>
          </w:p>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000000"/>
                <w:sz w:val="20"/>
                <w:shd w:val="clear" w:color="auto" w:fill="FFFFFF"/>
              </w:rPr>
              <w:t>This study sought to determine if the changes in incentive design in phase 2 of PHQID reduced surgical 30-day mortality or complication rates for coronary artery bypass (CABG), hip replacement, and knee replacement at participating hospitals in 12 states. Non-participating hospitals served as a control.</w:t>
            </w:r>
          </w:p>
          <w:p w:rsidR="005070F4" w:rsidRPr="00735EA3" w:rsidRDefault="005070F4" w:rsidP="005070F4">
            <w:pPr>
              <w:pStyle w:val="ListParagraph"/>
              <w:numPr>
                <w:ilvl w:val="0"/>
                <w:numId w:val="60"/>
              </w:numPr>
              <w:autoSpaceDE w:val="0"/>
              <w:autoSpaceDN w:val="0"/>
              <w:adjustRightInd w:val="0"/>
              <w:rPr>
                <w:rFonts w:ascii="Calibri" w:hAnsi="Calibri" w:cs="Arial"/>
                <w:b/>
                <w:sz w:val="20"/>
              </w:rPr>
            </w:pPr>
            <w:r w:rsidRPr="00735EA3">
              <w:rPr>
                <w:rFonts w:ascii="Calibri" w:hAnsi="Calibri" w:cs="Arial"/>
                <w:b/>
                <w:color w:val="000000"/>
                <w:sz w:val="20"/>
                <w:shd w:val="clear" w:color="auto" w:fill="FFFFFF"/>
              </w:rPr>
              <w:t xml:space="preserve">No improvements were identified for surgical outcomes at participating hospitals. </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b/>
                <w:color w:val="FFFFFF"/>
                <w:sz w:val="20"/>
                <w:lang w:eastAsia="en-AU"/>
              </w:rPr>
            </w:pPr>
          </w:p>
        </w:tc>
        <w:tc>
          <w:tcPr>
            <w:tcW w:w="2791" w:type="dxa"/>
          </w:tcPr>
          <w:p w:rsidR="005070F4" w:rsidRPr="00735EA3" w:rsidRDefault="005070F4" w:rsidP="00B060E0">
            <w:pPr>
              <w:spacing w:before="20" w:after="20" w:line="264" w:lineRule="auto"/>
              <w:rPr>
                <w:rStyle w:val="Emphasis"/>
                <w:rFonts w:ascii="Calibri" w:hAnsi="Calibri" w:cs="Arial"/>
                <w:i w:val="0"/>
                <w:sz w:val="20"/>
              </w:rPr>
            </w:pPr>
            <w:r w:rsidRPr="00735EA3">
              <w:rPr>
                <w:rFonts w:ascii="Calibri" w:hAnsi="Calibri" w:cs="Arial"/>
                <w:sz w:val="20"/>
                <w:szCs w:val="24"/>
                <w:lang w:eastAsia="en-AU"/>
              </w:rPr>
              <w:t>Does Winning a Pay-for-Performance Bonus Improve Subsequent Quality Performance? Evidence from the Hospital Quality Incentive Demonstration</w:t>
            </w:r>
            <w:hyperlink w:anchor="_ENREF_4" w:tooltip="Ryan, 2014 #13890"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&lt;EndNote&gt;&lt;Cite&gt;&lt;Author&gt;Ryan&lt;/Author&gt;&lt;Year&gt;2014&lt;/Year&gt;&lt;RecNum&gt;13890&lt;/RecNum&gt;&lt;DisplayText&gt;&lt;style face="superscript"&gt;4&lt;/style&gt;&lt;/DisplayText&gt;&lt;record&gt;&lt;rec-number&gt;13890&lt;/rec-number&gt;&lt;foreign-keys&gt;&lt;key app="EN" db-id="5r0eapxzsestz4er5zaxe5zqz99fvpawedp5"&gt;13890&lt;/key&gt;&lt;/foreign-keys&gt;&lt;ref-type name="Journal Article"&gt;17&lt;/ref-type&gt;&lt;contributors&gt;&lt;authors&gt;&lt;author&gt;Ryan, Andrew&lt;/author&gt;&lt;author&gt;Sutton, Matthew&lt;/author&gt;&lt;author&gt;Doran, Tim&lt;/author&gt;&lt;/authors&gt;&lt;/contributors&gt;&lt;titles&gt;&lt;title&gt;Does Winning a Pay-for-Performance Bonus Improve Subsequent Quality Performance? Evidence from the Hospital Quality Incentive Demonstration&lt;/title&gt;&lt;secondary-title&gt;Health Services Research&lt;/secondary-title&gt;&lt;/titles&gt;&lt;periodical&gt;&lt;full-title&gt;Health Services Research&lt;/full-title&gt;&lt;/periodical&gt;&lt;pages&gt;568-587&lt;/pages&gt;&lt;volume&gt;49&lt;/volume&gt;&lt;number&gt;2&lt;/number&gt;&lt;keywords&gt;&lt;keyword&gt;Pay-for-performance&lt;/keyword&gt;&lt;keyword&gt;incentive&lt;/keyword&gt;&lt;keyword&gt;hospitals&lt;/keyword&gt;&lt;keyword&gt;quality improvement&lt;/keyword&gt;&lt;/keywords&gt;&lt;dates&gt;&lt;year&gt;2014&lt;/year&gt;&lt;/dates&gt;&lt;isbn&gt;1475-6773&lt;/isbn&gt;&lt;urls&gt;&lt;related-urls&gt;&lt;url&gt;http://dx.doi.org/10.1111/1475-6773.12097&lt;/url&gt;&lt;/related-urls&gt;&lt;/urls&gt;&lt;electronic-resource-num&gt;10.1111/1475-6773.12097&lt;/electronic-resource-num&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4</w:t>
              </w:r>
              <w:r w:rsidRPr="00735EA3">
                <w:rPr>
                  <w:rFonts w:ascii="Calibri" w:hAnsi="Calibri" w:cs="Arial"/>
                  <w:sz w:val="20"/>
                  <w:szCs w:val="24"/>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sz w:val="20"/>
                <w:szCs w:val="24"/>
                <w:lang w:eastAsia="en-AU"/>
              </w:rPr>
              <w:t>Ryan A Sutton M Doran T</w:t>
            </w:r>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iCs/>
                <w:sz w:val="20"/>
                <w:szCs w:val="24"/>
                <w:lang w:eastAsia="en-AU"/>
              </w:rPr>
              <w:t>Health Services Research</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Regression modelling</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Pay-for-performance</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5070F4">
            <w:pPr>
              <w:pStyle w:val="ListParagraph"/>
              <w:numPr>
                <w:ilvl w:val="0"/>
                <w:numId w:val="60"/>
              </w:numPr>
              <w:autoSpaceDE w:val="0"/>
              <w:autoSpaceDN w:val="0"/>
              <w:adjustRightInd w:val="0"/>
              <w:rPr>
                <w:rFonts w:ascii="Calibri" w:hAnsi="Calibri" w:cs="Arial"/>
                <w:sz w:val="20"/>
              </w:rPr>
            </w:pPr>
            <w:r w:rsidRPr="00735EA3">
              <w:rPr>
                <w:rFonts w:ascii="Calibri" w:hAnsi="Calibri" w:cs="Arial"/>
                <w:color w:val="000000"/>
                <w:sz w:val="20"/>
                <w:shd w:val="clear" w:color="auto" w:fill="FFFFFF"/>
              </w:rPr>
              <w:t>This study sought to test whether receiving a financial bonus for quality in the PHQID stimulated subsequent quality improvement. Hospitals received a 1 percent bonus on Medicare payments for scoring between the 80th and 90th percentiles on a composite quality measure, and a 2 percent bonus for scoring at the 90th percentile or above.</w:t>
            </w:r>
          </w:p>
          <w:p w:rsidR="005070F4" w:rsidRPr="00735EA3" w:rsidRDefault="005070F4" w:rsidP="005070F4">
            <w:pPr>
              <w:pStyle w:val="ListParagraph"/>
              <w:numPr>
                <w:ilvl w:val="0"/>
                <w:numId w:val="60"/>
              </w:numPr>
              <w:autoSpaceDE w:val="0"/>
              <w:autoSpaceDN w:val="0"/>
              <w:adjustRightInd w:val="0"/>
              <w:rPr>
                <w:rFonts w:ascii="Calibri" w:hAnsi="Calibri" w:cs="Arial"/>
                <w:sz w:val="20"/>
              </w:rPr>
            </w:pPr>
            <w:r w:rsidRPr="00735EA3">
              <w:rPr>
                <w:rFonts w:ascii="Calibri" w:hAnsi="Calibri" w:cs="Arial"/>
                <w:color w:val="000000"/>
                <w:sz w:val="20"/>
                <w:shd w:val="clear" w:color="auto" w:fill="FFFFFF"/>
              </w:rPr>
              <w:t>Hospital-level data from 2004 to 2006 were analysed on process-of-care quality for acute myocardial infarction (AMI), heart failure, and pneumonia for 260 participating hospitals.</w:t>
            </w:r>
          </w:p>
          <w:p w:rsidR="005070F4" w:rsidRPr="00735EA3" w:rsidRDefault="005070F4" w:rsidP="005070F4">
            <w:pPr>
              <w:pStyle w:val="ListParagraph"/>
              <w:numPr>
                <w:ilvl w:val="0"/>
                <w:numId w:val="60"/>
              </w:numPr>
              <w:autoSpaceDE w:val="0"/>
              <w:autoSpaceDN w:val="0"/>
              <w:adjustRightInd w:val="0"/>
              <w:rPr>
                <w:rFonts w:ascii="Calibri" w:hAnsi="Calibri" w:cs="Arial"/>
                <w:sz w:val="20"/>
              </w:rPr>
            </w:pPr>
            <w:r w:rsidRPr="00735EA3">
              <w:rPr>
                <w:rFonts w:ascii="Calibri" w:hAnsi="Calibri" w:cs="Arial"/>
                <w:color w:val="000000"/>
                <w:sz w:val="20"/>
                <w:shd w:val="clear" w:color="auto" w:fill="FFFFFF"/>
              </w:rPr>
              <w:t xml:space="preserve">The study found </w:t>
            </w:r>
            <w:r w:rsidRPr="00735EA3">
              <w:rPr>
                <w:rFonts w:ascii="Calibri" w:hAnsi="Calibri" w:cs="Arial"/>
                <w:b/>
                <w:color w:val="000000"/>
                <w:sz w:val="20"/>
                <w:shd w:val="clear" w:color="auto" w:fill="FFFFFF"/>
              </w:rPr>
              <w:t>little evidence</w:t>
            </w:r>
            <w:r w:rsidRPr="00735EA3">
              <w:rPr>
                <w:rFonts w:ascii="Calibri" w:hAnsi="Calibri" w:cs="Arial"/>
                <w:color w:val="000000"/>
                <w:sz w:val="20"/>
                <w:shd w:val="clear" w:color="auto" w:fill="FFFFFF"/>
              </w:rPr>
              <w:t xml:space="preserve"> t</w:t>
            </w:r>
            <w:r w:rsidRPr="00735EA3">
              <w:rPr>
                <w:rFonts w:ascii="Calibri" w:hAnsi="Calibri" w:cs="Arial"/>
                <w:b/>
                <w:color w:val="000000"/>
                <w:sz w:val="20"/>
                <w:shd w:val="clear" w:color="auto" w:fill="FFFFFF"/>
              </w:rPr>
              <w:t>hat hospitals' receipt of quality bonuses was associated with subsequent improvement in performance,</w:t>
            </w:r>
            <w:r w:rsidRPr="00735EA3">
              <w:rPr>
                <w:rFonts w:ascii="Calibri" w:hAnsi="Calibri" w:cs="Arial"/>
                <w:color w:val="000000"/>
                <w:sz w:val="20"/>
                <w:shd w:val="clear" w:color="auto" w:fill="FFFFFF"/>
              </w:rPr>
              <w:t xml:space="preserve"> raising questions about flow-on effects of pay-for-performance programs.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3</w:t>
            </w:r>
          </w:p>
        </w:tc>
        <w:tc>
          <w:tcPr>
            <w:tcW w:w="2791" w:type="dxa"/>
          </w:tcPr>
          <w:p w:rsidR="005070F4" w:rsidRPr="00735EA3" w:rsidRDefault="005070F4" w:rsidP="00B060E0">
            <w:pPr>
              <w:rPr>
                <w:rStyle w:val="IntenseReference"/>
                <w:rFonts w:ascii="Calibri" w:hAnsi="Calibri"/>
                <w:bCs w:val="0"/>
                <w:smallCaps w:val="0"/>
                <w:sz w:val="12"/>
                <w:lang w:val="en-US"/>
              </w:rPr>
            </w:pPr>
            <w:r w:rsidRPr="00735EA3">
              <w:rPr>
                <w:rFonts w:ascii="Calibri" w:hAnsi="Calibri" w:cs="Arial"/>
                <w:sz w:val="20"/>
                <w:szCs w:val="24"/>
                <w:lang w:eastAsia="en-AU"/>
              </w:rPr>
              <w:t>Payment Reform in Massachusetts: Health Care Spending and Quality in Accountable Care Organizations Four Years into Global Payment</w:t>
            </w:r>
            <w:hyperlink w:anchor="_ENREF_5" w:tooltip="Song, 2014 #13887"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&lt;EndNote&gt;&lt;Cite&gt;&lt;Author&gt;Song&lt;/Author&gt;&lt;Year&gt;2014&lt;/Year&gt;&lt;RecNum&gt;13887&lt;/RecNum&gt;&lt;DisplayText&gt;&lt;style face="superscript"&gt;5&lt;/style&gt;&lt;/DisplayText&gt;&lt;record&gt;&lt;rec-number&gt;13887&lt;/rec-number&gt;&lt;foreign-keys&gt;&lt;key app="EN" db-id="5r0eapxzsestz4er5zaxe5zqz99fvpawedp5"&gt;13887&lt;/key&gt;&lt;/foreign-keys&gt;&lt;ref-type name="Thesis"&gt;32&lt;/ref-type&gt;&lt;contributors&gt;&lt;authors&gt;&lt;author&gt;Song, Z&lt;/author&gt;&lt;/authors&gt;&lt;/contributors&gt;&lt;titles&gt;&lt;title&gt;Payment Reform in Massachusetts: Health Care Spending and Quality in Accountable Care Organizations Four Years into Global Payment&lt;/title&gt;&lt;secondary-title&gt;Harvard Medical School&lt;/secondary-title&gt;&lt;/titles&gt;&lt;dates&gt;&lt;year&gt;2014&lt;/year&gt;&lt;pub-dates&gt;&lt;date&gt;under embargo&lt;/date&gt;&lt;/pub-dates&gt;&lt;/dates&gt;&lt;publisher&gt;Harvard University&lt;/publisher&gt;&lt;urls&gt;&lt;related-urls&gt;&lt;url&gt;http://dash.harvard.edu/handle/1/12407606&lt;/url&gt;&lt;/related-urls&gt;&lt;/urls&gt;&lt;/record&gt;&lt;/Cite&gt;&lt;/EndNote&gt;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5</w:t>
              </w:r>
              <w:r w:rsidRPr="00735EA3">
                <w:rPr>
                  <w:rFonts w:ascii="Calibri" w:hAnsi="Calibri" w:cs="Arial"/>
                  <w:sz w:val="20"/>
                  <w:szCs w:val="24"/>
                  <w:lang w:eastAsia="en-AU"/>
                </w:rPr>
                <w:fldChar w:fldCharType="end"/>
              </w:r>
            </w:hyperlink>
          </w:p>
          <w:p w:rsidR="005070F4" w:rsidRPr="00735EA3" w:rsidRDefault="005070F4" w:rsidP="00B060E0">
            <w:pPr>
              <w:spacing w:before="20" w:after="20" w:line="264" w:lineRule="auto"/>
              <w:rPr>
                <w:rStyle w:val="Emphasis"/>
                <w:rFonts w:ascii="Calibri" w:hAnsi="Calibri" w:cs="Arial"/>
                <w:i w:val="0"/>
                <w:sz w:val="20"/>
              </w:rPr>
            </w:pPr>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sz w:val="20"/>
                <w:szCs w:val="24"/>
                <w:lang w:eastAsia="en-AU"/>
              </w:rPr>
              <w:t>Song Z</w:t>
            </w:r>
          </w:p>
        </w:tc>
        <w:tc>
          <w:tcPr>
            <w:tcW w:w="1440" w:type="dxa"/>
          </w:tcPr>
          <w:p w:rsidR="005070F4" w:rsidRPr="00735EA3" w:rsidRDefault="005070F4" w:rsidP="00B060E0">
            <w:pPr>
              <w:spacing w:before="20" w:after="20" w:line="264" w:lineRule="auto"/>
              <w:rPr>
                <w:rFonts w:ascii="Calibri" w:hAnsi="Calibri" w:cs="Arial"/>
                <w:sz w:val="20"/>
              </w:rPr>
            </w:pPr>
            <w:r w:rsidRPr="00735EA3">
              <w:rPr>
                <w:rFonts w:ascii="Calibri" w:hAnsi="Calibri" w:cs="Arial"/>
                <w:iCs/>
                <w:sz w:val="20"/>
                <w:szCs w:val="24"/>
                <w:lang w:eastAsia="en-AU"/>
              </w:rPr>
              <w:t>Harvard Medical School (PhD Thesis)</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Difference-in-differences analysis</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Global (capitated) population based  payment; Pay-for-performance</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000000"/>
                <w:sz w:val="20"/>
                <w:shd w:val="clear" w:color="auto" w:fill="FFFFFF"/>
              </w:rPr>
              <w:t xml:space="preserve">This thesis studied the effect on spending and quality of the first 4 years of the Blue Cross Blue Shield of Massachusetts Alternative Quality Contract (AQC) that began in 2009. The AQC pays providers </w:t>
            </w:r>
            <w:r w:rsidRPr="00735EA3">
              <w:rPr>
                <w:rFonts w:ascii="Calibri" w:hAnsi="Calibri" w:cs="Arial"/>
                <w:b/>
                <w:color w:val="000000"/>
                <w:sz w:val="20"/>
                <w:shd w:val="clear" w:color="auto" w:fill="FFFFFF"/>
              </w:rPr>
              <w:t>a risk-adjusted global budget for the entire continuum of care for a defined population</w:t>
            </w:r>
            <w:r w:rsidRPr="00735EA3">
              <w:rPr>
                <w:rFonts w:ascii="Calibri" w:hAnsi="Calibri" w:cs="Arial"/>
                <w:color w:val="000000"/>
                <w:sz w:val="20"/>
                <w:shd w:val="clear" w:color="auto" w:fill="FFFFFF"/>
              </w:rPr>
              <w:t xml:space="preserve"> of enrolees insured by Blue Cross Blue Shield. It also awards substantial pay-for-performance incentives for organizations meeting performance thresholds on quality measures. </w:t>
            </w:r>
          </w:p>
          <w:p w:rsidR="005070F4" w:rsidRPr="00735EA3" w:rsidRDefault="005070F4" w:rsidP="005070F4">
            <w:pPr>
              <w:pStyle w:val="ListParagraph"/>
              <w:numPr>
                <w:ilvl w:val="0"/>
                <w:numId w:val="60"/>
              </w:numPr>
              <w:autoSpaceDE w:val="0"/>
              <w:autoSpaceDN w:val="0"/>
              <w:adjustRightInd w:val="0"/>
              <w:rPr>
                <w:rFonts w:ascii="Calibri" w:hAnsi="Calibri" w:cs="Arial"/>
                <w:color w:val="000000"/>
                <w:sz w:val="20"/>
                <w:shd w:val="clear" w:color="auto" w:fill="FFFFFF"/>
              </w:rPr>
            </w:pPr>
            <w:r w:rsidRPr="00735EA3">
              <w:rPr>
                <w:rFonts w:ascii="Calibri" w:hAnsi="Calibri" w:cs="Arial"/>
                <w:color w:val="000000"/>
                <w:sz w:val="20"/>
                <w:shd w:val="clear" w:color="auto" w:fill="FFFFFF"/>
              </w:rPr>
              <w:t>Data for enrolees in Blue Cross Blue Shield of Massachusetts plans were compared with data from other commercial employer-sponsored plans across 5 comparison states (control group).</w:t>
            </w:r>
          </w:p>
          <w:p w:rsidR="005070F4" w:rsidRPr="00735EA3" w:rsidRDefault="005070F4" w:rsidP="005070F4">
            <w:pPr>
              <w:pStyle w:val="ListParagraph"/>
              <w:numPr>
                <w:ilvl w:val="0"/>
                <w:numId w:val="60"/>
              </w:numPr>
              <w:autoSpaceDE w:val="0"/>
              <w:autoSpaceDN w:val="0"/>
              <w:adjustRightInd w:val="0"/>
              <w:rPr>
                <w:rFonts w:ascii="Calibri" w:hAnsi="Calibri" w:cs="Arial"/>
                <w:sz w:val="20"/>
              </w:rPr>
            </w:pPr>
            <w:r w:rsidRPr="00735EA3">
              <w:rPr>
                <w:rFonts w:ascii="Calibri" w:hAnsi="Calibri" w:cs="Arial"/>
                <w:color w:val="000000"/>
                <w:sz w:val="20"/>
                <w:shd w:val="clear" w:color="auto" w:fill="FFFFFF"/>
              </w:rPr>
              <w:t xml:space="preserve">Results show </w:t>
            </w:r>
            <w:r w:rsidRPr="00735EA3">
              <w:rPr>
                <w:rFonts w:ascii="Calibri" w:hAnsi="Calibri" w:cs="Arial"/>
                <w:b/>
                <w:color w:val="000000"/>
                <w:sz w:val="20"/>
                <w:shd w:val="clear" w:color="auto" w:fill="FFFFFF"/>
              </w:rPr>
              <w:t>modest slowing of the growth rate of health care spending</w:t>
            </w:r>
            <w:r w:rsidRPr="00735EA3">
              <w:rPr>
                <w:rFonts w:ascii="Calibri" w:hAnsi="Calibri" w:cs="Arial"/>
                <w:color w:val="000000"/>
                <w:sz w:val="20"/>
                <w:shd w:val="clear" w:color="auto" w:fill="FFFFFF"/>
              </w:rPr>
              <w:t xml:space="preserve">, and </w:t>
            </w:r>
            <w:r w:rsidRPr="00735EA3">
              <w:rPr>
                <w:rFonts w:ascii="Calibri" w:hAnsi="Calibri" w:cs="Arial"/>
                <w:b/>
                <w:color w:val="000000"/>
                <w:sz w:val="20"/>
                <w:shd w:val="clear" w:color="auto" w:fill="FFFFFF"/>
              </w:rPr>
              <w:t>improvements in the quality of care</w:t>
            </w:r>
            <w:r w:rsidRPr="00735EA3">
              <w:rPr>
                <w:rFonts w:ascii="Calibri" w:hAnsi="Calibri" w:cs="Arial"/>
                <w:color w:val="000000"/>
                <w:sz w:val="20"/>
                <w:shd w:val="clear" w:color="auto" w:fill="FFFFFF"/>
              </w:rPr>
              <w:t xml:space="preserve"> for AQC enrolees compared to controls.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r w:rsidRPr="00735EA3">
              <w:rPr>
                <w:rFonts w:ascii="Calibri" w:hAnsi="Calibri" w:cs="Arial"/>
                <w:color w:val="FFFFFF"/>
                <w:sz w:val="20"/>
                <w:lang w:eastAsia="en-AU"/>
              </w:rPr>
              <w:t>4</w:t>
            </w:r>
          </w:p>
        </w:tc>
        <w:tc>
          <w:tcPr>
            <w:tcW w:w="2791" w:type="dxa"/>
          </w:tcPr>
          <w:p w:rsidR="005070F4" w:rsidRPr="00735EA3" w:rsidRDefault="005070F4" w:rsidP="00B060E0">
            <w:pPr>
              <w:rPr>
                <w:rStyle w:val="IntenseReference"/>
                <w:rFonts w:ascii="Calibri" w:hAnsi="Calibri"/>
                <w:bCs w:val="0"/>
                <w:smallCaps w:val="0"/>
                <w:sz w:val="20"/>
                <w:lang w:val="en-US"/>
              </w:rPr>
            </w:pPr>
            <w:r w:rsidRPr="00735EA3">
              <w:rPr>
                <w:rFonts w:ascii="Calibri" w:hAnsi="Calibri" w:cs="Arial"/>
                <w:sz w:val="20"/>
                <w:szCs w:val="24"/>
                <w:lang w:eastAsia="en-AU"/>
              </w:rPr>
              <w:t>Changing Physician Incentives for Affordable, Quality Cancer Care: Results of an Episode Payment Model</w:t>
            </w:r>
            <w:hyperlink w:anchor="_ENREF_6" w:tooltip="Newcomer, 2014 #13882"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&lt;EndNote&gt;&lt;Cite&gt;&lt;Author&gt;Newcomer&lt;/Author&gt;&lt;Year&gt;2014&lt;/Year&gt;&lt;RecNum&gt;13882&lt;/RecNum&gt;&lt;DisplayText&gt;&lt;style face="superscript"&gt;6&lt;/style&gt;&lt;/DisplayText&gt;&lt;record&gt;&lt;rec-number&gt;13882&lt;/rec-number&gt;&lt;foreign-keys&gt;&lt;key app="EN" db-id="5r0eapxzsestz4er5zaxe5zqz99fvpawedp5"&gt;13882&lt;/key&gt;&lt;/foreign-keys&gt;&lt;ref-type name="Journal Article"&gt;17&lt;/ref-type&gt;&lt;contributors&gt;&lt;authors&gt;&lt;author&gt;Newcomer, Lee N.&lt;/author&gt;&lt;author&gt;Gould, Bruce&lt;/author&gt;&lt;author&gt;Page, Ray D.&lt;/author&gt;&lt;author&gt;Donelan, Sheila A.&lt;/author&gt;&lt;author&gt;Perkins, Monica&lt;/author&gt;&lt;/authors&gt;&lt;/contributors&gt;&lt;titles&gt;&lt;title&gt;Changing Physician Incentives for Affordable, Quality Cancer Care: Results of an Episode Payment Model&lt;/title&gt;&lt;secondary-title&gt;Journal of Oncology Practice&lt;/secondary-title&gt;&lt;/titles&gt;&lt;periodical&gt;&lt;full-title&gt;Journal of Oncology Practice&lt;/full-title&gt;&lt;/periodical&gt;&lt;dates&gt;&lt;year&gt;2014&lt;/year&gt;&lt;pub-dates&gt;&lt;date&gt;July 8, 2014&lt;/date&gt;&lt;/pub-dates&gt;&lt;/dates&gt;&lt;urls&gt;&lt;related-urls&gt;&lt;url&gt;http://jop.ascopubs.org/content/early/2014/07/08/JOP.2014.001488.abstract&lt;/url&gt;&lt;/related-urls&gt;&lt;/urls&gt;&lt;electronic-resource-num&gt;10.1200/jop.2014.001488&lt;/electronic-resource-num&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6</w:t>
              </w:r>
              <w:r w:rsidRPr="00735EA3">
                <w:rPr>
                  <w:rFonts w:ascii="Calibri" w:hAnsi="Calibri" w:cs="Arial"/>
                  <w:sz w:val="20"/>
                  <w:szCs w:val="24"/>
                  <w:lang w:eastAsia="en-AU"/>
                </w:rPr>
                <w:fldChar w:fldCharType="end"/>
              </w:r>
            </w:hyperlink>
          </w:p>
          <w:p w:rsidR="005070F4" w:rsidRPr="00735EA3" w:rsidRDefault="005070F4" w:rsidP="00B060E0">
            <w:pPr>
              <w:spacing w:before="20" w:after="20" w:line="264" w:lineRule="auto"/>
              <w:rPr>
                <w:rFonts w:ascii="Calibri" w:hAnsi="Calibri" w:cs="Arial"/>
                <w:sz w:val="20"/>
                <w:lang w:eastAsia="en-AU"/>
              </w:rPr>
            </w:pPr>
          </w:p>
        </w:tc>
        <w:tc>
          <w:tcPr>
            <w:tcW w:w="1440" w:type="dxa"/>
          </w:tcPr>
          <w:p w:rsidR="005070F4" w:rsidRPr="00735EA3" w:rsidRDefault="005070F4" w:rsidP="00B060E0">
            <w:pPr>
              <w:spacing w:before="20" w:after="20" w:line="264" w:lineRule="auto"/>
              <w:rPr>
                <w:rFonts w:ascii="Calibri" w:hAnsi="Calibri" w:cs="Arial"/>
                <w:sz w:val="20"/>
                <w:lang w:val="fr-FR" w:eastAsia="en-AU"/>
              </w:rPr>
            </w:pPr>
            <w:r w:rsidRPr="00735EA3">
              <w:rPr>
                <w:rFonts w:ascii="Calibri" w:hAnsi="Calibri" w:cs="Arial"/>
                <w:sz w:val="20"/>
                <w:szCs w:val="24"/>
                <w:lang w:eastAsia="en-AU"/>
              </w:rPr>
              <w:t>Newcomer LN, Gould B, Page RD, Donelan SA Perkins M</w:t>
            </w:r>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iCs/>
                <w:sz w:val="20"/>
                <w:szCs w:val="24"/>
                <w:lang w:eastAsia="en-AU"/>
              </w:rPr>
              <w:t>Journal of Oncology Practice</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Difference-in-differences analysis</w:t>
            </w:r>
          </w:p>
        </w:tc>
        <w:tc>
          <w:tcPr>
            <w:tcW w:w="1800" w:type="dxa"/>
          </w:tcPr>
          <w:p w:rsidR="005070F4" w:rsidRPr="00735EA3" w:rsidRDefault="005070F4" w:rsidP="00B060E0">
            <w:pPr>
              <w:spacing w:before="20" w:after="20" w:line="264" w:lineRule="auto"/>
              <w:rPr>
                <w:rFonts w:ascii="Calibri" w:hAnsi="Calibri" w:cs="Arial"/>
                <w:sz w:val="20"/>
                <w:lang w:eastAsia="en-AU"/>
              </w:rPr>
            </w:pPr>
          </w:p>
        </w:tc>
        <w:tc>
          <w:tcPr>
            <w:tcW w:w="1055" w:type="dxa"/>
          </w:tcPr>
          <w:p w:rsidR="005070F4" w:rsidRPr="00735EA3" w:rsidRDefault="005070F4" w:rsidP="00B060E0">
            <w:pPr>
              <w:spacing w:before="20" w:after="20" w:line="264" w:lineRule="auto"/>
              <w:rPr>
                <w:rFonts w:ascii="Calibri" w:hAnsi="Calibri" w:cs="Arial"/>
                <w:sz w:val="20"/>
                <w:lang w:eastAsia="en-AU"/>
              </w:rPr>
            </w:pPr>
          </w:p>
        </w:tc>
        <w:tc>
          <w:tcPr>
            <w:tcW w:w="1285" w:type="dxa"/>
          </w:tcPr>
          <w:p w:rsidR="005070F4" w:rsidRPr="00735EA3" w:rsidRDefault="005070F4" w:rsidP="00B060E0">
            <w:pPr>
              <w:spacing w:before="20" w:after="20" w:line="264" w:lineRule="auto"/>
              <w:rPr>
                <w:rFonts w:ascii="Calibri" w:hAnsi="Calibri" w:cs="Arial"/>
                <w:sz w:val="20"/>
                <w:lang w:eastAsia="en-AU"/>
              </w:rPr>
            </w:pPr>
          </w:p>
        </w:tc>
        <w:tc>
          <w:tcPr>
            <w:tcW w:w="11135" w:type="dxa"/>
          </w:tcPr>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sz w:val="20"/>
                <w:lang w:eastAsia="en-AU"/>
              </w:rPr>
              <w:t>This study tested the combination of single payment (as opposed to fee for service) coupled with data provision as an incentive to improve quality and reduce costs in oncology. Medical oncologists were paid a single fee, in lieu of any drug margin, to treat their patients. Chemotherapy medications were reimbursed at the average sales price, a proxy for actual cost.</w:t>
            </w:r>
          </w:p>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color w:val="000000"/>
                <w:sz w:val="20"/>
                <w:shd w:val="clear" w:color="auto" w:fill="FFFFFF"/>
              </w:rPr>
              <w:t xml:space="preserve">Five medical groups were compared with a large national payer registry of fee-for-service patients with cancer to examine the difference in cost before and after the initiation of the payment change in 2009.  The five groups treated 810 patients with breast, colon, and lung cancer using the episode payments. The actual </w:t>
            </w:r>
            <w:r w:rsidRPr="00735EA3">
              <w:rPr>
                <w:rFonts w:ascii="Calibri" w:hAnsi="Calibri" w:cs="Arial"/>
                <w:b/>
                <w:color w:val="000000"/>
                <w:sz w:val="20"/>
                <w:shd w:val="clear" w:color="auto" w:fill="FFFFFF"/>
              </w:rPr>
              <w:t>cost per episode was</w:t>
            </w:r>
            <w:r w:rsidRPr="00735EA3">
              <w:rPr>
                <w:rFonts w:ascii="Calibri" w:hAnsi="Calibri" w:cs="Arial"/>
                <w:color w:val="000000"/>
                <w:sz w:val="20"/>
                <w:shd w:val="clear" w:color="auto" w:fill="FFFFFF"/>
              </w:rPr>
              <w:t xml:space="preserve"> </w:t>
            </w:r>
            <w:r w:rsidRPr="00735EA3">
              <w:rPr>
                <w:rFonts w:ascii="Calibri" w:hAnsi="Calibri" w:cs="Arial"/>
                <w:b/>
                <w:color w:val="000000"/>
                <w:sz w:val="20"/>
                <w:shd w:val="clear" w:color="auto" w:fill="FFFFFF"/>
              </w:rPr>
              <w:t>$33,361 (34%) lower</w:t>
            </w:r>
            <w:r w:rsidRPr="00735EA3">
              <w:rPr>
                <w:rFonts w:ascii="Calibri" w:hAnsi="Calibri" w:cs="Arial"/>
                <w:color w:val="000000"/>
                <w:sz w:val="20"/>
                <w:shd w:val="clear" w:color="auto" w:fill="FFFFFF"/>
              </w:rPr>
              <w:t xml:space="preserve"> than the predicted cost ($64,760,116 vs. $98,121,388). However, the actual cost of </w:t>
            </w:r>
            <w:r w:rsidRPr="00735EA3">
              <w:rPr>
                <w:rFonts w:ascii="Calibri" w:hAnsi="Calibri" w:cs="Arial"/>
                <w:b/>
                <w:color w:val="000000"/>
                <w:sz w:val="20"/>
                <w:shd w:val="clear" w:color="auto" w:fill="FFFFFF"/>
              </w:rPr>
              <w:t xml:space="preserve">chemotherapy drugs per episode was $13,460 higher </w:t>
            </w:r>
            <w:r w:rsidRPr="00735EA3">
              <w:rPr>
                <w:rFonts w:ascii="Calibri" w:hAnsi="Calibri" w:cs="Arial"/>
                <w:color w:val="000000"/>
                <w:sz w:val="20"/>
                <w:shd w:val="clear" w:color="auto" w:fill="FFFFFF"/>
              </w:rPr>
              <w:t>($20,979,417 vs. $7,519,504).</w:t>
            </w:r>
          </w:p>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color w:val="000000"/>
                <w:sz w:val="20"/>
                <w:shd w:val="clear" w:color="auto" w:fill="FFFFFF"/>
              </w:rPr>
              <w:t>There was no difference between the groups on multiple quality measures.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rPr>
                <w:rFonts w:ascii="Calibri" w:hAnsi="Calibri" w:cs="Arial"/>
                <w:sz w:val="20"/>
                <w:szCs w:val="24"/>
                <w:lang w:eastAsia="en-AU"/>
              </w:rPr>
            </w:pPr>
            <w:r w:rsidRPr="00735EA3">
              <w:rPr>
                <w:rFonts w:ascii="Calibri" w:hAnsi="Calibri" w:cs="Arial"/>
                <w:sz w:val="20"/>
                <w:szCs w:val="24"/>
                <w:lang w:eastAsia="en-AU"/>
              </w:rPr>
              <w:t>Maryland’s Bold Experiment In Reversing Fee-For-Service Incentives</w:t>
            </w:r>
            <w:hyperlink w:anchor="_ENREF_7" w:tooltip="Murray R, 2014 #13893"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&lt;EndNote&gt;&lt;Cite&gt;&lt;Author&gt;Murray R&lt;/Author&gt;&lt;Year&gt;2014&lt;/Year&gt;&lt;RecNum&gt;13893&lt;/RecNum&gt;&lt;DisplayText&gt;&lt;style face="superscript"&gt;7&lt;/style&gt;&lt;/DisplayText&gt;&lt;record&gt;&lt;rec-number&gt;13893&lt;/rec-number&gt;&lt;foreign-keys&gt;&lt;key app="EN" db-id="5r0eapxzsestz4er5zaxe5zqz99fvpawedp5"&gt;13893&lt;/key&gt;&lt;/foreign-keys&gt;&lt;ref-type name="Blog"&gt;56&lt;/ref-type&gt;&lt;contributors&gt;&lt;authors&gt;&lt;author&gt;Murray R,&lt;/author&gt;&lt;/authors&gt;&lt;secondary-authors&gt;&lt;author&gt;Health Affairs,&lt;/author&gt;&lt;/secondary-authors&gt;&lt;/contributors&gt;&lt;titles&gt;&lt;title&gt;Maryland’s Bold Experiment In Reversing Fee-For-Service Incentives&lt;/title&gt;&lt;secondary-title&gt;Health Affairs Blog&lt;/secondary-title&gt;&lt;/titles&gt;&lt;volume&gt;2014&lt;/volume&gt;&lt;dates&gt;&lt;year&gt;2014&lt;/year&gt;&lt;/dates&gt;&lt;urls&gt;&lt;related-urls&gt;&lt;url&gt;http://healthaffairs.org/blog/2014/01/28/marylands-bold-experiment-in-reversing-fee-for-service-incentives/&lt;/url&gt;&lt;/related-urls&gt;&lt;/urls&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7</w:t>
              </w:r>
              <w:r w:rsidRPr="00735EA3">
                <w:rPr>
                  <w:rFonts w:ascii="Calibri" w:hAnsi="Calibri" w:cs="Arial"/>
                  <w:sz w:val="20"/>
                  <w:szCs w:val="24"/>
                  <w:lang w:eastAsia="en-AU"/>
                </w:rPr>
                <w:fldChar w:fldCharType="end"/>
              </w:r>
            </w:hyperlink>
            <w:r w:rsidRPr="00735EA3">
              <w:rPr>
                <w:rFonts w:ascii="Calibri" w:hAnsi="Calibri" w:cs="Arial"/>
                <w:sz w:val="20"/>
                <w:szCs w:val="24"/>
                <w:lang w:eastAsia="en-AU"/>
              </w:rPr>
              <w:t xml:space="preserve"> </w:t>
            </w:r>
          </w:p>
        </w:tc>
        <w:tc>
          <w:tcPr>
            <w:tcW w:w="1440" w:type="dxa"/>
          </w:tcPr>
          <w:p w:rsidR="005070F4" w:rsidRPr="009700D5" w:rsidRDefault="005070F4" w:rsidP="00B060E0">
            <w:pPr>
              <w:spacing w:before="20" w:after="20" w:line="264" w:lineRule="auto"/>
              <w:rPr>
                <w:rFonts w:ascii="Calibri" w:hAnsi="Calibri" w:cs="Arial"/>
                <w:sz w:val="20"/>
                <w:szCs w:val="24"/>
                <w:vertAlign w:val="superscript"/>
                <w:lang w:eastAsia="en-AU"/>
              </w:rPr>
            </w:pPr>
            <w:r w:rsidRPr="00735EA3">
              <w:rPr>
                <w:rFonts w:ascii="Calibri" w:hAnsi="Calibri" w:cs="Arial"/>
                <w:sz w:val="20"/>
                <w:szCs w:val="24"/>
                <w:lang w:eastAsia="en-AU"/>
              </w:rPr>
              <w:t>Murray R</w:t>
            </w:r>
            <w:r>
              <w:rPr>
                <w:rFonts w:ascii="Calibri" w:hAnsi="Calibri" w:cs="Arial"/>
                <w:sz w:val="20"/>
                <w:szCs w:val="24"/>
                <w:vertAlign w:val="superscript"/>
                <w:lang w:eastAsia="en-AU"/>
              </w:rPr>
              <w:t>A</w:t>
            </w:r>
          </w:p>
        </w:tc>
        <w:tc>
          <w:tcPr>
            <w:tcW w:w="1440" w:type="dxa"/>
          </w:tcPr>
          <w:p w:rsidR="005070F4" w:rsidRPr="00735EA3" w:rsidRDefault="005070F4" w:rsidP="00B060E0">
            <w:pPr>
              <w:spacing w:before="20" w:after="20" w:line="264" w:lineRule="auto"/>
              <w:rPr>
                <w:rFonts w:ascii="Calibri" w:hAnsi="Calibri" w:cs="Arial"/>
                <w:iCs/>
                <w:sz w:val="20"/>
                <w:szCs w:val="24"/>
                <w:lang w:eastAsia="en-AU"/>
              </w:rPr>
            </w:pPr>
            <w:r w:rsidRPr="00735EA3">
              <w:rPr>
                <w:rFonts w:ascii="Calibri" w:hAnsi="Calibri" w:cs="Arial"/>
                <w:sz w:val="20"/>
                <w:szCs w:val="24"/>
                <w:lang w:eastAsia="en-AU"/>
              </w:rPr>
              <w:t>Health Affairs Blog</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Commentary</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Fee-for-service (FFS)</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 (Mary-land)</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 xml:space="preserve">Hospital </w:t>
            </w:r>
          </w:p>
        </w:tc>
        <w:tc>
          <w:tcPr>
            <w:tcW w:w="11135" w:type="dxa"/>
          </w:tcPr>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color w:val="000000"/>
                <w:sz w:val="20"/>
              </w:rPr>
              <w:t xml:space="preserve">Maryland is the only </w:t>
            </w:r>
            <w:r>
              <w:rPr>
                <w:rFonts w:ascii="Calibri" w:hAnsi="Calibri" w:cs="Arial"/>
                <w:color w:val="000000"/>
                <w:sz w:val="20"/>
              </w:rPr>
              <w:t>US s</w:t>
            </w:r>
            <w:r w:rsidRPr="00735EA3">
              <w:rPr>
                <w:rFonts w:ascii="Calibri" w:hAnsi="Calibri" w:cs="Arial"/>
                <w:color w:val="000000"/>
                <w:sz w:val="20"/>
              </w:rPr>
              <w:t xml:space="preserve">tate with an </w:t>
            </w:r>
            <w:r w:rsidRPr="00735EA3">
              <w:rPr>
                <w:rFonts w:ascii="Calibri" w:hAnsi="Calibri" w:cs="Arial"/>
                <w:b/>
                <w:color w:val="000000"/>
                <w:sz w:val="20"/>
              </w:rPr>
              <w:t>all-payer hospital payment system</w:t>
            </w:r>
            <w:r w:rsidRPr="00735EA3">
              <w:rPr>
                <w:rFonts w:ascii="Calibri" w:hAnsi="Calibri" w:cs="Arial"/>
                <w:color w:val="000000"/>
                <w:sz w:val="20"/>
              </w:rPr>
              <w:t xml:space="preserve">. For nearly 4 decades, Maryland has financed its hospitals under a FFS model, and has achieved significantly lower per-case cost growth than the rest of the nation. However, while unit costs have been controlled, volumes have escalated at a higher rate than in other States. </w:t>
            </w:r>
          </w:p>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color w:val="000000"/>
                <w:sz w:val="20"/>
              </w:rPr>
              <w:t xml:space="preserve">In January 2014, CMS approved the piloting of a new funding model in Maryland, aiming to shift its hospital funding system toward population health, and the total cost of hospital care per capita. Under the terms negotiated with CMS, Maryland must transition at least 80 percent of hospital revenue to a global budget structure for suburban and urban hospitals.  </w:t>
            </w:r>
          </w:p>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color w:val="000000"/>
                <w:sz w:val="20"/>
              </w:rPr>
              <w:t xml:space="preserve">The growth in total hospital revenue will now be subject to two specific per capita constraints: </w:t>
            </w:r>
          </w:p>
          <w:p w:rsidR="005070F4" w:rsidRPr="00735EA3" w:rsidRDefault="005070F4" w:rsidP="00B060E0">
            <w:pPr>
              <w:pStyle w:val="ListParagraph"/>
              <w:autoSpaceDE w:val="0"/>
              <w:autoSpaceDN w:val="0"/>
              <w:adjustRightInd w:val="0"/>
              <w:ind w:left="360"/>
              <w:rPr>
                <w:rFonts w:ascii="Calibri" w:hAnsi="Calibri" w:cs="Arial"/>
                <w:color w:val="000000"/>
                <w:sz w:val="20"/>
              </w:rPr>
            </w:pPr>
            <w:r w:rsidRPr="00735EA3">
              <w:rPr>
                <w:rFonts w:ascii="Calibri" w:hAnsi="Calibri" w:cs="Arial"/>
                <w:color w:val="000000"/>
                <w:sz w:val="20"/>
              </w:rPr>
              <w:t>1. limitation on per capita hospital charge growth to a fixed 3.58 percent annually, reflecting the ten-year average annual growth in Maryland’s Gross State Product (GSP)</w:t>
            </w:r>
            <w:r>
              <w:rPr>
                <w:rFonts w:ascii="Calibri" w:hAnsi="Calibri" w:cs="Arial"/>
                <w:color w:val="000000"/>
                <w:sz w:val="20"/>
              </w:rPr>
              <w:t>.</w:t>
            </w:r>
          </w:p>
          <w:p w:rsidR="005070F4" w:rsidRPr="00735EA3" w:rsidRDefault="005070F4" w:rsidP="00B060E0">
            <w:pPr>
              <w:pStyle w:val="ListParagraph"/>
              <w:autoSpaceDE w:val="0"/>
              <w:autoSpaceDN w:val="0"/>
              <w:adjustRightInd w:val="0"/>
              <w:ind w:left="360"/>
              <w:rPr>
                <w:rFonts w:ascii="Calibri" w:hAnsi="Calibri" w:cs="Arial"/>
                <w:color w:val="000000"/>
                <w:sz w:val="20"/>
              </w:rPr>
            </w:pPr>
            <w:r w:rsidRPr="00735EA3">
              <w:rPr>
                <w:rFonts w:ascii="Calibri" w:hAnsi="Calibri" w:cs="Arial"/>
                <w:color w:val="000000"/>
                <w:sz w:val="20"/>
              </w:rPr>
              <w:t>2. limitation on the growth in hospital expenditures per Medicare FFS beneficiary to the national rate of growth, less enough to generate cumulative Medicare savings of at least $330 million over the five-year Model.</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Maryland, with its powerful all-payer rate-setting authority, has a mechanism to achieve this result on a sustained basis. It will test the ability of all-payer hospital population-based payment models to reduce hospital expenditures while maintaining or improving the quality of care.</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rPr>
                <w:rFonts w:ascii="Calibri" w:hAnsi="Calibri" w:cs="Arial"/>
                <w:sz w:val="20"/>
                <w:szCs w:val="24"/>
                <w:lang w:eastAsia="en-AU"/>
              </w:rPr>
            </w:pPr>
            <w:r w:rsidRPr="00735EA3">
              <w:rPr>
                <w:rFonts w:ascii="Calibri" w:hAnsi="Calibri" w:cs="Arial"/>
                <w:sz w:val="20"/>
                <w:szCs w:val="24"/>
                <w:lang w:eastAsia="en-AU"/>
              </w:rPr>
              <w:t>United States: Maryland hospital acquired conditions programme</w:t>
            </w:r>
            <w:hyperlink w:anchor="_ENREF_8" w:tooltip="Murray R, 2014 #13902"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&lt;EndNote&gt;&lt;Cite&gt;&lt;Author&gt;Murray R&lt;/Author&gt;&lt;Year&gt;2014&lt;/Year&gt;&lt;RecNum&gt;13902&lt;/RecNum&gt;&lt;DisplayText&gt;&lt;style face="superscript"&gt;8&lt;/style&gt;&lt;/DisplayText&gt;&lt;record&gt;&lt;rec-number&gt;13902&lt;/rec-number&gt;&lt;foreign-keys&gt;&lt;key app="EN" db-id="5r0eapxzsestz4er5zaxe5zqz99fvpawedp5"&gt;13902&lt;/key&gt;&lt;/foreign-keys&gt;&lt;ref-type name="Book Section"&gt;5&lt;/ref-type&gt;&lt;contributors&gt;&lt;authors&gt;&lt;author&gt;Murray R,&lt;/author&gt;&lt;/authors&gt;&lt;secondary-authors&gt;&lt;author&gt;Cashin C,&lt;/author&gt;&lt;author&gt;Chi Y,&lt;/author&gt;&lt;author&gt;Smith P,&lt;/author&gt;&lt;author&gt;Borowitz M,&lt;/author&gt;&lt;author&gt;Thomson S,&lt;/author&gt;&lt;/secondary-authors&gt;&lt;/contributors&gt;&lt;titles&gt;&lt;title&gt;United States: Maryland hospital acquired conditions programme&lt;/title&gt;&lt;secondary-title&gt;Paying for Performance in Health Care&lt;/secondary-title&gt;&lt;/titles&gt;&lt;pages&gt;265-285&lt;/pages&gt;&lt;section&gt;16&lt;/section&gt;&lt;dates&gt;&lt;year&gt;2014&lt;/year&gt;&lt;/dates&gt;&lt;pub-location&gt;Berkshire, England&lt;/pub-location&gt;&lt;publisher&gt;McGraw Hill&lt;/publisher&gt;&lt;urls&gt;&lt;/urls&gt;&lt;/record&gt;&lt;/Cite&gt;&lt;/EndNote&gt;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8</w:t>
              </w:r>
              <w:r w:rsidRPr="00735EA3">
                <w:rPr>
                  <w:rFonts w:ascii="Calibri" w:hAnsi="Calibri" w:cs="Arial"/>
                  <w:sz w:val="20"/>
                  <w:szCs w:val="24"/>
                  <w:lang w:eastAsia="en-AU"/>
                </w:rPr>
                <w:fldChar w:fldCharType="end"/>
              </w:r>
            </w:hyperlink>
          </w:p>
        </w:tc>
        <w:tc>
          <w:tcPr>
            <w:tcW w:w="1440" w:type="dxa"/>
          </w:tcPr>
          <w:p w:rsidR="005070F4" w:rsidRPr="009700D5" w:rsidRDefault="005070F4" w:rsidP="00B060E0">
            <w:pPr>
              <w:spacing w:before="20" w:after="20" w:line="264" w:lineRule="auto"/>
              <w:rPr>
                <w:rFonts w:ascii="Calibri" w:hAnsi="Calibri" w:cs="Arial"/>
                <w:sz w:val="20"/>
                <w:szCs w:val="24"/>
                <w:vertAlign w:val="superscript"/>
                <w:lang w:eastAsia="en-AU"/>
              </w:rPr>
            </w:pPr>
            <w:r w:rsidRPr="00735EA3">
              <w:rPr>
                <w:rFonts w:ascii="Calibri" w:hAnsi="Calibri" w:cs="Arial"/>
                <w:sz w:val="20"/>
                <w:szCs w:val="24"/>
                <w:lang w:eastAsia="en-AU"/>
              </w:rPr>
              <w:t>Murray R</w:t>
            </w:r>
            <w:r>
              <w:rPr>
                <w:rFonts w:ascii="Calibri" w:hAnsi="Calibri" w:cs="Arial"/>
                <w:sz w:val="20"/>
                <w:szCs w:val="24"/>
                <w:vertAlign w:val="superscript"/>
                <w:lang w:eastAsia="en-AU"/>
              </w:rPr>
              <w:t>B</w:t>
            </w:r>
          </w:p>
        </w:tc>
        <w:tc>
          <w:tcPr>
            <w:tcW w:w="1440" w:type="dxa"/>
          </w:tcPr>
          <w:p w:rsidR="005070F4" w:rsidRPr="00735EA3" w:rsidRDefault="005070F4" w:rsidP="00B060E0">
            <w:pPr>
              <w:spacing w:before="20" w:after="20" w:line="264" w:lineRule="auto"/>
              <w:rPr>
                <w:rFonts w:ascii="Calibri" w:hAnsi="Calibri" w:cs="Arial"/>
                <w:sz w:val="20"/>
                <w:szCs w:val="24"/>
                <w:lang w:eastAsia="en-AU"/>
              </w:rPr>
            </w:pPr>
            <w:r w:rsidRPr="00735EA3">
              <w:rPr>
                <w:rFonts w:ascii="Calibri" w:hAnsi="Calibri" w:cs="Arial"/>
                <w:sz w:val="20"/>
                <w:szCs w:val="24"/>
                <w:lang w:eastAsia="en-AU"/>
              </w:rPr>
              <w:t xml:space="preserve">Cashin C, Chi Y et al, (eds.) </w:t>
            </w:r>
            <w:r w:rsidRPr="00735EA3">
              <w:rPr>
                <w:rFonts w:ascii="Calibri" w:hAnsi="Calibri" w:cs="Arial"/>
                <w:i/>
                <w:iCs/>
                <w:sz w:val="20"/>
                <w:szCs w:val="24"/>
                <w:lang w:eastAsia="en-AU"/>
              </w:rPr>
              <w:t>Paying for Perfor-mance in Health Care</w:t>
            </w:r>
            <w:r w:rsidRPr="00735EA3">
              <w:rPr>
                <w:rFonts w:ascii="Calibri" w:hAnsi="Calibri" w:cs="Arial"/>
                <w:sz w:val="20"/>
                <w:szCs w:val="24"/>
                <w:lang w:eastAsia="en-AU"/>
              </w:rPr>
              <w:t>.</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Review</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color w:val="000000"/>
                <w:sz w:val="20"/>
                <w:szCs w:val="21"/>
                <w:lang w:eastAsia="en-AU"/>
              </w:rPr>
              <w:t>Tournament-based</w:t>
            </w:r>
            <w:r w:rsidRPr="00735EA3">
              <w:rPr>
                <w:rFonts w:ascii="Calibri" w:hAnsi="Calibri" w:cs="Arial"/>
                <w:i/>
                <w:color w:val="000000"/>
                <w:sz w:val="20"/>
                <w:szCs w:val="21"/>
                <w:lang w:eastAsia="en-AU"/>
              </w:rPr>
              <w:t xml:space="preserve">  </w:t>
            </w:r>
            <w:r w:rsidRPr="00735EA3">
              <w:rPr>
                <w:rFonts w:ascii="Calibri" w:hAnsi="Calibri" w:cs="Arial"/>
                <w:sz w:val="20"/>
                <w:lang w:eastAsia="en-AU"/>
              </w:rPr>
              <w:t xml:space="preserve">P4P </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 (Mary-land)</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 xml:space="preserve">Hospital </w:t>
            </w:r>
          </w:p>
        </w:tc>
        <w:tc>
          <w:tcPr>
            <w:tcW w:w="11135" w:type="dxa"/>
          </w:tcPr>
          <w:p w:rsidR="005070F4" w:rsidRPr="00735EA3" w:rsidRDefault="005070F4" w:rsidP="00B060E0">
            <w:pPr>
              <w:autoSpaceDE w:val="0"/>
              <w:autoSpaceDN w:val="0"/>
              <w:adjustRightInd w:val="0"/>
              <w:rPr>
                <w:rFonts w:ascii="Calibri" w:hAnsi="Calibri" w:cs="Arial"/>
                <w:i/>
                <w:color w:val="000000"/>
                <w:sz w:val="20"/>
              </w:rPr>
            </w:pPr>
            <w:r>
              <w:rPr>
                <w:rFonts w:ascii="Calibri" w:hAnsi="Calibri" w:cs="Arial"/>
                <w:i/>
                <w:color w:val="000000"/>
                <w:sz w:val="20"/>
              </w:rPr>
              <w:t>Also reported to JWP in 2013</w:t>
            </w:r>
            <w:r w:rsidRPr="00735EA3">
              <w:rPr>
                <w:rFonts w:ascii="Calibri" w:hAnsi="Calibri" w:cs="Arial"/>
                <w:i/>
                <w:color w:val="000000"/>
                <w:sz w:val="20"/>
              </w:rPr>
              <w:t xml:space="preserve"> – see Item 9.</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 xml:space="preserve">In 2009 Maryland instituted a </w:t>
            </w:r>
            <w:r w:rsidRPr="00735EA3">
              <w:rPr>
                <w:rFonts w:ascii="Calibri" w:hAnsi="Calibri" w:cs="Arial"/>
                <w:b/>
                <w:color w:val="000000"/>
                <w:sz w:val="20"/>
              </w:rPr>
              <w:t xml:space="preserve">Hospital Acquired Conditions </w:t>
            </w:r>
            <w:r w:rsidRPr="00735EA3">
              <w:rPr>
                <w:rFonts w:ascii="Calibri" w:hAnsi="Calibri" w:cs="Arial"/>
                <w:color w:val="000000"/>
                <w:sz w:val="20"/>
              </w:rPr>
              <w:t>(</w:t>
            </w:r>
            <w:r w:rsidRPr="00735EA3">
              <w:rPr>
                <w:rFonts w:ascii="Calibri" w:hAnsi="Calibri" w:cs="Arial"/>
                <w:b/>
                <w:color w:val="000000"/>
                <w:sz w:val="20"/>
              </w:rPr>
              <w:t>MHAC</w:t>
            </w:r>
            <w:r w:rsidRPr="00735EA3">
              <w:rPr>
                <w:rFonts w:ascii="Calibri" w:hAnsi="Calibri" w:cs="Arial"/>
                <w:color w:val="000000"/>
                <w:sz w:val="20"/>
              </w:rPr>
              <w:t xml:space="preserve">) program linking remuneration of its 46 acute care facilities to performance on a set of </w:t>
            </w:r>
            <w:r w:rsidRPr="00735EA3">
              <w:rPr>
                <w:rFonts w:ascii="Calibri" w:hAnsi="Calibri" w:cs="Arial"/>
                <w:b/>
                <w:color w:val="000000"/>
                <w:sz w:val="20"/>
              </w:rPr>
              <w:t xml:space="preserve">49 potentially preventable </w:t>
            </w:r>
            <w:r w:rsidRPr="00735EA3">
              <w:rPr>
                <w:rFonts w:ascii="Calibri" w:hAnsi="Calibri" w:cs="Arial"/>
                <w:color w:val="000000"/>
                <w:sz w:val="20"/>
              </w:rPr>
              <w:t>complications (a subset of the 64 potentially preventable complications )PPCs) developed by CMS) derived from administrative data (which permits up to 30 secondary diagnoses per admission) using a ‘present on admission’ indicator.</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 xml:space="preserve">The 49 complications are not condition- or procedure-specific (i.e. they can occur in any type of patient). They correlate reasonably well with the Australian national set of hospital complications developed through the JWP. </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 xml:space="preserve">MHAC measures rates of </w:t>
            </w:r>
            <w:r w:rsidRPr="00735EA3">
              <w:rPr>
                <w:rFonts w:ascii="Calibri" w:hAnsi="Calibri" w:cs="Arial"/>
                <w:b/>
                <w:color w:val="000000"/>
                <w:sz w:val="20"/>
              </w:rPr>
              <w:t>actual versus expected</w:t>
            </w:r>
            <w:r w:rsidRPr="00735EA3">
              <w:rPr>
                <w:rFonts w:ascii="Calibri" w:hAnsi="Calibri" w:cs="Arial"/>
                <w:color w:val="000000"/>
                <w:sz w:val="20"/>
              </w:rPr>
              <w:t xml:space="preserve"> complications, calculated according to hospitals’ casemix (interestingly, clinicians and managers preferred this method to the ‘DRG payment denial’ approach of the CMS; stakeholders reportedly have confidence in the casemix-adjustment method of Maryland authorities). The scheme is also revenue-neutral, apportioning rewards/penalties in a tournament-type arrangement. </w:t>
            </w:r>
            <w:r w:rsidRPr="00735EA3">
              <w:rPr>
                <w:rFonts w:ascii="Calibri" w:hAnsi="Calibri" w:cs="Arial"/>
                <w:b/>
                <w:color w:val="000000"/>
                <w:sz w:val="20"/>
              </w:rPr>
              <w:t>USD21M</w:t>
            </w:r>
            <w:r w:rsidRPr="00735EA3">
              <w:rPr>
                <w:rFonts w:ascii="Calibri" w:hAnsi="Calibri" w:cs="Arial"/>
                <w:color w:val="000000"/>
                <w:sz w:val="20"/>
              </w:rPr>
              <w:t xml:space="preserve"> was reallocated in in 2011. </w:t>
            </w:r>
            <w:r w:rsidRPr="00735EA3">
              <w:rPr>
                <w:rFonts w:ascii="Calibri" w:hAnsi="Calibri" w:cs="Arial"/>
                <w:b/>
                <w:color w:val="000000"/>
                <w:sz w:val="20"/>
              </w:rPr>
              <w:t>Performance data</w:t>
            </w:r>
            <w:r w:rsidRPr="00735EA3">
              <w:rPr>
                <w:rFonts w:ascii="Calibri" w:hAnsi="Calibri" w:cs="Arial"/>
                <w:color w:val="000000"/>
                <w:sz w:val="20"/>
              </w:rPr>
              <w:t xml:space="preserve"> is provided to hospitals </w:t>
            </w:r>
            <w:r w:rsidRPr="00735EA3">
              <w:rPr>
                <w:rFonts w:ascii="Calibri" w:hAnsi="Calibri" w:cs="Arial"/>
                <w:b/>
                <w:color w:val="000000"/>
                <w:sz w:val="20"/>
              </w:rPr>
              <w:t>quarterly</w:t>
            </w:r>
            <w:r w:rsidRPr="00735EA3">
              <w:rPr>
                <w:rFonts w:ascii="Calibri" w:hAnsi="Calibri" w:cs="Arial"/>
                <w:color w:val="000000"/>
                <w:sz w:val="20"/>
              </w:rPr>
              <w:t xml:space="preserve"> with a 60-day lag. </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 xml:space="preserve">Over the first 2 years, complication rates </w:t>
            </w:r>
            <w:r w:rsidRPr="00735EA3">
              <w:rPr>
                <w:rFonts w:ascii="Calibri" w:hAnsi="Calibri" w:cs="Arial"/>
                <w:b/>
                <w:color w:val="000000"/>
                <w:sz w:val="20"/>
              </w:rPr>
              <w:t>declined by 15% (</w:t>
            </w:r>
            <w:r w:rsidRPr="00735EA3">
              <w:rPr>
                <w:rFonts w:ascii="Calibri" w:hAnsi="Calibri" w:cs="Arial"/>
                <w:color w:val="000000"/>
                <w:sz w:val="20"/>
              </w:rPr>
              <w:t xml:space="preserve">resulting </w:t>
            </w:r>
            <w:r>
              <w:rPr>
                <w:rFonts w:ascii="Calibri" w:hAnsi="Calibri" w:cs="Arial"/>
                <w:color w:val="000000"/>
                <w:sz w:val="20"/>
              </w:rPr>
              <w:t>i</w:t>
            </w:r>
            <w:r w:rsidRPr="00735EA3">
              <w:rPr>
                <w:rFonts w:ascii="Calibri" w:hAnsi="Calibri" w:cs="Arial"/>
                <w:color w:val="000000"/>
                <w:sz w:val="20"/>
              </w:rPr>
              <w:t xml:space="preserve">n USD111M in savings). The largest decline was in infection-related HACs. </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 xml:space="preserve">In parallel, Maryland developed the </w:t>
            </w:r>
            <w:r w:rsidRPr="00735EA3">
              <w:rPr>
                <w:rFonts w:ascii="Calibri" w:hAnsi="Calibri" w:cs="Arial"/>
                <w:b/>
                <w:color w:val="000000"/>
                <w:sz w:val="20"/>
              </w:rPr>
              <w:t>Quality Based Reimbursement</w:t>
            </w:r>
            <w:r w:rsidRPr="00735EA3">
              <w:rPr>
                <w:rFonts w:ascii="Calibri" w:hAnsi="Calibri" w:cs="Arial"/>
                <w:color w:val="000000"/>
                <w:sz w:val="20"/>
              </w:rPr>
              <w:t xml:space="preserve"> (</w:t>
            </w:r>
            <w:r w:rsidRPr="00735EA3">
              <w:rPr>
                <w:rFonts w:ascii="Calibri" w:hAnsi="Calibri" w:cs="Arial"/>
                <w:b/>
                <w:color w:val="000000"/>
                <w:sz w:val="20"/>
              </w:rPr>
              <w:t>QBR</w:t>
            </w:r>
            <w:r w:rsidRPr="00735EA3">
              <w:rPr>
                <w:rFonts w:ascii="Calibri" w:hAnsi="Calibri" w:cs="Arial"/>
                <w:color w:val="000000"/>
                <w:sz w:val="20"/>
              </w:rPr>
              <w:t xml:space="preserve">) program, which financially rewards/penalties based on hospitals’ performance against </w:t>
            </w:r>
            <w:r w:rsidRPr="00735EA3">
              <w:rPr>
                <w:rFonts w:ascii="Calibri" w:hAnsi="Calibri" w:cs="Arial"/>
                <w:b/>
                <w:color w:val="000000"/>
                <w:sz w:val="20"/>
              </w:rPr>
              <w:t>measures of processes of care</w:t>
            </w:r>
            <w:r w:rsidRPr="00735EA3">
              <w:rPr>
                <w:rFonts w:ascii="Calibri" w:hAnsi="Calibri" w:cs="Arial"/>
                <w:color w:val="000000"/>
                <w:sz w:val="20"/>
              </w:rPr>
              <w:t xml:space="preserve"> for AMI, heart failure, pneumonia and SSI prevention. Under the QBR money is redistributed from poorly- to well-performing hospitals in a revenue neutral manner. 0.5% of revenue is lost by the worst performer. In 2012, USD$7.5M was reallocated. While there was overall improvement in adherence to processes of care, no evidence regarding impact on patient outcomes is reported.</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 xml:space="preserve">The key differences are (a) MHAC focuses on </w:t>
            </w:r>
            <w:r w:rsidRPr="00735EA3">
              <w:rPr>
                <w:rFonts w:ascii="Calibri" w:hAnsi="Calibri" w:cs="Arial"/>
                <w:b/>
                <w:color w:val="000000"/>
                <w:sz w:val="20"/>
              </w:rPr>
              <w:t>outcomes</w:t>
            </w:r>
            <w:r w:rsidRPr="00735EA3">
              <w:rPr>
                <w:rFonts w:ascii="Calibri" w:hAnsi="Calibri" w:cs="Arial"/>
                <w:color w:val="000000"/>
                <w:sz w:val="20"/>
              </w:rPr>
              <w:t xml:space="preserve"> (i.e. complications) in all types of patients, (b) QBR measures </w:t>
            </w:r>
            <w:r w:rsidRPr="00735EA3">
              <w:rPr>
                <w:rFonts w:ascii="Calibri" w:hAnsi="Calibri" w:cs="Arial"/>
                <w:b/>
                <w:color w:val="000000"/>
                <w:sz w:val="20"/>
              </w:rPr>
              <w:t>adherence to</w:t>
            </w:r>
            <w:r w:rsidRPr="00735EA3">
              <w:rPr>
                <w:rFonts w:ascii="Calibri" w:hAnsi="Calibri" w:cs="Arial"/>
                <w:color w:val="000000"/>
                <w:sz w:val="20"/>
              </w:rPr>
              <w:t xml:space="preserve"> </w:t>
            </w:r>
            <w:r w:rsidRPr="00735EA3">
              <w:rPr>
                <w:rFonts w:ascii="Calibri" w:hAnsi="Calibri" w:cs="Arial"/>
                <w:b/>
                <w:color w:val="000000"/>
                <w:sz w:val="20"/>
              </w:rPr>
              <w:t>processes</w:t>
            </w:r>
            <w:r w:rsidRPr="00735EA3">
              <w:rPr>
                <w:rFonts w:ascii="Calibri" w:hAnsi="Calibri" w:cs="Arial"/>
                <w:color w:val="000000"/>
                <w:sz w:val="20"/>
              </w:rPr>
              <w:t xml:space="preserve"> for a specified set of procedures / conditions. Both were based on the larger, federal schemes implemented by CMS. </w:t>
            </w:r>
          </w:p>
          <w:p w:rsidR="005070F4" w:rsidRPr="00735EA3" w:rsidRDefault="005070F4" w:rsidP="005070F4">
            <w:pPr>
              <w:pStyle w:val="ListParagraph"/>
              <w:numPr>
                <w:ilvl w:val="0"/>
                <w:numId w:val="45"/>
              </w:numPr>
              <w:autoSpaceDE w:val="0"/>
              <w:autoSpaceDN w:val="0"/>
              <w:adjustRightInd w:val="0"/>
              <w:rPr>
                <w:rFonts w:ascii="Calibri" w:hAnsi="Calibri" w:cs="Arial"/>
                <w:color w:val="000000"/>
                <w:sz w:val="20"/>
              </w:rPr>
            </w:pPr>
            <w:r w:rsidRPr="00735EA3">
              <w:rPr>
                <w:rFonts w:ascii="Calibri" w:hAnsi="Calibri" w:cs="Arial"/>
                <w:color w:val="000000"/>
                <w:sz w:val="20"/>
              </w:rPr>
              <w:t>The success factors of MHAC can be summarised thus:</w:t>
            </w:r>
          </w:p>
          <w:p w:rsidR="005070F4" w:rsidRPr="00735EA3" w:rsidRDefault="005070F4" w:rsidP="005070F4">
            <w:pPr>
              <w:pStyle w:val="ListParagraph"/>
              <w:numPr>
                <w:ilvl w:val="1"/>
                <w:numId w:val="45"/>
              </w:numPr>
              <w:autoSpaceDE w:val="0"/>
              <w:autoSpaceDN w:val="0"/>
              <w:adjustRightInd w:val="0"/>
              <w:rPr>
                <w:rFonts w:ascii="Calibri" w:hAnsi="Calibri" w:cs="Arial"/>
                <w:b/>
                <w:color w:val="000000"/>
                <w:sz w:val="20"/>
              </w:rPr>
            </w:pPr>
            <w:r w:rsidRPr="00735EA3">
              <w:rPr>
                <w:rFonts w:ascii="Calibri" w:hAnsi="Calibri" w:cs="Arial"/>
                <w:b/>
                <w:color w:val="000000"/>
                <w:sz w:val="20"/>
              </w:rPr>
              <w:t>The inclusive and deliberative process in which it was developed</w:t>
            </w:r>
            <w:r>
              <w:rPr>
                <w:rFonts w:ascii="Calibri" w:hAnsi="Calibri" w:cs="Arial"/>
                <w:b/>
                <w:color w:val="000000"/>
                <w:sz w:val="20"/>
              </w:rPr>
              <w:t>.</w:t>
            </w:r>
          </w:p>
          <w:p w:rsidR="005070F4" w:rsidRPr="00735EA3" w:rsidRDefault="005070F4" w:rsidP="005070F4">
            <w:pPr>
              <w:pStyle w:val="ListParagraph"/>
              <w:numPr>
                <w:ilvl w:val="1"/>
                <w:numId w:val="45"/>
              </w:numPr>
              <w:autoSpaceDE w:val="0"/>
              <w:autoSpaceDN w:val="0"/>
              <w:adjustRightInd w:val="0"/>
              <w:rPr>
                <w:rFonts w:ascii="Calibri" w:hAnsi="Calibri" w:cs="Arial"/>
                <w:b/>
                <w:color w:val="000000"/>
                <w:sz w:val="20"/>
              </w:rPr>
            </w:pPr>
            <w:r w:rsidRPr="00735EA3">
              <w:rPr>
                <w:rFonts w:ascii="Calibri" w:hAnsi="Calibri" w:cs="Arial"/>
                <w:b/>
                <w:color w:val="000000"/>
                <w:sz w:val="20"/>
              </w:rPr>
              <w:t xml:space="preserve">Its broad scope: </w:t>
            </w:r>
            <w:r w:rsidRPr="00735EA3">
              <w:rPr>
                <w:rFonts w:ascii="Calibri" w:hAnsi="Calibri" w:cs="Arial"/>
                <w:color w:val="000000"/>
                <w:sz w:val="20"/>
              </w:rPr>
              <w:t>minimised unintended consequences such as misallocation of resources towards the conditions/procedures measured.</w:t>
            </w:r>
          </w:p>
          <w:p w:rsidR="005070F4" w:rsidRPr="00735EA3" w:rsidRDefault="005070F4" w:rsidP="005070F4">
            <w:pPr>
              <w:pStyle w:val="ListParagraph"/>
              <w:numPr>
                <w:ilvl w:val="1"/>
                <w:numId w:val="45"/>
              </w:numPr>
              <w:autoSpaceDE w:val="0"/>
              <w:autoSpaceDN w:val="0"/>
              <w:adjustRightInd w:val="0"/>
              <w:rPr>
                <w:rFonts w:ascii="Calibri" w:hAnsi="Calibri" w:cs="Arial"/>
                <w:color w:val="000000"/>
                <w:sz w:val="20"/>
              </w:rPr>
            </w:pPr>
            <w:r w:rsidRPr="00735EA3">
              <w:rPr>
                <w:rFonts w:ascii="Calibri" w:hAnsi="Calibri" w:cs="Arial"/>
                <w:b/>
                <w:color w:val="000000"/>
                <w:sz w:val="20"/>
              </w:rPr>
              <w:t>The provision of quarterly performance data to hospitals.</w:t>
            </w:r>
          </w:p>
          <w:p w:rsidR="005070F4" w:rsidRPr="00735EA3" w:rsidRDefault="005070F4" w:rsidP="005070F4">
            <w:pPr>
              <w:pStyle w:val="ListParagraph"/>
              <w:numPr>
                <w:ilvl w:val="1"/>
                <w:numId w:val="45"/>
              </w:numPr>
              <w:autoSpaceDE w:val="0"/>
              <w:autoSpaceDN w:val="0"/>
              <w:adjustRightInd w:val="0"/>
              <w:rPr>
                <w:rFonts w:ascii="Calibri" w:hAnsi="Calibri" w:cs="Arial"/>
                <w:color w:val="000000"/>
                <w:sz w:val="20"/>
              </w:rPr>
            </w:pPr>
            <w:r w:rsidRPr="00735EA3">
              <w:rPr>
                <w:rFonts w:ascii="Calibri" w:hAnsi="Calibri" w:cs="Arial"/>
                <w:b/>
                <w:color w:val="000000"/>
                <w:sz w:val="20"/>
              </w:rPr>
              <w:t>Strong institutional foundations</w:t>
            </w:r>
            <w:r w:rsidRPr="00735EA3">
              <w:rPr>
                <w:rFonts w:ascii="Calibri" w:hAnsi="Calibri" w:cs="Arial"/>
                <w:color w:val="000000"/>
                <w:sz w:val="20"/>
              </w:rPr>
              <w:t>: data infrastructure and stakeholder trust in processes and methods.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082B44" w:rsidRDefault="005070F4" w:rsidP="00B060E0">
            <w:pPr>
              <w:spacing w:before="20" w:after="20" w:line="264" w:lineRule="auto"/>
              <w:rPr>
                <w:rFonts w:ascii="Calibri" w:hAnsi="Calibri" w:cs="Arial"/>
                <w:i/>
                <w:sz w:val="20"/>
                <w:szCs w:val="21"/>
                <w:vertAlign w:val="superscript"/>
                <w:lang w:eastAsia="en-AU"/>
              </w:rPr>
            </w:pPr>
            <w:r w:rsidRPr="00082B44">
              <w:rPr>
                <w:rFonts w:ascii="Calibri" w:hAnsi="Calibri" w:cs="Arial"/>
                <w:i/>
                <w:sz w:val="20"/>
                <w:szCs w:val="21"/>
                <w:lang w:eastAsia="en-AU"/>
              </w:rPr>
              <w:t xml:space="preserve">Hospital Pay-For-Performance Programs In Maryland Produced Strong Results, Including Reduced Hospital-Acquired Conditions (2012) </w:t>
            </w:r>
            <w:hyperlink w:anchor="_ENREF_9" w:tooltip="Calikoglu, 2012 #13360" w:history="1">
              <w:r w:rsidRPr="00082B44">
                <w:rPr>
                  <w:rFonts w:ascii="Calibri" w:hAnsi="Calibri" w:cs="Arial"/>
                  <w:i/>
                  <w:sz w:val="20"/>
                  <w:szCs w:val="21"/>
                  <w:lang w:eastAsia="en-AU"/>
                </w:rPr>
                <w:fldChar w:fldCharType="begin"/>
              </w:r>
              <w:r w:rsidRPr="00082B44">
                <w:rPr>
                  <w:rFonts w:ascii="Calibri" w:hAnsi="Calibri" w:cs="Arial"/>
                  <w:i/>
                  <w:sz w:val="20"/>
                  <w:szCs w:val="21"/>
                  <w:lang w:eastAsia="en-AU"/>
                </w:rPr>
                <w:instrText xml:space="preserve"> ADDIN EN.CITE &lt;EndNote&gt;&lt;Cite&gt;&lt;Author&gt;Calikoglu&lt;/Author&gt;&lt;Year&gt;2012&lt;/Year&gt;&lt;RecNum&gt;13360&lt;/RecNum&gt;&lt;DisplayText&gt;&lt;style face="superscript"&gt;9&lt;/style&gt;&lt;/DisplayText&gt;&lt;record&gt;&lt;rec-number&gt;13360&lt;/rec-number&gt;&lt;foreign-keys&gt;&lt;key app="EN" db-id="5r0eapxzsestz4er5zaxe5zqz99fvpawedp5"&gt;13360&lt;/key&gt;&lt;/foreign-keys&gt;&lt;ref-type name="Journal Article"&gt;17&lt;/ref-type&gt;&lt;contributors&gt;&lt;authors&gt;&lt;author&gt;Calikoglu, Sule&lt;/author&gt;&lt;author&gt;Murray, Robert&lt;/author&gt;&lt;author&gt;Feeney, Dianne&lt;/author&gt;&lt;/authors&gt;&lt;/contributors&gt;&lt;titles&gt;&lt;title&gt;Hospital Pay-For-Performance Programs In Maryland Produced Strong Results, Including Reduced Hospital-Acquired Conditions&lt;/title&gt;&lt;secondary-title&gt;Health Affairs&lt;/secondary-title&gt;&lt;/titles&gt;&lt;periodical&gt;&lt;full-title&gt;Health Affairs&lt;/full-title&gt;&lt;/periodical&gt;&lt;pages&gt;2649-2658&lt;/pages&gt;&lt;volume&gt;31&lt;/volume&gt;&lt;number&gt;12&lt;/number&gt;&lt;dates&gt;&lt;year&gt;2012&lt;/year&gt;&lt;pub-dates&gt;&lt;date&gt;December 1, 2012&lt;/date&gt;&lt;/pub-dates&gt;&lt;/dates&gt;&lt;urls&gt;&lt;related-urls&gt;&lt;url&gt;http://content.healthaffairs.org/content/31/12/2649.abstract&lt;/url&gt;&lt;/related-urls&gt;&lt;/urls&gt;&lt;electronic-resource-num&gt;10.1377/hlthaff.2012.0357&lt;/electronic-resource-num&gt;&lt;/record&gt;&lt;/Cite&gt;&lt;/EndNote&gt;</w:instrText>
              </w:r>
              <w:r w:rsidRPr="00082B44">
                <w:rPr>
                  <w:rFonts w:ascii="Calibri" w:hAnsi="Calibri" w:cs="Arial"/>
                  <w:i/>
                  <w:sz w:val="20"/>
                  <w:szCs w:val="21"/>
                  <w:lang w:eastAsia="en-AU"/>
                </w:rPr>
                <w:fldChar w:fldCharType="separate"/>
              </w:r>
              <w:r w:rsidRPr="00082B44">
                <w:rPr>
                  <w:rFonts w:ascii="Calibri" w:hAnsi="Calibri" w:cs="Arial"/>
                  <w:i/>
                  <w:noProof/>
                  <w:sz w:val="20"/>
                  <w:szCs w:val="21"/>
                  <w:vertAlign w:val="superscript"/>
                  <w:lang w:eastAsia="en-AU"/>
                </w:rPr>
                <w:t>9</w:t>
              </w:r>
              <w:r w:rsidRPr="00082B44">
                <w:rPr>
                  <w:rFonts w:ascii="Calibri" w:hAnsi="Calibri" w:cs="Arial"/>
                  <w:i/>
                  <w:sz w:val="20"/>
                  <w:szCs w:val="21"/>
                  <w:lang w:eastAsia="en-AU"/>
                </w:rPr>
                <w:fldChar w:fldCharType="end"/>
              </w:r>
            </w:hyperlink>
          </w:p>
        </w:tc>
        <w:tc>
          <w:tcPr>
            <w:tcW w:w="1440" w:type="dxa"/>
          </w:tcPr>
          <w:p w:rsidR="005070F4" w:rsidRPr="00082B44" w:rsidRDefault="005070F4" w:rsidP="00B060E0">
            <w:pPr>
              <w:spacing w:before="20" w:after="20" w:line="264" w:lineRule="auto"/>
              <w:rPr>
                <w:rFonts w:ascii="Calibri" w:hAnsi="Calibri" w:cs="Arial"/>
                <w:i/>
                <w:sz w:val="20"/>
                <w:szCs w:val="21"/>
                <w:lang w:eastAsia="en-AU"/>
              </w:rPr>
            </w:pPr>
            <w:r w:rsidRPr="00082B44">
              <w:rPr>
                <w:rFonts w:ascii="Calibri" w:hAnsi="Calibri" w:cs="Arial"/>
                <w:i/>
                <w:sz w:val="20"/>
                <w:szCs w:val="21"/>
                <w:lang w:eastAsia="en-AU"/>
              </w:rPr>
              <w:t>Calikoglu S Murray R Feeney D</w:t>
            </w:r>
          </w:p>
        </w:tc>
        <w:tc>
          <w:tcPr>
            <w:tcW w:w="1440" w:type="dxa"/>
          </w:tcPr>
          <w:p w:rsidR="005070F4" w:rsidRPr="00082B44" w:rsidRDefault="005070F4" w:rsidP="00B060E0">
            <w:pPr>
              <w:spacing w:before="20" w:after="20"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Health Affairs</w:t>
            </w:r>
          </w:p>
        </w:tc>
        <w:tc>
          <w:tcPr>
            <w:tcW w:w="1800" w:type="dxa"/>
          </w:tcPr>
          <w:p w:rsidR="005070F4" w:rsidRPr="00082B44" w:rsidRDefault="005070F4" w:rsidP="00B060E0">
            <w:pPr>
              <w:spacing w:before="20" w:after="20"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 xml:space="preserve">Before-after comparison  </w:t>
            </w:r>
          </w:p>
        </w:tc>
        <w:tc>
          <w:tcPr>
            <w:tcW w:w="1800" w:type="dxa"/>
          </w:tcPr>
          <w:p w:rsidR="005070F4" w:rsidRPr="00082B44" w:rsidRDefault="005070F4" w:rsidP="00B060E0">
            <w:pPr>
              <w:spacing w:before="20" w:after="20"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Tournament-based  P4P</w:t>
            </w:r>
          </w:p>
        </w:tc>
        <w:tc>
          <w:tcPr>
            <w:tcW w:w="1055" w:type="dxa"/>
          </w:tcPr>
          <w:p w:rsidR="005070F4" w:rsidRPr="00082B44" w:rsidRDefault="005070F4" w:rsidP="00B060E0">
            <w:pPr>
              <w:spacing w:before="20" w:after="20"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USA</w:t>
            </w:r>
            <w:r>
              <w:rPr>
                <w:rFonts w:ascii="Calibri" w:hAnsi="Calibri" w:cs="Arial"/>
                <w:i/>
                <w:color w:val="000000"/>
                <w:sz w:val="20"/>
                <w:szCs w:val="21"/>
                <w:lang w:eastAsia="en-AU"/>
              </w:rPr>
              <w:t xml:space="preserve"> </w:t>
            </w:r>
            <w:r w:rsidRPr="00A92C94">
              <w:rPr>
                <w:rFonts w:ascii="Calibri" w:hAnsi="Calibri" w:cs="Arial"/>
                <w:i/>
                <w:sz w:val="20"/>
                <w:lang w:eastAsia="en-AU"/>
              </w:rPr>
              <w:t>(Mary-land)</w:t>
            </w:r>
          </w:p>
        </w:tc>
        <w:tc>
          <w:tcPr>
            <w:tcW w:w="1285" w:type="dxa"/>
          </w:tcPr>
          <w:p w:rsidR="005070F4" w:rsidRPr="00082B44" w:rsidRDefault="005070F4" w:rsidP="00B060E0">
            <w:pPr>
              <w:spacing w:before="20" w:after="20"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Hospital</w:t>
            </w:r>
          </w:p>
        </w:tc>
        <w:tc>
          <w:tcPr>
            <w:tcW w:w="11135" w:type="dxa"/>
          </w:tcPr>
          <w:p w:rsidR="005070F4" w:rsidRPr="00082B44" w:rsidRDefault="005070F4" w:rsidP="005070F4">
            <w:pPr>
              <w:pStyle w:val="ListParagraph"/>
              <w:numPr>
                <w:ilvl w:val="0"/>
                <w:numId w:val="64"/>
              </w:numPr>
              <w:spacing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 xml:space="preserve">Bonuses and penalties were calculated based on 49 hospital acquired conditions </w:t>
            </w:r>
          </w:p>
          <w:p w:rsidR="005070F4" w:rsidRPr="00082B44" w:rsidRDefault="005070F4" w:rsidP="005070F4">
            <w:pPr>
              <w:pStyle w:val="ListParagraph"/>
              <w:numPr>
                <w:ilvl w:val="0"/>
                <w:numId w:val="64"/>
              </w:numPr>
              <w:spacing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These were revenue neutral: Distributed by hospital ranking with a total re-distribution of USD7.5M</w:t>
            </w:r>
          </w:p>
          <w:p w:rsidR="005070F4" w:rsidRPr="00082B44" w:rsidRDefault="005070F4" w:rsidP="005070F4">
            <w:pPr>
              <w:pStyle w:val="ListParagraph"/>
              <w:numPr>
                <w:ilvl w:val="0"/>
                <w:numId w:val="64"/>
              </w:numPr>
              <w:spacing w:line="264" w:lineRule="auto"/>
              <w:rPr>
                <w:rFonts w:ascii="Calibri" w:hAnsi="Calibri" w:cs="Arial"/>
                <w:i/>
                <w:color w:val="000000"/>
                <w:sz w:val="20"/>
                <w:szCs w:val="21"/>
                <w:lang w:eastAsia="en-AU"/>
              </w:rPr>
            </w:pPr>
            <w:r w:rsidRPr="00082B44">
              <w:rPr>
                <w:rFonts w:ascii="Calibri" w:hAnsi="Calibri" w:cs="Arial"/>
                <w:i/>
                <w:color w:val="000000"/>
                <w:sz w:val="20"/>
                <w:szCs w:val="21"/>
                <w:lang w:eastAsia="en-AU"/>
              </w:rPr>
              <w:t xml:space="preserve">Achieved a </w:t>
            </w:r>
            <w:r w:rsidRPr="00082B44">
              <w:rPr>
                <w:rFonts w:ascii="Calibri" w:hAnsi="Calibri" w:cs="Arial"/>
                <w:b/>
                <w:i/>
                <w:color w:val="000000"/>
                <w:sz w:val="20"/>
                <w:szCs w:val="21"/>
                <w:lang w:eastAsia="en-AU"/>
              </w:rPr>
              <w:t>15% reduction in hospital acquired conditions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rPr>
                <w:rFonts w:ascii="Calibri" w:hAnsi="Calibri" w:cs="Arial"/>
                <w:sz w:val="20"/>
                <w:szCs w:val="24"/>
                <w:lang w:eastAsia="en-AU"/>
              </w:rPr>
            </w:pPr>
            <w:r w:rsidRPr="00735EA3">
              <w:rPr>
                <w:rFonts w:ascii="Calibri" w:hAnsi="Calibri" w:cs="Arial"/>
                <w:sz w:val="20"/>
                <w:szCs w:val="24"/>
                <w:lang w:eastAsia="en-AU"/>
              </w:rPr>
              <w:t>Measuring Success in Health Care Value-Based Purchasing Programs: Findings from an Environmental Scan, Literature Review, and Expert Panel Discussions</w:t>
            </w:r>
            <w:hyperlink w:anchor="_ENREF_10" w:tooltip="RAND Corporation, 2014 #13894"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&lt;EndNote&gt;&lt;Cite&gt;&lt;Author&gt;RAND Corporation&lt;/Author&gt;&lt;Year&gt;2014&lt;/Year&gt;&lt;RecNum&gt;13894&lt;/RecNum&gt;&lt;DisplayText&gt;&lt;style face="superscript"&gt;10&lt;/style&gt;&lt;/DisplayText&gt;&lt;record&gt;&lt;rec-number&gt;13894&lt;/rec-number&gt;&lt;foreign-keys&gt;&lt;key app="EN" db-id="5r0eapxzsestz4er5zaxe5zqz99fvpawedp5"&gt;13894&lt;/key&gt;&lt;/foreign-keys&gt;&lt;ref-type name="Report"&gt;27&lt;/ref-type&gt;&lt;contributors&gt;&lt;authors&gt;&lt;author&gt;RAND Corporation,&lt;/author&gt;&lt;/authors&gt;&lt;/contributors&gt;&lt;titles&gt;&lt;title&gt;Measuring Success in Health Care Value-Based Purchasing Programs: Findings from an Environmental Scan, Literature Review, and Expert Panel Discussions&lt;/title&gt;&lt;/titles&gt;&lt;dates&gt;&lt;year&gt;2014&lt;/year&gt;&lt;/dates&gt;&lt;pub-location&gt;Washington DC&lt;/pub-location&gt;&lt;publisher&gt;RAND Corporation&lt;/publisher&gt;&lt;urls&gt;&lt;related-urls&gt;&lt;url&gt;http://www.rand.org/content/dam/rand/pubs/research_reports/RR300/RR306/RAND_RR306.pdf&lt;/url&gt;&lt;/related-urls&gt;&lt;/urls&gt;&lt;/record&gt;&lt;/Cite&gt;&lt;/EndNote&gt;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10</w:t>
              </w:r>
              <w:r w:rsidRPr="00735EA3">
                <w:rPr>
                  <w:rFonts w:ascii="Calibri" w:hAnsi="Calibri" w:cs="Arial"/>
                  <w:sz w:val="20"/>
                  <w:szCs w:val="24"/>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szCs w:val="24"/>
                <w:lang w:eastAsia="en-AU"/>
              </w:rPr>
            </w:pPr>
            <w:r w:rsidRPr="00735EA3">
              <w:rPr>
                <w:rFonts w:ascii="Calibri" w:hAnsi="Calibri" w:cs="Arial"/>
                <w:sz w:val="20"/>
                <w:szCs w:val="24"/>
                <w:lang w:eastAsia="en-AU"/>
              </w:rPr>
              <w:t>RAND Corporation</w:t>
            </w:r>
          </w:p>
        </w:tc>
        <w:tc>
          <w:tcPr>
            <w:tcW w:w="1440" w:type="dxa"/>
          </w:tcPr>
          <w:p w:rsidR="005070F4" w:rsidRPr="00735EA3" w:rsidRDefault="005070F4" w:rsidP="00B060E0">
            <w:pPr>
              <w:spacing w:before="20" w:after="20" w:line="264" w:lineRule="auto"/>
              <w:rPr>
                <w:rFonts w:ascii="Calibri" w:hAnsi="Calibri" w:cs="Arial"/>
                <w:iCs/>
                <w:sz w:val="20"/>
                <w:szCs w:val="24"/>
                <w:lang w:eastAsia="en-AU"/>
              </w:rPr>
            </w:pPr>
            <w:r w:rsidRPr="00735EA3">
              <w:rPr>
                <w:rFonts w:ascii="Calibri" w:hAnsi="Calibri" w:cs="Arial"/>
                <w:sz w:val="20"/>
                <w:szCs w:val="24"/>
                <w:lang w:eastAsia="en-AU"/>
              </w:rPr>
              <w:t>RAND Corporation</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Review</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All</w:t>
            </w:r>
          </w:p>
        </w:tc>
        <w:tc>
          <w:tcPr>
            <w:tcW w:w="11135"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lang w:eastAsia="en-AU"/>
              </w:rPr>
              <w:t>A comprehensive review of international financial incentive schemes to improve quality of health care. The report concludes that “we still know very little about how best to design and implement VBP programs to achieve stated goals and what constitutes a successful program. The published evidence regarding improvements in performance from the P4P experiments of the past decade is mixed (i.e., positive and null effects); where observed, improvements were typically modest.” The following features of successful programs are identified:</w:t>
            </w:r>
          </w:p>
          <w:p w:rsidR="005070F4" w:rsidRPr="00735EA3" w:rsidRDefault="005070F4" w:rsidP="005070F4">
            <w:pPr>
              <w:pStyle w:val="ListParagraph"/>
              <w:numPr>
                <w:ilvl w:val="0"/>
                <w:numId w:val="61"/>
              </w:numPr>
              <w:autoSpaceDE w:val="0"/>
              <w:autoSpaceDN w:val="0"/>
              <w:adjustRightInd w:val="0"/>
              <w:rPr>
                <w:rFonts w:ascii="Calibri" w:hAnsi="Calibri" w:cs="Arial"/>
                <w:b/>
                <w:sz w:val="20"/>
                <w:lang w:eastAsia="en-AU"/>
              </w:rPr>
            </w:pPr>
            <w:r w:rsidRPr="00735EA3">
              <w:rPr>
                <w:rFonts w:ascii="Calibri" w:hAnsi="Calibri" w:cs="Arial"/>
                <w:b/>
                <w:sz w:val="20"/>
                <w:lang w:eastAsia="en-AU"/>
              </w:rPr>
              <w:t>Sizable incentives</w:t>
            </w:r>
          </w:p>
          <w:p w:rsidR="005070F4" w:rsidRPr="00735EA3" w:rsidRDefault="005070F4" w:rsidP="005070F4">
            <w:pPr>
              <w:pStyle w:val="ListParagraph"/>
              <w:numPr>
                <w:ilvl w:val="0"/>
                <w:numId w:val="61"/>
              </w:numPr>
              <w:autoSpaceDE w:val="0"/>
              <w:autoSpaceDN w:val="0"/>
              <w:adjustRightInd w:val="0"/>
              <w:rPr>
                <w:rFonts w:ascii="Calibri" w:hAnsi="Calibri" w:cs="Arial"/>
                <w:b/>
                <w:sz w:val="20"/>
                <w:lang w:eastAsia="en-AU"/>
              </w:rPr>
            </w:pPr>
            <w:r w:rsidRPr="00735EA3">
              <w:rPr>
                <w:rFonts w:ascii="Calibri" w:hAnsi="Calibri" w:cs="Arial"/>
                <w:b/>
                <w:sz w:val="20"/>
                <w:lang w:eastAsia="en-AU"/>
              </w:rPr>
              <w:t xml:space="preserve">Alignment of measures with priorities and broader policy objectives </w:t>
            </w:r>
            <w:r w:rsidRPr="00735EA3">
              <w:rPr>
                <w:rFonts w:ascii="Calibri" w:hAnsi="Calibri" w:cs="Arial"/>
                <w:sz w:val="20"/>
                <w:lang w:eastAsia="en-AU"/>
              </w:rPr>
              <w:t>(i.e. measures are meaningful)</w:t>
            </w:r>
          </w:p>
          <w:p w:rsidR="005070F4" w:rsidRPr="00735EA3" w:rsidRDefault="005070F4" w:rsidP="005070F4">
            <w:pPr>
              <w:pStyle w:val="ListParagraph"/>
              <w:numPr>
                <w:ilvl w:val="0"/>
                <w:numId w:val="61"/>
              </w:numPr>
              <w:autoSpaceDE w:val="0"/>
              <w:autoSpaceDN w:val="0"/>
              <w:adjustRightInd w:val="0"/>
              <w:rPr>
                <w:rFonts w:ascii="Calibri" w:hAnsi="Calibri" w:cs="Arial"/>
                <w:b/>
                <w:sz w:val="20"/>
                <w:lang w:eastAsia="en-AU"/>
              </w:rPr>
            </w:pPr>
            <w:r w:rsidRPr="00735EA3">
              <w:rPr>
                <w:rFonts w:ascii="Calibri" w:hAnsi="Calibri" w:cs="Arial"/>
                <w:b/>
                <w:sz w:val="20"/>
                <w:lang w:eastAsia="en-AU"/>
              </w:rPr>
              <w:t>Provider engagement</w:t>
            </w:r>
          </w:p>
          <w:p w:rsidR="005070F4" w:rsidRPr="00735EA3" w:rsidRDefault="005070F4" w:rsidP="005070F4">
            <w:pPr>
              <w:pStyle w:val="ListParagraph"/>
              <w:numPr>
                <w:ilvl w:val="0"/>
                <w:numId w:val="61"/>
              </w:numPr>
              <w:autoSpaceDE w:val="0"/>
              <w:autoSpaceDN w:val="0"/>
              <w:adjustRightInd w:val="0"/>
              <w:rPr>
                <w:rFonts w:ascii="Calibri" w:hAnsi="Calibri" w:cs="Arial"/>
                <w:b/>
                <w:sz w:val="20"/>
                <w:lang w:eastAsia="en-AU"/>
              </w:rPr>
            </w:pPr>
            <w:r w:rsidRPr="00735EA3">
              <w:rPr>
                <w:rFonts w:ascii="Calibri" w:hAnsi="Calibri" w:cs="Arial"/>
                <w:b/>
                <w:sz w:val="20"/>
                <w:lang w:eastAsia="en-AU"/>
              </w:rPr>
              <w:t xml:space="preserve">Performance targets </w:t>
            </w:r>
            <w:r w:rsidRPr="00735EA3">
              <w:rPr>
                <w:rFonts w:ascii="Calibri" w:hAnsi="Calibri" w:cs="Arial"/>
                <w:sz w:val="20"/>
                <w:lang w:eastAsia="en-AU"/>
              </w:rPr>
              <w:t>(e.g. 20</w:t>
            </w:r>
            <w:r w:rsidRPr="00735EA3">
              <w:rPr>
                <w:rFonts w:ascii="Calibri" w:hAnsi="Calibri" w:cs="Arial"/>
                <w:sz w:val="20"/>
                <w:vertAlign w:val="superscript"/>
                <w:lang w:eastAsia="en-AU"/>
              </w:rPr>
              <w:t>th</w:t>
            </w:r>
            <w:r w:rsidRPr="00735EA3">
              <w:rPr>
                <w:rFonts w:ascii="Calibri" w:hAnsi="Calibri" w:cs="Arial"/>
                <w:sz w:val="20"/>
                <w:lang w:eastAsia="en-AU"/>
              </w:rPr>
              <w:t xml:space="preserve"> percentile of performers) in preference to tournament schemes</w:t>
            </w:r>
          </w:p>
          <w:p w:rsidR="005070F4" w:rsidRPr="00735EA3" w:rsidRDefault="005070F4" w:rsidP="005070F4">
            <w:pPr>
              <w:pStyle w:val="ListParagraph"/>
              <w:numPr>
                <w:ilvl w:val="0"/>
                <w:numId w:val="61"/>
              </w:numPr>
              <w:autoSpaceDE w:val="0"/>
              <w:autoSpaceDN w:val="0"/>
              <w:adjustRightInd w:val="0"/>
              <w:rPr>
                <w:rFonts w:ascii="Calibri" w:hAnsi="Calibri" w:cs="Arial"/>
                <w:b/>
                <w:sz w:val="20"/>
                <w:lang w:eastAsia="en-AU"/>
              </w:rPr>
            </w:pPr>
            <w:r w:rsidRPr="00735EA3">
              <w:rPr>
                <w:rFonts w:ascii="Calibri" w:hAnsi="Calibri" w:cs="Arial"/>
                <w:b/>
                <w:sz w:val="20"/>
                <w:lang w:eastAsia="en-AU"/>
              </w:rPr>
              <w:t>Data and other quality improvement support</w:t>
            </w:r>
          </w:p>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lang w:eastAsia="en-AU"/>
              </w:rPr>
              <w:t>These align with the common elements of successful initiatives identified at the JWP’s request.</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rPr>
                <w:rFonts w:ascii="Calibri" w:hAnsi="Calibri" w:cs="Arial"/>
                <w:sz w:val="20"/>
                <w:lang w:eastAsia="en-AU"/>
              </w:rPr>
            </w:pPr>
            <w:r w:rsidRPr="00735EA3">
              <w:rPr>
                <w:rFonts w:ascii="Calibri" w:hAnsi="Calibri" w:cs="Arial"/>
                <w:sz w:val="20"/>
                <w:lang w:eastAsia="en-AU"/>
              </w:rPr>
              <w:t>Emerging Lessons From Regional and State Innovation in Value-Based Payment Reform: Balancing Collaboration and Disruptive Innovation</w:t>
            </w:r>
            <w:hyperlink w:anchor="_ENREF_11" w:tooltip="Conrad, 2014 #13895" w:history="1">
              <w:r w:rsidRPr="00735EA3">
                <w:rPr>
                  <w:rFonts w:ascii="Calibri" w:hAnsi="Calibri" w:cs="Arial"/>
                  <w:sz w:val="20"/>
                  <w:lang w:eastAsia="en-AU"/>
                </w:rPr>
                <w:fldChar w:fldCharType="begin"/>
              </w:r>
              <w:r w:rsidRPr="00735EA3">
                <w:rPr>
                  <w:rFonts w:ascii="Calibri" w:hAnsi="Calibri" w:cs="Arial"/>
                  <w:sz w:val="20"/>
                  <w:lang w:eastAsia="en-AU"/>
                </w:rPr>
                <w:instrText xml:space="preserve"> ADDIN EN.CITE &lt;EndNote&gt;&lt;Cite&gt;&lt;Author&gt;Conrad&lt;/Author&gt;&lt;Year&gt;2014&lt;/Year&gt;&lt;RecNum&gt;13895&lt;/RecNum&gt;&lt;DisplayText&gt;&lt;style face="superscript"&gt;11&lt;/style&gt;&lt;/DisplayText&gt;&lt;record&gt;&lt;rec-number&gt;13895&lt;/rec-number&gt;&lt;foreign-keys&gt;&lt;key app="EN" db-id="5r0eapxzsestz4er5zaxe5zqz99fvpawedp5"&gt;13895&lt;/key&gt;&lt;/foreign-keys&gt;&lt;ref-type name="Journal Article"&gt;17&lt;/ref-type&gt;&lt;contributors&gt;&lt;authors&gt;&lt;author&gt;Conrad, Douglas A.&lt;/author&gt;&lt;author&gt;Grembowski, David&lt;/author&gt;&lt;author&gt;Hernandez, Susan E.&lt;/author&gt;&lt;author&gt;Lau, Bernard&lt;/author&gt;&lt;author&gt;Marcus-Smith, Miriam&lt;/author&gt;&lt;/authors&gt;&lt;/contributors&gt;&lt;titles&gt;&lt;title&gt;Emerging Lessons From Regional and State Innovation in Value-Based Payment Reform: Balancing Collaboration and Disruptive Innovation&lt;/title&gt;&lt;secondary-title&gt;Milbank Quarterly&lt;/secondary-title&gt;&lt;/titles&gt;&lt;periodical&gt;&lt;full-title&gt;Milbank Quarterly&lt;/full-title&gt;&lt;/periodical&gt;&lt;pages&gt;568-623&lt;/pages&gt;&lt;volume&gt;92&lt;/volume&gt;&lt;number&gt;3&lt;/number&gt;&lt;keywords&gt;&lt;keyword&gt;payment reform&lt;/keyword&gt;&lt;keyword&gt;innovation&lt;/keyword&gt;&lt;keyword&gt;multistakeholder coalitions&lt;/keyword&gt;&lt;/keywords&gt;&lt;dates&gt;&lt;year&gt;2014&lt;/year&gt;&lt;/dates&gt;&lt;isbn&gt;1468-0009&lt;/isbn&gt;&lt;urls&gt;&lt;related-urls&gt;&lt;url&gt;http://dx.doi.org/10.1111/1468-0009.12078&lt;/url&gt;&lt;/related-urls&gt;&lt;/urls&gt;&lt;electronic-resource-num&gt;10.1111/1468-0009.12078&lt;/electronic-resource-num&gt;&lt;/record&gt;&lt;/Cite&gt;&lt;/EndNote&gt;</w:instrText>
              </w:r>
              <w:r w:rsidRPr="00735EA3">
                <w:rPr>
                  <w:rFonts w:ascii="Calibri" w:hAnsi="Calibri" w:cs="Arial"/>
                  <w:sz w:val="20"/>
                  <w:lang w:eastAsia="en-AU"/>
                </w:rPr>
                <w:fldChar w:fldCharType="separate"/>
              </w:r>
              <w:r w:rsidRPr="00735EA3">
                <w:rPr>
                  <w:rFonts w:ascii="Calibri" w:hAnsi="Calibri" w:cs="Arial"/>
                  <w:noProof/>
                  <w:sz w:val="20"/>
                  <w:vertAlign w:val="superscript"/>
                  <w:lang w:eastAsia="en-AU"/>
                </w:rPr>
                <w:t>11</w:t>
              </w:r>
              <w:r w:rsidRPr="00735EA3">
                <w:rPr>
                  <w:rFonts w:ascii="Calibri" w:hAnsi="Calibri" w:cs="Arial"/>
                  <w:sz w:val="20"/>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szCs w:val="24"/>
                <w:lang w:eastAsia="en-AU"/>
              </w:rPr>
            </w:pPr>
            <w:r w:rsidRPr="00735EA3">
              <w:rPr>
                <w:rFonts w:ascii="Calibri" w:hAnsi="Calibri" w:cs="Arial"/>
                <w:sz w:val="20"/>
                <w:lang w:eastAsia="en-AU"/>
              </w:rPr>
              <w:t>Conrad DA, Grembowski D, Hernandez SE, Lau B and Marcus-Smith M</w:t>
            </w:r>
          </w:p>
        </w:tc>
        <w:tc>
          <w:tcPr>
            <w:tcW w:w="1440" w:type="dxa"/>
          </w:tcPr>
          <w:p w:rsidR="005070F4" w:rsidRPr="00735EA3" w:rsidRDefault="005070F4" w:rsidP="00B060E0">
            <w:pPr>
              <w:spacing w:before="20" w:after="20" w:line="264" w:lineRule="auto"/>
              <w:rPr>
                <w:rFonts w:ascii="Calibri" w:hAnsi="Calibri" w:cs="Arial"/>
                <w:iCs/>
                <w:sz w:val="20"/>
                <w:szCs w:val="24"/>
                <w:lang w:eastAsia="en-AU"/>
              </w:rPr>
            </w:pPr>
            <w:r w:rsidRPr="00735EA3">
              <w:rPr>
                <w:rFonts w:ascii="Calibri" w:hAnsi="Calibri" w:cs="Arial"/>
                <w:iCs/>
                <w:sz w:val="20"/>
                <w:szCs w:val="24"/>
                <w:lang w:eastAsia="en-AU"/>
              </w:rPr>
              <w:t>Millbank Quarterly</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 xml:space="preserve">Review </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Value-based purchasing</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sz w:val="20"/>
                <w:lang w:eastAsia="en-AU"/>
              </w:rPr>
              <w:t xml:space="preserve">Evaluates </w:t>
            </w:r>
            <w:r w:rsidRPr="00735EA3">
              <w:rPr>
                <w:rFonts w:ascii="Calibri" w:hAnsi="Calibri" w:cs="Arial"/>
                <w:sz w:val="20"/>
                <w:lang w:eastAsia="en-AU"/>
              </w:rPr>
              <w:t>value-based payment reform projects in 6 states and 3 regions of the United States funded by the Robert Wood Johnson Foundation. The results echo findings from other reports and evaluations.</w:t>
            </w:r>
          </w:p>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sz w:val="20"/>
                <w:lang w:eastAsia="en-AU"/>
              </w:rPr>
              <w:t>To achieve the objectives of reduced cost and improved quality, payment innovation must overcome such barriers as incompatible information systems, the technical difficulties and transaction costs of altering existing billing and payment systems, competing stakeholder priorities, insufficient scale to bear population health risk, providers’ limited experience with risk-bearing payment models, and the failure to align care delivery models with the form of payment.</w:t>
            </w:r>
          </w:p>
          <w:p w:rsidR="005070F4" w:rsidRPr="00735EA3" w:rsidRDefault="005070F4" w:rsidP="005070F4">
            <w:pPr>
              <w:pStyle w:val="ListParagraph"/>
              <w:numPr>
                <w:ilvl w:val="0"/>
                <w:numId w:val="45"/>
              </w:numPr>
              <w:autoSpaceDE w:val="0"/>
              <w:autoSpaceDN w:val="0"/>
              <w:adjustRightInd w:val="0"/>
              <w:rPr>
                <w:rFonts w:ascii="Calibri" w:hAnsi="Calibri" w:cs="Arial"/>
                <w:sz w:val="20"/>
                <w:lang w:eastAsia="en-AU"/>
              </w:rPr>
            </w:pPr>
            <w:r w:rsidRPr="00735EA3">
              <w:rPr>
                <w:rFonts w:ascii="Calibri" w:hAnsi="Calibri" w:cs="Arial"/>
                <w:sz w:val="20"/>
                <w:lang w:eastAsia="en-AU"/>
              </w:rPr>
              <w:t>A defined set of quality, outcomes, and cost performance measures and the interoperable information systems to support data collection and reporting of value-based payment schemes.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rPr>
                <w:rFonts w:ascii="Calibri" w:hAnsi="Calibri" w:cs="Arial"/>
                <w:sz w:val="20"/>
                <w:lang w:eastAsia="en-AU"/>
              </w:rPr>
            </w:pPr>
            <w:r w:rsidRPr="00735EA3">
              <w:rPr>
                <w:rFonts w:ascii="Calibri" w:hAnsi="Calibri" w:cs="Arial"/>
                <w:sz w:val="20"/>
                <w:lang w:eastAsia="en-AU"/>
              </w:rPr>
              <w:t>Access to Coronary Artery Bypass Graft Surgery Under Pay for Performance: Evidence From the Premier Hospital Quality Incentive Demonstration</w:t>
            </w:r>
            <w:hyperlink w:anchor="_ENREF_12" w:tooltip="Epstein, 2014 #13896" w:history="1">
              <w:r w:rsidRPr="00735EA3">
                <w:rPr>
                  <w:rFonts w:ascii="Calibri" w:hAnsi="Calibri" w:cs="Arial"/>
                  <w:sz w:val="20"/>
                  <w:lang w:eastAsia="en-AU"/>
                </w:rPr>
                <w:fldChar w:fldCharType="begin"/>
              </w:r>
              <w:r w:rsidRPr="00735EA3">
                <w:rPr>
                  <w:rFonts w:ascii="Calibri" w:hAnsi="Calibri" w:cs="Arial"/>
                  <w:sz w:val="20"/>
                  <w:lang w:eastAsia="en-AU"/>
                </w:rPr>
                <w:instrText xml:space="preserve"> ADDIN EN.CITE &lt;EndNote&gt;&lt;Cite&gt;&lt;Author&gt;Epstein&lt;/Author&gt;&lt;Year&gt;2014&lt;/Year&gt;&lt;RecNum&gt;13896&lt;/RecNum&gt;&lt;DisplayText&gt;&lt;style face="superscript"&gt;12&lt;/style&gt;&lt;/DisplayText&gt;&lt;record&gt;&lt;rec-number&gt;13896&lt;/rec-number&gt;&lt;foreign-keys&gt;&lt;key app="EN" db-id="5r0eapxzsestz4er5zaxe5zqz99fvpawedp5"&gt;13896&lt;/key&gt;&lt;/foreign-keys&gt;&lt;ref-type name="Journal Article"&gt;17&lt;/ref-type&gt;&lt;contributors&gt;&lt;authors&gt;&lt;author&gt;Epstein, Arnold M.&lt;/author&gt;&lt;author&gt;Joynt, Karen E.&lt;/author&gt;&lt;author&gt;Jha, Ashish K.&lt;/author&gt;&lt;author&gt;Orav, E. John&lt;/author&gt;&lt;/authors&gt;&lt;/contributors&gt;&lt;titles&gt;&lt;title&gt;Access to Coronary Artery Bypass Graft Surgery Under Pay for Performance: Evidence From the Premier Hospital Quality Incentive Demonstration&lt;/title&gt;&lt;secondary-title&gt;Circulation: Cardiovascular Quality and Outcomes&lt;/secondary-title&gt;&lt;/titles&gt;&lt;periodical&gt;&lt;full-title&gt;Circulation: Cardiovascular Quality and Outcomes&lt;/full-title&gt;&lt;/periodical&gt;&lt;dates&gt;&lt;year&gt;2014&lt;/year&gt;&lt;pub-dates&gt;&lt;date&gt;August 26, 2014&lt;/date&gt;&lt;/pub-dates&gt;&lt;/dates&gt;&lt;urls&gt;&lt;related-urls&gt;&lt;url&gt;http://circoutcomes.ahajournals.org/content/early/2014/08/26/CIRCOUTCOMES.114.001024.abstract&lt;/url&gt;&lt;/related-urls&gt;&lt;/urls&gt;&lt;electronic-resource-num&gt;10.1161/circoutcomes.114.001024&lt;/electronic-resource-num&gt;&lt;/record&gt;&lt;/Cite&gt;&lt;/EndNote&gt;</w:instrText>
              </w:r>
              <w:r w:rsidRPr="00735EA3">
                <w:rPr>
                  <w:rFonts w:ascii="Calibri" w:hAnsi="Calibri" w:cs="Arial"/>
                  <w:sz w:val="20"/>
                  <w:lang w:eastAsia="en-AU"/>
                </w:rPr>
                <w:fldChar w:fldCharType="separate"/>
              </w:r>
              <w:r w:rsidRPr="00735EA3">
                <w:rPr>
                  <w:rFonts w:ascii="Calibri" w:hAnsi="Calibri" w:cs="Arial"/>
                  <w:noProof/>
                  <w:sz w:val="20"/>
                  <w:vertAlign w:val="superscript"/>
                  <w:lang w:eastAsia="en-AU"/>
                </w:rPr>
                <w:t>12</w:t>
              </w:r>
              <w:r w:rsidRPr="00735EA3">
                <w:rPr>
                  <w:rFonts w:ascii="Calibri" w:hAnsi="Calibri" w:cs="Arial"/>
                  <w:sz w:val="20"/>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Epstein AM, Joynt KE, Jha AK and Orav EJ</w:t>
            </w:r>
          </w:p>
        </w:tc>
        <w:tc>
          <w:tcPr>
            <w:tcW w:w="1440" w:type="dxa"/>
          </w:tcPr>
          <w:p w:rsidR="005070F4" w:rsidRPr="00735EA3" w:rsidRDefault="005070F4" w:rsidP="00B060E0">
            <w:pPr>
              <w:spacing w:before="20" w:after="20" w:line="264" w:lineRule="auto"/>
              <w:rPr>
                <w:rFonts w:ascii="Calibri" w:hAnsi="Calibri" w:cs="Arial"/>
                <w:iCs/>
                <w:sz w:val="20"/>
                <w:szCs w:val="24"/>
                <w:lang w:eastAsia="en-AU"/>
              </w:rPr>
            </w:pPr>
            <w:r w:rsidRPr="00735EA3">
              <w:rPr>
                <w:rFonts w:ascii="Calibri" w:hAnsi="Calibri" w:cs="Arial"/>
                <w:iCs/>
                <w:sz w:val="20"/>
                <w:lang w:eastAsia="en-AU"/>
              </w:rPr>
              <w:t>Circulation: Cardiovascular Quality and Outcomes</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Comparative analysis</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P4P</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B060E0">
            <w:pPr>
              <w:pStyle w:val="NormalWeb"/>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Using Medicare data, authors compared changes in rates of coronary artery bypass graft surgery between 2002 to 2003 and 2008 to 2009 among patients with AMI admitted to hospitals participating in Medicare’s Premier Hospital Quality Incentive Demonstration P4P program with patients control hospitals.</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Coronary artery bypass graft surgery rates for patients with AMI decreased similarly for Premier hospitals and in non-Premier hospitals. Similar results were observed for coronary artery bypass graft surgery rates for high-risk patients.</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Results indicate </w:t>
            </w:r>
            <w:r w:rsidRPr="00735EA3">
              <w:rPr>
                <w:rFonts w:ascii="Calibri" w:hAnsi="Calibri" w:cs="Arial"/>
                <w:b/>
                <w:color w:val="191919"/>
                <w:sz w:val="20"/>
                <w:szCs w:val="20"/>
              </w:rPr>
              <w:t>no evidence of a deleterious effect of P4P on access to coronary artery bypass graft surgery for high-risk patients</w:t>
            </w:r>
            <w:r w:rsidRPr="00735EA3">
              <w:rPr>
                <w:rFonts w:ascii="Calibri" w:hAnsi="Calibri" w:cs="Arial"/>
                <w:color w:val="191919"/>
                <w:sz w:val="20"/>
                <w:szCs w:val="20"/>
              </w:rPr>
              <w:t xml:space="preserve"> with AMI.</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lang w:eastAsia="en-AU"/>
              </w:rPr>
              <w:t>Physician integration revisited—An exploratory study of monetary and professional incentives in three countries</w:t>
            </w:r>
            <w:hyperlink w:anchor="_ENREF_13" w:tooltip="Janus,  #13897" w:history="1">
              <w:r w:rsidRPr="00735EA3">
                <w:rPr>
                  <w:rFonts w:ascii="Calibri" w:hAnsi="Calibri" w:cs="Arial"/>
                  <w:sz w:val="20"/>
                  <w:lang w:eastAsia="en-AU"/>
                </w:rPr>
                <w:fldChar w:fldCharType="begin"/>
              </w:r>
              <w:r w:rsidRPr="00735EA3">
                <w:rPr>
                  <w:rFonts w:ascii="Calibri" w:hAnsi="Calibri" w:cs="Arial"/>
                  <w:sz w:val="20"/>
                  <w:lang w:eastAsia="en-AU"/>
                </w:rPr>
                <w:instrText xml:space="preserve"> ADDIN EN.CITE &lt;EndNote&gt;&lt;Cite&gt;&lt;Author&gt;Janus&lt;/Author&gt;&lt;RecNum&gt;13897&lt;/RecNum&gt;&lt;DisplayText&gt;&lt;style face="superscript"&gt;13&lt;/style&gt;&lt;/DisplayText&gt;&lt;record&gt;&lt;rec-number&gt;13897&lt;/rec-number&gt;&lt;foreign-keys&gt;&lt;key app="EN" db-id="5r0eapxzsestz4er5zaxe5zqz99fvpawedp5"&gt;13897&lt;/key&gt;&lt;/foreign-keys&gt;&lt;ref-type name="Journal Article"&gt;17&lt;/ref-type&gt;&lt;contributors&gt;&lt;authors&gt;&lt;author&gt;Janus, Katharina&lt;/author&gt;&lt;author&gt;Brown, Lawrence D.&lt;/author&gt;&lt;/authors&gt;&lt;/contributors&gt;&lt;titles&gt;&lt;title&gt;Physician integration revisited—An exploratory study of monetary and professional incentives in three countries&lt;/title&gt;&lt;secondary-title&gt;Health Policy&lt;/secondary-title&gt;&lt;/titles&gt;&lt;periodical&gt;&lt;full-title&gt;Health Policy&lt;/full-title&gt;&lt;/periodical&gt;&lt;number&gt;0&lt;/number&gt;&lt;keywords&gt;&lt;keyword&gt;Integrated care&lt;/keyword&gt;&lt;keyword&gt;Physician–organization integration&lt;/keyword&gt;&lt;keyword&gt;Incentives&lt;/keyword&gt;&lt;/keywords&gt;&lt;dates&gt;&lt;/dates&gt;&lt;isbn&gt;0168-8510&lt;/isbn&gt;&lt;urls&gt;&lt;related-urls&gt;&lt;url&gt;http://www.sciencedirect.com/science/article/pii/S0168851014002024&lt;/url&gt;&lt;/related-urls&gt;&lt;/urls&gt;&lt;electronic-resource-num&gt;http://dx.doi.org/10.1016/j.healthpol.2014.08.001&lt;/electronic-resource-num&gt;&lt;/record&gt;&lt;/Cite&gt;&lt;/EndNote&gt;</w:instrText>
              </w:r>
              <w:r w:rsidRPr="00735EA3">
                <w:rPr>
                  <w:rFonts w:ascii="Calibri" w:hAnsi="Calibri" w:cs="Arial"/>
                  <w:sz w:val="20"/>
                  <w:lang w:eastAsia="en-AU"/>
                </w:rPr>
                <w:fldChar w:fldCharType="separate"/>
              </w:r>
              <w:r w:rsidRPr="00735EA3">
                <w:rPr>
                  <w:rFonts w:ascii="Calibri" w:hAnsi="Calibri" w:cs="Arial"/>
                  <w:noProof/>
                  <w:sz w:val="20"/>
                  <w:vertAlign w:val="superscript"/>
                  <w:lang w:eastAsia="en-AU"/>
                </w:rPr>
                <w:t>13</w:t>
              </w:r>
              <w:r w:rsidRPr="00735EA3">
                <w:rPr>
                  <w:rFonts w:ascii="Calibri" w:hAnsi="Calibri" w:cs="Arial"/>
                  <w:sz w:val="20"/>
                  <w:lang w:eastAsia="en-AU"/>
                </w:rPr>
                <w:fldChar w:fldCharType="end"/>
              </w:r>
            </w:hyperlink>
          </w:p>
          <w:p w:rsidR="005070F4" w:rsidRPr="00735EA3" w:rsidRDefault="005070F4" w:rsidP="00B060E0">
            <w:pPr>
              <w:rPr>
                <w:rFonts w:ascii="Calibri" w:hAnsi="Calibri" w:cs="Arial"/>
                <w:sz w:val="20"/>
                <w:lang w:eastAsia="en-AU"/>
              </w:rPr>
            </w:pPr>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Janus K and Brown LD</w:t>
            </w:r>
          </w:p>
        </w:tc>
        <w:tc>
          <w:tcPr>
            <w:tcW w:w="1440" w:type="dxa"/>
          </w:tcPr>
          <w:p w:rsidR="005070F4" w:rsidRPr="00735EA3" w:rsidRDefault="005070F4" w:rsidP="00B060E0">
            <w:pPr>
              <w:spacing w:before="20" w:after="20" w:line="264" w:lineRule="auto"/>
              <w:rPr>
                <w:rFonts w:ascii="Calibri" w:hAnsi="Calibri" w:cs="Arial"/>
                <w:iCs/>
                <w:sz w:val="20"/>
                <w:lang w:eastAsia="en-AU"/>
              </w:rPr>
            </w:pPr>
            <w:r w:rsidRPr="00735EA3">
              <w:rPr>
                <w:rFonts w:ascii="Calibri" w:hAnsi="Calibri" w:cs="Arial"/>
                <w:iCs/>
                <w:sz w:val="20"/>
                <w:lang w:eastAsia="en-AU"/>
              </w:rPr>
              <w:t>Health Policy</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Qualitative exploratory survey</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 England, Germany</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1135" w:type="dxa"/>
          </w:tcPr>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This paper explores the mix of monetary and professional inducements these organizations employ to attract and retain physicians in 151 integrated care organizations in the U.S., England, and Germany. The organizations sampled do not rely exclusively on selective monetary incentives, but rather employ a composite portfolio of the two types. </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Despite the considerable “macro” differences, these incentives appear with remarkable consistency at the “micro” level of organisations in the three nations. </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Findings call for closer attention to the ‘</w:t>
            </w:r>
            <w:r w:rsidRPr="00735EA3">
              <w:rPr>
                <w:rFonts w:ascii="Calibri" w:hAnsi="Calibri" w:cs="Arial"/>
                <w:b/>
                <w:color w:val="191919"/>
                <w:sz w:val="20"/>
                <w:szCs w:val="20"/>
              </w:rPr>
              <w:t>big motivational picture’</w:t>
            </w:r>
            <w:r w:rsidRPr="00735EA3">
              <w:rPr>
                <w:rFonts w:ascii="Calibri" w:hAnsi="Calibri" w:cs="Arial"/>
                <w:color w:val="191919"/>
                <w:sz w:val="20"/>
                <w:szCs w:val="20"/>
              </w:rPr>
              <w:t>, and especially to the importance of professional considerations within it, if healthcare organisations hope to deploy effectively the whole spectrum of available incentives for physicians.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lang w:eastAsia="en-AU"/>
              </w:rPr>
              <w:t>How do Non-Monetary Performance Incentives for Physicians Affect the Quality of Medical Care? – A Laboratory Experiment</w:t>
            </w:r>
            <w:hyperlink w:anchor="_ENREF_14" w:tooltip="Kairies-Schwarz N, 2014 #13898" w:history="1">
              <w:r w:rsidRPr="00735EA3">
                <w:rPr>
                  <w:rFonts w:ascii="Calibri" w:hAnsi="Calibri" w:cs="Arial"/>
                  <w:sz w:val="20"/>
                  <w:lang w:eastAsia="en-AU"/>
                </w:rPr>
                <w:fldChar w:fldCharType="begin"/>
              </w:r>
              <w:r w:rsidRPr="00735EA3">
                <w:rPr>
                  <w:rFonts w:ascii="Calibri" w:hAnsi="Calibri" w:cs="Arial"/>
                  <w:sz w:val="20"/>
                  <w:lang w:eastAsia="en-AU"/>
                </w:rPr>
                <w:instrText xml:space="preserve"> ADDIN EN.CITE &lt;EndNote&gt;&lt;Cite&gt;&lt;Author&gt;Kairies-Schwarz N&lt;/Author&gt;&lt;Year&gt;2014&lt;/Year&gt;&lt;RecNum&gt;13898&lt;/RecNum&gt;&lt;DisplayText&gt;&lt;style face="superscript"&gt;14&lt;/style&gt;&lt;/DisplayText&gt;&lt;record&gt;&lt;rec-number&gt;13898&lt;/rec-number&gt;&lt;foreign-keys&gt;&lt;key app="EN" db-id="5r0eapxzsestz4er5zaxe5zqz99fvpawedp5"&gt;13898&lt;/key&gt;&lt;/foreign-keys&gt;&lt;ref-type name="Journal Article"&gt;17&lt;/ref-type&gt;&lt;contributors&gt;&lt;authors&gt;&lt;author&gt;Kairies-Schwarz N, &lt;/author&gt;&lt;author&gt;Krieger M,&lt;/author&gt;&lt;/authors&gt;&lt;/contributors&gt;&lt;titles&gt;&lt;title&gt;How do Non-Monetary Performance Incentives for Physicians Affect the Quality of Medical Care? – A Laboratory Experiment&lt;/title&gt;&lt;secondary-title&gt;Beiträge zur Jahrestagung des Vereins für Socialpolitik 1014: Evidenzbasierte Wirtschaftspolitik - Session: Health I, No. A10-V2&lt;/secondary-title&gt;&lt;/titles&gt;&lt;periodical&gt;&lt;full-title&gt;Beiträge zur Jahrestagung des Vereins für Socialpolitik 1014: Evidenzbasierte Wirtschaftspolitik - Session: Health I, No. A10-V2&lt;/full-title&gt;&lt;/periodical&gt;&lt;dates&gt;&lt;year&gt;2014&lt;/year&gt;&lt;/dates&gt;&lt;urls&gt;&lt;/urls&gt;&lt;/record&gt;&lt;/Cite&gt;&lt;/EndNote&gt;</w:instrText>
              </w:r>
              <w:r w:rsidRPr="00735EA3">
                <w:rPr>
                  <w:rFonts w:ascii="Calibri" w:hAnsi="Calibri" w:cs="Arial"/>
                  <w:sz w:val="20"/>
                  <w:lang w:eastAsia="en-AU"/>
                </w:rPr>
                <w:fldChar w:fldCharType="separate"/>
              </w:r>
              <w:r w:rsidRPr="00735EA3">
                <w:rPr>
                  <w:rFonts w:ascii="Calibri" w:hAnsi="Calibri" w:cs="Arial"/>
                  <w:noProof/>
                  <w:sz w:val="20"/>
                  <w:vertAlign w:val="superscript"/>
                  <w:lang w:eastAsia="en-AU"/>
                </w:rPr>
                <w:t>14</w:t>
              </w:r>
              <w:r w:rsidRPr="00735EA3">
                <w:rPr>
                  <w:rFonts w:ascii="Calibri" w:hAnsi="Calibri" w:cs="Arial"/>
                  <w:sz w:val="20"/>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Kairies-Schwarz N, Krieger M</w:t>
            </w:r>
          </w:p>
        </w:tc>
        <w:tc>
          <w:tcPr>
            <w:tcW w:w="1440" w:type="dxa"/>
          </w:tcPr>
          <w:p w:rsidR="005070F4" w:rsidRPr="00735EA3" w:rsidRDefault="005070F4" w:rsidP="00B060E0">
            <w:pPr>
              <w:spacing w:before="20" w:after="20" w:line="264" w:lineRule="auto"/>
              <w:rPr>
                <w:rFonts w:ascii="Calibri" w:hAnsi="Calibri" w:cs="Arial"/>
                <w:iCs/>
                <w:sz w:val="20"/>
                <w:lang w:eastAsia="en-AU"/>
              </w:rPr>
            </w:pPr>
            <w:r w:rsidRPr="00735EA3">
              <w:rPr>
                <w:rFonts w:ascii="Calibri" w:hAnsi="Calibri" w:cs="Arial"/>
                <w:iCs/>
                <w:sz w:val="20"/>
                <w:lang w:eastAsia="en-AU"/>
              </w:rPr>
              <w:t>Ruhr Economic Papers</w:t>
            </w:r>
          </w:p>
        </w:tc>
        <w:tc>
          <w:tcPr>
            <w:tcW w:w="1800" w:type="dxa"/>
          </w:tcPr>
          <w:p w:rsidR="005070F4" w:rsidRPr="00735EA3" w:rsidRDefault="005070F4" w:rsidP="00B060E0">
            <w:pPr>
              <w:spacing w:before="20" w:after="20" w:line="264" w:lineRule="auto"/>
              <w:rPr>
                <w:rFonts w:ascii="Calibri" w:eastAsia="Arial Unicode MS" w:hAnsi="Calibri" w:cs="Arial Unicode MS"/>
                <w:color w:val="2E2E2E"/>
                <w:sz w:val="20"/>
                <w:shd w:val="clear" w:color="auto" w:fill="FFFFFF"/>
              </w:rPr>
            </w:pPr>
            <w:r w:rsidRPr="00735EA3">
              <w:rPr>
                <w:rFonts w:ascii="Calibri" w:hAnsi="Calibri" w:cs="Arial"/>
                <w:sz w:val="20"/>
                <w:lang w:eastAsia="en-AU"/>
              </w:rPr>
              <w:t>Controlled experiment</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Performance reporting</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1135" w:type="dxa"/>
          </w:tcPr>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b/>
                <w:color w:val="191919"/>
                <w:sz w:val="20"/>
                <w:szCs w:val="20"/>
              </w:rPr>
            </w:pPr>
            <w:r w:rsidRPr="00735EA3">
              <w:rPr>
                <w:rFonts w:ascii="Calibri" w:hAnsi="Calibri" w:cs="Arial"/>
                <w:color w:val="191919"/>
                <w:sz w:val="20"/>
                <w:szCs w:val="20"/>
              </w:rPr>
              <w:t xml:space="preserve">This study used a controlled laboratory experiment to isolate the impact of </w:t>
            </w:r>
            <w:r w:rsidRPr="00735EA3">
              <w:rPr>
                <w:rFonts w:ascii="Calibri" w:hAnsi="Calibri" w:cs="Arial"/>
                <w:b/>
                <w:color w:val="191919"/>
                <w:sz w:val="20"/>
                <w:szCs w:val="20"/>
              </w:rPr>
              <w:t>nonmonetary performance incentives – performance reporting.</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Subjects (medical and other faculty students) made hypothetical treatment decisions for patients, receiving feedback on the quality of their treatment. The subjects’ decisions resulted in payments to real patients. The authors postulate that by giving either private or public feedback enabled disentangling the intrinsic motivational effects such as self-esteem and social reputation. </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Results indicate a strong correlation between </w:t>
            </w:r>
            <w:r w:rsidRPr="00735EA3">
              <w:rPr>
                <w:rFonts w:ascii="Calibri" w:hAnsi="Calibri" w:cs="Arial"/>
                <w:b/>
                <w:color w:val="191919"/>
                <w:sz w:val="20"/>
                <w:szCs w:val="20"/>
              </w:rPr>
              <w:t>public feedback incentives with positive effect on the quality of care</w:t>
            </w:r>
            <w:r w:rsidRPr="00735EA3">
              <w:rPr>
                <w:rFonts w:ascii="Calibri" w:hAnsi="Calibri" w:cs="Arial"/>
                <w:color w:val="191919"/>
                <w:sz w:val="20"/>
                <w:szCs w:val="20"/>
              </w:rPr>
              <w:t xml:space="preserve"> that is provided. Private feedback, on the other hand, had no impact on treatment quality. These results hold for both medical students and for other students.</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szCs w:val="24"/>
                <w:lang w:eastAsia="en-AU"/>
              </w:rPr>
              <w:t>Value-based purchasing and hospital acquired conditions: Are we seeing improvement?</w:t>
            </w:r>
            <w:hyperlink w:anchor="_ENREF_15" w:tooltip="Spaulding,  #13900"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&lt;EndNote&gt;&lt;Cite&gt;&lt;Author&gt;Spaulding&lt;/Author&gt;&lt;RecNum&gt;13900&lt;/RecNum&gt;&lt;DisplayText&gt;&lt;style face="superscript"&gt;15&lt;/style&gt;&lt;/DisplayText&gt;&lt;record&gt;&lt;rec-number&gt;13900&lt;/rec-number&gt;&lt;foreign-keys&gt;&lt;key app="EN" db-id="5r0eapxzsestz4er5zaxe5zqz99fvpawedp5"&gt;13900&lt;/key&gt;&lt;/foreign-keys&gt;&lt;ref-type name="Journal Article"&gt;17&lt;/ref-type&gt;&lt;contributors&gt;&lt;authors&gt;&lt;author&gt;Spaulding, Aaron&lt;/author&gt;&lt;author&gt;Zhao, Mei&lt;/author&gt;&lt;author&gt;Haley, D. Rob&lt;/author&gt;&lt;/authors&gt;&lt;/contributors&gt;&lt;titles&gt;&lt;title&gt;Value-based purchasing and hospital acquired conditions: Are we seeing improvement?&lt;/title&gt;&lt;secondary-title&gt;Health Policy&lt;/secondary-title&gt;&lt;/titles&gt;&lt;periodical&gt;&lt;full-title&gt;Health Policy&lt;/full-title&gt;&lt;/periodical&gt;&lt;number&gt;0&lt;/number&gt;&lt;keywords&gt;&lt;keyword&gt;Value-based purchasing&lt;/keyword&gt;&lt;keyword&gt;Pay for performance&lt;/keyword&gt;&lt;keyword&gt;Hospital acquired conditions&lt;/keyword&gt;&lt;/keywords&gt;&lt;dates&gt;&lt;/dates&gt;&lt;isbn&gt;0168-8510&lt;/isbn&gt;&lt;urls&gt;&lt;related-urls&gt;&lt;url&gt;http://www.sciencedirect.com/science/article/pii/S016885101400267X&lt;/url&gt;&lt;/related-urls&gt;&lt;/urls&gt;&lt;electronic-resource-num&gt;http://dx.doi.org/10.1016/j.healthpol.2014.10.003&lt;/electronic-resource-num&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15</w:t>
              </w:r>
              <w:r w:rsidRPr="00735EA3">
                <w:rPr>
                  <w:rFonts w:ascii="Calibri" w:hAnsi="Calibri" w:cs="Arial"/>
                  <w:sz w:val="20"/>
                  <w:szCs w:val="24"/>
                  <w:lang w:eastAsia="en-AU"/>
                </w:rPr>
                <w:fldChar w:fldCharType="end"/>
              </w:r>
            </w:hyperlink>
            <w:r w:rsidRPr="00735EA3">
              <w:rPr>
                <w:rFonts w:ascii="Calibri" w:hAnsi="Calibri" w:cs="Arial"/>
                <w:sz w:val="20"/>
                <w:szCs w:val="24"/>
                <w:lang w:eastAsia="en-AU"/>
              </w:rPr>
              <w:t xml:space="preserve"> </w:t>
            </w:r>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szCs w:val="24"/>
                <w:lang w:eastAsia="en-AU"/>
              </w:rPr>
              <w:t>Spaulding A, Zhao M and Haley DR</w:t>
            </w:r>
          </w:p>
        </w:tc>
        <w:tc>
          <w:tcPr>
            <w:tcW w:w="1440" w:type="dxa"/>
          </w:tcPr>
          <w:p w:rsidR="005070F4" w:rsidRPr="00735EA3" w:rsidRDefault="005070F4" w:rsidP="00B060E0">
            <w:pPr>
              <w:spacing w:before="20" w:after="20" w:line="264" w:lineRule="auto"/>
              <w:rPr>
                <w:rFonts w:ascii="Calibri" w:hAnsi="Calibri" w:cs="Arial"/>
                <w:iCs/>
                <w:sz w:val="20"/>
                <w:lang w:eastAsia="en-AU"/>
              </w:rPr>
            </w:pPr>
            <w:r w:rsidRPr="00735EA3">
              <w:rPr>
                <w:rFonts w:ascii="Calibri" w:hAnsi="Calibri" w:cs="Arial"/>
                <w:iCs/>
                <w:sz w:val="20"/>
                <w:szCs w:val="24"/>
                <w:lang w:eastAsia="en-AU"/>
              </w:rPr>
              <w:t>Health Policy</w:t>
            </w:r>
          </w:p>
        </w:tc>
        <w:tc>
          <w:tcPr>
            <w:tcW w:w="1800" w:type="dxa"/>
          </w:tcPr>
          <w:p w:rsidR="005070F4" w:rsidRPr="00735EA3" w:rsidRDefault="005070F4" w:rsidP="00B060E0">
            <w:pPr>
              <w:spacing w:before="20" w:after="20" w:line="264" w:lineRule="auto"/>
              <w:rPr>
                <w:rFonts w:ascii="Calibri" w:eastAsia="Arial Unicode MS" w:hAnsi="Calibri" w:cs="Arial Unicode MS"/>
                <w:color w:val="2E2E2E"/>
                <w:sz w:val="20"/>
                <w:shd w:val="clear" w:color="auto" w:fill="FFFFFF"/>
              </w:rPr>
            </w:pPr>
            <w:r w:rsidRPr="00735EA3">
              <w:rPr>
                <w:rFonts w:ascii="Calibri" w:hAnsi="Calibri" w:cs="Arial"/>
                <w:iCs/>
                <w:sz w:val="20"/>
                <w:szCs w:val="24"/>
                <w:lang w:eastAsia="en-AU"/>
              </w:rPr>
              <w:t>Negative binomial regression</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Value-based purchasing</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Hospital</w:t>
            </w:r>
          </w:p>
        </w:tc>
        <w:tc>
          <w:tcPr>
            <w:tcW w:w="11135" w:type="dxa"/>
          </w:tcPr>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This study sought to </w:t>
            </w:r>
            <w:r w:rsidRPr="00735EA3">
              <w:rPr>
                <w:rFonts w:ascii="Calibri" w:eastAsia="Arial Unicode MS" w:hAnsi="Calibri" w:cs="Arial"/>
                <w:color w:val="2E2E2E"/>
                <w:sz w:val="20"/>
                <w:szCs w:val="20"/>
                <w:shd w:val="clear" w:color="auto" w:fill="FFFFFF"/>
              </w:rPr>
              <w:t>determine if the Value-Based Purchasing Performance Scoring system correlates with hospital acquired condition quality indicators.</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eastAsia="Arial Unicode MS" w:hAnsi="Calibri" w:cs="Arial"/>
                <w:color w:val="2E2E2E"/>
                <w:sz w:val="20"/>
                <w:szCs w:val="20"/>
                <w:shd w:val="clear" w:color="auto" w:fill="FFFFFF"/>
              </w:rPr>
              <w:t>Databases used: the American Hospital Association (AHA) annual survey and the Centers for Medicare and Medicaid (CMS) Value-Based Purchasing and Hospital Acquired Conditions.</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eastAsia="Arial Unicode MS" w:hAnsi="Calibri" w:cs="Arial"/>
                <w:color w:val="2E2E2E"/>
                <w:sz w:val="20"/>
                <w:szCs w:val="20"/>
                <w:shd w:val="clear" w:color="auto" w:fill="FFFFFF"/>
              </w:rPr>
              <w:t xml:space="preserve">Value-based purchasing </w:t>
            </w:r>
            <w:r w:rsidRPr="00735EA3">
              <w:rPr>
                <w:rFonts w:ascii="Calibri" w:eastAsia="Arial Unicode MS" w:hAnsi="Calibri" w:cs="Arial"/>
                <w:b/>
                <w:color w:val="2E2E2E"/>
                <w:sz w:val="20"/>
                <w:szCs w:val="20"/>
                <w:shd w:val="clear" w:color="auto" w:fill="FFFFFF"/>
              </w:rPr>
              <w:t>does not appear to correlate with improved quality and patient</w:t>
            </w:r>
            <w:r w:rsidRPr="00735EA3">
              <w:rPr>
                <w:rFonts w:ascii="Calibri" w:eastAsia="Arial Unicode MS" w:hAnsi="Calibri" w:cs="Arial"/>
                <w:color w:val="2E2E2E"/>
                <w:sz w:val="20"/>
                <w:szCs w:val="20"/>
                <w:shd w:val="clear" w:color="auto" w:fill="FFFFFF"/>
              </w:rPr>
              <w:t xml:space="preserve"> safety as indicated by Hospital Acquired Condition (HAC) scores, leading the authors to conclude that either the total performance score does not measure what it should, or the quality outcome measurements do not reflect the quality of the total performance scores measure.</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szCs w:val="24"/>
                <w:lang w:eastAsia="en-AU"/>
              </w:rPr>
              <w:t>A Strategy for Successful Implementation of Bundled Payments in Orthopaedic Surgery</w:t>
            </w:r>
            <w:hyperlink w:anchor="_ENREF_16" w:tooltip="Bozic, 2014 #13903"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&lt;EndNote&gt;&lt;Cite&gt;&lt;Author&gt;Bozic&lt;/Author&gt;&lt;Year&gt;2014&lt;/Year&gt;&lt;RecNum&gt;13903&lt;/RecNum&gt;&lt;DisplayText&gt;&lt;style face="superscript"&gt;16&lt;/style&gt;&lt;/DisplayText&gt;&lt;record&gt;&lt;rec-number&gt;13903&lt;/rec-number&gt;&lt;foreign-keys&gt;&lt;key app="EN" db-id="5r0eapxzsestz4er5zaxe5zqz99fvpawedp5"&gt;13903&lt;/key&gt;&lt;/foreign-keys&gt;&lt;ref-type name="Journal Article"&gt;17&lt;/ref-type&gt;&lt;contributors&gt;&lt;authors&gt;&lt;author&gt;Bozic, Kevin J.&lt;/author&gt;&lt;author&gt;Ward, Lorrayne&lt;/author&gt;&lt;/authors&gt;&lt;/contributors&gt;&lt;titles&gt;&lt;title&gt;A Strategy for Successful Implementation of Bundled Payments in Orthopaedic Surgery&lt;/title&gt;&lt;secondary-title&gt;JBJS Reviews&lt;/secondary-title&gt;&lt;/titles&gt;&lt;periodical&gt;&lt;full-title&gt;JBJS Reviews&lt;/full-title&gt;&lt;/periodical&gt;&lt;volume&gt;2&lt;/volume&gt;&lt;number&gt;10&lt;/number&gt;&lt;dates&gt;&lt;year&gt;2014&lt;/year&gt;&lt;/dates&gt;&lt;work-type&gt;10.2106/JBJS.RVW.N.00004&lt;/work-type&gt;&lt;urls&gt;&lt;related-urls&gt;&lt;url&gt;http://reviews.jbjs.org/content/2/10/e2.abstract&lt;/url&gt;&lt;/related-urls&gt;&lt;/urls&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16</w:t>
              </w:r>
              <w:r w:rsidRPr="00735EA3">
                <w:rPr>
                  <w:rFonts w:ascii="Calibri" w:hAnsi="Calibri" w:cs="Arial"/>
                  <w:sz w:val="20"/>
                  <w:szCs w:val="24"/>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szCs w:val="24"/>
                <w:lang w:eastAsia="en-AU"/>
              </w:rPr>
              <w:t>Bozic KJ and Ward L</w:t>
            </w:r>
          </w:p>
        </w:tc>
        <w:tc>
          <w:tcPr>
            <w:tcW w:w="1440" w:type="dxa"/>
          </w:tcPr>
          <w:p w:rsidR="005070F4" w:rsidRPr="00735EA3" w:rsidRDefault="005070F4" w:rsidP="00B060E0">
            <w:pPr>
              <w:spacing w:before="20" w:after="20" w:line="264" w:lineRule="auto"/>
              <w:rPr>
                <w:rFonts w:ascii="Calibri" w:hAnsi="Calibri" w:cs="Arial"/>
                <w:iCs/>
                <w:sz w:val="20"/>
                <w:lang w:eastAsia="en-AU"/>
              </w:rPr>
            </w:pPr>
            <w:r w:rsidRPr="00735EA3">
              <w:rPr>
                <w:rFonts w:ascii="Calibri" w:hAnsi="Calibri" w:cs="Arial"/>
                <w:iCs/>
                <w:sz w:val="20"/>
                <w:szCs w:val="24"/>
                <w:lang w:eastAsia="en-AU"/>
              </w:rPr>
              <w:t>JBJS Reviews</w:t>
            </w:r>
          </w:p>
        </w:tc>
        <w:tc>
          <w:tcPr>
            <w:tcW w:w="1800" w:type="dxa"/>
          </w:tcPr>
          <w:p w:rsidR="005070F4" w:rsidRPr="00735EA3" w:rsidRDefault="005070F4" w:rsidP="00B060E0">
            <w:pPr>
              <w:spacing w:before="20" w:after="20" w:line="264" w:lineRule="auto"/>
              <w:rPr>
                <w:rFonts w:ascii="Calibri" w:eastAsia="Arial Unicode MS" w:hAnsi="Calibri" w:cs="Arial"/>
                <w:color w:val="2E2E2E"/>
                <w:sz w:val="20"/>
                <w:shd w:val="clear" w:color="auto" w:fill="FFFFFF"/>
              </w:rPr>
            </w:pPr>
            <w:r w:rsidRPr="00735EA3">
              <w:rPr>
                <w:rFonts w:ascii="Calibri" w:eastAsia="Arial Unicode MS" w:hAnsi="Calibri" w:cs="Arial"/>
                <w:color w:val="2E2E2E"/>
                <w:sz w:val="20"/>
                <w:shd w:val="clear" w:color="auto" w:fill="FFFFFF"/>
              </w:rPr>
              <w:t>Review</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eastAsia="Arial Unicode MS" w:hAnsi="Calibri" w:cs="Arial"/>
                <w:color w:val="2E2E2E"/>
                <w:sz w:val="20"/>
                <w:shd w:val="clear" w:color="auto" w:fill="FFFFFF"/>
              </w:rPr>
              <w:t>Bundled payment</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 xml:space="preserve">Hospital </w:t>
            </w:r>
          </w:p>
        </w:tc>
        <w:tc>
          <w:tcPr>
            <w:tcW w:w="11135" w:type="dxa"/>
          </w:tcPr>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‘Bundled payment’ describes a healthcare remuneration model in which an agreed, single payment is made to all providers responsible for the care of a patient with a condition/ undergoing a procedure. It is a response to rising costs and questionable outcomes associated with fragmented payments to specialty providers. </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This paper outlines a stepwise approach to implementing ‘based on learnings from an initiative covering total joint arthroplasty. While written in the US context, there are parallels with the ‘best practice pricing’ model in other jurisdictions.</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sz w:val="21"/>
                <w:szCs w:val="21"/>
                <w:shd w:val="clear" w:color="auto" w:fill="FFFFFF"/>
              </w:rPr>
              <w:t xml:space="preserve">Successful implementation of a bundled payment system requires </w:t>
            </w:r>
            <w:r w:rsidRPr="00735EA3">
              <w:rPr>
                <w:rFonts w:ascii="Calibri" w:hAnsi="Calibri"/>
                <w:b/>
                <w:sz w:val="21"/>
                <w:szCs w:val="21"/>
                <w:shd w:val="clear" w:color="auto" w:fill="FFFFFF"/>
              </w:rPr>
              <w:t>clinical and administrative leaders</w:t>
            </w:r>
            <w:r w:rsidRPr="00735EA3">
              <w:rPr>
                <w:rFonts w:ascii="Calibri" w:hAnsi="Calibri"/>
                <w:sz w:val="21"/>
                <w:szCs w:val="21"/>
                <w:shd w:val="clear" w:color="auto" w:fill="FFFFFF"/>
              </w:rPr>
              <w:t xml:space="preserve"> who are committed to developing new systems of delivering care and willing to hold themselves accountable for both the costs and clinical outcomes associated with the care they deliver.</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sz w:val="21"/>
                <w:szCs w:val="21"/>
                <w:shd w:val="clear" w:color="auto" w:fill="FFFFFF"/>
              </w:rPr>
              <w:t>Key factors include: (a) choosing a conditions/procedure with sufficient volume/cost; (b) defining the episode in terms of trigger and end-point; (c) robust measurement tools and performance metrics; (d) pricing and costing; and (e) evaluation.</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autoSpaceDE w:val="0"/>
              <w:autoSpaceDN w:val="0"/>
              <w:adjustRightInd w:val="0"/>
              <w:rPr>
                <w:rFonts w:ascii="Calibri" w:hAnsi="Calibri" w:cs="Arial"/>
                <w:sz w:val="20"/>
                <w:lang w:eastAsia="en-AU"/>
              </w:rPr>
            </w:pPr>
            <w:r w:rsidRPr="00735EA3">
              <w:rPr>
                <w:rFonts w:ascii="Calibri" w:hAnsi="Calibri" w:cs="Arial"/>
                <w:sz w:val="20"/>
                <w:szCs w:val="24"/>
                <w:lang w:eastAsia="en-AU"/>
              </w:rPr>
              <w:t>Can Bundled Payment Improve Quality and Efficiency of Care for Patients with Hip Fractures?</w:t>
            </w:r>
            <w:hyperlink w:anchor="_ENREF_17" w:tooltip="Antonova, 2014 #13901"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&lt;EndNote&gt;&lt;Cite&gt;&lt;Author&gt;Antonova&lt;/Author&gt;&lt;Year&gt;2014&lt;/Year&gt;&lt;RecNum&gt;13901&lt;/RecNum&gt;&lt;DisplayText&gt;&lt;style face="superscript"&gt;17&lt;/style&gt;&lt;/DisplayText&gt;&lt;record&gt;&lt;rec-number&gt;13901&lt;/rec-number&gt;&lt;foreign-keys&gt;&lt;key app="EN" db-id="5r0eapxzsestz4er5zaxe5zqz99fvpawedp5"&gt;13901&lt;/key&gt;&lt;/foreign-keys&gt;&lt;ref-type name="Journal Article"&gt;17&lt;/ref-type&gt;&lt;contributors&gt;&lt;authors&gt;&lt;author&gt;Antonova, Evgeniya&lt;/author&gt;&lt;author&gt;Boye, Mark E.&lt;/author&gt;&lt;author&gt;Sen, Namrata&lt;/author&gt;&lt;author&gt;O’Sullivan, Amy K.&lt;/author&gt;&lt;author&gt;Burge, Russel&lt;/author&gt;&lt;/authors&gt;&lt;/contributors&gt;&lt;titles&gt;&lt;title&gt;Can Bundled Payment Improve Quality and Efficiency of Care for Patients with Hip Fractures?&lt;/title&gt;&lt;secondary-title&gt;Journal of Aging &amp;amp; Social Policy&lt;/secondary-title&gt;&lt;/titles&gt;&lt;periodical&gt;&lt;full-title&gt;Journal of Aging &amp;amp; Social Policy&lt;/full-title&gt;&lt;/periodical&gt;&lt;pages&gt;null-null&lt;/pages&gt;&lt;dates&gt;&lt;year&gt;2014&lt;/year&gt;&lt;/dates&gt;&lt;publisher&gt;Routledge&lt;/publisher&gt;&lt;isbn&gt;0895-9420&lt;/isbn&gt;&lt;urls&gt;&lt;related-urls&gt;&lt;url&gt;http://dx.doi.org/10.1080/08959420.2015.970844&lt;/url&gt;&lt;/related-urls&gt;&lt;/urls&gt;&lt;electronic-resource-num&gt;10.1080/08959420.2015.970844&lt;/electronic-resource-num&gt;&lt;access-date&gt;2014/11/02&lt;/access-date&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17</w:t>
              </w:r>
              <w:r w:rsidRPr="00735EA3">
                <w:rPr>
                  <w:rFonts w:ascii="Calibri" w:hAnsi="Calibri" w:cs="Arial"/>
                  <w:sz w:val="20"/>
                  <w:szCs w:val="24"/>
                  <w:lang w:eastAsia="en-AU"/>
                </w:rPr>
                <w:fldChar w:fldCharType="end"/>
              </w:r>
            </w:hyperlink>
            <w:r w:rsidRPr="00735EA3">
              <w:rPr>
                <w:rFonts w:ascii="Calibri" w:hAnsi="Calibri" w:cs="Arial"/>
                <w:sz w:val="20"/>
                <w:szCs w:val="24"/>
                <w:lang w:eastAsia="en-AU"/>
              </w:rPr>
              <w:t xml:space="preserve"> </w:t>
            </w:r>
          </w:p>
        </w:tc>
        <w:tc>
          <w:tcPr>
            <w:tcW w:w="144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szCs w:val="24"/>
                <w:lang w:eastAsia="en-AU"/>
              </w:rPr>
              <w:t>Antonova E, Boye M, Sen N, O’Sullivan A, Burge R</w:t>
            </w:r>
          </w:p>
        </w:tc>
        <w:tc>
          <w:tcPr>
            <w:tcW w:w="1440" w:type="dxa"/>
          </w:tcPr>
          <w:p w:rsidR="005070F4" w:rsidRPr="00735EA3" w:rsidRDefault="005070F4" w:rsidP="00B060E0">
            <w:pPr>
              <w:spacing w:before="20" w:after="20" w:line="264" w:lineRule="auto"/>
              <w:rPr>
                <w:rFonts w:ascii="Calibri" w:hAnsi="Calibri" w:cs="Arial"/>
                <w:iCs/>
                <w:sz w:val="20"/>
                <w:lang w:eastAsia="en-AU"/>
              </w:rPr>
            </w:pPr>
            <w:r w:rsidRPr="00735EA3">
              <w:rPr>
                <w:rFonts w:ascii="Calibri" w:hAnsi="Calibri" w:cs="Arial"/>
                <w:iCs/>
                <w:sz w:val="20"/>
                <w:szCs w:val="24"/>
                <w:lang w:eastAsia="en-AU"/>
              </w:rPr>
              <w:t>Journal of Aging &amp; Social Policy</w:t>
            </w:r>
          </w:p>
        </w:tc>
        <w:tc>
          <w:tcPr>
            <w:tcW w:w="1800" w:type="dxa"/>
          </w:tcPr>
          <w:p w:rsidR="005070F4" w:rsidRPr="00735EA3" w:rsidRDefault="005070F4" w:rsidP="00B060E0">
            <w:pPr>
              <w:spacing w:before="20" w:after="20" w:line="264" w:lineRule="auto"/>
              <w:rPr>
                <w:rFonts w:ascii="Calibri" w:eastAsia="Arial Unicode MS" w:hAnsi="Calibri" w:cs="Arial"/>
                <w:color w:val="2E2E2E"/>
                <w:sz w:val="20"/>
                <w:shd w:val="clear" w:color="auto" w:fill="FFFFFF"/>
              </w:rPr>
            </w:pPr>
            <w:r w:rsidRPr="00735EA3">
              <w:rPr>
                <w:rFonts w:ascii="Calibri" w:eastAsia="Arial Unicode MS" w:hAnsi="Calibri" w:cs="Arial"/>
                <w:color w:val="2E2E2E"/>
                <w:sz w:val="20"/>
                <w:shd w:val="clear" w:color="auto" w:fill="FFFFFF"/>
              </w:rPr>
              <w:t xml:space="preserve">Review </w:t>
            </w:r>
          </w:p>
        </w:tc>
        <w:tc>
          <w:tcPr>
            <w:tcW w:w="1800"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eastAsia="Arial Unicode MS" w:hAnsi="Calibri" w:cs="Arial"/>
                <w:color w:val="2E2E2E"/>
                <w:sz w:val="20"/>
                <w:shd w:val="clear" w:color="auto" w:fill="FFFFFF"/>
              </w:rPr>
              <w:t>Bundled payment</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 xml:space="preserve">Hospital </w:t>
            </w:r>
          </w:p>
        </w:tc>
        <w:tc>
          <w:tcPr>
            <w:tcW w:w="11135" w:type="dxa"/>
          </w:tcPr>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Another paper canvassing the benefits of bundled payment in improving care and reducing costs. </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A key advantage cited here is that it promotes shared accountability for the patient among the various providers and facilities involved in the patient’s care. It aligns incentives – both financial and patient-related.</w:t>
            </w:r>
          </w:p>
          <w:p w:rsidR="005070F4" w:rsidRPr="00735EA3" w:rsidRDefault="005070F4" w:rsidP="005070F4">
            <w:pPr>
              <w:pStyle w:val="NormalWeb"/>
              <w:numPr>
                <w:ilvl w:val="0"/>
                <w:numId w:val="62"/>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According to the evidence, hip fracture care is often associated with poor quality and patient harm. </w:t>
            </w:r>
            <w:r w:rsidRPr="00735EA3">
              <w:rPr>
                <w:rFonts w:ascii="Calibri" w:hAnsi="Calibri" w:cs="Arial"/>
                <w:b/>
                <w:color w:val="191919"/>
                <w:sz w:val="20"/>
                <w:szCs w:val="20"/>
              </w:rPr>
              <w:t>Surgical delay</w:t>
            </w:r>
            <w:r w:rsidRPr="00735EA3">
              <w:rPr>
                <w:rFonts w:ascii="Calibri" w:hAnsi="Calibri" w:cs="Arial"/>
                <w:color w:val="191919"/>
                <w:sz w:val="20"/>
                <w:szCs w:val="20"/>
              </w:rPr>
              <w:t xml:space="preserve"> is the largest determinant of outcome in patients admitted for hip fracture.</w:t>
            </w:r>
          </w:p>
        </w:tc>
      </w:tr>
      <w:tr w:rsidR="005070F4" w:rsidRPr="00DD5F78" w:rsidTr="005070F4">
        <w:trPr>
          <w:cantSplit/>
          <w:trHeight w:val="1198"/>
          <w:tblHeader/>
        </w:trPr>
        <w:tc>
          <w:tcPr>
            <w:tcW w:w="449" w:type="dxa"/>
            <w:shd w:val="clear" w:color="auto" w:fill="8DB3E2"/>
          </w:tcPr>
          <w:p w:rsidR="005070F4" w:rsidRPr="00735EA3" w:rsidRDefault="005070F4" w:rsidP="005070F4">
            <w:pPr>
              <w:pStyle w:val="ListParagraph"/>
              <w:numPr>
                <w:ilvl w:val="0"/>
                <w:numId w:val="63"/>
              </w:numPr>
              <w:spacing w:before="20" w:after="20" w:line="264" w:lineRule="auto"/>
              <w:rPr>
                <w:rFonts w:ascii="Calibri" w:hAnsi="Calibri" w:cs="Arial"/>
                <w:color w:val="FFFFFF"/>
                <w:sz w:val="20"/>
                <w:lang w:eastAsia="en-AU"/>
              </w:rPr>
            </w:pPr>
          </w:p>
        </w:tc>
        <w:tc>
          <w:tcPr>
            <w:tcW w:w="2791" w:type="dxa"/>
          </w:tcPr>
          <w:p w:rsidR="005070F4" w:rsidRPr="00735EA3" w:rsidRDefault="005070F4" w:rsidP="00B060E0">
            <w:pPr>
              <w:autoSpaceDE w:val="0"/>
              <w:autoSpaceDN w:val="0"/>
              <w:adjustRightInd w:val="0"/>
              <w:rPr>
                <w:rFonts w:ascii="Calibri" w:hAnsi="Calibri" w:cs="Arial"/>
                <w:sz w:val="20"/>
                <w:szCs w:val="24"/>
                <w:lang w:eastAsia="en-AU"/>
              </w:rPr>
            </w:pPr>
            <w:r w:rsidRPr="00735EA3">
              <w:rPr>
                <w:rFonts w:ascii="Calibri" w:hAnsi="Calibri" w:cs="Arial"/>
                <w:sz w:val="20"/>
                <w:szCs w:val="24"/>
                <w:lang w:eastAsia="en-AU"/>
              </w:rPr>
              <w:t xml:space="preserve">Designing smarter pay-for-performance programs </w:t>
            </w:r>
            <w:hyperlink w:anchor="_ENREF_18" w:tooltip="McKethan, 2014 #13905" w:history="1">
              <w:r w:rsidRPr="00735EA3">
                <w:rPr>
                  <w:rFonts w:ascii="Calibri" w:hAnsi="Calibri" w:cs="Arial"/>
                  <w:sz w:val="20"/>
                  <w:szCs w:val="24"/>
                  <w:lang w:eastAsia="en-AU"/>
                </w:rPr>
                <w:fldChar w:fldCharType="begin"/>
              </w:r>
              <w:r w:rsidRPr="00735EA3">
                <w:rPr>
                  <w:rFonts w:ascii="Calibri" w:hAnsi="Calibri" w:cs="Arial"/>
                  <w:sz w:val="20"/>
                  <w:szCs w:val="24"/>
                  <w:lang w:eastAsia="en-AU"/>
                </w:rPr>
                <w:instrText xml:space="preserve"> ADDIN EN.CITE &lt;EndNote&gt;&lt;Cite&gt;&lt;Author&gt;McKethan&lt;/Author&gt;&lt;Year&gt;2014&lt;/Year&gt;&lt;RecNum&gt;13905&lt;/RecNum&gt;&lt;DisplayText&gt;&lt;style face="superscript"&gt;18&lt;/style&gt;&lt;/DisplayText&gt;&lt;record&gt;&lt;rec-number&gt;13905&lt;/rec-number&gt;&lt;foreign-keys&gt;&lt;key app="EN" db-id="5r0eapxzsestz4er5zaxe5zqz99fvpawedp5"&gt;13905&lt;/key&gt;&lt;/foreign-keys&gt;&lt;ref-type name="Journal Article"&gt;17&lt;/ref-type&gt;&lt;contributors&gt;&lt;authors&gt;&lt;author&gt;McKethan, A.&lt;/author&gt;&lt;author&gt;Jha, A. K.&lt;/author&gt;&lt;/authors&gt;&lt;/contributors&gt;&lt;titles&gt;&lt;title&gt;Designing smarter pay-for-performance programs&lt;/title&gt;&lt;secondary-title&gt;JAMA&lt;/secondary-title&gt;&lt;/titles&gt;&lt;periodical&gt;&lt;full-title&gt;JAMA&lt;/full-title&gt;&lt;/periodical&gt;&lt;dates&gt;&lt;year&gt;2014&lt;/year&gt;&lt;/dates&gt;&lt;isbn&gt;0098-7484&lt;/isbn&gt;&lt;urls&gt;&lt;related-urls&gt;&lt;url&gt;http://dx.doi.org/10.1001/jama.2014.15398&lt;/url&gt;&lt;/related-urls&gt;&lt;/urls&gt;&lt;electronic-resource-num&gt;10.1001/jama.2014.15398&lt;/electronic-resource-num&gt;&lt;/record&gt;&lt;/Cite&gt;&lt;/EndNote&gt;</w:instrText>
              </w:r>
              <w:r w:rsidRPr="00735EA3">
                <w:rPr>
                  <w:rFonts w:ascii="Calibri" w:hAnsi="Calibri" w:cs="Arial"/>
                  <w:sz w:val="20"/>
                  <w:szCs w:val="24"/>
                  <w:lang w:eastAsia="en-AU"/>
                </w:rPr>
                <w:fldChar w:fldCharType="separate"/>
              </w:r>
              <w:r w:rsidRPr="00735EA3">
                <w:rPr>
                  <w:rFonts w:ascii="Calibri" w:hAnsi="Calibri" w:cs="Arial"/>
                  <w:noProof/>
                  <w:sz w:val="20"/>
                  <w:szCs w:val="24"/>
                  <w:vertAlign w:val="superscript"/>
                  <w:lang w:eastAsia="en-AU"/>
                </w:rPr>
                <w:t>18</w:t>
              </w:r>
              <w:r w:rsidRPr="00735EA3">
                <w:rPr>
                  <w:rFonts w:ascii="Calibri" w:hAnsi="Calibri" w:cs="Arial"/>
                  <w:sz w:val="20"/>
                  <w:szCs w:val="24"/>
                  <w:lang w:eastAsia="en-AU"/>
                </w:rPr>
                <w:fldChar w:fldCharType="end"/>
              </w:r>
            </w:hyperlink>
          </w:p>
        </w:tc>
        <w:tc>
          <w:tcPr>
            <w:tcW w:w="1440" w:type="dxa"/>
          </w:tcPr>
          <w:p w:rsidR="005070F4" w:rsidRPr="00735EA3" w:rsidRDefault="005070F4" w:rsidP="00B060E0">
            <w:pPr>
              <w:spacing w:before="20" w:after="20" w:line="264" w:lineRule="auto"/>
              <w:rPr>
                <w:rFonts w:ascii="Calibri" w:hAnsi="Calibri" w:cs="Arial"/>
                <w:sz w:val="20"/>
                <w:szCs w:val="24"/>
                <w:lang w:eastAsia="en-AU"/>
              </w:rPr>
            </w:pPr>
            <w:r w:rsidRPr="00735EA3">
              <w:rPr>
                <w:rFonts w:ascii="Calibri" w:hAnsi="Calibri" w:cs="Arial"/>
                <w:sz w:val="20"/>
                <w:szCs w:val="24"/>
                <w:lang w:eastAsia="en-AU"/>
              </w:rPr>
              <w:t>McKethan A and Jha AK</w:t>
            </w:r>
          </w:p>
        </w:tc>
        <w:tc>
          <w:tcPr>
            <w:tcW w:w="1440" w:type="dxa"/>
          </w:tcPr>
          <w:p w:rsidR="005070F4" w:rsidRPr="00735EA3" w:rsidRDefault="005070F4" w:rsidP="00B060E0">
            <w:pPr>
              <w:spacing w:before="20" w:after="20" w:line="264" w:lineRule="auto"/>
              <w:rPr>
                <w:rFonts w:ascii="Calibri" w:hAnsi="Calibri" w:cs="Arial"/>
                <w:iCs/>
                <w:sz w:val="20"/>
                <w:szCs w:val="24"/>
                <w:lang w:eastAsia="en-AU"/>
              </w:rPr>
            </w:pPr>
            <w:r w:rsidRPr="00735EA3">
              <w:rPr>
                <w:rFonts w:ascii="Calibri" w:hAnsi="Calibri" w:cs="Arial"/>
                <w:i/>
                <w:iCs/>
                <w:sz w:val="20"/>
                <w:szCs w:val="24"/>
                <w:lang w:eastAsia="en-AU"/>
              </w:rPr>
              <w:t>JAMA</w:t>
            </w:r>
          </w:p>
        </w:tc>
        <w:tc>
          <w:tcPr>
            <w:tcW w:w="1800" w:type="dxa"/>
          </w:tcPr>
          <w:p w:rsidR="005070F4" w:rsidRPr="00735EA3" w:rsidRDefault="005070F4" w:rsidP="00B060E0">
            <w:pPr>
              <w:spacing w:before="20" w:after="20" w:line="264" w:lineRule="auto"/>
              <w:rPr>
                <w:rFonts w:ascii="Calibri" w:eastAsia="Arial Unicode MS" w:hAnsi="Calibri" w:cs="Arial"/>
                <w:color w:val="2E2E2E"/>
                <w:sz w:val="20"/>
                <w:shd w:val="clear" w:color="auto" w:fill="FFFFFF"/>
              </w:rPr>
            </w:pPr>
            <w:r w:rsidRPr="00735EA3">
              <w:rPr>
                <w:rFonts w:ascii="Calibri" w:eastAsia="Arial Unicode MS" w:hAnsi="Calibri" w:cs="Arial"/>
                <w:color w:val="2E2E2E"/>
                <w:sz w:val="20"/>
                <w:shd w:val="clear" w:color="auto" w:fill="FFFFFF"/>
              </w:rPr>
              <w:t>Commentary</w:t>
            </w:r>
          </w:p>
        </w:tc>
        <w:tc>
          <w:tcPr>
            <w:tcW w:w="1800" w:type="dxa"/>
          </w:tcPr>
          <w:p w:rsidR="005070F4" w:rsidRPr="00735EA3" w:rsidRDefault="005070F4" w:rsidP="00B060E0">
            <w:pPr>
              <w:spacing w:before="20" w:after="20" w:line="264" w:lineRule="auto"/>
              <w:rPr>
                <w:rFonts w:ascii="Calibri" w:eastAsia="Arial Unicode MS" w:hAnsi="Calibri" w:cs="Arial"/>
                <w:color w:val="2E2E2E"/>
                <w:sz w:val="20"/>
                <w:shd w:val="clear" w:color="auto" w:fill="FFFFFF"/>
              </w:rPr>
            </w:pPr>
            <w:r w:rsidRPr="00735EA3">
              <w:rPr>
                <w:rFonts w:ascii="Calibri" w:eastAsia="Arial Unicode MS" w:hAnsi="Calibri" w:cs="Arial"/>
                <w:color w:val="2E2E2E"/>
                <w:sz w:val="20"/>
                <w:shd w:val="clear" w:color="auto" w:fill="FFFFFF"/>
              </w:rPr>
              <w:t>P4P</w:t>
            </w:r>
          </w:p>
        </w:tc>
        <w:tc>
          <w:tcPr>
            <w:tcW w:w="105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USA</w:t>
            </w:r>
          </w:p>
        </w:tc>
        <w:tc>
          <w:tcPr>
            <w:tcW w:w="1285" w:type="dxa"/>
          </w:tcPr>
          <w:p w:rsidR="005070F4" w:rsidRPr="00735EA3" w:rsidRDefault="005070F4" w:rsidP="00B060E0">
            <w:pPr>
              <w:spacing w:before="20" w:after="20" w:line="264" w:lineRule="auto"/>
              <w:rPr>
                <w:rFonts w:ascii="Calibri" w:hAnsi="Calibri" w:cs="Arial"/>
                <w:sz w:val="20"/>
                <w:lang w:eastAsia="en-AU"/>
              </w:rPr>
            </w:pPr>
            <w:r w:rsidRPr="00735EA3">
              <w:rPr>
                <w:rFonts w:ascii="Calibri" w:hAnsi="Calibri" w:cs="Arial"/>
                <w:sz w:val="20"/>
                <w:lang w:eastAsia="en-AU"/>
              </w:rPr>
              <w:t>Various</w:t>
            </w:r>
          </w:p>
        </w:tc>
        <w:tc>
          <w:tcPr>
            <w:tcW w:w="11135" w:type="dxa"/>
          </w:tcPr>
          <w:p w:rsidR="005070F4" w:rsidRPr="00735EA3" w:rsidRDefault="005070F4" w:rsidP="005070F4">
            <w:pPr>
              <w:pStyle w:val="NormalWeb"/>
              <w:numPr>
                <w:ilvl w:val="0"/>
                <w:numId w:val="66"/>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Thoughtful piece (a) reflecting on the so-far disappointing results of P4P, and (b) proposing an alternative to current schemes, which focus on selecting on specific conditions, processes and measures, but pay little regard to patient suitability.</w:t>
            </w:r>
          </w:p>
          <w:p w:rsidR="005070F4" w:rsidRPr="00735EA3" w:rsidRDefault="005070F4" w:rsidP="005070F4">
            <w:pPr>
              <w:pStyle w:val="NormalWeb"/>
              <w:numPr>
                <w:ilvl w:val="0"/>
                <w:numId w:val="65"/>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This paper suggests incentives should </w:t>
            </w:r>
            <w:r w:rsidRPr="00735EA3">
              <w:rPr>
                <w:rFonts w:ascii="Calibri" w:hAnsi="Calibri" w:cs="Arial"/>
                <w:b/>
                <w:color w:val="191919"/>
                <w:sz w:val="20"/>
                <w:szCs w:val="20"/>
              </w:rPr>
              <w:t>target ‘at risk’ patients</w:t>
            </w:r>
            <w:r w:rsidRPr="00735EA3">
              <w:rPr>
                <w:rFonts w:ascii="Calibri" w:hAnsi="Calibri" w:cs="Arial"/>
                <w:color w:val="191919"/>
                <w:sz w:val="20"/>
                <w:szCs w:val="20"/>
              </w:rPr>
              <w:t xml:space="preserve"> who would benefit from additional resources and attention (i.e. those with multiple-morbidities, poor social support systems, poor access to primary care etc.)</w:t>
            </w:r>
            <w:r>
              <w:rPr>
                <w:rFonts w:ascii="Calibri" w:hAnsi="Calibri" w:cs="Arial"/>
                <w:color w:val="191919"/>
                <w:sz w:val="20"/>
                <w:szCs w:val="20"/>
              </w:rPr>
              <w:t>.</w:t>
            </w:r>
          </w:p>
          <w:p w:rsidR="005070F4" w:rsidRPr="00735EA3" w:rsidRDefault="005070F4" w:rsidP="005070F4">
            <w:pPr>
              <w:pStyle w:val="NormalWeb"/>
              <w:numPr>
                <w:ilvl w:val="0"/>
                <w:numId w:val="65"/>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A </w:t>
            </w:r>
            <w:r w:rsidRPr="00735EA3">
              <w:rPr>
                <w:rFonts w:ascii="Calibri" w:hAnsi="Calibri" w:cs="Arial"/>
                <w:b/>
                <w:color w:val="191919"/>
                <w:sz w:val="20"/>
                <w:szCs w:val="20"/>
              </w:rPr>
              <w:t>predictive model</w:t>
            </w:r>
            <w:r w:rsidRPr="00735EA3">
              <w:rPr>
                <w:rFonts w:ascii="Calibri" w:hAnsi="Calibri" w:cs="Arial"/>
                <w:color w:val="191919"/>
                <w:sz w:val="20"/>
                <w:szCs w:val="20"/>
              </w:rPr>
              <w:t xml:space="preserve"> is suggested as the technical platform to profile patients, going beyond casemix adjustment to incorporating any factors that increases the likelihood of a poor clinical outcome [remoteness, SES for example].</w:t>
            </w:r>
          </w:p>
          <w:p w:rsidR="005070F4" w:rsidRPr="00735EA3" w:rsidRDefault="005070F4" w:rsidP="005070F4">
            <w:pPr>
              <w:pStyle w:val="NormalWeb"/>
              <w:numPr>
                <w:ilvl w:val="0"/>
                <w:numId w:val="65"/>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Such a scheme would “reward high-quality health care professionals, not health care professionals whose patients are likely to do well irrespective of incentives.”</w:t>
            </w:r>
          </w:p>
          <w:p w:rsidR="005070F4" w:rsidRPr="00735EA3" w:rsidRDefault="005070F4" w:rsidP="005070F4">
            <w:pPr>
              <w:pStyle w:val="NormalWeb"/>
              <w:numPr>
                <w:ilvl w:val="0"/>
                <w:numId w:val="65"/>
              </w:numPr>
              <w:shd w:val="clear" w:color="auto" w:fill="FFFFFF"/>
              <w:spacing w:before="0" w:beforeAutospacing="0" w:after="0" w:afterAutospacing="0"/>
              <w:jc w:val="both"/>
              <w:textAlignment w:val="baseline"/>
              <w:rPr>
                <w:rFonts w:ascii="Calibri" w:hAnsi="Calibri" w:cs="Arial"/>
                <w:color w:val="191919"/>
                <w:sz w:val="20"/>
                <w:szCs w:val="20"/>
              </w:rPr>
            </w:pPr>
            <w:r w:rsidRPr="00735EA3">
              <w:rPr>
                <w:rFonts w:ascii="Calibri" w:hAnsi="Calibri" w:cs="Arial"/>
                <w:color w:val="191919"/>
                <w:sz w:val="20"/>
                <w:szCs w:val="20"/>
              </w:rPr>
              <w:t xml:space="preserve">A common reservation about P4P is the </w:t>
            </w:r>
            <w:r w:rsidRPr="00735EA3">
              <w:rPr>
                <w:rFonts w:ascii="Calibri" w:hAnsi="Calibri" w:cs="Arial"/>
                <w:b/>
                <w:color w:val="191919"/>
                <w:sz w:val="20"/>
                <w:szCs w:val="20"/>
              </w:rPr>
              <w:t>risk of patient selection bias</w:t>
            </w:r>
            <w:r w:rsidRPr="00735EA3">
              <w:rPr>
                <w:rFonts w:ascii="Calibri" w:hAnsi="Calibri" w:cs="Arial"/>
                <w:color w:val="191919"/>
                <w:sz w:val="20"/>
                <w:szCs w:val="20"/>
              </w:rPr>
              <w:t>, which the suggested approach could perhaps mitigate.</w:t>
            </w:r>
          </w:p>
        </w:tc>
      </w:tr>
    </w:tbl>
    <w:p w:rsidR="005070F4" w:rsidRDefault="005070F4" w:rsidP="005070F4">
      <w:pPr>
        <w:rPr>
          <w:rStyle w:val="IntenseReference"/>
          <w:bCs w:val="0"/>
          <w:i w:val="0"/>
          <w:smallCaps w:val="0"/>
          <w:lang w:val="en-US"/>
        </w:rPr>
      </w:pPr>
    </w:p>
    <w:p w:rsidR="005070F4" w:rsidRDefault="005070F4" w:rsidP="005070F4">
      <w:pPr>
        <w:rPr>
          <w:rStyle w:val="IntenseReference"/>
          <w:i w:val="0"/>
          <w:lang w:val="en-US"/>
        </w:rPr>
      </w:pPr>
    </w:p>
    <w:p w:rsidR="005070F4" w:rsidRDefault="005070F4" w:rsidP="005070F4">
      <w:pPr>
        <w:rPr>
          <w:b/>
          <w:szCs w:val="22"/>
        </w:rPr>
      </w:pPr>
      <w:r>
        <w:rPr>
          <w:b/>
          <w:szCs w:val="22"/>
        </w:rPr>
        <w:t xml:space="preserve">3.6.1 </w:t>
      </w:r>
      <w:r w:rsidRPr="00361987">
        <w:rPr>
          <w:b/>
          <w:szCs w:val="22"/>
        </w:rPr>
        <w:t xml:space="preserve">References </w:t>
      </w:r>
    </w:p>
    <w:p w:rsidR="005070F4" w:rsidRPr="00361987" w:rsidRDefault="005070F4" w:rsidP="005070F4">
      <w:pPr>
        <w:rPr>
          <w:b/>
          <w:szCs w:val="22"/>
        </w:rPr>
      </w:pPr>
    </w:p>
    <w:p w:rsidR="005070F4" w:rsidRPr="00381825" w:rsidRDefault="005070F4" w:rsidP="005070F4">
      <w:pPr>
        <w:rPr>
          <w:rFonts w:cs="Arial"/>
          <w:noProof/>
          <w:szCs w:val="22"/>
        </w:rPr>
      </w:pPr>
      <w:r w:rsidRPr="00361987">
        <w:rPr>
          <w:szCs w:val="22"/>
        </w:rPr>
        <w:fldChar w:fldCharType="begin"/>
      </w:r>
      <w:r w:rsidRPr="00361987">
        <w:rPr>
          <w:szCs w:val="22"/>
        </w:rPr>
        <w:instrText xml:space="preserve"> ADDIN EN.REFLIST </w:instrText>
      </w:r>
      <w:r w:rsidRPr="00361987">
        <w:rPr>
          <w:szCs w:val="22"/>
        </w:rPr>
        <w:fldChar w:fldCharType="separate"/>
      </w:r>
      <w:r w:rsidRPr="00381825">
        <w:rPr>
          <w:rFonts w:cs="Arial"/>
          <w:noProof/>
          <w:szCs w:val="22"/>
        </w:rPr>
        <w:t xml:space="preserve">1.Kristensen SR, Meacock R, Turner AJ, Boaden R, McDonald R, Roland M, et al. Long-Term Effect of Hospital Pay for Performance on Mortality in England. </w:t>
      </w:r>
      <w:r w:rsidRPr="00381825">
        <w:rPr>
          <w:rFonts w:cs="Arial"/>
          <w:i/>
          <w:noProof/>
          <w:szCs w:val="22"/>
        </w:rPr>
        <w:t>New England Journal of Medicine</w:t>
      </w:r>
      <w:r w:rsidRPr="00381825">
        <w:rPr>
          <w:rFonts w:cs="Arial"/>
          <w:noProof/>
          <w:szCs w:val="22"/>
        </w:rPr>
        <w:t xml:space="preserve"> 2014;371(6):540-548.</w:t>
      </w:r>
    </w:p>
    <w:p w:rsidR="005070F4" w:rsidRPr="00381825" w:rsidRDefault="005070F4" w:rsidP="005070F4">
      <w:pPr>
        <w:rPr>
          <w:rFonts w:cs="Arial"/>
          <w:noProof/>
          <w:szCs w:val="22"/>
        </w:rPr>
      </w:pPr>
      <w:r w:rsidRPr="00381825">
        <w:rPr>
          <w:rFonts w:cs="Arial"/>
          <w:noProof/>
          <w:szCs w:val="22"/>
        </w:rPr>
        <w:t xml:space="preserve">2.Ryan AM, Burgess JF, Pesko MF, Borden WB, Dimick JB. The Early Effects of Medicare's Mandatory Hospital Pay-for-Performance Program. </w:t>
      </w:r>
      <w:r w:rsidRPr="00381825">
        <w:rPr>
          <w:rFonts w:cs="Arial"/>
          <w:i/>
          <w:noProof/>
          <w:szCs w:val="22"/>
        </w:rPr>
        <w:t>Health Services Research</w:t>
      </w:r>
      <w:r w:rsidRPr="00381825">
        <w:rPr>
          <w:rFonts w:cs="Arial"/>
          <w:noProof/>
          <w:szCs w:val="22"/>
        </w:rPr>
        <w:t xml:space="preserve"> 2014:n/a-n/a.</w:t>
      </w:r>
    </w:p>
    <w:p w:rsidR="005070F4" w:rsidRPr="00381825" w:rsidRDefault="005070F4" w:rsidP="005070F4">
      <w:pPr>
        <w:rPr>
          <w:rFonts w:cs="Arial"/>
          <w:noProof/>
          <w:szCs w:val="22"/>
        </w:rPr>
      </w:pPr>
      <w:r w:rsidRPr="00381825">
        <w:rPr>
          <w:rFonts w:cs="Arial"/>
          <w:noProof/>
          <w:szCs w:val="22"/>
        </w:rPr>
        <w:t xml:space="preserve">3.Shih T, Nicholas LH, Thumma JR, Birkmeyer JD, Dimick JB. Does Pay-for-Performance Improve Surgical Outcomes? An Evaluation of Phase 2 of the Premier Hospital Quality Incentive Demonstration. </w:t>
      </w:r>
      <w:r w:rsidRPr="00381825">
        <w:rPr>
          <w:rFonts w:cs="Arial"/>
          <w:i/>
          <w:noProof/>
          <w:szCs w:val="22"/>
        </w:rPr>
        <w:t>Annals of Surgery</w:t>
      </w:r>
      <w:r w:rsidRPr="00381825">
        <w:rPr>
          <w:rFonts w:cs="Arial"/>
          <w:noProof/>
          <w:szCs w:val="22"/>
        </w:rPr>
        <w:t xml:space="preserve"> 2014;259(4):677-681 610.1097/SLA.0000000000000425.</w:t>
      </w:r>
    </w:p>
    <w:p w:rsidR="005070F4" w:rsidRPr="00381825" w:rsidRDefault="005070F4" w:rsidP="005070F4">
      <w:pPr>
        <w:rPr>
          <w:rFonts w:cs="Arial"/>
          <w:noProof/>
          <w:szCs w:val="22"/>
        </w:rPr>
      </w:pPr>
      <w:r w:rsidRPr="00381825">
        <w:rPr>
          <w:rFonts w:cs="Arial"/>
          <w:noProof/>
          <w:szCs w:val="22"/>
        </w:rPr>
        <w:t xml:space="preserve">4.Ryan A, Sutton M, Doran T. Does Winning a Pay-for-Performance Bonus Improve Subsequent Quality Performance? Evidence from the Hospital Quality Incentive Demonstration. </w:t>
      </w:r>
      <w:r w:rsidRPr="00381825">
        <w:rPr>
          <w:rFonts w:cs="Arial"/>
          <w:i/>
          <w:noProof/>
          <w:szCs w:val="22"/>
        </w:rPr>
        <w:t>Health Services Research</w:t>
      </w:r>
      <w:r w:rsidRPr="00381825">
        <w:rPr>
          <w:rFonts w:cs="Arial"/>
          <w:noProof/>
          <w:szCs w:val="22"/>
        </w:rPr>
        <w:t xml:space="preserve"> 2014;49(2):568-587.</w:t>
      </w:r>
    </w:p>
    <w:p w:rsidR="005070F4" w:rsidRPr="00381825" w:rsidRDefault="005070F4" w:rsidP="005070F4">
      <w:pPr>
        <w:rPr>
          <w:rFonts w:cs="Arial"/>
          <w:noProof/>
          <w:szCs w:val="22"/>
        </w:rPr>
      </w:pPr>
      <w:r w:rsidRPr="00381825">
        <w:rPr>
          <w:rFonts w:cs="Arial"/>
          <w:noProof/>
          <w:szCs w:val="22"/>
        </w:rPr>
        <w:t>5.Song Z. Payment Reform in Massachusetts: Health Care Spending and Quality in Accountable Care Organizations Four Years into Global Payment. Harvard University, 2014.</w:t>
      </w:r>
    </w:p>
    <w:p w:rsidR="005070F4" w:rsidRPr="00381825" w:rsidRDefault="005070F4" w:rsidP="005070F4">
      <w:pPr>
        <w:rPr>
          <w:rFonts w:cs="Arial"/>
          <w:noProof/>
          <w:szCs w:val="22"/>
        </w:rPr>
      </w:pPr>
      <w:r w:rsidRPr="00381825">
        <w:rPr>
          <w:rFonts w:cs="Arial"/>
          <w:noProof/>
          <w:szCs w:val="22"/>
        </w:rPr>
        <w:t xml:space="preserve">6.Newcomer LN, Gould B, Page RD, Donelan SA, Perkins M. Changing Physician Incentives for Affordable, Quality Cancer Care: Results of an Episode Payment Model. </w:t>
      </w:r>
      <w:r w:rsidRPr="00381825">
        <w:rPr>
          <w:rFonts w:cs="Arial"/>
          <w:i/>
          <w:noProof/>
          <w:szCs w:val="22"/>
        </w:rPr>
        <w:t>Journal of Oncology Practice</w:t>
      </w:r>
      <w:r w:rsidRPr="00381825">
        <w:rPr>
          <w:rFonts w:cs="Arial"/>
          <w:noProof/>
          <w:szCs w:val="22"/>
        </w:rPr>
        <w:t xml:space="preserve"> 2014.</w:t>
      </w:r>
    </w:p>
    <w:p w:rsidR="005070F4" w:rsidRPr="00381825" w:rsidRDefault="005070F4" w:rsidP="005070F4">
      <w:pPr>
        <w:rPr>
          <w:rFonts w:cs="Arial"/>
          <w:noProof/>
          <w:szCs w:val="22"/>
        </w:rPr>
      </w:pPr>
      <w:r w:rsidRPr="00381825">
        <w:rPr>
          <w:rFonts w:cs="Arial"/>
          <w:noProof/>
          <w:szCs w:val="22"/>
        </w:rPr>
        <w:t xml:space="preserve">7.Murray R. Maryland’s Bold Experiment In Reversing Fee-For-Service Incentives. In: Health Affairs, editor. </w:t>
      </w:r>
      <w:r w:rsidRPr="00381825">
        <w:rPr>
          <w:rFonts w:cs="Arial"/>
          <w:i/>
          <w:noProof/>
          <w:szCs w:val="22"/>
        </w:rPr>
        <w:t>Health Affairs Blog</w:t>
      </w:r>
      <w:r w:rsidRPr="00381825">
        <w:rPr>
          <w:rFonts w:cs="Arial"/>
          <w:noProof/>
          <w:szCs w:val="22"/>
        </w:rPr>
        <w:t>, 2014.</w:t>
      </w:r>
    </w:p>
    <w:p w:rsidR="005070F4" w:rsidRPr="00381825" w:rsidRDefault="005070F4" w:rsidP="005070F4">
      <w:pPr>
        <w:rPr>
          <w:rFonts w:cs="Arial"/>
          <w:noProof/>
          <w:szCs w:val="22"/>
        </w:rPr>
      </w:pPr>
      <w:r w:rsidRPr="00381825">
        <w:rPr>
          <w:rFonts w:cs="Arial"/>
          <w:noProof/>
          <w:szCs w:val="22"/>
        </w:rPr>
        <w:t xml:space="preserve">8.Murray R. United States: Maryland hospital acquired conditions programme. In: Cashin C, Chi Y, Smith P, Borowitz M, Thomson S, editors. </w:t>
      </w:r>
      <w:r w:rsidRPr="00381825">
        <w:rPr>
          <w:rFonts w:cs="Arial"/>
          <w:i/>
          <w:noProof/>
          <w:szCs w:val="22"/>
        </w:rPr>
        <w:t>Paying for Performance in Health Care</w:t>
      </w:r>
      <w:r w:rsidRPr="00381825">
        <w:rPr>
          <w:rFonts w:cs="Arial"/>
          <w:noProof/>
          <w:szCs w:val="22"/>
        </w:rPr>
        <w:t>. Berkshire, England: McGraw Hill, 2014:265-285.</w:t>
      </w:r>
    </w:p>
    <w:p w:rsidR="005070F4" w:rsidRPr="00381825" w:rsidRDefault="005070F4" w:rsidP="005070F4">
      <w:pPr>
        <w:rPr>
          <w:rFonts w:cs="Arial"/>
          <w:noProof/>
          <w:szCs w:val="22"/>
        </w:rPr>
      </w:pPr>
      <w:r w:rsidRPr="00381825">
        <w:rPr>
          <w:rFonts w:cs="Arial"/>
          <w:noProof/>
          <w:szCs w:val="22"/>
        </w:rPr>
        <w:t xml:space="preserve">9.Calikoglu S, Murray R, Feeney D. Hospital Pay-For-Performance Programs In Maryland Produced Strong Results, Including Reduced Hospital-Acquired Conditions. </w:t>
      </w:r>
      <w:r w:rsidRPr="00381825">
        <w:rPr>
          <w:rFonts w:cs="Arial"/>
          <w:i/>
          <w:noProof/>
          <w:szCs w:val="22"/>
        </w:rPr>
        <w:t>Health Affairs</w:t>
      </w:r>
      <w:r w:rsidRPr="00381825">
        <w:rPr>
          <w:rFonts w:cs="Arial"/>
          <w:noProof/>
          <w:szCs w:val="22"/>
        </w:rPr>
        <w:t xml:space="preserve"> 2012;31(12):2649-2658.</w:t>
      </w:r>
    </w:p>
    <w:p w:rsidR="005070F4" w:rsidRPr="00381825" w:rsidRDefault="005070F4" w:rsidP="005070F4">
      <w:pPr>
        <w:rPr>
          <w:rFonts w:cs="Arial"/>
          <w:noProof/>
          <w:szCs w:val="22"/>
        </w:rPr>
      </w:pPr>
      <w:r w:rsidRPr="00381825">
        <w:rPr>
          <w:rFonts w:cs="Arial"/>
          <w:noProof/>
          <w:szCs w:val="22"/>
        </w:rPr>
        <w:t>10.RAND Corporation. Measuring Success in Health Care Value-Based Purchasing Programs: Findings from an Environmental Scan, Literature Review, and Expert Panel Discussions. Washington DC. RAND Corporation, 2014.</w:t>
      </w:r>
    </w:p>
    <w:p w:rsidR="005070F4" w:rsidRPr="00381825" w:rsidRDefault="005070F4" w:rsidP="005070F4">
      <w:pPr>
        <w:rPr>
          <w:rFonts w:cs="Arial"/>
          <w:noProof/>
          <w:szCs w:val="22"/>
        </w:rPr>
      </w:pPr>
      <w:r w:rsidRPr="00381825">
        <w:rPr>
          <w:rFonts w:cs="Arial"/>
          <w:noProof/>
          <w:szCs w:val="22"/>
        </w:rPr>
        <w:t xml:space="preserve">11.Conrad DA, Grembowski D, Hernandez SE, Lau B, Marcus-Smith M. Emerging Lessons From Regional and State Innovation in Value-Based Payment Reform: Balancing Collaboration and Disruptive Innovation. </w:t>
      </w:r>
      <w:r w:rsidRPr="00381825">
        <w:rPr>
          <w:rFonts w:cs="Arial"/>
          <w:i/>
          <w:noProof/>
          <w:szCs w:val="22"/>
        </w:rPr>
        <w:t>Milbank Quarterly</w:t>
      </w:r>
      <w:r w:rsidRPr="00381825">
        <w:rPr>
          <w:rFonts w:cs="Arial"/>
          <w:noProof/>
          <w:szCs w:val="22"/>
        </w:rPr>
        <w:t xml:space="preserve"> 2014;92(3):568-623.</w:t>
      </w:r>
    </w:p>
    <w:p w:rsidR="005070F4" w:rsidRPr="00381825" w:rsidRDefault="005070F4" w:rsidP="005070F4">
      <w:pPr>
        <w:rPr>
          <w:rFonts w:cs="Arial"/>
          <w:noProof/>
          <w:szCs w:val="22"/>
        </w:rPr>
      </w:pPr>
      <w:r w:rsidRPr="00381825">
        <w:rPr>
          <w:rFonts w:cs="Arial"/>
          <w:noProof/>
          <w:szCs w:val="22"/>
        </w:rPr>
        <w:t xml:space="preserve">12.Epstein AM, Joynt KE, Jha AK, Orav EJ. Access to Coronary Artery Bypass Graft Surgery Under Pay for Performance: Evidence From the Premier Hospital Quality Incentive Demonstration. </w:t>
      </w:r>
      <w:r w:rsidRPr="00381825">
        <w:rPr>
          <w:rFonts w:cs="Arial"/>
          <w:i/>
          <w:noProof/>
          <w:szCs w:val="22"/>
        </w:rPr>
        <w:t>Circulation: Cardiovascular Quality and Outcomes</w:t>
      </w:r>
      <w:r w:rsidRPr="00381825">
        <w:rPr>
          <w:rFonts w:cs="Arial"/>
          <w:noProof/>
          <w:szCs w:val="22"/>
        </w:rPr>
        <w:t xml:space="preserve"> 2014.</w:t>
      </w:r>
    </w:p>
    <w:p w:rsidR="005070F4" w:rsidRPr="00381825" w:rsidRDefault="005070F4" w:rsidP="005070F4">
      <w:pPr>
        <w:rPr>
          <w:rFonts w:cs="Arial"/>
          <w:noProof/>
          <w:szCs w:val="22"/>
        </w:rPr>
      </w:pPr>
      <w:r w:rsidRPr="00381825">
        <w:rPr>
          <w:rFonts w:cs="Arial"/>
          <w:noProof/>
          <w:szCs w:val="22"/>
        </w:rPr>
        <w:t xml:space="preserve">13.Janus K, Brown LD. Physician integration revisited—An exploratory study of monetary and professional incentives in three countries. </w:t>
      </w:r>
      <w:r w:rsidRPr="00381825">
        <w:rPr>
          <w:rFonts w:cs="Arial"/>
          <w:i/>
          <w:noProof/>
          <w:szCs w:val="22"/>
        </w:rPr>
        <w:t>Health Policy</w:t>
      </w:r>
      <w:r w:rsidRPr="00381825">
        <w:rPr>
          <w:rFonts w:cs="Arial"/>
          <w:noProof/>
          <w:szCs w:val="22"/>
        </w:rPr>
        <w:t xml:space="preserve"> (0).</w:t>
      </w:r>
    </w:p>
    <w:p w:rsidR="005070F4" w:rsidRPr="00381825" w:rsidRDefault="005070F4" w:rsidP="005070F4">
      <w:pPr>
        <w:rPr>
          <w:rFonts w:cs="Arial"/>
          <w:noProof/>
          <w:szCs w:val="22"/>
        </w:rPr>
      </w:pPr>
      <w:r w:rsidRPr="00381825">
        <w:rPr>
          <w:rFonts w:cs="Arial"/>
          <w:noProof/>
          <w:szCs w:val="22"/>
        </w:rPr>
        <w:t xml:space="preserve">14.Kairies-Schwarz N, Krieger M. How do Non-Monetary Performance Incentives for Physicians Affect the Quality of Medical Care? – A Laboratory Experiment. </w:t>
      </w:r>
      <w:r w:rsidRPr="00381825">
        <w:rPr>
          <w:rFonts w:cs="Arial"/>
          <w:i/>
          <w:noProof/>
          <w:szCs w:val="22"/>
        </w:rPr>
        <w:t>Beiträge zur Jahrestagung des Vereins für Socialpolitik 1014: Evidenzbasierte Wirtschaftspolitik - Session: Health I, No. A10-V2</w:t>
      </w:r>
      <w:r w:rsidRPr="00381825">
        <w:rPr>
          <w:rFonts w:cs="Arial"/>
          <w:noProof/>
          <w:szCs w:val="22"/>
        </w:rPr>
        <w:t xml:space="preserve"> 2014.</w:t>
      </w:r>
    </w:p>
    <w:p w:rsidR="005070F4" w:rsidRPr="00381825" w:rsidRDefault="005070F4" w:rsidP="005070F4">
      <w:pPr>
        <w:rPr>
          <w:rFonts w:cs="Arial"/>
          <w:noProof/>
          <w:szCs w:val="22"/>
        </w:rPr>
      </w:pPr>
      <w:r w:rsidRPr="00381825">
        <w:rPr>
          <w:rFonts w:cs="Arial"/>
          <w:noProof/>
          <w:szCs w:val="22"/>
        </w:rPr>
        <w:t xml:space="preserve">15.Spaulding A, Zhao M, Haley DR. Value-based purchasing and hospital acquired conditions: Are we seeing improvement? </w:t>
      </w:r>
      <w:r w:rsidRPr="00381825">
        <w:rPr>
          <w:rFonts w:cs="Arial"/>
          <w:i/>
          <w:noProof/>
          <w:szCs w:val="22"/>
        </w:rPr>
        <w:t>Health Policy</w:t>
      </w:r>
      <w:r w:rsidRPr="00381825">
        <w:rPr>
          <w:rFonts w:cs="Arial"/>
          <w:noProof/>
          <w:szCs w:val="22"/>
        </w:rPr>
        <w:t xml:space="preserve"> (0).</w:t>
      </w:r>
    </w:p>
    <w:p w:rsidR="005070F4" w:rsidRPr="00381825" w:rsidRDefault="005070F4" w:rsidP="005070F4">
      <w:pPr>
        <w:rPr>
          <w:rFonts w:cs="Arial"/>
          <w:noProof/>
          <w:szCs w:val="22"/>
        </w:rPr>
      </w:pPr>
      <w:r w:rsidRPr="00381825">
        <w:rPr>
          <w:rFonts w:cs="Arial"/>
          <w:noProof/>
          <w:szCs w:val="22"/>
        </w:rPr>
        <w:t xml:space="preserve">16.Bozic KJ, Ward L. A Strategy for Successful Implementation of Bundled Payments in Orthopaedic Surgery. </w:t>
      </w:r>
      <w:r w:rsidRPr="00381825">
        <w:rPr>
          <w:rFonts w:cs="Arial"/>
          <w:i/>
          <w:noProof/>
          <w:szCs w:val="22"/>
        </w:rPr>
        <w:t>JBJS Reviews</w:t>
      </w:r>
      <w:r w:rsidRPr="00381825">
        <w:rPr>
          <w:rFonts w:cs="Arial"/>
          <w:noProof/>
          <w:szCs w:val="22"/>
        </w:rPr>
        <w:t xml:space="preserve"> 2014;2(10).</w:t>
      </w:r>
    </w:p>
    <w:p w:rsidR="005070F4" w:rsidRPr="00381825" w:rsidRDefault="005070F4" w:rsidP="005070F4">
      <w:pPr>
        <w:rPr>
          <w:rFonts w:cs="Arial"/>
          <w:noProof/>
          <w:szCs w:val="22"/>
        </w:rPr>
      </w:pPr>
      <w:r w:rsidRPr="00381825">
        <w:rPr>
          <w:rFonts w:cs="Arial"/>
          <w:noProof/>
          <w:szCs w:val="22"/>
        </w:rPr>
        <w:t xml:space="preserve">17.Antonova E, Boye ME, Sen N, O’Sullivan AK, Burge R. Can Bundled Payment Improve Quality and Efficiency of Care for Patients with Hip Fractures? </w:t>
      </w:r>
      <w:r w:rsidRPr="00381825">
        <w:rPr>
          <w:rFonts w:cs="Arial"/>
          <w:i/>
          <w:noProof/>
          <w:szCs w:val="22"/>
        </w:rPr>
        <w:t>Journal of Aging &amp; Social Policy</w:t>
      </w:r>
      <w:r w:rsidRPr="00381825">
        <w:rPr>
          <w:rFonts w:cs="Arial"/>
          <w:noProof/>
          <w:szCs w:val="22"/>
        </w:rPr>
        <w:t xml:space="preserve"> 2014:null-null.</w:t>
      </w:r>
    </w:p>
    <w:p w:rsidR="005070F4" w:rsidRPr="00381825" w:rsidRDefault="005070F4" w:rsidP="005070F4">
      <w:pPr>
        <w:rPr>
          <w:rFonts w:cs="Arial"/>
          <w:noProof/>
          <w:szCs w:val="22"/>
        </w:rPr>
      </w:pPr>
      <w:r w:rsidRPr="00381825">
        <w:rPr>
          <w:rFonts w:cs="Arial"/>
          <w:noProof/>
          <w:szCs w:val="22"/>
        </w:rPr>
        <w:t xml:space="preserve">18.McKethan A, Jha AK. Designing smarter pay-for-performance programs. </w:t>
      </w:r>
      <w:r w:rsidRPr="00381825">
        <w:rPr>
          <w:rFonts w:cs="Arial"/>
          <w:i/>
          <w:noProof/>
          <w:szCs w:val="22"/>
        </w:rPr>
        <w:t>JAMA</w:t>
      </w:r>
      <w:r w:rsidRPr="00381825">
        <w:rPr>
          <w:rFonts w:cs="Arial"/>
          <w:noProof/>
          <w:szCs w:val="22"/>
        </w:rPr>
        <w:t xml:space="preserve"> 2014.</w:t>
      </w:r>
    </w:p>
    <w:p w:rsidR="00473701" w:rsidRDefault="00473701" w:rsidP="005070F4">
      <w:pPr>
        <w:rPr>
          <w:rFonts w:cs="Arial"/>
          <w:noProof/>
          <w:szCs w:val="22"/>
        </w:rPr>
      </w:pPr>
    </w:p>
    <w:p w:rsidR="005070F4" w:rsidRDefault="00473701" w:rsidP="005070F4">
      <w:pPr>
        <w:rPr>
          <w:rFonts w:cs="Arial"/>
          <w:noProof/>
          <w:szCs w:val="22"/>
        </w:rPr>
      </w:pPr>
      <w:r>
        <w:rPr>
          <w:rFonts w:cs="Arial"/>
          <w:noProof/>
          <w:szCs w:val="22"/>
        </w:rPr>
        <w:br w:type="page"/>
      </w:r>
    </w:p>
    <w:p w:rsidR="00473701" w:rsidRDefault="005070F4" w:rsidP="00473701">
      <w:pPr>
        <w:ind w:left="-567" w:right="-1418"/>
        <w:rPr>
          <w:rStyle w:val="IntenseReference"/>
          <w:b w:val="0"/>
          <w:bCs w:val="0"/>
          <w:i w:val="0"/>
          <w:smallCaps w:val="0"/>
          <w:lang w:val="en-US"/>
        </w:rPr>
      </w:pPr>
      <w:r w:rsidRPr="00361987">
        <w:rPr>
          <w:szCs w:val="22"/>
        </w:rPr>
        <w:fldChar w:fldCharType="end"/>
      </w:r>
      <w:r w:rsidR="00473701">
        <w:rPr>
          <w:b/>
        </w:rPr>
        <w:t xml:space="preserve">3.6 </w:t>
      </w:r>
      <w:r w:rsidR="00473701" w:rsidRPr="00C3225A">
        <w:rPr>
          <w:b/>
        </w:rPr>
        <w:t>Summary o</w:t>
      </w:r>
      <w:r w:rsidR="00473701">
        <w:rPr>
          <w:b/>
        </w:rPr>
        <w:t>f literature January 2015 – June 2015</w:t>
      </w:r>
    </w:p>
    <w:p w:rsidR="00473701" w:rsidRDefault="00473701" w:rsidP="00473701">
      <w:pPr>
        <w:rPr>
          <w:rStyle w:val="IntenseReference"/>
          <w:b w:val="0"/>
          <w:bCs w:val="0"/>
          <w:i w:val="0"/>
          <w:smallCaps w:val="0"/>
          <w:lang w:val="en-US"/>
        </w:rPr>
      </w:pPr>
    </w:p>
    <w:tbl>
      <w:tblPr>
        <w:tblW w:w="23195" w:type="dxa"/>
        <w:tblInd w:w="-6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49"/>
        <w:gridCol w:w="2791"/>
        <w:gridCol w:w="1440"/>
        <w:gridCol w:w="1440"/>
        <w:gridCol w:w="1800"/>
        <w:gridCol w:w="1800"/>
        <w:gridCol w:w="1055"/>
        <w:gridCol w:w="1285"/>
        <w:gridCol w:w="11135"/>
      </w:tblGrid>
      <w:tr w:rsidR="00473701" w:rsidRPr="00DD5F78" w:rsidTr="00473701">
        <w:trPr>
          <w:trHeight w:val="510"/>
          <w:tblHeader/>
        </w:trPr>
        <w:tc>
          <w:tcPr>
            <w:tcW w:w="449" w:type="dxa"/>
            <w:shd w:val="clear" w:color="auto" w:fill="8DB3E2"/>
          </w:tcPr>
          <w:p w:rsidR="00473701" w:rsidRPr="00735EA3" w:rsidRDefault="00473701" w:rsidP="00473701">
            <w:pPr>
              <w:spacing w:before="20" w:after="20" w:line="264" w:lineRule="auto"/>
              <w:rPr>
                <w:rFonts w:ascii="Calibri" w:hAnsi="Calibri" w:cs="Arial"/>
                <w:b/>
                <w:color w:val="FFFFFF"/>
                <w:sz w:val="20"/>
                <w:lang w:eastAsia="en-AU"/>
              </w:rPr>
            </w:pPr>
          </w:p>
        </w:tc>
        <w:tc>
          <w:tcPr>
            <w:tcW w:w="2791"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Article name</w:t>
            </w:r>
          </w:p>
        </w:tc>
        <w:tc>
          <w:tcPr>
            <w:tcW w:w="1440"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Authors</w:t>
            </w:r>
          </w:p>
        </w:tc>
        <w:tc>
          <w:tcPr>
            <w:tcW w:w="1440"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 xml:space="preserve">Publication </w:t>
            </w:r>
          </w:p>
        </w:tc>
        <w:tc>
          <w:tcPr>
            <w:tcW w:w="1800"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Study design</w:t>
            </w:r>
          </w:p>
        </w:tc>
        <w:tc>
          <w:tcPr>
            <w:tcW w:w="1800"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 xml:space="preserve">Model(s) &amp; mechanism </w:t>
            </w:r>
          </w:p>
        </w:tc>
        <w:tc>
          <w:tcPr>
            <w:tcW w:w="1055"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 xml:space="preserve">Country </w:t>
            </w:r>
          </w:p>
        </w:tc>
        <w:tc>
          <w:tcPr>
            <w:tcW w:w="1285"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Context &amp; setting</w:t>
            </w:r>
          </w:p>
        </w:tc>
        <w:tc>
          <w:tcPr>
            <w:tcW w:w="11135" w:type="dxa"/>
            <w:shd w:val="clear" w:color="000000" w:fill="8DB3E2"/>
          </w:tcPr>
          <w:p w:rsidR="00473701" w:rsidRPr="00735EA3" w:rsidRDefault="00473701" w:rsidP="00473701">
            <w:p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Results, impact, key points</w:t>
            </w:r>
          </w:p>
        </w:tc>
      </w:tr>
      <w:tr w:rsidR="00473701" w:rsidRPr="00DD5F78" w:rsidTr="00473701">
        <w:trPr>
          <w:cantSplit/>
          <w:trHeight w:val="1198"/>
          <w:tblHeader/>
        </w:trPr>
        <w:tc>
          <w:tcPr>
            <w:tcW w:w="449" w:type="dxa"/>
            <w:shd w:val="clear" w:color="auto" w:fill="8DB3E2"/>
          </w:tcPr>
          <w:p w:rsidR="00473701" w:rsidRPr="00735EA3" w:rsidRDefault="00473701" w:rsidP="00473701">
            <w:pPr>
              <w:pStyle w:val="ListParagraph"/>
              <w:numPr>
                <w:ilvl w:val="0"/>
                <w:numId w:val="67"/>
              </w:numPr>
              <w:spacing w:before="20" w:after="20" w:line="264" w:lineRule="auto"/>
              <w:rPr>
                <w:rFonts w:ascii="Calibri" w:hAnsi="Calibri" w:cs="Arial"/>
                <w:b/>
                <w:color w:val="FFFFFF"/>
                <w:sz w:val="20"/>
                <w:lang w:eastAsia="en-AU"/>
              </w:rPr>
            </w:pPr>
            <w:r w:rsidRPr="00735EA3">
              <w:rPr>
                <w:rFonts w:ascii="Calibri" w:hAnsi="Calibri" w:cs="Arial"/>
                <w:b/>
                <w:color w:val="FFFFFF"/>
                <w:sz w:val="20"/>
                <w:lang w:eastAsia="en-AU"/>
              </w:rPr>
              <w:t>2</w:t>
            </w:r>
          </w:p>
        </w:tc>
        <w:tc>
          <w:tcPr>
            <w:tcW w:w="2791" w:type="dxa"/>
          </w:tcPr>
          <w:p w:rsidR="00473701" w:rsidRPr="00DA6362" w:rsidRDefault="00473701" w:rsidP="00C31A18">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 xml:space="preserve">Leaders experiences and perceptions implementing activity-based funding </w:t>
            </w:r>
            <w:r w:rsidR="008C7C3C" w:rsidRPr="00DA6362">
              <w:rPr>
                <w:rFonts w:ascii="Calibri" w:hAnsi="Calibri" w:cs="Arial"/>
                <w:sz w:val="20"/>
                <w:szCs w:val="24"/>
                <w:lang w:eastAsia="en-AU"/>
              </w:rPr>
              <w:t xml:space="preserve">(ABF) </w:t>
            </w:r>
            <w:r w:rsidRPr="00DA6362">
              <w:rPr>
                <w:rFonts w:ascii="Calibri" w:hAnsi="Calibri" w:cs="Arial"/>
                <w:sz w:val="20"/>
                <w:szCs w:val="24"/>
                <w:lang w:eastAsia="en-AU"/>
              </w:rPr>
              <w:t xml:space="preserve">and pay-for-performance </w:t>
            </w:r>
            <w:r w:rsidR="008C7C3C" w:rsidRPr="00DA6362">
              <w:rPr>
                <w:rFonts w:ascii="Calibri" w:hAnsi="Calibri" w:cs="Arial"/>
                <w:sz w:val="20"/>
                <w:szCs w:val="24"/>
                <w:lang w:eastAsia="en-AU"/>
              </w:rPr>
              <w:t xml:space="preserve">(P4P) </w:t>
            </w:r>
            <w:r w:rsidRPr="00DA6362">
              <w:rPr>
                <w:rFonts w:ascii="Calibri" w:hAnsi="Calibri" w:cs="Arial"/>
                <w:sz w:val="20"/>
                <w:szCs w:val="24"/>
                <w:lang w:eastAsia="en-AU"/>
              </w:rPr>
              <w:t>hospital funding models: A systematic review</w:t>
            </w:r>
          </w:p>
        </w:tc>
        <w:tc>
          <w:tcPr>
            <w:tcW w:w="1440" w:type="dxa"/>
          </w:tcPr>
          <w:p w:rsidR="00E14AD7" w:rsidRPr="00DA6362" w:rsidRDefault="00473701" w:rsidP="00572E83">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Baxter</w:t>
            </w:r>
            <w:r w:rsidR="00E14AD7" w:rsidRPr="00DA6362">
              <w:rPr>
                <w:rFonts w:ascii="Calibri" w:hAnsi="Calibri" w:cs="Arial"/>
                <w:sz w:val="20"/>
                <w:szCs w:val="24"/>
                <w:lang w:eastAsia="en-AU"/>
              </w:rPr>
              <w:t xml:space="preserve"> PE, Hewko SJ, Pfaff KA, </w:t>
            </w:r>
          </w:p>
          <w:p w:rsidR="00E14AD7" w:rsidRPr="00DA6362" w:rsidRDefault="00E14AD7" w:rsidP="00572E83">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 xml:space="preserve">Cleghorn L, </w:t>
            </w:r>
          </w:p>
          <w:p w:rsidR="00E14AD7" w:rsidRPr="00DA6362" w:rsidRDefault="00E14AD7" w:rsidP="00572E83">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 xml:space="preserve">Cunningham BJ, Elston D, </w:t>
            </w:r>
          </w:p>
          <w:p w:rsidR="00473701" w:rsidRPr="00DA6362" w:rsidRDefault="00E14AD7" w:rsidP="004A010A">
            <w:pPr>
              <w:spacing w:before="20" w:after="20" w:line="264" w:lineRule="auto"/>
              <w:rPr>
                <w:rFonts w:ascii="Calibri" w:hAnsi="Calibri" w:cs="Arial"/>
                <w:sz w:val="20"/>
                <w:szCs w:val="24"/>
                <w:highlight w:val="yellow"/>
                <w:lang w:eastAsia="en-AU"/>
              </w:rPr>
            </w:pPr>
            <w:r w:rsidRPr="00DA6362">
              <w:rPr>
                <w:rFonts w:ascii="Calibri" w:hAnsi="Calibri" w:cs="Arial"/>
                <w:sz w:val="20"/>
                <w:szCs w:val="24"/>
                <w:lang w:eastAsia="en-AU"/>
              </w:rPr>
              <w:t>Cummings GG.</w:t>
            </w:r>
          </w:p>
        </w:tc>
        <w:tc>
          <w:tcPr>
            <w:tcW w:w="1440" w:type="dxa"/>
          </w:tcPr>
          <w:p w:rsidR="00473701" w:rsidRPr="00DA6362" w:rsidRDefault="00473701" w:rsidP="00473701">
            <w:pPr>
              <w:spacing w:before="20" w:after="20" w:line="264" w:lineRule="auto"/>
              <w:rPr>
                <w:rFonts w:ascii="Calibri" w:hAnsi="Calibri" w:cs="Arial"/>
                <w:iCs/>
                <w:sz w:val="20"/>
                <w:szCs w:val="24"/>
                <w:lang w:eastAsia="en-AU"/>
              </w:rPr>
            </w:pPr>
            <w:r w:rsidRPr="00DA6362">
              <w:rPr>
                <w:rFonts w:ascii="Calibri" w:hAnsi="Calibri" w:cs="Arial"/>
                <w:iCs/>
                <w:sz w:val="20"/>
                <w:szCs w:val="24"/>
                <w:lang w:eastAsia="en-AU"/>
              </w:rPr>
              <w:t>Health Policy</w:t>
            </w:r>
          </w:p>
        </w:tc>
        <w:tc>
          <w:tcPr>
            <w:tcW w:w="1800" w:type="dxa"/>
          </w:tcPr>
          <w:p w:rsidR="00473701" w:rsidRPr="00DA6362" w:rsidRDefault="00473701" w:rsidP="00473701">
            <w:pPr>
              <w:spacing w:before="20" w:after="20" w:line="264" w:lineRule="auto"/>
              <w:rPr>
                <w:rFonts w:ascii="Calibri" w:hAnsi="Calibri" w:cs="Arial"/>
                <w:sz w:val="20"/>
                <w:lang w:eastAsia="en-AU"/>
              </w:rPr>
            </w:pPr>
            <w:r w:rsidRPr="00DA6362">
              <w:rPr>
                <w:rFonts w:ascii="Calibri" w:hAnsi="Calibri" w:cs="Arial"/>
                <w:sz w:val="20"/>
                <w:lang w:eastAsia="en-AU"/>
              </w:rPr>
              <w:t>Systematic Review</w:t>
            </w:r>
          </w:p>
        </w:tc>
        <w:tc>
          <w:tcPr>
            <w:tcW w:w="1800" w:type="dxa"/>
          </w:tcPr>
          <w:p w:rsidR="00473701" w:rsidRPr="00DA6362" w:rsidRDefault="00FE2683" w:rsidP="00473701">
            <w:pPr>
              <w:spacing w:before="20" w:after="20" w:line="264" w:lineRule="auto"/>
              <w:rPr>
                <w:rFonts w:ascii="Calibri" w:hAnsi="Calibri" w:cs="Arial"/>
                <w:sz w:val="20"/>
                <w:lang w:eastAsia="en-AU"/>
              </w:rPr>
            </w:pPr>
            <w:r w:rsidRPr="00DA6362">
              <w:rPr>
                <w:rFonts w:ascii="Calibri" w:hAnsi="Calibri" w:cs="Arial"/>
                <w:sz w:val="20"/>
                <w:lang w:eastAsia="en-AU"/>
              </w:rPr>
              <w:t>Thematic analysis to describe experiences of hospital leaders in implementing funding reforms</w:t>
            </w:r>
          </w:p>
        </w:tc>
        <w:tc>
          <w:tcPr>
            <w:tcW w:w="1055" w:type="dxa"/>
          </w:tcPr>
          <w:p w:rsidR="00473701" w:rsidRPr="00DA6362" w:rsidRDefault="00473701" w:rsidP="00473701">
            <w:pPr>
              <w:spacing w:before="20" w:after="20" w:line="264" w:lineRule="auto"/>
              <w:rPr>
                <w:rFonts w:ascii="Calibri" w:hAnsi="Calibri" w:cs="Arial"/>
                <w:sz w:val="20"/>
                <w:lang w:eastAsia="en-AU"/>
              </w:rPr>
            </w:pPr>
            <w:r w:rsidRPr="00DA6362">
              <w:rPr>
                <w:rFonts w:ascii="Calibri" w:hAnsi="Calibri" w:cs="Arial"/>
                <w:sz w:val="20"/>
                <w:lang w:eastAsia="en-AU"/>
              </w:rPr>
              <w:t>Canada</w:t>
            </w:r>
          </w:p>
        </w:tc>
        <w:tc>
          <w:tcPr>
            <w:tcW w:w="1285" w:type="dxa"/>
          </w:tcPr>
          <w:p w:rsidR="00473701" w:rsidRPr="00DA6362" w:rsidRDefault="008C7C3C" w:rsidP="008C7C3C">
            <w:pPr>
              <w:spacing w:before="20" w:after="20" w:line="264" w:lineRule="auto"/>
              <w:rPr>
                <w:rFonts w:ascii="Calibri" w:hAnsi="Calibri" w:cs="Arial"/>
                <w:sz w:val="20"/>
                <w:lang w:eastAsia="en-AU"/>
              </w:rPr>
            </w:pPr>
            <w:r w:rsidRPr="00DA6362">
              <w:rPr>
                <w:rFonts w:ascii="Calibri" w:hAnsi="Calibri" w:cs="Arial"/>
                <w:sz w:val="20"/>
                <w:lang w:eastAsia="en-AU"/>
              </w:rPr>
              <w:t xml:space="preserve">Health care leaders within OECD  countries </w:t>
            </w:r>
            <w:r w:rsidR="00473701" w:rsidRPr="00DA6362">
              <w:rPr>
                <w:rFonts w:ascii="Calibri" w:hAnsi="Calibri" w:cs="Arial"/>
                <w:sz w:val="20"/>
                <w:lang w:eastAsia="en-AU"/>
              </w:rPr>
              <w:t>implementing funding reforms OECD</w:t>
            </w:r>
          </w:p>
        </w:tc>
        <w:tc>
          <w:tcPr>
            <w:tcW w:w="11135" w:type="dxa"/>
          </w:tcPr>
          <w:p w:rsidR="008C7C3C" w:rsidRPr="00DA6362" w:rsidRDefault="008C7C3C" w:rsidP="008C7C3C">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ABF and P4P are the two most widely adopted funding models in the OECD. They operate under two assumptions:</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 xml:space="preserve">money motivates individuals to change behaviour </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behavioural change will</w:t>
            </w:r>
            <w:r w:rsidR="000D2DA8" w:rsidRPr="00DA6362">
              <w:rPr>
                <w:rFonts w:ascii="Calibri" w:hAnsi="Calibri" w:cs="Arial"/>
                <w:sz w:val="20"/>
                <w:shd w:val="clear" w:color="auto" w:fill="FFFFFF"/>
              </w:rPr>
              <w:t xml:space="preserve"> result in quality improvement</w:t>
            </w:r>
          </w:p>
          <w:p w:rsidR="00473701" w:rsidRPr="00DA6362" w:rsidRDefault="008C7C3C" w:rsidP="008C7C3C">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2 mixed methods and 12 qualitative studies were included with thematic analysis use to synthesise results</w:t>
            </w:r>
          </w:p>
          <w:p w:rsidR="008C7C3C" w:rsidRPr="00DA6362" w:rsidRDefault="008C7C3C" w:rsidP="008C7C3C">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Five common themes emerged:</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Prerequisites for success</w:t>
            </w:r>
            <w:r w:rsidR="00E62774" w:rsidRPr="00DA6362">
              <w:rPr>
                <w:rFonts w:ascii="Calibri" w:hAnsi="Calibri" w:cs="Arial"/>
                <w:sz w:val="20"/>
                <w:shd w:val="clear" w:color="auto" w:fill="FFFFFF"/>
              </w:rPr>
              <w:t xml:space="preserve"> – organisational factors and presence of committed leadership </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Perceived benefits</w:t>
            </w:r>
            <w:r w:rsidR="00E62774" w:rsidRPr="00DA6362">
              <w:rPr>
                <w:rFonts w:ascii="Calibri" w:hAnsi="Calibri" w:cs="Arial"/>
                <w:sz w:val="20"/>
                <w:shd w:val="clear" w:color="auto" w:fill="FFFFFF"/>
              </w:rPr>
              <w:t xml:space="preserve"> – improved efficiency, greater </w:t>
            </w:r>
            <w:r w:rsidR="00FE2683" w:rsidRPr="00DA6362">
              <w:rPr>
                <w:rFonts w:ascii="Calibri" w:hAnsi="Calibri" w:cs="Arial"/>
                <w:sz w:val="20"/>
                <w:shd w:val="clear" w:color="auto" w:fill="FFFFFF"/>
              </w:rPr>
              <w:t>emphasis</w:t>
            </w:r>
            <w:r w:rsidR="00E62774" w:rsidRPr="00DA6362">
              <w:rPr>
                <w:rFonts w:ascii="Calibri" w:hAnsi="Calibri" w:cs="Arial"/>
                <w:sz w:val="20"/>
                <w:shd w:val="clear" w:color="auto" w:fill="FFFFFF"/>
              </w:rPr>
              <w:t xml:space="preserve"> on accountability,  improved data accuracy</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Barriers/challenges</w:t>
            </w:r>
            <w:r w:rsidR="00E62774" w:rsidRPr="00DA6362">
              <w:rPr>
                <w:rFonts w:ascii="Calibri" w:hAnsi="Calibri" w:cs="Arial"/>
                <w:sz w:val="20"/>
                <w:shd w:val="clear" w:color="auto" w:fill="FFFFFF"/>
              </w:rPr>
              <w:t xml:space="preserve"> – lack of resources (staffing, training, data collection), lack of leader commitment </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Unintended consequences</w:t>
            </w:r>
            <w:r w:rsidR="00E62774" w:rsidRPr="00DA6362">
              <w:rPr>
                <w:rFonts w:ascii="Calibri" w:hAnsi="Calibri" w:cs="Arial"/>
                <w:sz w:val="20"/>
                <w:shd w:val="clear" w:color="auto" w:fill="FFFFFF"/>
              </w:rPr>
              <w:t xml:space="preserve"> – opportunistic behaviour and gaming, risk </w:t>
            </w:r>
            <w:r w:rsidR="00FE2683" w:rsidRPr="00DA6362">
              <w:rPr>
                <w:rFonts w:ascii="Calibri" w:hAnsi="Calibri" w:cs="Arial"/>
                <w:sz w:val="20"/>
                <w:shd w:val="clear" w:color="auto" w:fill="FFFFFF"/>
              </w:rPr>
              <w:t>selection</w:t>
            </w:r>
            <w:r w:rsidR="00E62774" w:rsidRPr="00DA6362">
              <w:rPr>
                <w:rFonts w:ascii="Calibri" w:hAnsi="Calibri" w:cs="Arial"/>
                <w:sz w:val="20"/>
                <w:shd w:val="clear" w:color="auto" w:fill="FFFFFF"/>
              </w:rPr>
              <w:t xml:space="preserve"> of patients, </w:t>
            </w:r>
            <w:r w:rsidR="00FE2683" w:rsidRPr="00DA6362">
              <w:rPr>
                <w:rFonts w:ascii="Calibri" w:hAnsi="Calibri" w:cs="Arial"/>
                <w:sz w:val="20"/>
                <w:shd w:val="clear" w:color="auto" w:fill="FFFFFF"/>
              </w:rPr>
              <w:t>up-coding</w:t>
            </w:r>
          </w:p>
          <w:p w:rsidR="008C7C3C" w:rsidRPr="00DA6362" w:rsidRDefault="008C7C3C" w:rsidP="008C7C3C">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Leader recommendations</w:t>
            </w:r>
            <w:r w:rsidR="00E62774" w:rsidRPr="00DA6362">
              <w:rPr>
                <w:rFonts w:ascii="Calibri" w:hAnsi="Calibri" w:cs="Arial"/>
                <w:sz w:val="20"/>
                <w:shd w:val="clear" w:color="auto" w:fill="FFFFFF"/>
              </w:rPr>
              <w:t xml:space="preserve"> – garnering support from organisational and program unit levels to implement</w:t>
            </w:r>
          </w:p>
          <w:p w:rsidR="008C7C3C" w:rsidRPr="00DA6362" w:rsidRDefault="008C7C3C" w:rsidP="00DA6362">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Regardless of the type of hospital funding reform, health care leaders described</w:t>
            </w:r>
            <w:r w:rsidR="00D22162" w:rsidRPr="00DA6362">
              <w:rPr>
                <w:rFonts w:ascii="Calibri" w:hAnsi="Calibri" w:cs="Arial"/>
                <w:sz w:val="20"/>
                <w:shd w:val="clear" w:color="auto" w:fill="FFFFFF"/>
              </w:rPr>
              <w:t xml:space="preserve"> similar experiences in</w:t>
            </w:r>
            <w:r w:rsidRPr="00DA6362">
              <w:rPr>
                <w:rFonts w:ascii="Calibri" w:hAnsi="Calibri" w:cs="Arial"/>
                <w:sz w:val="20"/>
                <w:shd w:val="clear" w:color="auto" w:fill="FFFFFF"/>
              </w:rPr>
              <w:t xml:space="preserve"> implementation</w:t>
            </w:r>
            <w:r w:rsidR="00D22162" w:rsidRPr="00DA6362">
              <w:rPr>
                <w:rFonts w:ascii="Calibri" w:hAnsi="Calibri" w:cs="Arial"/>
                <w:sz w:val="20"/>
                <w:shd w:val="clear" w:color="auto" w:fill="FFFFFF"/>
              </w:rPr>
              <w:t xml:space="preserve">. It was described as a </w:t>
            </w:r>
            <w:r w:rsidRPr="00DA6362">
              <w:rPr>
                <w:rFonts w:ascii="Calibri" w:hAnsi="Calibri" w:cs="Arial"/>
                <w:sz w:val="20"/>
                <w:shd w:val="clear" w:color="auto" w:fill="FFFFFF"/>
              </w:rPr>
              <w:t>complex process. It requires organisational commitment; adequate infrastructure; human, financial and information technology resources; change champions and a personal commitment to quality care</w:t>
            </w:r>
            <w:r w:rsidR="00E25107">
              <w:rPr>
                <w:rFonts w:ascii="Calibri" w:hAnsi="Calibri" w:cs="Arial"/>
                <w:sz w:val="20"/>
                <w:shd w:val="clear" w:color="auto" w:fill="FFFFFF"/>
              </w:rPr>
              <w:t>.</w:t>
            </w:r>
          </w:p>
        </w:tc>
      </w:tr>
      <w:tr w:rsidR="008D2A68" w:rsidRPr="00DD5F78" w:rsidTr="00473701">
        <w:trPr>
          <w:cantSplit/>
          <w:trHeight w:val="1198"/>
          <w:tblHeader/>
        </w:trPr>
        <w:tc>
          <w:tcPr>
            <w:tcW w:w="449" w:type="dxa"/>
            <w:shd w:val="clear" w:color="auto" w:fill="8DB3E2"/>
          </w:tcPr>
          <w:p w:rsidR="008D2A68" w:rsidRPr="00735EA3" w:rsidRDefault="008D2A68"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8D2A68" w:rsidRPr="00DA6362" w:rsidRDefault="00D22162" w:rsidP="00473701">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Should fee-for-service be for all guideline-advocated acute coronary syndrome (ACS) care? Obersvations from the Snapshot ACS study</w:t>
            </w:r>
          </w:p>
        </w:tc>
        <w:tc>
          <w:tcPr>
            <w:tcW w:w="1440" w:type="dxa"/>
          </w:tcPr>
          <w:p w:rsidR="00B27ED4" w:rsidRPr="00DA6362" w:rsidRDefault="00D22162"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Briffa</w:t>
            </w:r>
            <w:r w:rsidR="00B27ED4" w:rsidRPr="00DA6362">
              <w:rPr>
                <w:rFonts w:ascii="Calibri" w:hAnsi="Calibri" w:cs="Arial"/>
                <w:sz w:val="20"/>
                <w:szCs w:val="24"/>
                <w:lang w:eastAsia="en-AU"/>
              </w:rPr>
              <w:t xml:space="preserve"> TG, </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Hammett CJ,</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 xml:space="preserve">Cross DB, </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Macisaac AI,</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Rankin JM,</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Board N,</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Carr B,</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Hyun KK,</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French J,</w:t>
            </w:r>
          </w:p>
          <w:p w:rsidR="00B27ED4" w:rsidRPr="00DA6362" w:rsidRDefault="00B27ED4" w:rsidP="00B27ED4">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Brieger DB,</w:t>
            </w:r>
          </w:p>
          <w:p w:rsidR="008D2A68" w:rsidRPr="00DA6362" w:rsidRDefault="00B27ED4" w:rsidP="004A010A">
            <w:pPr>
              <w:spacing w:before="20" w:after="20" w:line="264" w:lineRule="auto"/>
              <w:rPr>
                <w:rFonts w:ascii="Calibri" w:hAnsi="Calibri" w:cs="Arial"/>
                <w:sz w:val="20"/>
                <w:szCs w:val="24"/>
                <w:highlight w:val="yellow"/>
                <w:lang w:eastAsia="en-AU"/>
              </w:rPr>
            </w:pPr>
            <w:r w:rsidRPr="00DA6362">
              <w:rPr>
                <w:rFonts w:ascii="Calibri" w:hAnsi="Calibri" w:cs="Arial"/>
                <w:sz w:val="20"/>
                <w:szCs w:val="24"/>
                <w:lang w:eastAsia="en-AU"/>
              </w:rPr>
              <w:t>Chew DP</w:t>
            </w:r>
          </w:p>
        </w:tc>
        <w:tc>
          <w:tcPr>
            <w:tcW w:w="1440" w:type="dxa"/>
          </w:tcPr>
          <w:p w:rsidR="008D2A68" w:rsidRPr="00DA6362" w:rsidRDefault="00D22162" w:rsidP="00473701">
            <w:pPr>
              <w:spacing w:before="20" w:after="20" w:line="264" w:lineRule="auto"/>
              <w:rPr>
                <w:rFonts w:ascii="Calibri" w:hAnsi="Calibri" w:cs="Arial"/>
                <w:iCs/>
                <w:sz w:val="20"/>
                <w:szCs w:val="24"/>
                <w:lang w:eastAsia="en-AU"/>
              </w:rPr>
            </w:pPr>
            <w:r w:rsidRPr="00DA6362">
              <w:rPr>
                <w:rFonts w:ascii="Calibri" w:hAnsi="Calibri" w:cs="Arial"/>
                <w:iCs/>
                <w:sz w:val="20"/>
                <w:szCs w:val="24"/>
                <w:lang w:eastAsia="en-AU"/>
              </w:rPr>
              <w:t>Australian Health Review</w:t>
            </w:r>
          </w:p>
        </w:tc>
        <w:tc>
          <w:tcPr>
            <w:tcW w:w="1800" w:type="dxa"/>
          </w:tcPr>
          <w:p w:rsidR="008D2A68" w:rsidRPr="00DA6362" w:rsidRDefault="00D22162" w:rsidP="00D22162">
            <w:pPr>
              <w:spacing w:before="20" w:after="20" w:line="264" w:lineRule="auto"/>
              <w:rPr>
                <w:rFonts w:ascii="Calibri" w:hAnsi="Calibri" w:cs="Arial"/>
                <w:sz w:val="20"/>
                <w:lang w:eastAsia="en-AU"/>
              </w:rPr>
            </w:pPr>
            <w:r w:rsidRPr="00DA6362">
              <w:rPr>
                <w:rFonts w:ascii="Calibri" w:hAnsi="Calibri" w:cs="Arial"/>
                <w:sz w:val="20"/>
                <w:lang w:eastAsia="en-AU"/>
              </w:rPr>
              <w:t xml:space="preserve">Descriptive and logistic regression analysis </w:t>
            </w:r>
          </w:p>
        </w:tc>
        <w:tc>
          <w:tcPr>
            <w:tcW w:w="1800" w:type="dxa"/>
          </w:tcPr>
          <w:p w:rsidR="008D2A68" w:rsidRPr="00DA6362" w:rsidRDefault="00FE2683" w:rsidP="00473701">
            <w:pPr>
              <w:spacing w:before="20" w:after="20" w:line="264" w:lineRule="auto"/>
              <w:rPr>
                <w:rFonts w:ascii="Calibri" w:hAnsi="Calibri" w:cs="Arial"/>
                <w:sz w:val="20"/>
                <w:lang w:eastAsia="en-AU"/>
              </w:rPr>
            </w:pPr>
            <w:r w:rsidRPr="00DA6362">
              <w:rPr>
                <w:rFonts w:ascii="Calibri" w:hAnsi="Calibri" w:cs="Arial"/>
                <w:sz w:val="20"/>
                <w:lang w:eastAsia="en-AU"/>
              </w:rPr>
              <w:t>Explores association between health insurance status and provision of ACS care</w:t>
            </w:r>
          </w:p>
        </w:tc>
        <w:tc>
          <w:tcPr>
            <w:tcW w:w="1055" w:type="dxa"/>
          </w:tcPr>
          <w:p w:rsidR="008D2A68" w:rsidRPr="00DA6362" w:rsidRDefault="00D22162" w:rsidP="00D22162">
            <w:pPr>
              <w:spacing w:before="20" w:after="20" w:line="264" w:lineRule="auto"/>
              <w:rPr>
                <w:rFonts w:ascii="Calibri" w:hAnsi="Calibri" w:cs="Arial"/>
                <w:sz w:val="20"/>
                <w:lang w:eastAsia="en-AU"/>
              </w:rPr>
            </w:pPr>
            <w:r w:rsidRPr="00DA6362">
              <w:rPr>
                <w:rFonts w:ascii="Calibri" w:hAnsi="Calibri" w:cs="Arial"/>
                <w:sz w:val="20"/>
                <w:lang w:eastAsia="en-AU"/>
              </w:rPr>
              <w:t xml:space="preserve">Australia </w:t>
            </w:r>
          </w:p>
        </w:tc>
        <w:tc>
          <w:tcPr>
            <w:tcW w:w="1285" w:type="dxa"/>
          </w:tcPr>
          <w:p w:rsidR="008D2A68" w:rsidRPr="00DA6362" w:rsidRDefault="00D22162" w:rsidP="008C7C3C">
            <w:pPr>
              <w:spacing w:before="20" w:after="20" w:line="264" w:lineRule="auto"/>
              <w:rPr>
                <w:rFonts w:ascii="Calibri" w:hAnsi="Calibri" w:cs="Arial"/>
                <w:sz w:val="20"/>
                <w:lang w:eastAsia="en-AU"/>
              </w:rPr>
            </w:pPr>
            <w:r w:rsidRPr="00DA6362">
              <w:rPr>
                <w:rFonts w:ascii="Calibri" w:hAnsi="Calibri" w:cs="Arial"/>
                <w:sz w:val="20"/>
                <w:lang w:eastAsia="en-AU"/>
              </w:rPr>
              <w:t xml:space="preserve">Hospitalisations of suspected ACS were enrolled in this study of </w:t>
            </w:r>
          </w:p>
        </w:tc>
        <w:tc>
          <w:tcPr>
            <w:tcW w:w="11135" w:type="dxa"/>
          </w:tcPr>
          <w:p w:rsidR="008D2A68" w:rsidRPr="00DA6362" w:rsidRDefault="00D22162" w:rsidP="00D22162">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This study explored the association of health insurance status on the provision of guideline-advocated ACS care in Australia</w:t>
            </w:r>
          </w:p>
          <w:p w:rsidR="00D22162" w:rsidRPr="00DA6362" w:rsidRDefault="00D22162" w:rsidP="002C3599">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Privately-insured patients were more likely to</w:t>
            </w:r>
            <w:r w:rsidR="002C3599" w:rsidRPr="00DA6362">
              <w:rPr>
                <w:rFonts w:ascii="Calibri" w:hAnsi="Calibri" w:cs="Arial"/>
                <w:sz w:val="20"/>
                <w:shd w:val="clear" w:color="auto" w:fill="FFFFFF"/>
              </w:rPr>
              <w:t xml:space="preserve"> receive services which attract a potential fee for service. More</w:t>
            </w:r>
            <w:r w:rsidRPr="00DA6362">
              <w:rPr>
                <w:rFonts w:ascii="Calibri" w:hAnsi="Calibri" w:cs="Arial"/>
                <w:sz w:val="20"/>
                <w:shd w:val="clear" w:color="auto" w:fill="FFFFFF"/>
              </w:rPr>
              <w:t xml:space="preserve"> undergo inpatient echocardiography and receive early angiography compared with public patients. Privately insured patients with a discharge diagnosis of ACS </w:t>
            </w:r>
            <w:r w:rsidR="002C3599" w:rsidRPr="00DA6362">
              <w:rPr>
                <w:rFonts w:ascii="Calibri" w:hAnsi="Calibri" w:cs="Arial"/>
                <w:sz w:val="20"/>
                <w:shd w:val="clear" w:color="auto" w:fill="FFFFFF"/>
              </w:rPr>
              <w:t xml:space="preserve">also </w:t>
            </w:r>
            <w:r w:rsidRPr="00DA6362">
              <w:rPr>
                <w:rFonts w:ascii="Calibri" w:hAnsi="Calibri" w:cs="Arial"/>
                <w:sz w:val="20"/>
                <w:shd w:val="clear" w:color="auto" w:fill="FFFFFF"/>
              </w:rPr>
              <w:t>had a higher rate of revascularisation (</w:t>
            </w:r>
            <w:r w:rsidRPr="00DA6362">
              <w:rPr>
                <w:rFonts w:ascii="Calibri" w:hAnsi="Calibri" w:cs="Arial"/>
                <w:i/>
                <w:sz w:val="20"/>
                <w:shd w:val="clear" w:color="auto" w:fill="FFFFFF"/>
              </w:rPr>
              <w:t>P</w:t>
            </w:r>
            <w:r w:rsidRPr="00DA6362">
              <w:rPr>
                <w:rFonts w:ascii="Calibri" w:hAnsi="Calibri" w:cs="Arial"/>
                <w:sz w:val="20"/>
                <w:shd w:val="clear" w:color="auto" w:fill="FFFFFF"/>
              </w:rPr>
              <w:t xml:space="preserve"> &lt;0.001) </w:t>
            </w:r>
          </w:p>
          <w:p w:rsidR="002C3599" w:rsidRPr="00DA6362" w:rsidRDefault="002C3599" w:rsidP="00D22162">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 xml:space="preserve">Fewer privately insured ACS patients were discharged on guideline therapies or be referred to a secondary prevention program. Neither of these interventions directly </w:t>
            </w:r>
            <w:r w:rsidR="00BA2140" w:rsidRPr="00DA6362">
              <w:rPr>
                <w:rFonts w:ascii="Calibri" w:hAnsi="Calibri" w:cs="Arial"/>
                <w:sz w:val="20"/>
                <w:shd w:val="clear" w:color="auto" w:fill="FFFFFF"/>
              </w:rPr>
              <w:t>attract a fee</w:t>
            </w:r>
          </w:p>
          <w:p w:rsidR="002C3599" w:rsidRPr="00DA6362" w:rsidRDefault="002C3599" w:rsidP="00D22162">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 xml:space="preserve">In conclusion, fee-for-service could explain the differences in the provision of selected ACS guideline therapies between privately insured and public patients. </w:t>
            </w:r>
          </w:p>
        </w:tc>
      </w:tr>
      <w:tr w:rsidR="008D2A68" w:rsidRPr="00DD5F78" w:rsidTr="00473701">
        <w:trPr>
          <w:cantSplit/>
          <w:trHeight w:val="1198"/>
          <w:tblHeader/>
        </w:trPr>
        <w:tc>
          <w:tcPr>
            <w:tcW w:w="449" w:type="dxa"/>
            <w:shd w:val="clear" w:color="auto" w:fill="8DB3E2"/>
          </w:tcPr>
          <w:p w:rsidR="008D2A68" w:rsidRPr="00735EA3" w:rsidRDefault="008D2A68"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8D2A68" w:rsidRPr="00DA6362" w:rsidRDefault="0058296C" w:rsidP="00473701">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Quality Improvement and Patient Safety</w:t>
            </w:r>
          </w:p>
        </w:tc>
        <w:tc>
          <w:tcPr>
            <w:tcW w:w="1440" w:type="dxa"/>
          </w:tcPr>
          <w:p w:rsidR="00A25687" w:rsidRPr="00DA6362" w:rsidRDefault="0058296C" w:rsidP="00A25687">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Martinez</w:t>
            </w:r>
            <w:r w:rsidR="00A25687" w:rsidRPr="00DA6362">
              <w:rPr>
                <w:rFonts w:ascii="Calibri" w:hAnsi="Calibri" w:cs="Arial"/>
                <w:sz w:val="20"/>
                <w:szCs w:val="24"/>
                <w:lang w:eastAsia="en-AU"/>
              </w:rPr>
              <w:t xml:space="preserve"> EA,</w:t>
            </w:r>
          </w:p>
          <w:p w:rsidR="008D2A68" w:rsidRPr="00DA6362" w:rsidRDefault="00A25687" w:rsidP="004A010A">
            <w:pPr>
              <w:spacing w:before="20" w:after="20" w:line="264" w:lineRule="auto"/>
              <w:rPr>
                <w:rFonts w:ascii="Calibri" w:hAnsi="Calibri" w:cs="Arial"/>
                <w:sz w:val="20"/>
                <w:szCs w:val="24"/>
                <w:highlight w:val="yellow"/>
                <w:lang w:eastAsia="en-AU"/>
              </w:rPr>
            </w:pPr>
            <w:r w:rsidRPr="00DA6362">
              <w:rPr>
                <w:rFonts w:ascii="Calibri" w:hAnsi="Calibri" w:cs="Arial"/>
                <w:sz w:val="20"/>
                <w:szCs w:val="24"/>
                <w:lang w:eastAsia="en-AU"/>
              </w:rPr>
              <w:t>Varughese AM, Buck DW, Heitmiller ES</w:t>
            </w:r>
          </w:p>
        </w:tc>
        <w:tc>
          <w:tcPr>
            <w:tcW w:w="1440" w:type="dxa"/>
          </w:tcPr>
          <w:p w:rsidR="008D2A68" w:rsidRPr="00DA6362" w:rsidRDefault="00A25687" w:rsidP="00473701">
            <w:pPr>
              <w:spacing w:before="20" w:after="20" w:line="264" w:lineRule="auto"/>
              <w:rPr>
                <w:rFonts w:ascii="Calibri" w:hAnsi="Calibri" w:cs="Arial"/>
                <w:iCs/>
                <w:sz w:val="20"/>
                <w:szCs w:val="24"/>
                <w:lang w:eastAsia="en-AU"/>
              </w:rPr>
            </w:pPr>
            <w:r w:rsidRPr="00DA6362">
              <w:rPr>
                <w:rFonts w:ascii="Calibri" w:hAnsi="Calibri" w:cs="Arial"/>
                <w:iCs/>
                <w:sz w:val="20"/>
                <w:szCs w:val="24"/>
                <w:lang w:eastAsia="en-AU"/>
              </w:rPr>
              <w:t>Miller’s Anesthesia</w:t>
            </w:r>
          </w:p>
        </w:tc>
        <w:tc>
          <w:tcPr>
            <w:tcW w:w="1800" w:type="dxa"/>
          </w:tcPr>
          <w:p w:rsidR="008D2A68" w:rsidRPr="00DA6362" w:rsidRDefault="00BD4A8F" w:rsidP="00473701">
            <w:pPr>
              <w:spacing w:before="20" w:after="20" w:line="264" w:lineRule="auto"/>
              <w:rPr>
                <w:rFonts w:ascii="Calibri" w:hAnsi="Calibri" w:cs="Arial"/>
                <w:sz w:val="20"/>
                <w:lang w:eastAsia="en-AU"/>
              </w:rPr>
            </w:pPr>
            <w:r w:rsidRPr="00DA6362">
              <w:rPr>
                <w:rFonts w:ascii="Calibri" w:hAnsi="Calibri" w:cs="Arial"/>
                <w:sz w:val="20"/>
                <w:lang w:eastAsia="en-AU"/>
              </w:rPr>
              <w:t>Book chapter</w:t>
            </w:r>
          </w:p>
        </w:tc>
        <w:tc>
          <w:tcPr>
            <w:tcW w:w="1800" w:type="dxa"/>
          </w:tcPr>
          <w:p w:rsidR="008D2A68" w:rsidRPr="00DA6362" w:rsidRDefault="008D2A68" w:rsidP="00473701">
            <w:pPr>
              <w:spacing w:before="20" w:after="20" w:line="264" w:lineRule="auto"/>
              <w:rPr>
                <w:rFonts w:ascii="Calibri" w:hAnsi="Calibri" w:cs="Arial"/>
                <w:sz w:val="20"/>
                <w:lang w:eastAsia="en-AU"/>
              </w:rPr>
            </w:pPr>
          </w:p>
        </w:tc>
        <w:tc>
          <w:tcPr>
            <w:tcW w:w="1055" w:type="dxa"/>
          </w:tcPr>
          <w:p w:rsidR="008D2A68" w:rsidRPr="00DA6362" w:rsidRDefault="008D2A68" w:rsidP="00473701">
            <w:pPr>
              <w:spacing w:before="20" w:after="20" w:line="264" w:lineRule="auto"/>
              <w:rPr>
                <w:rFonts w:ascii="Calibri" w:hAnsi="Calibri" w:cs="Arial"/>
                <w:sz w:val="20"/>
                <w:lang w:eastAsia="en-AU"/>
              </w:rPr>
            </w:pPr>
          </w:p>
        </w:tc>
        <w:tc>
          <w:tcPr>
            <w:tcW w:w="1285" w:type="dxa"/>
          </w:tcPr>
          <w:p w:rsidR="008D2A68" w:rsidRPr="00DA6362" w:rsidRDefault="00BD4A8F" w:rsidP="00BD4A8F">
            <w:pPr>
              <w:spacing w:before="20" w:after="20" w:line="264" w:lineRule="auto"/>
              <w:rPr>
                <w:rFonts w:ascii="Calibri" w:hAnsi="Calibri" w:cs="Arial"/>
                <w:sz w:val="20"/>
                <w:lang w:eastAsia="en-AU"/>
              </w:rPr>
            </w:pPr>
            <w:r w:rsidRPr="00DA6362">
              <w:rPr>
                <w:rFonts w:ascii="Calibri" w:hAnsi="Calibri" w:cs="Arial"/>
                <w:sz w:val="20"/>
                <w:lang w:eastAsia="en-AU"/>
              </w:rPr>
              <w:t>Textbook published for anaesthesiologists</w:t>
            </w:r>
          </w:p>
        </w:tc>
        <w:tc>
          <w:tcPr>
            <w:tcW w:w="11135" w:type="dxa"/>
          </w:tcPr>
          <w:p w:rsidR="008D2A68" w:rsidRPr="00DA6362" w:rsidRDefault="00E25107" w:rsidP="008C7C3C">
            <w:pPr>
              <w:pStyle w:val="ListParagraph"/>
              <w:numPr>
                <w:ilvl w:val="0"/>
                <w:numId w:val="60"/>
              </w:numPr>
              <w:autoSpaceDE w:val="0"/>
              <w:autoSpaceDN w:val="0"/>
              <w:adjustRightInd w:val="0"/>
              <w:rPr>
                <w:rFonts w:ascii="Calibri" w:hAnsi="Calibri" w:cs="Arial"/>
                <w:sz w:val="20"/>
                <w:shd w:val="clear" w:color="auto" w:fill="FFFFFF"/>
              </w:rPr>
            </w:pPr>
            <w:r>
              <w:rPr>
                <w:rFonts w:ascii="Calibri" w:hAnsi="Calibri" w:cs="Arial"/>
                <w:sz w:val="20"/>
                <w:shd w:val="clear" w:color="auto" w:fill="FFFFFF"/>
              </w:rPr>
              <w:t>A textbook chapter which describes that i</w:t>
            </w:r>
            <w:r w:rsidR="00BD4A8F" w:rsidRPr="00DA6362">
              <w:rPr>
                <w:rFonts w:ascii="Calibri" w:hAnsi="Calibri" w:cs="Arial"/>
                <w:sz w:val="20"/>
                <w:shd w:val="clear" w:color="auto" w:fill="FFFFFF"/>
              </w:rPr>
              <w:t xml:space="preserve">mproving </w:t>
            </w:r>
            <w:r w:rsidR="00890E6E" w:rsidRPr="00DA6362">
              <w:rPr>
                <w:rFonts w:ascii="Calibri" w:hAnsi="Calibri" w:cs="Arial"/>
                <w:sz w:val="20"/>
                <w:shd w:val="clear" w:color="auto" w:fill="FFFFFF"/>
              </w:rPr>
              <w:t xml:space="preserve">the </w:t>
            </w:r>
            <w:r w:rsidR="00BD4A8F" w:rsidRPr="00DA6362">
              <w:rPr>
                <w:rFonts w:ascii="Calibri" w:hAnsi="Calibri" w:cs="Arial"/>
                <w:sz w:val="20"/>
                <w:shd w:val="clear" w:color="auto" w:fill="FFFFFF"/>
              </w:rPr>
              <w:t xml:space="preserve">quality of care requires measuring performance. But many in healthcare do not have access to performance data and consequently do not know what results they achieve </w:t>
            </w:r>
          </w:p>
          <w:p w:rsidR="00BD4A8F" w:rsidRPr="00DA6362" w:rsidRDefault="00BD4A8F" w:rsidP="00BD4A8F">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Frameworks for improvement include the Model for Improvement (Plan, Study, Do Act cycle), Lean Methodology , Six Sigma</w:t>
            </w:r>
            <w:r w:rsidR="00E25107">
              <w:rPr>
                <w:rFonts w:ascii="Calibri" w:hAnsi="Calibri" w:cs="Arial"/>
                <w:sz w:val="20"/>
                <w:shd w:val="clear" w:color="auto" w:fill="FFFFFF"/>
              </w:rPr>
              <w:t>.</w:t>
            </w:r>
          </w:p>
          <w:p w:rsidR="00BD4A8F" w:rsidRPr="00DA6362" w:rsidRDefault="00BD4A8F" w:rsidP="00890E6E">
            <w:pPr>
              <w:pStyle w:val="ListParagraph"/>
              <w:autoSpaceDE w:val="0"/>
              <w:autoSpaceDN w:val="0"/>
              <w:adjustRightInd w:val="0"/>
              <w:ind w:left="0"/>
              <w:rPr>
                <w:rFonts w:ascii="Calibri" w:hAnsi="Calibri" w:cs="Arial"/>
                <w:sz w:val="20"/>
                <w:shd w:val="clear" w:color="auto" w:fill="FFFFFF"/>
              </w:rPr>
            </w:pPr>
          </w:p>
        </w:tc>
      </w:tr>
      <w:tr w:rsidR="00BD4A8F" w:rsidRPr="00DD5F78" w:rsidTr="00473701">
        <w:trPr>
          <w:cantSplit/>
          <w:trHeight w:val="1198"/>
          <w:tblHeader/>
        </w:trPr>
        <w:tc>
          <w:tcPr>
            <w:tcW w:w="449" w:type="dxa"/>
            <w:shd w:val="clear" w:color="auto" w:fill="8DB3E2"/>
          </w:tcPr>
          <w:p w:rsidR="00BD4A8F" w:rsidRPr="00735EA3" w:rsidRDefault="00BD4A8F"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BD4A8F" w:rsidRPr="00DA6362" w:rsidRDefault="00F45076" w:rsidP="00473701">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The forest through the trees: maximising value in an evolving healthcare system</w:t>
            </w:r>
          </w:p>
        </w:tc>
        <w:tc>
          <w:tcPr>
            <w:tcW w:w="1440" w:type="dxa"/>
          </w:tcPr>
          <w:p w:rsidR="004525CF" w:rsidRPr="00DA6362" w:rsidRDefault="00F45076" w:rsidP="004525CF">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 xml:space="preserve">Seidman </w:t>
            </w:r>
            <w:r w:rsidR="004525CF" w:rsidRPr="00DA6362">
              <w:rPr>
                <w:rFonts w:ascii="Calibri" w:hAnsi="Calibri" w:cs="Arial"/>
                <w:sz w:val="20"/>
                <w:szCs w:val="24"/>
                <w:lang w:eastAsia="en-AU"/>
              </w:rPr>
              <w:t>J,</w:t>
            </w:r>
          </w:p>
          <w:p w:rsidR="004525CF" w:rsidRPr="00DA6362" w:rsidRDefault="004525CF" w:rsidP="004525CF">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Staloff J,</w:t>
            </w:r>
          </w:p>
          <w:p w:rsidR="004525CF" w:rsidRPr="00DA6362" w:rsidRDefault="004525CF" w:rsidP="004525CF">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Coppage M,</w:t>
            </w:r>
          </w:p>
          <w:p w:rsidR="004525CF" w:rsidRPr="00DA6362" w:rsidRDefault="004525CF" w:rsidP="004525CF">
            <w:pPr>
              <w:spacing w:before="20" w:after="20" w:line="264" w:lineRule="auto"/>
              <w:rPr>
                <w:rFonts w:ascii="Calibri" w:hAnsi="Calibri" w:cs="Arial"/>
                <w:sz w:val="20"/>
                <w:szCs w:val="24"/>
                <w:lang w:eastAsia="en-AU"/>
              </w:rPr>
            </w:pPr>
            <w:r w:rsidRPr="00DA6362">
              <w:rPr>
                <w:rFonts w:ascii="Calibri" w:hAnsi="Calibri" w:cs="Arial"/>
                <w:sz w:val="20"/>
                <w:szCs w:val="24"/>
                <w:lang w:eastAsia="en-AU"/>
              </w:rPr>
              <w:t>Jagun D,</w:t>
            </w:r>
          </w:p>
          <w:p w:rsidR="00C31A18" w:rsidRPr="00DA6362" w:rsidRDefault="004525CF" w:rsidP="004525CF">
            <w:pPr>
              <w:spacing w:before="20" w:after="20" w:line="264" w:lineRule="auto"/>
              <w:rPr>
                <w:rFonts w:ascii="Calibri" w:hAnsi="Calibri" w:cs="Arial"/>
                <w:sz w:val="20"/>
                <w:szCs w:val="24"/>
                <w:highlight w:val="yellow"/>
                <w:lang w:eastAsia="en-AU"/>
              </w:rPr>
            </w:pPr>
            <w:r w:rsidRPr="00DA6362">
              <w:rPr>
                <w:rFonts w:ascii="Calibri" w:hAnsi="Calibri" w:cs="Arial"/>
                <w:sz w:val="20"/>
                <w:szCs w:val="24"/>
                <w:lang w:eastAsia="en-AU"/>
              </w:rPr>
              <w:t>Valladares A</w:t>
            </w:r>
          </w:p>
          <w:p w:rsidR="00C31A18" w:rsidRPr="00DA6362" w:rsidRDefault="00C31A18" w:rsidP="00C31A18">
            <w:pPr>
              <w:rPr>
                <w:rFonts w:ascii="Calibri" w:hAnsi="Calibri" w:cs="Arial"/>
                <w:sz w:val="20"/>
                <w:szCs w:val="24"/>
                <w:highlight w:val="yellow"/>
                <w:lang w:eastAsia="en-AU"/>
              </w:rPr>
            </w:pPr>
          </w:p>
          <w:p w:rsidR="00C31A18" w:rsidRPr="00DA6362" w:rsidRDefault="00C31A18" w:rsidP="00C31A18">
            <w:pPr>
              <w:rPr>
                <w:rFonts w:ascii="Calibri" w:hAnsi="Calibri" w:cs="Arial"/>
                <w:sz w:val="20"/>
                <w:szCs w:val="24"/>
                <w:highlight w:val="yellow"/>
                <w:lang w:eastAsia="en-AU"/>
              </w:rPr>
            </w:pPr>
          </w:p>
          <w:p w:rsidR="00C31A18" w:rsidRPr="00DA6362" w:rsidRDefault="00C31A18" w:rsidP="00C31A18">
            <w:pPr>
              <w:rPr>
                <w:rFonts w:ascii="Calibri" w:hAnsi="Calibri" w:cs="Arial"/>
                <w:sz w:val="20"/>
                <w:szCs w:val="24"/>
                <w:highlight w:val="yellow"/>
                <w:lang w:eastAsia="en-AU"/>
              </w:rPr>
            </w:pPr>
          </w:p>
          <w:p w:rsidR="00C31A18" w:rsidRPr="00DA6362" w:rsidRDefault="00C31A18" w:rsidP="00C31A18">
            <w:pPr>
              <w:rPr>
                <w:rFonts w:ascii="Calibri" w:hAnsi="Calibri" w:cs="Arial"/>
                <w:sz w:val="20"/>
                <w:szCs w:val="24"/>
                <w:highlight w:val="yellow"/>
                <w:lang w:eastAsia="en-AU"/>
              </w:rPr>
            </w:pPr>
          </w:p>
          <w:p w:rsidR="00BD4A8F" w:rsidRPr="00DA6362" w:rsidRDefault="00BD4A8F" w:rsidP="00C31A18">
            <w:pPr>
              <w:jc w:val="center"/>
              <w:rPr>
                <w:rFonts w:ascii="Calibri" w:hAnsi="Calibri" w:cs="Arial"/>
                <w:sz w:val="20"/>
                <w:szCs w:val="24"/>
                <w:highlight w:val="yellow"/>
                <w:lang w:eastAsia="en-AU"/>
              </w:rPr>
            </w:pPr>
          </w:p>
        </w:tc>
        <w:tc>
          <w:tcPr>
            <w:tcW w:w="1440" w:type="dxa"/>
          </w:tcPr>
          <w:p w:rsidR="00BD4A8F" w:rsidRPr="00DA6362" w:rsidRDefault="004525CF" w:rsidP="00473701">
            <w:pPr>
              <w:spacing w:before="20" w:after="20" w:line="264" w:lineRule="auto"/>
              <w:rPr>
                <w:rFonts w:ascii="Calibri" w:hAnsi="Calibri" w:cs="Arial"/>
                <w:iCs/>
                <w:sz w:val="20"/>
                <w:szCs w:val="24"/>
                <w:lang w:eastAsia="en-AU"/>
              </w:rPr>
            </w:pPr>
            <w:r w:rsidRPr="00DA6362">
              <w:rPr>
                <w:rFonts w:ascii="Calibri" w:hAnsi="Calibri" w:cs="Arial"/>
                <w:iCs/>
                <w:sz w:val="20"/>
                <w:szCs w:val="24"/>
                <w:lang w:eastAsia="en-AU"/>
              </w:rPr>
              <w:t>Avalere H</w:t>
            </w:r>
            <w:r w:rsidR="00F45076" w:rsidRPr="00DA6362">
              <w:rPr>
                <w:rFonts w:ascii="Calibri" w:hAnsi="Calibri" w:cs="Arial"/>
                <w:iCs/>
                <w:sz w:val="20"/>
                <w:szCs w:val="24"/>
                <w:lang w:eastAsia="en-AU"/>
              </w:rPr>
              <w:t>ealth</w:t>
            </w:r>
          </w:p>
        </w:tc>
        <w:tc>
          <w:tcPr>
            <w:tcW w:w="1800" w:type="dxa"/>
          </w:tcPr>
          <w:p w:rsidR="00BD4A8F" w:rsidRPr="00DA6362" w:rsidRDefault="00F45076" w:rsidP="00F45076">
            <w:pPr>
              <w:spacing w:before="20" w:after="20" w:line="264" w:lineRule="auto"/>
              <w:rPr>
                <w:rFonts w:ascii="Calibri" w:hAnsi="Calibri" w:cs="Arial"/>
                <w:sz w:val="20"/>
                <w:lang w:eastAsia="en-AU"/>
              </w:rPr>
            </w:pPr>
            <w:r w:rsidRPr="00DA6362">
              <w:rPr>
                <w:rFonts w:ascii="Calibri" w:hAnsi="Calibri" w:cs="Arial"/>
                <w:sz w:val="20"/>
                <w:lang w:eastAsia="en-AU"/>
              </w:rPr>
              <w:t xml:space="preserve">Literature review and expert interviews </w:t>
            </w:r>
          </w:p>
        </w:tc>
        <w:tc>
          <w:tcPr>
            <w:tcW w:w="1800" w:type="dxa"/>
          </w:tcPr>
          <w:p w:rsidR="00BD4A8F" w:rsidRPr="00DA6362" w:rsidRDefault="00FE2683" w:rsidP="00473701">
            <w:pPr>
              <w:spacing w:before="20" w:after="20" w:line="264" w:lineRule="auto"/>
              <w:rPr>
                <w:rFonts w:ascii="Calibri" w:hAnsi="Calibri" w:cs="Arial"/>
                <w:sz w:val="20"/>
                <w:lang w:eastAsia="en-AU"/>
              </w:rPr>
            </w:pPr>
            <w:r w:rsidRPr="00DA6362">
              <w:rPr>
                <w:rFonts w:ascii="Calibri" w:hAnsi="Calibri" w:cs="Arial"/>
                <w:sz w:val="20"/>
                <w:lang w:eastAsia="en-AU"/>
              </w:rPr>
              <w:t xml:space="preserve">Exploratory study to determine which innovations contribute the most value to </w:t>
            </w:r>
            <w:r w:rsidR="00E25107" w:rsidRPr="00DA6362">
              <w:rPr>
                <w:rFonts w:ascii="Calibri" w:hAnsi="Calibri" w:cs="Arial"/>
                <w:sz w:val="20"/>
                <w:lang w:eastAsia="en-AU"/>
              </w:rPr>
              <w:t>healthcare</w:t>
            </w:r>
          </w:p>
        </w:tc>
        <w:tc>
          <w:tcPr>
            <w:tcW w:w="1055" w:type="dxa"/>
          </w:tcPr>
          <w:p w:rsidR="00BD4A8F" w:rsidRPr="00DA6362" w:rsidRDefault="00F45076" w:rsidP="00473701">
            <w:pPr>
              <w:spacing w:before="20" w:after="20" w:line="264" w:lineRule="auto"/>
              <w:rPr>
                <w:rFonts w:ascii="Calibri" w:hAnsi="Calibri" w:cs="Arial"/>
                <w:sz w:val="20"/>
                <w:lang w:eastAsia="en-AU"/>
              </w:rPr>
            </w:pPr>
            <w:r w:rsidRPr="00DA6362">
              <w:rPr>
                <w:rFonts w:ascii="Calibri" w:hAnsi="Calibri" w:cs="Arial"/>
                <w:sz w:val="20"/>
                <w:lang w:eastAsia="en-AU"/>
              </w:rPr>
              <w:t>USA</w:t>
            </w:r>
          </w:p>
        </w:tc>
        <w:tc>
          <w:tcPr>
            <w:tcW w:w="1285" w:type="dxa"/>
          </w:tcPr>
          <w:p w:rsidR="00BD4A8F" w:rsidRPr="00DA6362" w:rsidRDefault="00FE2683" w:rsidP="008C7C3C">
            <w:pPr>
              <w:spacing w:before="20" w:after="20" w:line="264" w:lineRule="auto"/>
              <w:rPr>
                <w:rFonts w:ascii="Calibri" w:hAnsi="Calibri" w:cs="Arial"/>
                <w:sz w:val="20"/>
                <w:lang w:eastAsia="en-AU"/>
              </w:rPr>
            </w:pPr>
            <w:r w:rsidRPr="00DA6362">
              <w:rPr>
                <w:rFonts w:ascii="Calibri" w:hAnsi="Calibri" w:cs="Arial"/>
                <w:sz w:val="20"/>
                <w:lang w:eastAsia="en-AU"/>
              </w:rPr>
              <w:t>Report published online</w:t>
            </w:r>
          </w:p>
        </w:tc>
        <w:tc>
          <w:tcPr>
            <w:tcW w:w="11135" w:type="dxa"/>
          </w:tcPr>
          <w:p w:rsidR="00BD4A8F" w:rsidRPr="00DA6362" w:rsidRDefault="00F45076" w:rsidP="008C7C3C">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 xml:space="preserve">This study aimed to determine which innovations contribute the most value to healthcare. This is in the context of the US healthcare system </w:t>
            </w:r>
            <w:r w:rsidR="000D2DA8" w:rsidRPr="00DA6362">
              <w:rPr>
                <w:rFonts w:ascii="Calibri" w:hAnsi="Calibri" w:cs="Arial"/>
                <w:sz w:val="20"/>
                <w:shd w:val="clear" w:color="auto" w:fill="FFFFFF"/>
              </w:rPr>
              <w:t xml:space="preserve">transition, </w:t>
            </w:r>
            <w:r w:rsidRPr="00DA6362">
              <w:rPr>
                <w:rFonts w:ascii="Calibri" w:hAnsi="Calibri" w:cs="Arial"/>
                <w:sz w:val="20"/>
                <w:shd w:val="clear" w:color="auto" w:fill="FFFFFF"/>
              </w:rPr>
              <w:t xml:space="preserve">moving from rewarding volumes to value </w:t>
            </w:r>
          </w:p>
          <w:p w:rsidR="00F45076" w:rsidRPr="00DA6362" w:rsidRDefault="00F45076" w:rsidP="008C7C3C">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It identified five salient lessons in maximising value in the evolving healthcare system</w:t>
            </w:r>
          </w:p>
          <w:p w:rsidR="00F45076" w:rsidRPr="00DA6362" w:rsidRDefault="000D2DA8" w:rsidP="000D2DA8">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lang w:eastAsia="en-AU"/>
              </w:rPr>
              <w:t>Payment models that achieve the greatest value share three characteristics:</w:t>
            </w:r>
          </w:p>
          <w:p w:rsidR="000D2DA8" w:rsidRPr="00DA6362" w:rsidRDefault="000D2DA8" w:rsidP="000D2DA8">
            <w:pPr>
              <w:pStyle w:val="ListParagraph"/>
              <w:numPr>
                <w:ilvl w:val="2"/>
                <w:numId w:val="60"/>
              </w:numPr>
              <w:autoSpaceDE w:val="0"/>
              <w:autoSpaceDN w:val="0"/>
              <w:adjustRightInd w:val="0"/>
              <w:rPr>
                <w:rFonts w:ascii="Calibri" w:hAnsi="Calibri" w:cs="Arial"/>
                <w:sz w:val="20"/>
                <w:shd w:val="clear" w:color="auto" w:fill="FFFFFF"/>
              </w:rPr>
            </w:pPr>
            <w:r w:rsidRPr="00DA6362">
              <w:rPr>
                <w:rFonts w:ascii="Calibri" w:hAnsi="Calibri" w:cs="Arial"/>
                <w:sz w:val="20"/>
                <w:lang w:eastAsia="en-AU"/>
              </w:rPr>
              <w:t>Hold providers broadly accountable for population health against a global budget</w:t>
            </w:r>
          </w:p>
          <w:p w:rsidR="000D2DA8" w:rsidRPr="00DA6362" w:rsidRDefault="000D2DA8" w:rsidP="000D2DA8">
            <w:pPr>
              <w:pStyle w:val="ListParagraph"/>
              <w:numPr>
                <w:ilvl w:val="2"/>
                <w:numId w:val="60"/>
              </w:numPr>
              <w:autoSpaceDE w:val="0"/>
              <w:autoSpaceDN w:val="0"/>
              <w:adjustRightInd w:val="0"/>
              <w:rPr>
                <w:rFonts w:ascii="Calibri" w:hAnsi="Calibri" w:cs="Arial"/>
                <w:sz w:val="20"/>
                <w:shd w:val="clear" w:color="auto" w:fill="FFFFFF"/>
              </w:rPr>
            </w:pPr>
            <w:r w:rsidRPr="00DA6362">
              <w:rPr>
                <w:rFonts w:ascii="Calibri" w:hAnsi="Calibri" w:cs="Arial"/>
                <w:sz w:val="20"/>
                <w:lang w:eastAsia="en-AU"/>
              </w:rPr>
              <w:t>Empower providers by giving resources and supports necessary for long-term success</w:t>
            </w:r>
          </w:p>
          <w:p w:rsidR="000D2DA8" w:rsidRPr="00DA6362" w:rsidRDefault="000D2DA8" w:rsidP="000D2DA8">
            <w:pPr>
              <w:pStyle w:val="ListParagraph"/>
              <w:numPr>
                <w:ilvl w:val="2"/>
                <w:numId w:val="60"/>
              </w:numPr>
              <w:autoSpaceDE w:val="0"/>
              <w:autoSpaceDN w:val="0"/>
              <w:adjustRightInd w:val="0"/>
              <w:rPr>
                <w:rFonts w:ascii="Calibri" w:hAnsi="Calibri" w:cs="Arial"/>
                <w:sz w:val="20"/>
                <w:shd w:val="clear" w:color="auto" w:fill="FFFFFF"/>
              </w:rPr>
            </w:pPr>
            <w:r w:rsidRPr="00DA6362">
              <w:rPr>
                <w:rFonts w:ascii="Calibri" w:hAnsi="Calibri" w:cs="Arial"/>
                <w:sz w:val="20"/>
                <w:lang w:eastAsia="en-AU"/>
              </w:rPr>
              <w:t>Grant autonomy to providers in defining the ‘how’ of delivering value in healthcare</w:t>
            </w:r>
          </w:p>
          <w:p w:rsidR="000D2DA8" w:rsidRPr="00DA6362" w:rsidRDefault="000D2DA8" w:rsidP="000D2DA8">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lang w:eastAsia="en-AU"/>
              </w:rPr>
              <w:t>Successful care delivery changes consider both the clinical and non-clinical needs of a population, employing non-traditional providers and workflows to meet population needs throughout the care continuum</w:t>
            </w:r>
          </w:p>
          <w:p w:rsidR="000D2DA8" w:rsidRPr="00DA6362" w:rsidRDefault="000D2DA8" w:rsidP="000D2DA8">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Consumers are most engaged with their health and healthcare when payers and providers engage with and value their individual needs, and innovations are most impactful when targeting high-risk, high-need individuals</w:t>
            </w:r>
          </w:p>
          <w:p w:rsidR="000D2DA8" w:rsidRPr="00DA6362" w:rsidRDefault="000D2DA8" w:rsidP="000D2DA8">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Data and technological infrastructure are essential for both measuring and achieving value in population health management, but the need for additional research on how to best leverage these resources is equally essential</w:t>
            </w:r>
          </w:p>
          <w:p w:rsidR="000D2DA8" w:rsidRPr="00DA6362" w:rsidRDefault="000D2DA8" w:rsidP="000D2DA8">
            <w:pPr>
              <w:pStyle w:val="ListParagraph"/>
              <w:numPr>
                <w:ilvl w:val="1"/>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 xml:space="preserve">Payment and delivery models must take into account the unique circumstances of individual markets in order to maximise value, instead of pursuing rigid models </w:t>
            </w:r>
            <w:r w:rsidR="00933172" w:rsidRPr="00DA6362">
              <w:rPr>
                <w:rFonts w:ascii="Calibri" w:hAnsi="Calibri" w:cs="Arial"/>
                <w:sz w:val="20"/>
                <w:shd w:val="clear" w:color="auto" w:fill="FFFFFF"/>
              </w:rPr>
              <w:t>across</w:t>
            </w:r>
            <w:r w:rsidRPr="00DA6362">
              <w:rPr>
                <w:rFonts w:ascii="Calibri" w:hAnsi="Calibri" w:cs="Arial"/>
                <w:sz w:val="20"/>
                <w:shd w:val="clear" w:color="auto" w:fill="FFFFFF"/>
              </w:rPr>
              <w:t xml:space="preserve"> </w:t>
            </w:r>
            <w:r w:rsidR="00933172" w:rsidRPr="00DA6362">
              <w:rPr>
                <w:rFonts w:ascii="Calibri" w:hAnsi="Calibri" w:cs="Arial"/>
                <w:sz w:val="20"/>
                <w:shd w:val="clear" w:color="auto" w:fill="FFFFFF"/>
              </w:rPr>
              <w:t>disparate</w:t>
            </w:r>
            <w:r w:rsidR="00BA2140" w:rsidRPr="00DA6362">
              <w:rPr>
                <w:rFonts w:ascii="Calibri" w:hAnsi="Calibri" w:cs="Arial"/>
                <w:sz w:val="20"/>
                <w:shd w:val="clear" w:color="auto" w:fill="FFFFFF"/>
              </w:rPr>
              <w:t xml:space="preserve"> settings</w:t>
            </w:r>
          </w:p>
          <w:p w:rsidR="00572E83" w:rsidRPr="00DA6362" w:rsidRDefault="00572E83" w:rsidP="00E25107">
            <w:pPr>
              <w:pStyle w:val="ListParagraph"/>
              <w:numPr>
                <w:ilvl w:val="0"/>
                <w:numId w:val="60"/>
              </w:numPr>
              <w:autoSpaceDE w:val="0"/>
              <w:autoSpaceDN w:val="0"/>
              <w:adjustRightInd w:val="0"/>
              <w:rPr>
                <w:rFonts w:ascii="Calibri" w:hAnsi="Calibri" w:cs="Arial"/>
                <w:sz w:val="20"/>
                <w:shd w:val="clear" w:color="auto" w:fill="FFFFFF"/>
              </w:rPr>
            </w:pPr>
            <w:r w:rsidRPr="00DA6362">
              <w:rPr>
                <w:rFonts w:ascii="Calibri" w:hAnsi="Calibri" w:cs="Arial"/>
                <w:sz w:val="20"/>
                <w:shd w:val="clear" w:color="auto" w:fill="FFFFFF"/>
              </w:rPr>
              <w:t>Current evidence on bundled payment models is promising but inconclusive. The study references a systematic review of low-quality evidence which found bundled payments are effective for cost containment and can improve quality of care</w:t>
            </w:r>
            <w:r w:rsidR="00E25107">
              <w:rPr>
                <w:rFonts w:ascii="Calibri" w:hAnsi="Calibri" w:cs="Arial"/>
                <w:sz w:val="20"/>
                <w:shd w:val="clear" w:color="auto" w:fill="FFFFFF"/>
              </w:rPr>
              <w:t>.</w:t>
            </w:r>
          </w:p>
        </w:tc>
      </w:tr>
      <w:tr w:rsidR="001E45C6" w:rsidRPr="00DD5F78" w:rsidTr="00473701">
        <w:trPr>
          <w:cantSplit/>
          <w:trHeight w:val="1198"/>
          <w:tblHeader/>
        </w:trPr>
        <w:tc>
          <w:tcPr>
            <w:tcW w:w="449" w:type="dxa"/>
            <w:shd w:val="clear" w:color="auto" w:fill="8DB3E2"/>
          </w:tcPr>
          <w:p w:rsidR="001E45C6" w:rsidRPr="00735EA3" w:rsidRDefault="001E45C6"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1E45C6" w:rsidRDefault="001E45C6" w:rsidP="00473701">
            <w:pPr>
              <w:spacing w:before="20" w:after="20" w:line="264" w:lineRule="auto"/>
              <w:rPr>
                <w:rFonts w:ascii="Calibri" w:hAnsi="Calibri" w:cs="Arial"/>
                <w:sz w:val="20"/>
                <w:szCs w:val="24"/>
                <w:lang w:eastAsia="en-AU"/>
              </w:rPr>
            </w:pPr>
            <w:r>
              <w:rPr>
                <w:rFonts w:ascii="Calibri" w:hAnsi="Calibri" w:cs="Arial"/>
                <w:sz w:val="20"/>
                <w:szCs w:val="24"/>
                <w:lang w:eastAsia="en-AU"/>
              </w:rPr>
              <w:t>Do financial incentives trump clinical guidance? Hip replacement treatment in England and Scotland</w:t>
            </w:r>
          </w:p>
        </w:tc>
        <w:tc>
          <w:tcPr>
            <w:tcW w:w="1440" w:type="dxa"/>
          </w:tcPr>
          <w:p w:rsidR="009D2637" w:rsidRDefault="001E45C6" w:rsidP="00473701">
            <w:pPr>
              <w:spacing w:before="20" w:after="20" w:line="264" w:lineRule="auto"/>
              <w:rPr>
                <w:rFonts w:ascii="Calibri" w:hAnsi="Calibri" w:cs="Arial"/>
                <w:sz w:val="20"/>
                <w:szCs w:val="24"/>
                <w:lang w:eastAsia="en-AU"/>
              </w:rPr>
            </w:pPr>
            <w:r w:rsidRPr="009D2637">
              <w:rPr>
                <w:rFonts w:ascii="Calibri" w:hAnsi="Calibri" w:cs="Arial"/>
                <w:sz w:val="20"/>
                <w:szCs w:val="24"/>
                <w:lang w:eastAsia="en-AU"/>
              </w:rPr>
              <w:t>Papanicolas</w:t>
            </w:r>
            <w:r w:rsidR="009D2637">
              <w:rPr>
                <w:rFonts w:ascii="Calibri" w:hAnsi="Calibri" w:cs="Arial"/>
                <w:sz w:val="20"/>
                <w:szCs w:val="24"/>
                <w:lang w:eastAsia="en-AU"/>
              </w:rPr>
              <w:t xml:space="preserve"> I,</w:t>
            </w:r>
          </w:p>
          <w:p w:rsidR="001E45C6" w:rsidRDefault="009D2637" w:rsidP="009D2637">
            <w:pPr>
              <w:spacing w:before="20" w:after="20" w:line="264" w:lineRule="auto"/>
              <w:rPr>
                <w:rFonts w:ascii="Calibri" w:hAnsi="Calibri" w:cs="Arial"/>
                <w:sz w:val="20"/>
                <w:szCs w:val="24"/>
                <w:highlight w:val="yellow"/>
                <w:lang w:eastAsia="en-AU"/>
              </w:rPr>
            </w:pPr>
            <w:r>
              <w:rPr>
                <w:rFonts w:ascii="Calibri" w:hAnsi="Calibri" w:cs="Arial"/>
                <w:sz w:val="20"/>
                <w:szCs w:val="24"/>
                <w:lang w:eastAsia="en-AU"/>
              </w:rPr>
              <w:t xml:space="preserve">McGuire </w:t>
            </w:r>
            <w:r w:rsidR="004A010A">
              <w:rPr>
                <w:rFonts w:ascii="Calibri" w:hAnsi="Calibri" w:cs="Arial"/>
                <w:sz w:val="20"/>
                <w:szCs w:val="24"/>
                <w:lang w:eastAsia="en-AU"/>
              </w:rPr>
              <w:t>A</w:t>
            </w:r>
          </w:p>
        </w:tc>
        <w:tc>
          <w:tcPr>
            <w:tcW w:w="1440" w:type="dxa"/>
          </w:tcPr>
          <w:p w:rsidR="001E45C6" w:rsidRDefault="001E45C6"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Office of Health Economics</w:t>
            </w:r>
          </w:p>
        </w:tc>
        <w:tc>
          <w:tcPr>
            <w:tcW w:w="1800" w:type="dxa"/>
          </w:tcPr>
          <w:p w:rsidR="001E45C6" w:rsidRDefault="001E45C6" w:rsidP="00F45076">
            <w:pPr>
              <w:spacing w:before="20" w:after="20" w:line="264" w:lineRule="auto"/>
              <w:rPr>
                <w:rFonts w:ascii="Calibri" w:hAnsi="Calibri" w:cs="Arial"/>
                <w:sz w:val="20"/>
                <w:lang w:eastAsia="en-AU"/>
              </w:rPr>
            </w:pPr>
            <w:r>
              <w:rPr>
                <w:rFonts w:ascii="Calibri" w:hAnsi="Calibri" w:cs="Arial"/>
                <w:sz w:val="20"/>
                <w:lang w:eastAsia="en-AU"/>
              </w:rPr>
              <w:t>Natural experiment using difference in difference methodology</w:t>
            </w:r>
          </w:p>
        </w:tc>
        <w:tc>
          <w:tcPr>
            <w:tcW w:w="1800" w:type="dxa"/>
          </w:tcPr>
          <w:p w:rsidR="00FE2683" w:rsidRPr="00735EA3" w:rsidRDefault="00FE2683" w:rsidP="00473701">
            <w:pPr>
              <w:spacing w:before="20" w:after="20" w:line="264" w:lineRule="auto"/>
              <w:rPr>
                <w:rFonts w:ascii="Calibri" w:hAnsi="Calibri" w:cs="Arial"/>
                <w:sz w:val="20"/>
                <w:lang w:eastAsia="en-AU"/>
              </w:rPr>
            </w:pPr>
            <w:r>
              <w:rPr>
                <w:rFonts w:ascii="Calibri" w:hAnsi="Calibri" w:cs="Arial"/>
                <w:sz w:val="20"/>
                <w:lang w:eastAsia="en-AU"/>
              </w:rPr>
              <w:t>Seminar presented at the Office of Health Economics</w:t>
            </w:r>
          </w:p>
        </w:tc>
        <w:tc>
          <w:tcPr>
            <w:tcW w:w="1055" w:type="dxa"/>
          </w:tcPr>
          <w:p w:rsidR="001E45C6" w:rsidRDefault="001E45C6" w:rsidP="00473701">
            <w:pPr>
              <w:spacing w:before="20" w:after="20" w:line="264" w:lineRule="auto"/>
              <w:rPr>
                <w:rFonts w:ascii="Calibri" w:hAnsi="Calibri" w:cs="Arial"/>
                <w:sz w:val="20"/>
                <w:lang w:eastAsia="en-AU"/>
              </w:rPr>
            </w:pPr>
            <w:r>
              <w:rPr>
                <w:rFonts w:ascii="Calibri" w:hAnsi="Calibri" w:cs="Arial"/>
                <w:sz w:val="20"/>
                <w:lang w:eastAsia="en-AU"/>
              </w:rPr>
              <w:t>United Kingdom</w:t>
            </w:r>
          </w:p>
        </w:tc>
        <w:tc>
          <w:tcPr>
            <w:tcW w:w="1285" w:type="dxa"/>
          </w:tcPr>
          <w:p w:rsidR="00FE2683" w:rsidRDefault="00FE2683" w:rsidP="00FE2683">
            <w:pPr>
              <w:spacing w:before="20" w:after="20" w:line="264" w:lineRule="auto"/>
              <w:rPr>
                <w:rFonts w:ascii="Calibri" w:hAnsi="Calibri" w:cs="Arial"/>
                <w:sz w:val="20"/>
                <w:lang w:eastAsia="en-AU"/>
              </w:rPr>
            </w:pPr>
            <w:r>
              <w:rPr>
                <w:rFonts w:ascii="Calibri" w:hAnsi="Calibri" w:cs="Arial"/>
                <w:sz w:val="20"/>
                <w:lang w:eastAsia="en-AU"/>
              </w:rPr>
              <w:t xml:space="preserve">Focus on uncemented v cemented approaches to hip prosthese </w:t>
            </w:r>
          </w:p>
          <w:p w:rsidR="001E45C6" w:rsidRDefault="001E45C6" w:rsidP="008C7C3C">
            <w:pPr>
              <w:spacing w:before="20" w:after="20" w:line="264" w:lineRule="auto"/>
              <w:rPr>
                <w:rFonts w:ascii="Calibri" w:hAnsi="Calibri" w:cs="Arial"/>
                <w:sz w:val="20"/>
                <w:lang w:eastAsia="en-AU"/>
              </w:rPr>
            </w:pPr>
          </w:p>
        </w:tc>
        <w:tc>
          <w:tcPr>
            <w:tcW w:w="11135" w:type="dxa"/>
          </w:tcPr>
          <w:p w:rsidR="001E45C6" w:rsidRDefault="00BA2140" w:rsidP="008C7C3C">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A seminar was presented by Dr Papanicolas and Professor McGuire on the impact of difference payment policies on activity for hip replacement at the Office of Health Economics</w:t>
            </w:r>
          </w:p>
          <w:p w:rsidR="00BA2140" w:rsidRDefault="00BA2140" w:rsidP="008C7C3C">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Since 2005, Scotland and England have followed difference healthcare financing policies (with England introducing case based payment systems). Scotland was therefore used as a control to test the effects of the introduction of a case based payment in England</w:t>
            </w:r>
          </w:p>
          <w:p w:rsidR="00BA2140" w:rsidRDefault="00BA2140" w:rsidP="00BA2140">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They focused on uncemented v cemented hip prostheses because clinical guidance says that the two procedures have similar clinical outcomes. There is also no long term evidence to recommend one over the other</w:t>
            </w:r>
          </w:p>
          <w:p w:rsidR="00BA2140" w:rsidRDefault="00BA2140" w:rsidP="00BA2140">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In England, the uncemented procedure has a higher reimbursement value than the cemented (accounting for average cots). This creates a financial incentive for hospitals to perform the uncemented procedure</w:t>
            </w:r>
          </w:p>
          <w:p w:rsidR="00BA2140" w:rsidRDefault="00BA2140" w:rsidP="00BA2140">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Using a difference in difference method and adjusting for hospital and patient characteristics, NHS England undertook more uncemented hip replacements than Scotland after case based payments were introduced</w:t>
            </w:r>
          </w:p>
          <w:p w:rsidR="00BA2140" w:rsidRDefault="00BA2140" w:rsidP="00BA2140">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This study inference that the choice of hip replacement procedure in English NHS hospitals was influenced by financial incentives, rather than by clinical guidance or evidence</w:t>
            </w:r>
            <w:r w:rsidR="00E25107">
              <w:rPr>
                <w:rFonts w:ascii="Calibri" w:hAnsi="Calibri" w:cs="Arial"/>
                <w:color w:val="000000"/>
                <w:sz w:val="20"/>
                <w:shd w:val="clear" w:color="auto" w:fill="FFFFFF"/>
              </w:rPr>
              <w:t>.</w:t>
            </w:r>
          </w:p>
        </w:tc>
      </w:tr>
      <w:tr w:rsidR="001E45C6" w:rsidRPr="00DD5F78" w:rsidTr="00473701">
        <w:trPr>
          <w:cantSplit/>
          <w:trHeight w:val="1198"/>
          <w:tblHeader/>
        </w:trPr>
        <w:tc>
          <w:tcPr>
            <w:tcW w:w="449" w:type="dxa"/>
            <w:shd w:val="clear" w:color="auto" w:fill="8DB3E2"/>
          </w:tcPr>
          <w:p w:rsidR="001E45C6" w:rsidRPr="00735EA3" w:rsidRDefault="001E45C6"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A53223" w:rsidRPr="00B24AC2" w:rsidRDefault="00A53223" w:rsidP="00A53223">
            <w:pPr>
              <w:spacing w:before="20" w:after="20" w:line="264" w:lineRule="auto"/>
              <w:rPr>
                <w:rFonts w:ascii="Calibri" w:hAnsi="Calibri" w:cs="Arial"/>
                <w:sz w:val="20"/>
                <w:szCs w:val="24"/>
                <w:lang w:eastAsia="en-AU"/>
              </w:rPr>
            </w:pPr>
            <w:r w:rsidRPr="00B24AC2">
              <w:rPr>
                <w:rFonts w:ascii="Calibri" w:hAnsi="Calibri" w:cs="Arial"/>
                <w:sz w:val="20"/>
                <w:szCs w:val="24"/>
                <w:lang w:eastAsia="en-AU"/>
              </w:rPr>
              <w:t>Hospital Quality Reporting by US News &amp; World Report</w:t>
            </w:r>
            <w:r>
              <w:rPr>
                <w:rFonts w:ascii="Calibri" w:hAnsi="Calibri" w:cs="Arial"/>
                <w:sz w:val="20"/>
                <w:szCs w:val="24"/>
                <w:lang w:eastAsia="en-AU"/>
              </w:rPr>
              <w:t xml:space="preserve">: </w:t>
            </w:r>
            <w:r w:rsidRPr="00B24AC2">
              <w:rPr>
                <w:rFonts w:ascii="Calibri" w:hAnsi="Calibri" w:cs="Arial"/>
                <w:sz w:val="20"/>
                <w:szCs w:val="24"/>
                <w:lang w:eastAsia="en-AU"/>
              </w:rPr>
              <w:t>Why, How, and What's Ahead</w:t>
            </w:r>
          </w:p>
          <w:p w:rsidR="001E45C6" w:rsidRDefault="001E45C6" w:rsidP="00473701">
            <w:pPr>
              <w:spacing w:before="20" w:after="20" w:line="264" w:lineRule="auto"/>
              <w:rPr>
                <w:rFonts w:ascii="Calibri" w:hAnsi="Calibri" w:cs="Arial"/>
                <w:sz w:val="20"/>
                <w:szCs w:val="24"/>
                <w:lang w:eastAsia="en-AU"/>
              </w:rPr>
            </w:pPr>
          </w:p>
        </w:tc>
        <w:tc>
          <w:tcPr>
            <w:tcW w:w="1440" w:type="dxa"/>
          </w:tcPr>
          <w:p w:rsidR="001E45C6" w:rsidRDefault="0006240C" w:rsidP="004A010A">
            <w:pPr>
              <w:spacing w:before="20" w:after="20" w:line="264" w:lineRule="auto"/>
              <w:rPr>
                <w:rFonts w:ascii="Calibri" w:hAnsi="Calibri" w:cs="Arial"/>
                <w:sz w:val="20"/>
                <w:szCs w:val="24"/>
                <w:highlight w:val="yellow"/>
                <w:lang w:eastAsia="en-AU"/>
              </w:rPr>
            </w:pPr>
            <w:r w:rsidRPr="00225B44">
              <w:rPr>
                <w:rFonts w:ascii="Calibri" w:hAnsi="Calibri" w:cs="Arial"/>
                <w:sz w:val="20"/>
                <w:szCs w:val="24"/>
                <w:lang w:eastAsia="en-AU"/>
              </w:rPr>
              <w:t>Rice</w:t>
            </w:r>
            <w:r w:rsidR="00225B44">
              <w:rPr>
                <w:rFonts w:ascii="Calibri" w:hAnsi="Calibri" w:cs="Arial"/>
                <w:sz w:val="20"/>
                <w:szCs w:val="24"/>
                <w:lang w:eastAsia="en-AU"/>
              </w:rPr>
              <w:t xml:space="preserve"> S</w:t>
            </w:r>
          </w:p>
        </w:tc>
        <w:tc>
          <w:tcPr>
            <w:tcW w:w="1440" w:type="dxa"/>
          </w:tcPr>
          <w:p w:rsidR="001E45C6" w:rsidRDefault="00A53223"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Journal of American Medical Association</w:t>
            </w:r>
          </w:p>
        </w:tc>
        <w:tc>
          <w:tcPr>
            <w:tcW w:w="1800" w:type="dxa"/>
          </w:tcPr>
          <w:p w:rsidR="001E45C6" w:rsidRDefault="0085714E" w:rsidP="00F45076">
            <w:pPr>
              <w:spacing w:before="20" w:after="20" w:line="264" w:lineRule="auto"/>
              <w:rPr>
                <w:rFonts w:ascii="Calibri" w:hAnsi="Calibri" w:cs="Arial"/>
                <w:sz w:val="20"/>
                <w:lang w:eastAsia="en-AU"/>
              </w:rPr>
            </w:pPr>
            <w:r>
              <w:rPr>
                <w:rFonts w:ascii="Calibri" w:hAnsi="Calibri" w:cs="Arial"/>
                <w:sz w:val="20"/>
                <w:lang w:eastAsia="en-AU"/>
              </w:rPr>
              <w:t>Development of performance rating system</w:t>
            </w:r>
          </w:p>
        </w:tc>
        <w:tc>
          <w:tcPr>
            <w:tcW w:w="1800" w:type="dxa"/>
          </w:tcPr>
          <w:p w:rsidR="001E45C6" w:rsidRPr="00735EA3" w:rsidRDefault="00FE2683" w:rsidP="00FE2683">
            <w:pPr>
              <w:spacing w:before="20" w:after="20" w:line="264" w:lineRule="auto"/>
              <w:rPr>
                <w:rFonts w:ascii="Calibri" w:hAnsi="Calibri" w:cs="Arial"/>
                <w:sz w:val="20"/>
                <w:lang w:eastAsia="en-AU"/>
              </w:rPr>
            </w:pPr>
            <w:r>
              <w:rPr>
                <w:rFonts w:ascii="Calibri" w:hAnsi="Calibri" w:cs="Arial"/>
                <w:sz w:val="20"/>
                <w:lang w:eastAsia="en-AU"/>
              </w:rPr>
              <w:t xml:space="preserve">Development of quality indices </w:t>
            </w:r>
          </w:p>
        </w:tc>
        <w:tc>
          <w:tcPr>
            <w:tcW w:w="1055" w:type="dxa"/>
          </w:tcPr>
          <w:p w:rsidR="001E45C6" w:rsidRDefault="00FE2683" w:rsidP="00473701">
            <w:pPr>
              <w:spacing w:before="20" w:after="20" w:line="264" w:lineRule="auto"/>
              <w:rPr>
                <w:rFonts w:ascii="Calibri" w:hAnsi="Calibri" w:cs="Arial"/>
                <w:sz w:val="20"/>
                <w:lang w:eastAsia="en-AU"/>
              </w:rPr>
            </w:pPr>
            <w:r>
              <w:rPr>
                <w:rFonts w:ascii="Calibri" w:hAnsi="Calibri" w:cs="Arial"/>
                <w:sz w:val="20"/>
                <w:lang w:eastAsia="en-AU"/>
              </w:rPr>
              <w:t xml:space="preserve">USA </w:t>
            </w:r>
          </w:p>
        </w:tc>
        <w:tc>
          <w:tcPr>
            <w:tcW w:w="1285" w:type="dxa"/>
          </w:tcPr>
          <w:p w:rsidR="001E45C6" w:rsidRDefault="00FE2683" w:rsidP="008C7C3C">
            <w:pPr>
              <w:spacing w:before="20" w:after="20" w:line="264" w:lineRule="auto"/>
              <w:rPr>
                <w:rFonts w:ascii="Calibri" w:hAnsi="Calibri" w:cs="Arial"/>
                <w:sz w:val="20"/>
                <w:lang w:eastAsia="en-AU"/>
              </w:rPr>
            </w:pPr>
            <w:r>
              <w:rPr>
                <w:rFonts w:ascii="Calibri" w:hAnsi="Calibri" w:cs="Arial"/>
                <w:sz w:val="20"/>
                <w:lang w:eastAsia="en-AU"/>
              </w:rPr>
              <w:t>for inpatient procedures</w:t>
            </w:r>
          </w:p>
        </w:tc>
        <w:tc>
          <w:tcPr>
            <w:tcW w:w="11135" w:type="dxa"/>
          </w:tcPr>
          <w:p w:rsidR="00A53223" w:rsidRPr="003C41DB" w:rsidRDefault="00A53223" w:rsidP="00A53223">
            <w:pPr>
              <w:pStyle w:val="ListParagraph"/>
              <w:numPr>
                <w:ilvl w:val="0"/>
                <w:numId w:val="60"/>
              </w:numPr>
              <w:autoSpaceDE w:val="0"/>
              <w:autoSpaceDN w:val="0"/>
              <w:adjustRightInd w:val="0"/>
              <w:rPr>
                <w:rFonts w:ascii="Calibri" w:hAnsi="Calibri" w:cs="Arial"/>
                <w:color w:val="000000"/>
                <w:sz w:val="20"/>
                <w:shd w:val="clear" w:color="auto" w:fill="FFFFFF"/>
              </w:rPr>
            </w:pPr>
            <w:r w:rsidRPr="003C41DB">
              <w:rPr>
                <w:rFonts w:ascii="Calibri" w:hAnsi="Calibri" w:cs="Arial"/>
                <w:color w:val="000000"/>
                <w:sz w:val="20"/>
                <w:shd w:val="clear" w:color="auto" w:fill="FFFFFF"/>
              </w:rPr>
              <w:t xml:space="preserve">For 25 years, US News &amp; World Report has published indices of hospital quality </w:t>
            </w:r>
            <w:r>
              <w:rPr>
                <w:rFonts w:ascii="Calibri" w:hAnsi="Calibri" w:cs="Arial"/>
                <w:color w:val="000000"/>
                <w:sz w:val="20"/>
                <w:shd w:val="clear" w:color="auto" w:fill="FFFFFF"/>
              </w:rPr>
              <w:t>to provide</w:t>
            </w:r>
            <w:r w:rsidRPr="003C41DB">
              <w:rPr>
                <w:rFonts w:ascii="Calibri" w:hAnsi="Calibri" w:cs="Arial"/>
                <w:color w:val="000000"/>
                <w:sz w:val="20"/>
                <w:shd w:val="clear" w:color="auto" w:fill="FFFFFF"/>
              </w:rPr>
              <w:t xml:space="preserve"> health care consumers with decision support. US News annually ranks hospitals in 16 adult and 10 p</w:t>
            </w:r>
            <w:r>
              <w:rPr>
                <w:rFonts w:ascii="Calibri" w:hAnsi="Calibri" w:cs="Arial"/>
                <w:color w:val="000000"/>
                <w:sz w:val="20"/>
                <w:shd w:val="clear" w:color="auto" w:fill="FFFFFF"/>
              </w:rPr>
              <w:t>aediatric specialties</w:t>
            </w:r>
          </w:p>
          <w:p w:rsidR="00A53223" w:rsidRDefault="00A53223" w:rsidP="00A53223">
            <w:pPr>
              <w:pStyle w:val="ListParagraph"/>
              <w:numPr>
                <w:ilvl w:val="0"/>
                <w:numId w:val="60"/>
              </w:numPr>
              <w:autoSpaceDE w:val="0"/>
              <w:autoSpaceDN w:val="0"/>
              <w:adjustRightInd w:val="0"/>
              <w:rPr>
                <w:rFonts w:ascii="Calibri" w:hAnsi="Calibri" w:cs="Arial"/>
                <w:color w:val="000000"/>
                <w:sz w:val="20"/>
                <w:shd w:val="clear" w:color="auto" w:fill="FFFFFF"/>
              </w:rPr>
            </w:pPr>
            <w:r w:rsidRPr="003C41DB">
              <w:rPr>
                <w:rFonts w:ascii="Calibri" w:hAnsi="Calibri" w:cs="Arial"/>
                <w:color w:val="000000"/>
                <w:sz w:val="20"/>
                <w:shd w:val="clear" w:color="auto" w:fill="FFFFFF"/>
              </w:rPr>
              <w:t>US News recently developed novel composite quality indices</w:t>
            </w:r>
            <w:r w:rsidRPr="00074E1F">
              <w:rPr>
                <w:rFonts w:ascii="Calibri" w:hAnsi="Calibri" w:cs="Arial"/>
                <w:color w:val="000000"/>
                <w:sz w:val="20"/>
                <w:shd w:val="clear" w:color="auto" w:fill="FFFFFF"/>
              </w:rPr>
              <w:t> </w:t>
            </w:r>
            <w:r w:rsidRPr="003C41DB">
              <w:rPr>
                <w:rFonts w:ascii="Calibri" w:hAnsi="Calibri" w:cs="Arial"/>
                <w:color w:val="000000"/>
                <w:sz w:val="20"/>
                <w:shd w:val="clear" w:color="auto" w:fill="FFFFFF"/>
              </w:rPr>
              <w:t xml:space="preserve">for more than a dozen frequently performed inpatient procedures and prevalent medical conditions. </w:t>
            </w:r>
            <w:r>
              <w:rPr>
                <w:rFonts w:ascii="Calibri" w:hAnsi="Calibri" w:cs="Arial"/>
                <w:color w:val="000000"/>
                <w:sz w:val="20"/>
                <w:shd w:val="clear" w:color="auto" w:fill="FFFFFF"/>
              </w:rPr>
              <w:t xml:space="preserve">This is known as the “Common Care” rating system. </w:t>
            </w:r>
            <w:r w:rsidRPr="003C41DB">
              <w:rPr>
                <w:rFonts w:ascii="Calibri" w:hAnsi="Calibri" w:cs="Arial"/>
                <w:color w:val="000000"/>
                <w:sz w:val="20"/>
                <w:shd w:val="clear" w:color="auto" w:fill="FFFFFF"/>
              </w:rPr>
              <w:t xml:space="preserve">A subset of the results, expressed as hospital-level ratings in hip replacement, knee replacement, coronary artery bypass surgery, heart failure, and chronic obstructive pulmonary disease (COPD), </w:t>
            </w:r>
            <w:r>
              <w:rPr>
                <w:rFonts w:ascii="Calibri" w:hAnsi="Calibri" w:cs="Arial"/>
                <w:color w:val="000000"/>
                <w:sz w:val="20"/>
                <w:shd w:val="clear" w:color="auto" w:fill="FFFFFF"/>
              </w:rPr>
              <w:t>have just been</w:t>
            </w:r>
            <w:r w:rsidRPr="003C41DB">
              <w:rPr>
                <w:rFonts w:ascii="Calibri" w:hAnsi="Calibri" w:cs="Arial"/>
                <w:color w:val="000000"/>
                <w:sz w:val="20"/>
                <w:shd w:val="clear" w:color="auto" w:fill="FFFFFF"/>
              </w:rPr>
              <w:t xml:space="preserve"> published online</w:t>
            </w:r>
          </w:p>
          <w:p w:rsidR="00A53223" w:rsidRPr="003C41DB" w:rsidRDefault="00A53223" w:rsidP="00A53223">
            <w:pPr>
              <w:pStyle w:val="ListParagraph"/>
              <w:numPr>
                <w:ilvl w:val="0"/>
                <w:numId w:val="60"/>
              </w:numPr>
              <w:autoSpaceDE w:val="0"/>
              <w:autoSpaceDN w:val="0"/>
              <w:adjustRightInd w:val="0"/>
              <w:rPr>
                <w:rFonts w:ascii="Calibri" w:hAnsi="Calibri" w:cs="Arial"/>
                <w:color w:val="000000"/>
                <w:sz w:val="20"/>
                <w:shd w:val="clear" w:color="auto" w:fill="FFFFFF"/>
              </w:rPr>
            </w:pPr>
            <w:r w:rsidRPr="003C41DB">
              <w:rPr>
                <w:rFonts w:ascii="Calibri" w:hAnsi="Calibri" w:cs="Arial"/>
                <w:color w:val="000000"/>
                <w:sz w:val="20"/>
                <w:shd w:val="clear" w:color="auto" w:fill="FFFFFF"/>
              </w:rPr>
              <w:t>More than 4300 US acute care hospitals have been evaluated and each is rated as high performing, average, or below average in 1 o</w:t>
            </w:r>
            <w:r>
              <w:rPr>
                <w:rFonts w:ascii="Calibri" w:hAnsi="Calibri" w:cs="Arial"/>
                <w:color w:val="000000"/>
                <w:sz w:val="20"/>
                <w:shd w:val="clear" w:color="auto" w:fill="FFFFFF"/>
              </w:rPr>
              <w:t>r more of the 5 initial cohorts</w:t>
            </w:r>
          </w:p>
          <w:p w:rsidR="001E45C6" w:rsidRDefault="00A53223" w:rsidP="00A53223">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Approximately 10% of the hospitals rated in each condition were ‘high-performing’ and another 10% were ‘below average’</w:t>
            </w:r>
            <w:r w:rsidR="00E25107">
              <w:rPr>
                <w:rFonts w:ascii="Calibri" w:hAnsi="Calibri" w:cs="Arial"/>
                <w:color w:val="000000"/>
                <w:sz w:val="20"/>
                <w:shd w:val="clear" w:color="auto" w:fill="FFFFFF"/>
              </w:rPr>
              <w:t>.</w:t>
            </w:r>
          </w:p>
        </w:tc>
      </w:tr>
      <w:tr w:rsidR="00933172" w:rsidRPr="00DD5F78" w:rsidTr="00473701">
        <w:trPr>
          <w:cantSplit/>
          <w:trHeight w:val="1198"/>
          <w:tblHeader/>
        </w:trPr>
        <w:tc>
          <w:tcPr>
            <w:tcW w:w="449" w:type="dxa"/>
            <w:shd w:val="clear" w:color="auto" w:fill="8DB3E2"/>
          </w:tcPr>
          <w:p w:rsidR="00933172" w:rsidRPr="00735EA3" w:rsidRDefault="00933172"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933172" w:rsidRDefault="00933172" w:rsidP="00473701">
            <w:pPr>
              <w:spacing w:before="20" w:after="20" w:line="264" w:lineRule="auto"/>
              <w:rPr>
                <w:rFonts w:ascii="Calibri" w:hAnsi="Calibri" w:cs="Arial"/>
                <w:sz w:val="20"/>
                <w:szCs w:val="24"/>
                <w:lang w:eastAsia="en-AU"/>
              </w:rPr>
            </w:pPr>
            <w:r>
              <w:rPr>
                <w:rFonts w:ascii="Calibri" w:hAnsi="Calibri" w:cs="Arial"/>
                <w:sz w:val="20"/>
                <w:szCs w:val="24"/>
                <w:lang w:eastAsia="en-AU"/>
              </w:rPr>
              <w:t xml:space="preserve">A qualitative </w:t>
            </w:r>
            <w:r w:rsidR="0033475D">
              <w:rPr>
                <w:rFonts w:ascii="Calibri" w:hAnsi="Calibri" w:cs="Arial"/>
                <w:sz w:val="20"/>
                <w:szCs w:val="24"/>
                <w:lang w:eastAsia="en-AU"/>
              </w:rPr>
              <w:t>and quantitative evaluation of the Advancing Quali</w:t>
            </w:r>
            <w:r w:rsidR="00FE2683">
              <w:rPr>
                <w:rFonts w:ascii="Calibri" w:hAnsi="Calibri" w:cs="Arial"/>
                <w:sz w:val="20"/>
                <w:szCs w:val="24"/>
                <w:lang w:eastAsia="en-AU"/>
              </w:rPr>
              <w:t>ty pay-for-performance program</w:t>
            </w:r>
            <w:r w:rsidR="0033475D">
              <w:rPr>
                <w:rFonts w:ascii="Calibri" w:hAnsi="Calibri" w:cs="Arial"/>
                <w:sz w:val="20"/>
                <w:szCs w:val="24"/>
                <w:lang w:eastAsia="en-AU"/>
              </w:rPr>
              <w:t xml:space="preserve"> in the National Health System North West</w:t>
            </w:r>
          </w:p>
        </w:tc>
        <w:tc>
          <w:tcPr>
            <w:tcW w:w="1440" w:type="dxa"/>
          </w:tcPr>
          <w:p w:rsidR="00933172" w:rsidRDefault="0033475D" w:rsidP="0025764B">
            <w:pPr>
              <w:spacing w:before="20" w:after="20" w:line="264" w:lineRule="auto"/>
              <w:rPr>
                <w:rFonts w:ascii="Calibri" w:hAnsi="Calibri" w:cs="Arial"/>
                <w:sz w:val="20"/>
                <w:szCs w:val="24"/>
                <w:lang w:eastAsia="en-AU"/>
              </w:rPr>
            </w:pPr>
            <w:r w:rsidRPr="0025764B">
              <w:rPr>
                <w:rFonts w:ascii="Calibri" w:hAnsi="Calibri" w:cs="Arial"/>
                <w:sz w:val="20"/>
                <w:szCs w:val="24"/>
                <w:lang w:eastAsia="en-AU"/>
              </w:rPr>
              <w:t>McDonald</w:t>
            </w:r>
            <w:r w:rsidR="0025764B">
              <w:rPr>
                <w:rFonts w:ascii="Calibri" w:hAnsi="Calibri" w:cs="Arial"/>
                <w:sz w:val="20"/>
                <w:szCs w:val="24"/>
                <w:lang w:eastAsia="en-AU"/>
              </w:rPr>
              <w:t xml:space="preserve"> R,</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Boaden R,</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Roland M,</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Kristensen SR,</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Meacock R,</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Lau YS,</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Mason T,</w:t>
            </w:r>
          </w:p>
          <w:p w:rsidR="0025764B" w:rsidRDefault="0025764B" w:rsidP="0025764B">
            <w:pPr>
              <w:spacing w:before="20" w:after="20" w:line="264" w:lineRule="auto"/>
              <w:rPr>
                <w:rFonts w:ascii="Calibri" w:hAnsi="Calibri" w:cs="Arial"/>
                <w:sz w:val="20"/>
                <w:szCs w:val="24"/>
                <w:lang w:eastAsia="en-AU"/>
              </w:rPr>
            </w:pPr>
            <w:r>
              <w:rPr>
                <w:rFonts w:ascii="Calibri" w:hAnsi="Calibri" w:cs="Arial"/>
                <w:sz w:val="20"/>
                <w:szCs w:val="24"/>
                <w:lang w:eastAsia="en-AU"/>
              </w:rPr>
              <w:t>Turner AJ,</w:t>
            </w:r>
          </w:p>
          <w:p w:rsidR="0025764B" w:rsidRDefault="0025764B" w:rsidP="004A010A">
            <w:pPr>
              <w:spacing w:before="20" w:after="20" w:line="264" w:lineRule="auto"/>
              <w:rPr>
                <w:rFonts w:ascii="Calibri" w:hAnsi="Calibri" w:cs="Arial"/>
                <w:sz w:val="20"/>
                <w:szCs w:val="24"/>
                <w:highlight w:val="yellow"/>
                <w:lang w:eastAsia="en-AU"/>
              </w:rPr>
            </w:pPr>
            <w:r>
              <w:rPr>
                <w:rFonts w:ascii="Calibri" w:hAnsi="Calibri" w:cs="Arial"/>
                <w:sz w:val="20"/>
                <w:szCs w:val="24"/>
                <w:lang w:eastAsia="en-AU"/>
              </w:rPr>
              <w:t>Sutton M</w:t>
            </w:r>
          </w:p>
        </w:tc>
        <w:tc>
          <w:tcPr>
            <w:tcW w:w="1440" w:type="dxa"/>
          </w:tcPr>
          <w:p w:rsidR="00933172" w:rsidRDefault="0033475D"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 xml:space="preserve">Health </w:t>
            </w:r>
            <w:r w:rsidR="00890E6E">
              <w:rPr>
                <w:rFonts w:ascii="Calibri" w:hAnsi="Calibri" w:cs="Arial"/>
                <w:iCs/>
                <w:sz w:val="20"/>
                <w:szCs w:val="24"/>
                <w:lang w:eastAsia="en-AU"/>
              </w:rPr>
              <w:t>Services and Delivery Research</w:t>
            </w:r>
          </w:p>
        </w:tc>
        <w:tc>
          <w:tcPr>
            <w:tcW w:w="1800" w:type="dxa"/>
          </w:tcPr>
          <w:p w:rsidR="00933172" w:rsidRDefault="00890E6E" w:rsidP="00F45076">
            <w:pPr>
              <w:spacing w:before="20" w:after="20" w:line="264" w:lineRule="auto"/>
              <w:rPr>
                <w:rFonts w:ascii="Calibri" w:hAnsi="Calibri" w:cs="Arial"/>
                <w:sz w:val="20"/>
                <w:lang w:eastAsia="en-AU"/>
              </w:rPr>
            </w:pPr>
            <w:r>
              <w:rPr>
                <w:rFonts w:ascii="Calibri" w:hAnsi="Calibri" w:cs="Arial"/>
                <w:sz w:val="20"/>
                <w:lang w:eastAsia="en-AU"/>
              </w:rPr>
              <w:t>Difference</w:t>
            </w:r>
            <w:r w:rsidR="001E45C6">
              <w:rPr>
                <w:rFonts w:ascii="Calibri" w:hAnsi="Calibri" w:cs="Arial"/>
                <w:sz w:val="20"/>
                <w:lang w:eastAsia="en-AU"/>
              </w:rPr>
              <w:t xml:space="preserve"> in difference </w:t>
            </w:r>
            <w:r>
              <w:rPr>
                <w:rFonts w:ascii="Calibri" w:hAnsi="Calibri" w:cs="Arial"/>
                <w:sz w:val="20"/>
                <w:lang w:eastAsia="en-AU"/>
              </w:rPr>
              <w:t xml:space="preserve"> analyses comparing performance on incentivised conditions and impact on mortality</w:t>
            </w:r>
          </w:p>
        </w:tc>
        <w:tc>
          <w:tcPr>
            <w:tcW w:w="1800" w:type="dxa"/>
          </w:tcPr>
          <w:p w:rsidR="00933172" w:rsidRPr="00735EA3" w:rsidRDefault="00FE2683" w:rsidP="00473701">
            <w:pPr>
              <w:spacing w:before="20" w:after="20" w:line="264" w:lineRule="auto"/>
              <w:rPr>
                <w:rFonts w:ascii="Calibri" w:hAnsi="Calibri" w:cs="Arial"/>
                <w:sz w:val="20"/>
                <w:lang w:eastAsia="en-AU"/>
              </w:rPr>
            </w:pPr>
            <w:r>
              <w:rPr>
                <w:rFonts w:ascii="Calibri" w:hAnsi="Calibri" w:cs="Arial"/>
                <w:sz w:val="20"/>
                <w:lang w:eastAsia="en-AU"/>
              </w:rPr>
              <w:t>Introduction of a voluntary quality improvement financial reward program</w:t>
            </w:r>
          </w:p>
        </w:tc>
        <w:tc>
          <w:tcPr>
            <w:tcW w:w="1055" w:type="dxa"/>
          </w:tcPr>
          <w:p w:rsidR="00933172" w:rsidRDefault="00890E6E" w:rsidP="00473701">
            <w:pPr>
              <w:spacing w:before="20" w:after="20" w:line="264" w:lineRule="auto"/>
              <w:rPr>
                <w:rFonts w:ascii="Calibri" w:hAnsi="Calibri" w:cs="Arial"/>
                <w:sz w:val="20"/>
                <w:lang w:eastAsia="en-AU"/>
              </w:rPr>
            </w:pPr>
            <w:r>
              <w:rPr>
                <w:rFonts w:ascii="Calibri" w:hAnsi="Calibri" w:cs="Arial"/>
                <w:sz w:val="20"/>
                <w:lang w:eastAsia="en-AU"/>
              </w:rPr>
              <w:t>United Kingdom</w:t>
            </w:r>
          </w:p>
        </w:tc>
        <w:tc>
          <w:tcPr>
            <w:tcW w:w="1285" w:type="dxa"/>
          </w:tcPr>
          <w:p w:rsidR="00933172" w:rsidRDefault="00890E6E" w:rsidP="00A53223">
            <w:pPr>
              <w:spacing w:before="20" w:after="20" w:line="264" w:lineRule="auto"/>
              <w:rPr>
                <w:rFonts w:ascii="Calibri" w:hAnsi="Calibri" w:cs="Arial"/>
                <w:sz w:val="20"/>
                <w:lang w:eastAsia="en-AU"/>
              </w:rPr>
            </w:pPr>
            <w:r>
              <w:rPr>
                <w:rFonts w:ascii="Calibri" w:hAnsi="Calibri" w:cs="Arial"/>
                <w:sz w:val="20"/>
                <w:lang w:eastAsia="en-AU"/>
              </w:rPr>
              <w:t xml:space="preserve">Advancing Quality </w:t>
            </w:r>
            <w:r w:rsidR="00A53223">
              <w:rPr>
                <w:rFonts w:ascii="Calibri" w:hAnsi="Calibri" w:cs="Arial"/>
                <w:sz w:val="20"/>
                <w:lang w:eastAsia="en-AU"/>
              </w:rPr>
              <w:t>provides</w:t>
            </w:r>
            <w:r>
              <w:rPr>
                <w:rFonts w:ascii="Calibri" w:hAnsi="Calibri" w:cs="Arial"/>
                <w:sz w:val="20"/>
                <w:lang w:eastAsia="en-AU"/>
              </w:rPr>
              <w:t xml:space="preserve"> financial incentives for improvement in NHS north-west England</w:t>
            </w:r>
          </w:p>
        </w:tc>
        <w:tc>
          <w:tcPr>
            <w:tcW w:w="11135" w:type="dxa"/>
          </w:tcPr>
          <w:p w:rsidR="00933172" w:rsidRDefault="00890E6E" w:rsidP="008C7C3C">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I</w:t>
            </w:r>
            <w:r w:rsidR="0055627F">
              <w:rPr>
                <w:rFonts w:ascii="Calibri" w:hAnsi="Calibri" w:cs="Arial"/>
                <w:color w:val="000000"/>
                <w:sz w:val="20"/>
                <w:shd w:val="clear" w:color="auto" w:fill="FFFFFF"/>
              </w:rPr>
              <w:t xml:space="preserve">n 2008, </w:t>
            </w:r>
            <w:r w:rsidR="000C0696">
              <w:rPr>
                <w:rFonts w:ascii="Calibri" w:hAnsi="Calibri" w:cs="Arial"/>
                <w:color w:val="000000"/>
                <w:sz w:val="20"/>
                <w:shd w:val="clear" w:color="auto" w:fill="FFFFFF"/>
              </w:rPr>
              <w:t xml:space="preserve">the NHS in North West region of England introduced a </w:t>
            </w:r>
            <w:r w:rsidR="00A53223">
              <w:rPr>
                <w:rFonts w:ascii="Calibri" w:hAnsi="Calibri" w:cs="Arial"/>
                <w:color w:val="000000"/>
                <w:sz w:val="20"/>
                <w:shd w:val="clear" w:color="auto" w:fill="FFFFFF"/>
              </w:rPr>
              <w:t xml:space="preserve">voluntary </w:t>
            </w:r>
            <w:r w:rsidR="000C0696">
              <w:rPr>
                <w:rFonts w:ascii="Calibri" w:hAnsi="Calibri" w:cs="Arial"/>
                <w:color w:val="000000"/>
                <w:sz w:val="20"/>
                <w:shd w:val="clear" w:color="auto" w:fill="FFFFFF"/>
              </w:rPr>
              <w:t>scheme offering the potential for health-care providers to earn financia</w:t>
            </w:r>
            <w:r w:rsidR="00E25107">
              <w:rPr>
                <w:rFonts w:ascii="Calibri" w:hAnsi="Calibri" w:cs="Arial"/>
                <w:color w:val="000000"/>
                <w:sz w:val="20"/>
                <w:shd w:val="clear" w:color="auto" w:fill="FFFFFF"/>
              </w:rPr>
              <w:t>l rewards by improving quality</w:t>
            </w:r>
          </w:p>
          <w:p w:rsidR="000C0696" w:rsidRDefault="000C0696" w:rsidP="000C069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After the first 18 months of the scheme, there was a reduction in risk-adjusted mortality for three clinical conditions included in the scheme (pneumonia, heart failure and myocardial infarction). This was larger than reductions elsewhere in the NHS and significantly larger than other non-incentivised conditions in the N</w:t>
            </w:r>
            <w:r w:rsidR="00E25107">
              <w:rPr>
                <w:rFonts w:ascii="Calibri" w:hAnsi="Calibri" w:cs="Arial"/>
                <w:color w:val="000000"/>
                <w:sz w:val="20"/>
                <w:shd w:val="clear" w:color="auto" w:fill="FFFFFF"/>
              </w:rPr>
              <w:t>orth West</w:t>
            </w:r>
          </w:p>
          <w:p w:rsidR="000C0696" w:rsidRDefault="001E45C6" w:rsidP="000C069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However, at 42 months the risk-adjusted mortality for the three incentivised conditions fell in both the North West and the rest of England. The reduction in the rest of England was larger than in the North West and was mainly in pneumonia. However, the reductions in mortality were larger for the non-incentivised conditions in the North West  than in the rest of England </w:t>
            </w:r>
            <w:r w:rsidR="00E25107">
              <w:rPr>
                <w:rFonts w:ascii="Calibri" w:hAnsi="Calibri" w:cs="Arial"/>
                <w:color w:val="000000"/>
                <w:sz w:val="20"/>
                <w:shd w:val="clear" w:color="auto" w:fill="FFFFFF"/>
              </w:rPr>
              <w:t>between 18 months and 42 months</w:t>
            </w:r>
            <w:r>
              <w:rPr>
                <w:rFonts w:ascii="Calibri" w:hAnsi="Calibri" w:cs="Arial"/>
                <w:color w:val="000000"/>
                <w:sz w:val="20"/>
                <w:shd w:val="clear" w:color="auto" w:fill="FFFFFF"/>
              </w:rPr>
              <w:t xml:space="preserve"> </w:t>
            </w:r>
          </w:p>
          <w:p w:rsidR="001E45C6" w:rsidRDefault="001E45C6" w:rsidP="001E45C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The Advancing Quality program was relatively cost-effective in its first 18 months, however it is open to interpretation over the longer term (42 months). Perhaps the short-term improvements were not sustained and the observations were unrelated – or, perhaps these improvements are related to the positive spillover effect of the program.</w:t>
            </w:r>
          </w:p>
        </w:tc>
      </w:tr>
      <w:tr w:rsidR="001E45C6" w:rsidRPr="00DD5F78" w:rsidTr="00473701">
        <w:trPr>
          <w:cantSplit/>
          <w:trHeight w:val="1198"/>
          <w:tblHeader/>
        </w:trPr>
        <w:tc>
          <w:tcPr>
            <w:tcW w:w="449" w:type="dxa"/>
            <w:shd w:val="clear" w:color="auto" w:fill="8DB3E2"/>
          </w:tcPr>
          <w:p w:rsidR="001E45C6" w:rsidRPr="00735EA3" w:rsidRDefault="001E45C6"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1E45C6" w:rsidRDefault="00AF5D45" w:rsidP="00A53223">
            <w:pPr>
              <w:spacing w:before="20" w:after="20" w:line="264" w:lineRule="auto"/>
              <w:rPr>
                <w:rFonts w:ascii="Calibri" w:hAnsi="Calibri" w:cs="Arial"/>
                <w:sz w:val="20"/>
                <w:szCs w:val="24"/>
                <w:lang w:eastAsia="en-AU"/>
              </w:rPr>
            </w:pPr>
            <w:r>
              <w:rPr>
                <w:rFonts w:ascii="Calibri" w:hAnsi="Calibri" w:cs="Arial"/>
                <w:sz w:val="20"/>
                <w:szCs w:val="24"/>
                <w:lang w:eastAsia="en-AU"/>
              </w:rPr>
              <w:t xml:space="preserve">The impact of providing feedback under negative financial incentives: Evidence from a field </w:t>
            </w:r>
            <w:r w:rsidR="00FE2683">
              <w:rPr>
                <w:rFonts w:ascii="Calibri" w:hAnsi="Calibri" w:cs="Arial"/>
                <w:sz w:val="20"/>
                <w:szCs w:val="24"/>
                <w:lang w:eastAsia="en-AU"/>
              </w:rPr>
              <w:t>experiment</w:t>
            </w:r>
          </w:p>
        </w:tc>
        <w:tc>
          <w:tcPr>
            <w:tcW w:w="1440" w:type="dxa"/>
          </w:tcPr>
          <w:p w:rsidR="0060635B" w:rsidRDefault="00AF5D45" w:rsidP="00473701">
            <w:pPr>
              <w:spacing w:before="20" w:after="20" w:line="264" w:lineRule="auto"/>
              <w:rPr>
                <w:rFonts w:ascii="Calibri" w:hAnsi="Calibri" w:cs="Arial"/>
                <w:sz w:val="20"/>
                <w:szCs w:val="24"/>
                <w:lang w:eastAsia="en-AU"/>
              </w:rPr>
            </w:pPr>
            <w:r w:rsidRPr="0060635B">
              <w:rPr>
                <w:rFonts w:ascii="Calibri" w:hAnsi="Calibri" w:cs="Arial"/>
                <w:sz w:val="20"/>
                <w:szCs w:val="24"/>
                <w:lang w:eastAsia="en-AU"/>
              </w:rPr>
              <w:t>Lourenco</w:t>
            </w:r>
            <w:r w:rsidR="0060635B">
              <w:rPr>
                <w:rFonts w:ascii="Calibri" w:hAnsi="Calibri" w:cs="Arial"/>
                <w:sz w:val="20"/>
                <w:szCs w:val="24"/>
                <w:lang w:eastAsia="en-AU"/>
              </w:rPr>
              <w:t xml:space="preserve"> SM,</w:t>
            </w:r>
          </w:p>
          <w:p w:rsidR="001E45C6" w:rsidRPr="0060635B" w:rsidRDefault="0060635B" w:rsidP="00473701">
            <w:pPr>
              <w:spacing w:before="20" w:after="20" w:line="264" w:lineRule="auto"/>
              <w:rPr>
                <w:rFonts w:ascii="Calibri" w:hAnsi="Calibri" w:cs="Arial"/>
                <w:sz w:val="20"/>
                <w:szCs w:val="24"/>
                <w:lang w:eastAsia="en-AU"/>
              </w:rPr>
            </w:pPr>
            <w:r w:rsidRPr="0060635B">
              <w:rPr>
                <w:rFonts w:ascii="Calibri" w:hAnsi="Calibri" w:cs="Arial"/>
                <w:sz w:val="20"/>
                <w:szCs w:val="24"/>
                <w:lang w:eastAsia="en-AU"/>
              </w:rPr>
              <w:t>Greenberg JO,</w:t>
            </w:r>
          </w:p>
          <w:p w:rsidR="0060635B" w:rsidRPr="0060635B" w:rsidRDefault="0060635B" w:rsidP="00473701">
            <w:pPr>
              <w:spacing w:before="20" w:after="20" w:line="264" w:lineRule="auto"/>
              <w:rPr>
                <w:rFonts w:ascii="Calibri" w:hAnsi="Calibri" w:cs="Arial"/>
                <w:sz w:val="20"/>
                <w:szCs w:val="24"/>
                <w:lang w:eastAsia="en-AU"/>
              </w:rPr>
            </w:pPr>
            <w:r w:rsidRPr="0060635B">
              <w:rPr>
                <w:rFonts w:ascii="Calibri" w:hAnsi="Calibri" w:cs="Arial"/>
                <w:sz w:val="20"/>
                <w:szCs w:val="24"/>
                <w:lang w:eastAsia="en-AU"/>
              </w:rPr>
              <w:t>Spinks M,</w:t>
            </w:r>
          </w:p>
          <w:p w:rsidR="0060635B" w:rsidRPr="0060635B" w:rsidRDefault="0060635B" w:rsidP="00473701">
            <w:pPr>
              <w:spacing w:before="20" w:after="20" w:line="264" w:lineRule="auto"/>
              <w:rPr>
                <w:rFonts w:ascii="Calibri" w:hAnsi="Calibri" w:cs="Arial"/>
                <w:sz w:val="20"/>
                <w:szCs w:val="24"/>
                <w:lang w:eastAsia="en-AU"/>
              </w:rPr>
            </w:pPr>
            <w:r w:rsidRPr="0060635B">
              <w:rPr>
                <w:rFonts w:ascii="Calibri" w:hAnsi="Calibri" w:cs="Arial"/>
                <w:sz w:val="20"/>
                <w:szCs w:val="24"/>
                <w:lang w:eastAsia="en-AU"/>
              </w:rPr>
              <w:t>Bates D,</w:t>
            </w:r>
          </w:p>
          <w:p w:rsidR="0060635B" w:rsidRDefault="0060635B" w:rsidP="004A010A">
            <w:pPr>
              <w:spacing w:before="20" w:after="20" w:line="264" w:lineRule="auto"/>
              <w:rPr>
                <w:rFonts w:ascii="Calibri" w:hAnsi="Calibri" w:cs="Arial"/>
                <w:sz w:val="20"/>
                <w:szCs w:val="24"/>
                <w:highlight w:val="yellow"/>
                <w:lang w:eastAsia="en-AU"/>
              </w:rPr>
            </w:pPr>
            <w:r w:rsidRPr="0060635B">
              <w:rPr>
                <w:rFonts w:ascii="Calibri" w:hAnsi="Calibri" w:cs="Arial"/>
                <w:sz w:val="20"/>
                <w:szCs w:val="24"/>
                <w:lang w:eastAsia="en-AU"/>
              </w:rPr>
              <w:t>Narayanan VG</w:t>
            </w:r>
          </w:p>
        </w:tc>
        <w:tc>
          <w:tcPr>
            <w:tcW w:w="1440" w:type="dxa"/>
          </w:tcPr>
          <w:p w:rsidR="001E45C6" w:rsidRDefault="00AF5D45"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European Accounting Association Annual Congress 2015</w:t>
            </w:r>
          </w:p>
        </w:tc>
        <w:tc>
          <w:tcPr>
            <w:tcW w:w="1800" w:type="dxa"/>
          </w:tcPr>
          <w:p w:rsidR="001E45C6" w:rsidRDefault="00861206" w:rsidP="00861206">
            <w:pPr>
              <w:spacing w:before="20" w:after="20" w:line="264" w:lineRule="auto"/>
              <w:rPr>
                <w:rFonts w:ascii="Calibri" w:hAnsi="Calibri" w:cs="Arial"/>
                <w:sz w:val="20"/>
                <w:lang w:eastAsia="en-AU"/>
              </w:rPr>
            </w:pPr>
            <w:r>
              <w:rPr>
                <w:rFonts w:ascii="Calibri" w:hAnsi="Calibri" w:cs="Arial"/>
                <w:sz w:val="20"/>
                <w:lang w:eastAsia="en-AU"/>
              </w:rPr>
              <w:t>F</w:t>
            </w:r>
            <w:r w:rsidR="00AF5D45">
              <w:rPr>
                <w:rFonts w:ascii="Calibri" w:hAnsi="Calibri" w:cs="Arial"/>
                <w:sz w:val="20"/>
                <w:lang w:eastAsia="en-AU"/>
              </w:rPr>
              <w:t>ield experiment</w:t>
            </w:r>
          </w:p>
        </w:tc>
        <w:tc>
          <w:tcPr>
            <w:tcW w:w="1800" w:type="dxa"/>
          </w:tcPr>
          <w:p w:rsidR="001E45C6" w:rsidRPr="00735EA3" w:rsidRDefault="0088613F" w:rsidP="00473701">
            <w:pPr>
              <w:spacing w:before="20" w:after="20" w:line="264" w:lineRule="auto"/>
              <w:rPr>
                <w:rFonts w:ascii="Calibri" w:hAnsi="Calibri" w:cs="Arial"/>
                <w:sz w:val="20"/>
                <w:lang w:eastAsia="en-AU"/>
              </w:rPr>
            </w:pPr>
            <w:r>
              <w:rPr>
                <w:rFonts w:ascii="Calibri" w:hAnsi="Calibri" w:cs="Arial"/>
                <w:sz w:val="20"/>
                <w:lang w:eastAsia="en-AU"/>
              </w:rPr>
              <w:t xml:space="preserve">Using negative financial incentives </w:t>
            </w:r>
          </w:p>
        </w:tc>
        <w:tc>
          <w:tcPr>
            <w:tcW w:w="1055" w:type="dxa"/>
          </w:tcPr>
          <w:p w:rsidR="001E45C6" w:rsidRDefault="00861206" w:rsidP="00473701">
            <w:pPr>
              <w:spacing w:before="20" w:after="20" w:line="264" w:lineRule="auto"/>
              <w:rPr>
                <w:rFonts w:ascii="Calibri" w:hAnsi="Calibri" w:cs="Arial"/>
                <w:sz w:val="20"/>
                <w:lang w:eastAsia="en-AU"/>
              </w:rPr>
            </w:pPr>
            <w:r>
              <w:rPr>
                <w:rFonts w:ascii="Calibri" w:hAnsi="Calibri" w:cs="Arial"/>
                <w:sz w:val="20"/>
                <w:lang w:eastAsia="en-AU"/>
              </w:rPr>
              <w:t>North America</w:t>
            </w:r>
          </w:p>
        </w:tc>
        <w:tc>
          <w:tcPr>
            <w:tcW w:w="1285" w:type="dxa"/>
          </w:tcPr>
          <w:p w:rsidR="001E45C6" w:rsidRDefault="00861206" w:rsidP="008C7C3C">
            <w:pPr>
              <w:spacing w:before="20" w:after="20" w:line="264" w:lineRule="auto"/>
              <w:rPr>
                <w:rFonts w:ascii="Calibri" w:hAnsi="Calibri" w:cs="Arial"/>
                <w:sz w:val="20"/>
                <w:lang w:eastAsia="en-AU"/>
              </w:rPr>
            </w:pPr>
            <w:r>
              <w:rPr>
                <w:rFonts w:ascii="Calibri" w:hAnsi="Calibri" w:cs="Arial"/>
                <w:sz w:val="20"/>
                <w:lang w:eastAsia="en-AU"/>
              </w:rPr>
              <w:t>181 physicians from a North American hospital implementing e prescribing</w:t>
            </w:r>
          </w:p>
        </w:tc>
        <w:tc>
          <w:tcPr>
            <w:tcW w:w="11135" w:type="dxa"/>
          </w:tcPr>
          <w:p w:rsidR="001E45C6" w:rsidRDefault="00861206" w:rsidP="00074E1F">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This field experiment studies the effect of feedback in the context of negative financial incentives</w:t>
            </w:r>
          </w:p>
          <w:p w:rsidR="00861206" w:rsidRDefault="00861206" w:rsidP="0086120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Prior research has shown that people react differently to losses and gains. The use of feedback in conjunction with monetary incentives is </w:t>
            </w:r>
            <w:r w:rsidR="00367788">
              <w:rPr>
                <w:rFonts w:ascii="Calibri" w:hAnsi="Calibri" w:cs="Arial"/>
                <w:color w:val="000000"/>
                <w:sz w:val="20"/>
                <w:shd w:val="clear" w:color="auto" w:fill="FFFFFF"/>
              </w:rPr>
              <w:t xml:space="preserve">usually </w:t>
            </w:r>
            <w:r>
              <w:rPr>
                <w:rFonts w:ascii="Calibri" w:hAnsi="Calibri" w:cs="Arial"/>
                <w:color w:val="000000"/>
                <w:sz w:val="20"/>
                <w:shd w:val="clear" w:color="auto" w:fill="FFFFFF"/>
              </w:rPr>
              <w:t>used positively i.e. money is given a</w:t>
            </w:r>
            <w:r w:rsidR="00562828">
              <w:rPr>
                <w:rFonts w:ascii="Calibri" w:hAnsi="Calibri" w:cs="Arial"/>
                <w:color w:val="000000"/>
                <w:sz w:val="20"/>
                <w:shd w:val="clear" w:color="auto" w:fill="FFFFFF"/>
              </w:rPr>
              <w:t>s a reward for good performance</w:t>
            </w:r>
          </w:p>
          <w:p w:rsidR="00861206" w:rsidRDefault="00861206" w:rsidP="0086120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This study uses negative financial incentives whereby there was clear formal evaluation that could lead to contract termination </w:t>
            </w:r>
          </w:p>
          <w:p w:rsidR="00861206" w:rsidRDefault="00861206" w:rsidP="0086120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Physicians were split into two groups, where treatment group received performance feedback about their e-prescribing rate and could access a web page providing a display of historical performance. The control group did not receive any direct information about their </w:t>
            </w:r>
            <w:r w:rsidR="00562828">
              <w:rPr>
                <w:rFonts w:ascii="Calibri" w:hAnsi="Calibri" w:cs="Arial"/>
                <w:color w:val="000000"/>
                <w:sz w:val="20"/>
                <w:shd w:val="clear" w:color="auto" w:fill="FFFFFF"/>
              </w:rPr>
              <w:t>performance</w:t>
            </w:r>
          </w:p>
          <w:p w:rsidR="00861206" w:rsidRDefault="00861206" w:rsidP="0086120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Results showed that </w:t>
            </w:r>
            <w:r w:rsidR="00562828">
              <w:rPr>
                <w:rFonts w:ascii="Calibri" w:hAnsi="Calibri" w:cs="Arial"/>
                <w:color w:val="000000"/>
                <w:sz w:val="20"/>
                <w:shd w:val="clear" w:color="auto" w:fill="FFFFFF"/>
              </w:rPr>
              <w:t xml:space="preserve">low performers in the treatment group improved their e-prescribing rates less and later than low performers in the control group who received no tangible reference to the distance from their goal. </w:t>
            </w:r>
          </w:p>
          <w:p w:rsidR="00562828" w:rsidRDefault="00562828" w:rsidP="00861206">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For low performers in the treatment group, feedback had a counterproductive effect as performance only increased in response to feedback reports in the post-evaluation periods</w:t>
            </w:r>
          </w:p>
          <w:p w:rsidR="00562828" w:rsidRDefault="00562828" w:rsidP="00367788">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In summary, this study shows that feedback can delay performance improvements when negative financial incentives are present. However, caution should be taking about generalising these results to tasks with high on-going efforts as this was an implementation study</w:t>
            </w:r>
            <w:r w:rsidR="00E25107">
              <w:rPr>
                <w:rFonts w:ascii="Calibri" w:hAnsi="Calibri" w:cs="Arial"/>
                <w:color w:val="000000"/>
                <w:sz w:val="20"/>
                <w:shd w:val="clear" w:color="auto" w:fill="FFFFFF"/>
              </w:rPr>
              <w:t>.</w:t>
            </w:r>
          </w:p>
        </w:tc>
      </w:tr>
      <w:tr w:rsidR="00044C32" w:rsidRPr="00DD5F78" w:rsidTr="00473701">
        <w:trPr>
          <w:cantSplit/>
          <w:trHeight w:val="1198"/>
          <w:tblHeader/>
        </w:trPr>
        <w:tc>
          <w:tcPr>
            <w:tcW w:w="449" w:type="dxa"/>
            <w:shd w:val="clear" w:color="auto" w:fill="8DB3E2"/>
          </w:tcPr>
          <w:p w:rsidR="00044C32" w:rsidRPr="00735EA3" w:rsidRDefault="00044C32"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044C32" w:rsidRDefault="002F2A55" w:rsidP="009A68C1">
            <w:pPr>
              <w:spacing w:before="20" w:after="20" w:line="264" w:lineRule="auto"/>
              <w:rPr>
                <w:rFonts w:ascii="Calibri" w:hAnsi="Calibri" w:cs="Arial"/>
                <w:sz w:val="20"/>
                <w:szCs w:val="24"/>
                <w:lang w:eastAsia="en-AU"/>
              </w:rPr>
            </w:pPr>
            <w:r>
              <w:rPr>
                <w:rFonts w:ascii="Calibri" w:hAnsi="Calibri" w:cs="Arial"/>
                <w:sz w:val="20"/>
                <w:szCs w:val="24"/>
                <w:lang w:eastAsia="en-AU"/>
              </w:rPr>
              <w:t>Use of provider-level dashboards and P4P in venous thromboembolism prophylaxis</w:t>
            </w:r>
          </w:p>
        </w:tc>
        <w:tc>
          <w:tcPr>
            <w:tcW w:w="1440" w:type="dxa"/>
          </w:tcPr>
          <w:p w:rsidR="00044C32" w:rsidRDefault="002F2A55" w:rsidP="00C85034">
            <w:pPr>
              <w:spacing w:before="20" w:after="20" w:line="264" w:lineRule="auto"/>
              <w:rPr>
                <w:rFonts w:ascii="Calibri" w:hAnsi="Calibri" w:cs="Arial"/>
                <w:sz w:val="20"/>
                <w:szCs w:val="24"/>
                <w:lang w:eastAsia="en-AU"/>
              </w:rPr>
            </w:pPr>
            <w:r w:rsidRPr="00C85034">
              <w:rPr>
                <w:rFonts w:ascii="Calibri" w:hAnsi="Calibri" w:cs="Arial"/>
                <w:sz w:val="20"/>
                <w:szCs w:val="24"/>
                <w:lang w:eastAsia="en-AU"/>
              </w:rPr>
              <w:t>Michtalik</w:t>
            </w:r>
            <w:r w:rsidR="00C85034">
              <w:rPr>
                <w:rFonts w:ascii="Calibri" w:hAnsi="Calibri" w:cs="Arial"/>
                <w:sz w:val="20"/>
                <w:szCs w:val="24"/>
                <w:lang w:eastAsia="en-AU"/>
              </w:rPr>
              <w:t xml:space="preserve"> HJ,</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 xml:space="preserve">Carolan HT, </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 xml:space="preserve">Haut ER, </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 xml:space="preserve">Lau BD, </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 xml:space="preserve">Streiff MB, </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Finkelstein J,</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Pronovost PJ,</w:t>
            </w:r>
          </w:p>
          <w:p w:rsidR="00C85034" w:rsidRDefault="00C85034" w:rsidP="00C85034">
            <w:pPr>
              <w:spacing w:before="20" w:after="20" w:line="264" w:lineRule="auto"/>
              <w:rPr>
                <w:rFonts w:ascii="Calibri" w:hAnsi="Calibri" w:cs="Arial"/>
                <w:sz w:val="20"/>
                <w:szCs w:val="24"/>
                <w:lang w:eastAsia="en-AU"/>
              </w:rPr>
            </w:pPr>
            <w:r>
              <w:rPr>
                <w:rFonts w:ascii="Calibri" w:hAnsi="Calibri" w:cs="Arial"/>
                <w:sz w:val="20"/>
                <w:szCs w:val="24"/>
                <w:lang w:eastAsia="en-AU"/>
              </w:rPr>
              <w:t>Durkin N,</w:t>
            </w:r>
          </w:p>
          <w:p w:rsidR="00C85034" w:rsidRDefault="00C85034" w:rsidP="004A010A">
            <w:pPr>
              <w:spacing w:before="20" w:after="20" w:line="264" w:lineRule="auto"/>
              <w:rPr>
                <w:rFonts w:ascii="Calibri" w:hAnsi="Calibri" w:cs="Arial"/>
                <w:sz w:val="20"/>
                <w:szCs w:val="24"/>
                <w:highlight w:val="yellow"/>
                <w:lang w:eastAsia="en-AU"/>
              </w:rPr>
            </w:pPr>
            <w:r>
              <w:rPr>
                <w:rFonts w:ascii="Calibri" w:hAnsi="Calibri" w:cs="Arial"/>
                <w:sz w:val="20"/>
                <w:szCs w:val="24"/>
                <w:lang w:eastAsia="en-AU"/>
              </w:rPr>
              <w:t>Brotman DJ</w:t>
            </w:r>
          </w:p>
        </w:tc>
        <w:tc>
          <w:tcPr>
            <w:tcW w:w="1440" w:type="dxa"/>
          </w:tcPr>
          <w:p w:rsidR="00044C32" w:rsidRDefault="0085714E"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J Hosp Medicine</w:t>
            </w:r>
          </w:p>
        </w:tc>
        <w:tc>
          <w:tcPr>
            <w:tcW w:w="1800" w:type="dxa"/>
          </w:tcPr>
          <w:p w:rsidR="00044C32" w:rsidRDefault="0085714E" w:rsidP="00861206">
            <w:pPr>
              <w:spacing w:before="20" w:after="20" w:line="264" w:lineRule="auto"/>
              <w:rPr>
                <w:rFonts w:ascii="Calibri" w:hAnsi="Calibri" w:cs="Arial"/>
                <w:sz w:val="20"/>
                <w:lang w:eastAsia="en-AU"/>
              </w:rPr>
            </w:pPr>
            <w:r>
              <w:rPr>
                <w:rFonts w:ascii="Calibri" w:hAnsi="Calibri" w:cs="Arial"/>
                <w:sz w:val="20"/>
                <w:lang w:eastAsia="en-AU"/>
              </w:rPr>
              <w:t>Comparative analysis</w:t>
            </w:r>
          </w:p>
        </w:tc>
        <w:tc>
          <w:tcPr>
            <w:tcW w:w="1800" w:type="dxa"/>
          </w:tcPr>
          <w:p w:rsidR="0088613F" w:rsidRPr="00735EA3" w:rsidRDefault="0088613F" w:rsidP="00473701">
            <w:pPr>
              <w:spacing w:before="20" w:after="20" w:line="264" w:lineRule="auto"/>
              <w:rPr>
                <w:rFonts w:ascii="Calibri" w:hAnsi="Calibri" w:cs="Arial"/>
                <w:sz w:val="20"/>
                <w:lang w:eastAsia="en-AU"/>
              </w:rPr>
            </w:pPr>
            <w:r>
              <w:rPr>
                <w:rFonts w:ascii="Calibri" w:hAnsi="Calibri" w:cs="Arial"/>
                <w:sz w:val="20"/>
                <w:lang w:eastAsia="en-AU"/>
              </w:rPr>
              <w:t>Using dashboards and P4P programs</w:t>
            </w:r>
          </w:p>
        </w:tc>
        <w:tc>
          <w:tcPr>
            <w:tcW w:w="1055" w:type="dxa"/>
          </w:tcPr>
          <w:p w:rsidR="00044C32" w:rsidRDefault="002073BB" w:rsidP="00473701">
            <w:pPr>
              <w:spacing w:before="20" w:after="20" w:line="264" w:lineRule="auto"/>
              <w:rPr>
                <w:rFonts w:ascii="Calibri" w:hAnsi="Calibri" w:cs="Arial"/>
                <w:sz w:val="20"/>
                <w:lang w:eastAsia="en-AU"/>
              </w:rPr>
            </w:pPr>
            <w:r>
              <w:rPr>
                <w:rFonts w:ascii="Calibri" w:hAnsi="Calibri" w:cs="Arial"/>
                <w:sz w:val="20"/>
                <w:lang w:eastAsia="en-AU"/>
              </w:rPr>
              <w:t>Maryland, USA</w:t>
            </w:r>
          </w:p>
        </w:tc>
        <w:tc>
          <w:tcPr>
            <w:tcW w:w="1285" w:type="dxa"/>
          </w:tcPr>
          <w:p w:rsidR="0088613F" w:rsidRDefault="0088613F" w:rsidP="0088613F">
            <w:pPr>
              <w:spacing w:before="20" w:after="20" w:line="264" w:lineRule="auto"/>
              <w:rPr>
                <w:rFonts w:ascii="Calibri" w:hAnsi="Calibri" w:cs="Arial"/>
                <w:sz w:val="20"/>
                <w:lang w:eastAsia="en-AU"/>
              </w:rPr>
            </w:pPr>
            <w:r>
              <w:rPr>
                <w:rFonts w:ascii="Calibri" w:hAnsi="Calibri" w:cs="Arial"/>
                <w:sz w:val="20"/>
                <w:lang w:eastAsia="en-AU"/>
              </w:rPr>
              <w:t>Retrospective analysis of Maryland inpatient admissions</w:t>
            </w:r>
          </w:p>
          <w:p w:rsidR="00044C32" w:rsidRDefault="00044C32" w:rsidP="008C7C3C">
            <w:pPr>
              <w:spacing w:before="20" w:after="20" w:line="264" w:lineRule="auto"/>
              <w:rPr>
                <w:rFonts w:ascii="Calibri" w:hAnsi="Calibri" w:cs="Arial"/>
                <w:sz w:val="20"/>
                <w:lang w:eastAsia="en-AU"/>
              </w:rPr>
            </w:pPr>
          </w:p>
        </w:tc>
        <w:tc>
          <w:tcPr>
            <w:tcW w:w="11135" w:type="dxa"/>
          </w:tcPr>
          <w:p w:rsidR="002073BB" w:rsidRPr="002073BB" w:rsidRDefault="002073BB" w:rsidP="002073BB">
            <w:pPr>
              <w:pStyle w:val="ListParagraph"/>
              <w:numPr>
                <w:ilvl w:val="0"/>
                <w:numId w:val="60"/>
              </w:numPr>
              <w:autoSpaceDE w:val="0"/>
              <w:autoSpaceDN w:val="0"/>
              <w:adjustRightInd w:val="0"/>
              <w:rPr>
                <w:rFonts w:cs="Arial"/>
                <w:sz w:val="20"/>
                <w:lang w:eastAsia="en-AU"/>
              </w:rPr>
            </w:pPr>
            <w:r>
              <w:rPr>
                <w:rFonts w:ascii="Calibri" w:hAnsi="Calibri" w:cs="Arial"/>
                <w:color w:val="000000"/>
                <w:sz w:val="20"/>
                <w:shd w:val="clear" w:color="auto" w:fill="FFFFFF"/>
              </w:rPr>
              <w:t xml:space="preserve">This study </w:t>
            </w:r>
            <w:r w:rsidRPr="002073BB">
              <w:rPr>
                <w:rFonts w:ascii="Calibri" w:hAnsi="Calibri" w:cs="Arial"/>
                <w:color w:val="000000"/>
                <w:sz w:val="20"/>
                <w:shd w:val="clear" w:color="auto" w:fill="FFFFFF"/>
              </w:rPr>
              <w:t>sequentially examine</w:t>
            </w:r>
            <w:r>
              <w:rPr>
                <w:rFonts w:ascii="Calibri" w:hAnsi="Calibri" w:cs="Arial"/>
                <w:color w:val="000000"/>
                <w:sz w:val="20"/>
                <w:shd w:val="clear" w:color="auto" w:fill="FFFFFF"/>
              </w:rPr>
              <w:t>d</w:t>
            </w:r>
            <w:r w:rsidRPr="002073BB">
              <w:rPr>
                <w:rFonts w:ascii="Calibri" w:hAnsi="Calibri" w:cs="Arial"/>
                <w:color w:val="000000"/>
                <w:sz w:val="20"/>
                <w:shd w:val="clear" w:color="auto" w:fill="FFFFFF"/>
              </w:rPr>
              <w:t xml:space="preserve"> an individualized physician dashboard and </w:t>
            </w:r>
            <w:r w:rsidR="002F2A55">
              <w:rPr>
                <w:rFonts w:ascii="Calibri" w:hAnsi="Calibri" w:cs="Arial"/>
                <w:color w:val="000000"/>
                <w:sz w:val="20"/>
                <w:shd w:val="clear" w:color="auto" w:fill="FFFFFF"/>
              </w:rPr>
              <w:t>P4P</w:t>
            </w:r>
            <w:r w:rsidRPr="002073BB">
              <w:rPr>
                <w:rFonts w:ascii="Calibri" w:hAnsi="Calibri" w:cs="Arial"/>
                <w:color w:val="000000"/>
                <w:sz w:val="20"/>
                <w:shd w:val="clear" w:color="auto" w:fill="FFFFFF"/>
              </w:rPr>
              <w:t xml:space="preserve"> program</w:t>
            </w:r>
            <w:r>
              <w:rPr>
                <w:rFonts w:ascii="Calibri" w:hAnsi="Calibri" w:cs="Arial"/>
                <w:color w:val="000000"/>
                <w:sz w:val="20"/>
                <w:shd w:val="clear" w:color="auto" w:fill="FFFFFF"/>
              </w:rPr>
              <w:t>s</w:t>
            </w:r>
            <w:r w:rsidRPr="002073BB">
              <w:rPr>
                <w:rFonts w:ascii="Calibri" w:hAnsi="Calibri" w:cs="Arial"/>
                <w:color w:val="000000"/>
                <w:sz w:val="20"/>
                <w:shd w:val="clear" w:color="auto" w:fill="FFFFFF"/>
              </w:rPr>
              <w:t xml:space="preserve"> to improve VTE prophylaxis rates among hospitalists</w:t>
            </w:r>
          </w:p>
          <w:p w:rsidR="002F2A55" w:rsidRDefault="002F2A55" w:rsidP="002F2A55">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3144 inpatient admissions were analysed retrospectively for VTE prophylaxis compliance against the American College of Chest Physicians’ guidelines </w:t>
            </w:r>
          </w:p>
          <w:p w:rsidR="00044C32" w:rsidRDefault="002F2A55" w:rsidP="002F2A55">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After a baseline observation period of web-based hospitalist dashboard feedback only, a P4P program was incorporated. Graduated payouts were made for compliance rates of 80% to 100%. </w:t>
            </w:r>
          </w:p>
          <w:p w:rsidR="002F2A55" w:rsidRDefault="002F2A55" w:rsidP="002F2A55">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The results showed that compliance significantly improved with the dashboard use and addition of the P4P program. The highest rate of improvement occurred with the dashboard (1.58% per month, P = 0.01)</w:t>
            </w:r>
          </w:p>
          <w:p w:rsidR="002F2A55" w:rsidRDefault="002F2A55" w:rsidP="002F2A55">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Annual individual physician performance payments ranged from $53 USD to $1244 USD (mean $633, SD $350)</w:t>
            </w:r>
          </w:p>
          <w:p w:rsidR="002F2A55" w:rsidRDefault="002F2A55" w:rsidP="002F2A55">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This study suggests that real-time dashboards and physician-level incentives may assist hospitals in achieving higher safety and quality benchmarks</w:t>
            </w:r>
            <w:r w:rsidR="00E25107">
              <w:rPr>
                <w:rFonts w:ascii="Calibri" w:hAnsi="Calibri" w:cs="Arial"/>
                <w:color w:val="000000"/>
                <w:sz w:val="20"/>
                <w:shd w:val="clear" w:color="auto" w:fill="FFFFFF"/>
              </w:rPr>
              <w:t>.</w:t>
            </w:r>
          </w:p>
        </w:tc>
      </w:tr>
      <w:tr w:rsidR="008974E9" w:rsidRPr="00DD5F78" w:rsidTr="008974E9">
        <w:trPr>
          <w:cantSplit/>
          <w:trHeight w:val="1624"/>
          <w:tblHeader/>
        </w:trPr>
        <w:tc>
          <w:tcPr>
            <w:tcW w:w="449" w:type="dxa"/>
            <w:shd w:val="clear" w:color="auto" w:fill="8DB3E2"/>
          </w:tcPr>
          <w:p w:rsidR="008974E9" w:rsidRPr="00735EA3" w:rsidRDefault="008974E9"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8974E9" w:rsidRDefault="008974E9" w:rsidP="009A68C1">
            <w:pPr>
              <w:spacing w:before="20" w:after="20" w:line="264" w:lineRule="auto"/>
              <w:rPr>
                <w:rFonts w:ascii="Calibri" w:hAnsi="Calibri" w:cs="Arial"/>
                <w:sz w:val="20"/>
                <w:szCs w:val="24"/>
                <w:lang w:eastAsia="en-AU"/>
              </w:rPr>
            </w:pPr>
            <w:r w:rsidRPr="008974E9">
              <w:rPr>
                <w:rFonts w:ascii="Calibri" w:hAnsi="Calibri" w:cs="Arial"/>
                <w:sz w:val="20"/>
                <w:szCs w:val="24"/>
                <w:lang w:eastAsia="en-AU"/>
              </w:rPr>
              <w:t xml:space="preserve">Setting Value-Based Payment Goals — </w:t>
            </w:r>
            <w:r w:rsidR="0085714E">
              <w:rPr>
                <w:rFonts w:ascii="Calibri" w:hAnsi="Calibri" w:cs="Arial"/>
                <w:sz w:val="20"/>
                <w:szCs w:val="24"/>
                <w:lang w:eastAsia="en-AU"/>
              </w:rPr>
              <w:t xml:space="preserve">Department of Health and Human Services  (DHHS) </w:t>
            </w:r>
            <w:r w:rsidRPr="008974E9">
              <w:rPr>
                <w:rFonts w:ascii="Calibri" w:hAnsi="Calibri" w:cs="Arial"/>
                <w:sz w:val="20"/>
                <w:szCs w:val="24"/>
                <w:lang w:eastAsia="en-AU"/>
              </w:rPr>
              <w:t>Efforts to Improve U.S. Health Care</w:t>
            </w:r>
          </w:p>
        </w:tc>
        <w:tc>
          <w:tcPr>
            <w:tcW w:w="1440" w:type="dxa"/>
          </w:tcPr>
          <w:p w:rsidR="008974E9" w:rsidRDefault="003234E8" w:rsidP="004A010A">
            <w:pPr>
              <w:spacing w:before="20" w:after="20" w:line="264" w:lineRule="auto"/>
              <w:rPr>
                <w:rFonts w:ascii="Calibri" w:hAnsi="Calibri" w:cs="Arial"/>
                <w:sz w:val="20"/>
                <w:szCs w:val="24"/>
                <w:highlight w:val="yellow"/>
                <w:lang w:eastAsia="en-AU"/>
              </w:rPr>
            </w:pPr>
            <w:r w:rsidRPr="00965BF0">
              <w:rPr>
                <w:rFonts w:ascii="Calibri" w:hAnsi="Calibri" w:cs="Arial"/>
                <w:sz w:val="20"/>
                <w:szCs w:val="24"/>
                <w:lang w:eastAsia="en-AU"/>
              </w:rPr>
              <w:t>Burwell</w:t>
            </w:r>
            <w:r w:rsidR="00965BF0">
              <w:rPr>
                <w:rFonts w:ascii="Calibri" w:hAnsi="Calibri" w:cs="Arial"/>
                <w:sz w:val="20"/>
                <w:szCs w:val="24"/>
                <w:lang w:eastAsia="en-AU"/>
              </w:rPr>
              <w:t xml:space="preserve"> SM</w:t>
            </w:r>
          </w:p>
        </w:tc>
        <w:tc>
          <w:tcPr>
            <w:tcW w:w="1440" w:type="dxa"/>
          </w:tcPr>
          <w:p w:rsidR="008974E9" w:rsidRDefault="0085714E"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New England Journal of Medicine</w:t>
            </w:r>
          </w:p>
        </w:tc>
        <w:tc>
          <w:tcPr>
            <w:tcW w:w="1800" w:type="dxa"/>
          </w:tcPr>
          <w:p w:rsidR="008974E9" w:rsidRDefault="0085714E" w:rsidP="00861206">
            <w:pPr>
              <w:spacing w:before="20" w:after="20" w:line="264" w:lineRule="auto"/>
              <w:rPr>
                <w:rFonts w:ascii="Calibri" w:hAnsi="Calibri" w:cs="Arial"/>
                <w:sz w:val="20"/>
                <w:lang w:eastAsia="en-AU"/>
              </w:rPr>
            </w:pPr>
            <w:r>
              <w:rPr>
                <w:rFonts w:ascii="Calibri" w:hAnsi="Calibri" w:cs="Arial"/>
                <w:sz w:val="20"/>
                <w:lang w:eastAsia="en-AU"/>
              </w:rPr>
              <w:t xml:space="preserve">New Medicare target policy </w:t>
            </w:r>
          </w:p>
        </w:tc>
        <w:tc>
          <w:tcPr>
            <w:tcW w:w="1800" w:type="dxa"/>
          </w:tcPr>
          <w:p w:rsidR="008974E9" w:rsidRPr="00735EA3" w:rsidRDefault="006F116A" w:rsidP="00473701">
            <w:pPr>
              <w:spacing w:before="20" w:after="20" w:line="264" w:lineRule="auto"/>
              <w:rPr>
                <w:rFonts w:ascii="Calibri" w:hAnsi="Calibri" w:cs="Arial"/>
                <w:sz w:val="20"/>
                <w:lang w:eastAsia="en-AU"/>
              </w:rPr>
            </w:pPr>
            <w:r>
              <w:rPr>
                <w:rFonts w:ascii="Calibri" w:hAnsi="Calibri" w:cs="Arial"/>
                <w:sz w:val="20"/>
                <w:lang w:eastAsia="en-AU"/>
              </w:rPr>
              <w:t>Ty</w:t>
            </w:r>
            <w:r w:rsidR="0088613F">
              <w:rPr>
                <w:rFonts w:ascii="Calibri" w:hAnsi="Calibri" w:cs="Arial"/>
                <w:sz w:val="20"/>
                <w:lang w:eastAsia="en-AU"/>
              </w:rPr>
              <w:t>ing fee-for-service payments to quality</w:t>
            </w:r>
          </w:p>
        </w:tc>
        <w:tc>
          <w:tcPr>
            <w:tcW w:w="1055" w:type="dxa"/>
          </w:tcPr>
          <w:p w:rsidR="008974E9" w:rsidRDefault="0085714E" w:rsidP="00473701">
            <w:pPr>
              <w:spacing w:before="20" w:after="20" w:line="264" w:lineRule="auto"/>
              <w:rPr>
                <w:rFonts w:ascii="Calibri" w:hAnsi="Calibri" w:cs="Arial"/>
                <w:sz w:val="20"/>
                <w:lang w:eastAsia="en-AU"/>
              </w:rPr>
            </w:pPr>
            <w:r>
              <w:rPr>
                <w:rFonts w:ascii="Calibri" w:hAnsi="Calibri" w:cs="Arial"/>
                <w:sz w:val="20"/>
                <w:lang w:eastAsia="en-AU"/>
              </w:rPr>
              <w:t>USA</w:t>
            </w:r>
          </w:p>
        </w:tc>
        <w:tc>
          <w:tcPr>
            <w:tcW w:w="1285" w:type="dxa"/>
          </w:tcPr>
          <w:p w:rsidR="008974E9" w:rsidRDefault="008974E9" w:rsidP="008C7C3C">
            <w:pPr>
              <w:spacing w:before="20" w:after="20" w:line="264" w:lineRule="auto"/>
              <w:rPr>
                <w:rFonts w:ascii="Calibri" w:hAnsi="Calibri" w:cs="Arial"/>
                <w:sz w:val="20"/>
                <w:lang w:eastAsia="en-AU"/>
              </w:rPr>
            </w:pPr>
          </w:p>
        </w:tc>
        <w:tc>
          <w:tcPr>
            <w:tcW w:w="11135" w:type="dxa"/>
          </w:tcPr>
          <w:p w:rsidR="0085714E" w:rsidRDefault="0085714E" w:rsidP="008974E9">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Medicare is the largest health purchaser in the US</w:t>
            </w:r>
          </w:p>
          <w:p w:rsidR="008974E9" w:rsidRPr="008974E9" w:rsidRDefault="0085714E" w:rsidP="008974E9">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The DHHS </w:t>
            </w:r>
            <w:r w:rsidR="008974E9" w:rsidRPr="008974E9">
              <w:rPr>
                <w:rFonts w:ascii="Calibri" w:hAnsi="Calibri" w:cs="Arial"/>
                <w:color w:val="000000"/>
                <w:sz w:val="20"/>
                <w:shd w:val="clear" w:color="auto" w:fill="FFFFFF"/>
              </w:rPr>
              <w:t>goal</w:t>
            </w:r>
            <w:r>
              <w:rPr>
                <w:rFonts w:ascii="Calibri" w:hAnsi="Calibri" w:cs="Arial"/>
                <w:color w:val="000000"/>
                <w:sz w:val="20"/>
                <w:shd w:val="clear" w:color="auto" w:fill="FFFFFF"/>
              </w:rPr>
              <w:t>s</w:t>
            </w:r>
            <w:r w:rsidR="008974E9" w:rsidRPr="008974E9">
              <w:rPr>
                <w:rFonts w:ascii="Calibri" w:hAnsi="Calibri" w:cs="Arial"/>
                <w:color w:val="000000"/>
                <w:sz w:val="20"/>
                <w:shd w:val="clear" w:color="auto" w:fill="FFFFFF"/>
              </w:rPr>
              <w:t xml:space="preserve"> </w:t>
            </w:r>
            <w:r>
              <w:rPr>
                <w:rFonts w:ascii="Calibri" w:hAnsi="Calibri" w:cs="Arial"/>
                <w:color w:val="000000"/>
                <w:sz w:val="20"/>
                <w:shd w:val="clear" w:color="auto" w:fill="FFFFFF"/>
              </w:rPr>
              <w:t>are</w:t>
            </w:r>
            <w:r w:rsidR="008974E9" w:rsidRPr="008974E9">
              <w:rPr>
                <w:rFonts w:ascii="Calibri" w:hAnsi="Calibri" w:cs="Arial"/>
                <w:color w:val="000000"/>
                <w:sz w:val="20"/>
                <w:shd w:val="clear" w:color="auto" w:fill="FFFFFF"/>
              </w:rPr>
              <w:t xml:space="preserve"> to have 85% of all Medicare fee-for-service payments tied to quality or value by 2016, and 90% by 2018</w:t>
            </w:r>
          </w:p>
          <w:p w:rsidR="008974E9" w:rsidRPr="008974E9" w:rsidRDefault="008974E9" w:rsidP="008974E9">
            <w:pPr>
              <w:pStyle w:val="ListParagraph"/>
              <w:numPr>
                <w:ilvl w:val="0"/>
                <w:numId w:val="60"/>
              </w:numPr>
              <w:autoSpaceDE w:val="0"/>
              <w:autoSpaceDN w:val="0"/>
              <w:adjustRightInd w:val="0"/>
              <w:rPr>
                <w:rFonts w:ascii="Calibri" w:hAnsi="Calibri" w:cs="Arial"/>
                <w:color w:val="000000"/>
                <w:sz w:val="20"/>
                <w:shd w:val="clear" w:color="auto" w:fill="FFFFFF"/>
              </w:rPr>
            </w:pPr>
            <w:r w:rsidRPr="008974E9">
              <w:rPr>
                <w:rFonts w:ascii="Calibri" w:hAnsi="Calibri" w:cs="Arial"/>
                <w:color w:val="000000"/>
                <w:sz w:val="20"/>
                <w:shd w:val="clear" w:color="auto" w:fill="FFFFFF"/>
              </w:rPr>
              <w:t>Additionally, the target is to have 30% of Medicare payments tied to quality or value through alternative payment models by the end of 2016, and 50% of payments by the end of 2018. Alternative payment models include accountable care organizations and bundled-payment arrangements under which health care providers are accountable for the quality and cost of the care they deliver to patients</w:t>
            </w:r>
          </w:p>
          <w:p w:rsidR="008974E9" w:rsidRDefault="008974E9" w:rsidP="008974E9">
            <w:pPr>
              <w:pStyle w:val="ListParagraph"/>
              <w:numPr>
                <w:ilvl w:val="0"/>
                <w:numId w:val="60"/>
              </w:numPr>
              <w:autoSpaceDE w:val="0"/>
              <w:autoSpaceDN w:val="0"/>
              <w:adjustRightInd w:val="0"/>
              <w:rPr>
                <w:rFonts w:ascii="Calibri" w:hAnsi="Calibri" w:cs="Arial"/>
                <w:color w:val="000000"/>
                <w:sz w:val="20"/>
                <w:shd w:val="clear" w:color="auto" w:fill="FFFFFF"/>
              </w:rPr>
            </w:pPr>
            <w:r w:rsidRPr="008974E9">
              <w:rPr>
                <w:rFonts w:ascii="Calibri" w:hAnsi="Calibri" w:cs="Arial"/>
                <w:color w:val="000000"/>
                <w:sz w:val="20"/>
                <w:shd w:val="clear" w:color="auto" w:fill="FFFFFF"/>
              </w:rPr>
              <w:t>This is the first time that Medicare is setting explicit goals for alternative payment models and value-based payments</w:t>
            </w:r>
            <w:r w:rsidR="00E25107">
              <w:rPr>
                <w:rFonts w:ascii="Calibri" w:hAnsi="Calibri" w:cs="Arial"/>
                <w:color w:val="000000"/>
                <w:sz w:val="20"/>
                <w:shd w:val="clear" w:color="auto" w:fill="FFFFFF"/>
              </w:rPr>
              <w:t>.</w:t>
            </w:r>
            <w:r>
              <w:rPr>
                <w:rFonts w:ascii="Arial" w:hAnsi="Arial" w:cs="Arial"/>
                <w:color w:val="333333"/>
                <w:sz w:val="20"/>
                <w:szCs w:val="20"/>
                <w:shd w:val="clear" w:color="auto" w:fill="FFFFFF"/>
              </w:rPr>
              <w:t xml:space="preserve"> </w:t>
            </w:r>
          </w:p>
        </w:tc>
      </w:tr>
      <w:tr w:rsidR="00716BC2" w:rsidRPr="00DD5F78" w:rsidTr="00DA6362">
        <w:trPr>
          <w:cantSplit/>
          <w:trHeight w:val="1139"/>
          <w:tblHeader/>
        </w:trPr>
        <w:tc>
          <w:tcPr>
            <w:tcW w:w="449" w:type="dxa"/>
            <w:shd w:val="clear" w:color="auto" w:fill="8DB3E2"/>
          </w:tcPr>
          <w:p w:rsidR="00716BC2" w:rsidRPr="00735EA3" w:rsidRDefault="00716BC2"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716BC2" w:rsidRPr="008974E9" w:rsidRDefault="00716BC2" w:rsidP="0085714E">
            <w:pPr>
              <w:spacing w:before="20" w:after="20" w:line="264" w:lineRule="auto"/>
              <w:rPr>
                <w:rFonts w:ascii="Calibri" w:hAnsi="Calibri" w:cs="Arial"/>
                <w:sz w:val="20"/>
                <w:szCs w:val="24"/>
                <w:lang w:eastAsia="en-AU"/>
              </w:rPr>
            </w:pPr>
            <w:r w:rsidRPr="0085714E">
              <w:rPr>
                <w:rFonts w:ascii="Calibri" w:hAnsi="Calibri" w:cs="Arial"/>
                <w:sz w:val="20"/>
                <w:szCs w:val="24"/>
                <w:lang w:eastAsia="en-AU"/>
              </w:rPr>
              <w:t>Payment Reform Is About to Become a Reality</w:t>
            </w:r>
          </w:p>
        </w:tc>
        <w:tc>
          <w:tcPr>
            <w:tcW w:w="1440" w:type="dxa"/>
          </w:tcPr>
          <w:p w:rsidR="00716BC2" w:rsidRDefault="00716BC2" w:rsidP="004A010A">
            <w:pPr>
              <w:spacing w:before="20" w:after="20" w:line="264" w:lineRule="auto"/>
              <w:rPr>
                <w:rFonts w:ascii="Calibri" w:hAnsi="Calibri" w:cs="Arial"/>
                <w:sz w:val="20"/>
                <w:szCs w:val="24"/>
                <w:highlight w:val="yellow"/>
                <w:lang w:eastAsia="en-AU"/>
              </w:rPr>
            </w:pPr>
            <w:r>
              <w:rPr>
                <w:rFonts w:ascii="Calibri" w:hAnsi="Calibri" w:cs="Arial"/>
                <w:sz w:val="20"/>
                <w:szCs w:val="24"/>
                <w:lang w:eastAsia="en-AU"/>
              </w:rPr>
              <w:t xml:space="preserve">Cutler, DM </w:t>
            </w:r>
          </w:p>
        </w:tc>
        <w:tc>
          <w:tcPr>
            <w:tcW w:w="1440" w:type="dxa"/>
          </w:tcPr>
          <w:p w:rsidR="00716BC2" w:rsidRDefault="00716BC2"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The JAMA Forum</w:t>
            </w:r>
          </w:p>
        </w:tc>
        <w:tc>
          <w:tcPr>
            <w:tcW w:w="1800" w:type="dxa"/>
          </w:tcPr>
          <w:p w:rsidR="00716BC2" w:rsidRDefault="00716BC2" w:rsidP="00E25107">
            <w:pPr>
              <w:spacing w:before="20" w:after="20" w:line="264" w:lineRule="auto"/>
              <w:rPr>
                <w:rFonts w:ascii="Calibri" w:hAnsi="Calibri" w:cs="Arial"/>
                <w:sz w:val="20"/>
                <w:lang w:eastAsia="en-AU"/>
              </w:rPr>
            </w:pPr>
            <w:r>
              <w:rPr>
                <w:rFonts w:ascii="Calibri" w:hAnsi="Calibri" w:cs="Arial"/>
                <w:sz w:val="20"/>
                <w:lang w:eastAsia="en-AU"/>
              </w:rPr>
              <w:t xml:space="preserve">New Medicare target policy </w:t>
            </w:r>
          </w:p>
        </w:tc>
        <w:tc>
          <w:tcPr>
            <w:tcW w:w="1800" w:type="dxa"/>
          </w:tcPr>
          <w:p w:rsidR="00716BC2" w:rsidRPr="00735EA3" w:rsidRDefault="006F116A" w:rsidP="00E25107">
            <w:pPr>
              <w:spacing w:before="20" w:after="20" w:line="264" w:lineRule="auto"/>
              <w:rPr>
                <w:rFonts w:ascii="Calibri" w:hAnsi="Calibri" w:cs="Arial"/>
                <w:sz w:val="20"/>
                <w:lang w:eastAsia="en-AU"/>
              </w:rPr>
            </w:pPr>
            <w:r>
              <w:rPr>
                <w:rFonts w:ascii="Calibri" w:hAnsi="Calibri" w:cs="Arial"/>
                <w:sz w:val="20"/>
                <w:lang w:eastAsia="en-AU"/>
              </w:rPr>
              <w:t>Ty</w:t>
            </w:r>
            <w:r w:rsidR="00716BC2">
              <w:rPr>
                <w:rFonts w:ascii="Calibri" w:hAnsi="Calibri" w:cs="Arial"/>
                <w:sz w:val="20"/>
                <w:lang w:eastAsia="en-AU"/>
              </w:rPr>
              <w:t>ing fee-for-service payments to quality</w:t>
            </w:r>
          </w:p>
        </w:tc>
        <w:tc>
          <w:tcPr>
            <w:tcW w:w="1055" w:type="dxa"/>
          </w:tcPr>
          <w:p w:rsidR="00716BC2" w:rsidRDefault="00716BC2" w:rsidP="00E25107">
            <w:pPr>
              <w:spacing w:before="20" w:after="20" w:line="264" w:lineRule="auto"/>
              <w:rPr>
                <w:rFonts w:ascii="Calibri" w:hAnsi="Calibri" w:cs="Arial"/>
                <w:sz w:val="20"/>
                <w:lang w:eastAsia="en-AU"/>
              </w:rPr>
            </w:pPr>
            <w:r>
              <w:rPr>
                <w:rFonts w:ascii="Calibri" w:hAnsi="Calibri" w:cs="Arial"/>
                <w:sz w:val="20"/>
                <w:lang w:eastAsia="en-AU"/>
              </w:rPr>
              <w:t>USA</w:t>
            </w:r>
          </w:p>
        </w:tc>
        <w:tc>
          <w:tcPr>
            <w:tcW w:w="1285" w:type="dxa"/>
          </w:tcPr>
          <w:p w:rsidR="00716BC2" w:rsidRDefault="00716BC2" w:rsidP="008C7C3C">
            <w:pPr>
              <w:spacing w:before="20" w:after="20" w:line="264" w:lineRule="auto"/>
              <w:rPr>
                <w:rFonts w:ascii="Calibri" w:hAnsi="Calibri" w:cs="Arial"/>
                <w:sz w:val="20"/>
                <w:lang w:eastAsia="en-AU"/>
              </w:rPr>
            </w:pPr>
          </w:p>
        </w:tc>
        <w:tc>
          <w:tcPr>
            <w:tcW w:w="11135" w:type="dxa"/>
          </w:tcPr>
          <w:p w:rsidR="00716BC2" w:rsidRDefault="00716BC2" w:rsidP="00E31FFD">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Follow on article from number 10 above</w:t>
            </w:r>
          </w:p>
          <w:p w:rsidR="00716BC2" w:rsidRDefault="00716BC2" w:rsidP="00E31FFD">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S</w:t>
            </w:r>
            <w:r w:rsidRPr="0085714E">
              <w:rPr>
                <w:rFonts w:ascii="Calibri" w:hAnsi="Calibri" w:cs="Arial"/>
                <w:color w:val="000000"/>
                <w:sz w:val="20"/>
                <w:shd w:val="clear" w:color="auto" w:fill="FFFFFF"/>
              </w:rPr>
              <w:t>pecifics</w:t>
            </w:r>
            <w:r>
              <w:rPr>
                <w:rFonts w:ascii="Calibri" w:hAnsi="Calibri" w:cs="Arial"/>
                <w:color w:val="000000"/>
                <w:sz w:val="20"/>
                <w:shd w:val="clear" w:color="auto" w:fill="FFFFFF"/>
              </w:rPr>
              <w:t xml:space="preserve"> </w:t>
            </w:r>
            <w:r w:rsidRPr="00E31FFD">
              <w:rPr>
                <w:rFonts w:ascii="Calibri" w:hAnsi="Calibri" w:cs="Arial"/>
                <w:color w:val="000000"/>
                <w:sz w:val="20"/>
                <w:shd w:val="clear" w:color="auto" w:fill="FFFFFF"/>
              </w:rPr>
              <w:t>about new payment models</w:t>
            </w:r>
            <w:r>
              <w:rPr>
                <w:rFonts w:ascii="Calibri" w:hAnsi="Calibri" w:cs="Arial"/>
                <w:color w:val="000000"/>
                <w:sz w:val="20"/>
                <w:shd w:val="clear" w:color="auto" w:fill="FFFFFF"/>
              </w:rPr>
              <w:t xml:space="preserve"> were not announced</w:t>
            </w:r>
            <w:r w:rsidRPr="00E31FFD">
              <w:rPr>
                <w:rFonts w:ascii="Calibri" w:hAnsi="Calibri" w:cs="Arial"/>
                <w:color w:val="000000"/>
                <w:sz w:val="20"/>
                <w:shd w:val="clear" w:color="auto" w:fill="FFFFFF"/>
              </w:rPr>
              <w:t xml:space="preserve"> </w:t>
            </w:r>
          </w:p>
          <w:p w:rsidR="00716BC2" w:rsidRPr="00E31FFD" w:rsidRDefault="00716BC2" w:rsidP="00E31FFD">
            <w:pPr>
              <w:pStyle w:val="ListParagraph"/>
              <w:numPr>
                <w:ilvl w:val="0"/>
                <w:numId w:val="60"/>
              </w:numPr>
              <w:autoSpaceDE w:val="0"/>
              <w:autoSpaceDN w:val="0"/>
              <w:adjustRightInd w:val="0"/>
              <w:rPr>
                <w:rFonts w:ascii="Calibri" w:hAnsi="Calibri" w:cs="Arial"/>
                <w:color w:val="000000"/>
                <w:sz w:val="20"/>
                <w:shd w:val="clear" w:color="auto" w:fill="FFFFFF"/>
              </w:rPr>
            </w:pPr>
            <w:r w:rsidRPr="00E31FFD">
              <w:rPr>
                <w:rFonts w:ascii="Calibri" w:hAnsi="Calibri" w:cs="Arial"/>
                <w:color w:val="000000"/>
                <w:sz w:val="20"/>
                <w:shd w:val="clear" w:color="auto" w:fill="FFFFFF"/>
              </w:rPr>
              <w:t>This lack of</w:t>
            </w:r>
            <w:r>
              <w:rPr>
                <w:rFonts w:ascii="Calibri" w:hAnsi="Calibri" w:cs="Arial"/>
                <w:color w:val="000000"/>
                <w:sz w:val="20"/>
                <w:shd w:val="clear" w:color="auto" w:fill="FFFFFF"/>
              </w:rPr>
              <w:t xml:space="preserve"> </w:t>
            </w:r>
            <w:r w:rsidRPr="00E31FFD">
              <w:rPr>
                <w:rFonts w:ascii="Calibri" w:hAnsi="Calibri" w:cs="Arial"/>
                <w:color w:val="000000"/>
                <w:sz w:val="20"/>
                <w:shd w:val="clear" w:color="auto" w:fill="FFFFFF"/>
              </w:rPr>
              <w:t>specificity may explain the cautious reaction</w:t>
            </w:r>
            <w:r>
              <w:rPr>
                <w:rFonts w:ascii="Calibri" w:hAnsi="Calibri" w:cs="Arial"/>
                <w:color w:val="000000"/>
                <w:sz w:val="20"/>
                <w:shd w:val="clear" w:color="auto" w:fill="FFFFFF"/>
              </w:rPr>
              <w:t xml:space="preserve"> </w:t>
            </w:r>
            <w:r w:rsidRPr="00E31FFD">
              <w:rPr>
                <w:rFonts w:ascii="Calibri" w:hAnsi="Calibri" w:cs="Arial"/>
                <w:color w:val="000000"/>
                <w:sz w:val="20"/>
                <w:shd w:val="clear" w:color="auto" w:fill="FFFFFF"/>
              </w:rPr>
              <w:t>of professional societies to the news.</w:t>
            </w:r>
          </w:p>
        </w:tc>
      </w:tr>
      <w:tr w:rsidR="00367FF3" w:rsidRPr="00DD5F78" w:rsidTr="008974E9">
        <w:trPr>
          <w:cantSplit/>
          <w:trHeight w:val="1624"/>
          <w:tblHeader/>
        </w:trPr>
        <w:tc>
          <w:tcPr>
            <w:tcW w:w="449" w:type="dxa"/>
            <w:shd w:val="clear" w:color="auto" w:fill="8DB3E2"/>
          </w:tcPr>
          <w:p w:rsidR="00367FF3" w:rsidRPr="00735EA3" w:rsidRDefault="00367FF3"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367FF3" w:rsidRPr="0085714E" w:rsidRDefault="003B0D88" w:rsidP="0085714E">
            <w:pPr>
              <w:spacing w:before="20" w:after="20" w:line="264" w:lineRule="auto"/>
              <w:rPr>
                <w:rFonts w:ascii="Calibri" w:hAnsi="Calibri" w:cs="Arial"/>
                <w:sz w:val="20"/>
                <w:szCs w:val="24"/>
                <w:lang w:eastAsia="en-AU"/>
              </w:rPr>
            </w:pPr>
            <w:r>
              <w:rPr>
                <w:rFonts w:ascii="Calibri" w:hAnsi="Calibri" w:cs="Arial"/>
                <w:sz w:val="20"/>
                <w:szCs w:val="24"/>
                <w:lang w:eastAsia="en-AU"/>
              </w:rPr>
              <w:t>Incentives to follow best-practice in health care</w:t>
            </w:r>
          </w:p>
        </w:tc>
        <w:tc>
          <w:tcPr>
            <w:tcW w:w="1440" w:type="dxa"/>
          </w:tcPr>
          <w:p w:rsidR="00367FF3" w:rsidRDefault="003B0D88" w:rsidP="00473701">
            <w:pPr>
              <w:spacing w:before="20" w:after="20" w:line="264" w:lineRule="auto"/>
              <w:rPr>
                <w:rFonts w:ascii="Calibri" w:hAnsi="Calibri" w:cs="Arial"/>
                <w:sz w:val="20"/>
                <w:szCs w:val="24"/>
                <w:lang w:eastAsia="en-AU"/>
              </w:rPr>
            </w:pPr>
            <w:r w:rsidRPr="006244A7">
              <w:rPr>
                <w:rFonts w:ascii="Calibri" w:hAnsi="Calibri" w:cs="Arial"/>
                <w:sz w:val="20"/>
                <w:szCs w:val="24"/>
                <w:lang w:eastAsia="en-AU"/>
              </w:rPr>
              <w:t>Schaffer</w:t>
            </w:r>
            <w:r w:rsidR="006244A7">
              <w:rPr>
                <w:rFonts w:ascii="Calibri" w:hAnsi="Calibri" w:cs="Arial"/>
                <w:sz w:val="20"/>
                <w:szCs w:val="24"/>
                <w:lang w:eastAsia="en-AU"/>
              </w:rPr>
              <w:t xml:space="preserve"> SK, </w:t>
            </w:r>
          </w:p>
          <w:p w:rsidR="006244A7" w:rsidRDefault="006244A7" w:rsidP="00473701">
            <w:pPr>
              <w:spacing w:before="20" w:after="20" w:line="264" w:lineRule="auto"/>
              <w:rPr>
                <w:rFonts w:ascii="Calibri" w:hAnsi="Calibri" w:cs="Arial"/>
                <w:sz w:val="20"/>
                <w:szCs w:val="24"/>
                <w:lang w:eastAsia="en-AU"/>
              </w:rPr>
            </w:pPr>
            <w:r>
              <w:rPr>
                <w:rFonts w:ascii="Calibri" w:hAnsi="Calibri" w:cs="Arial"/>
                <w:sz w:val="20"/>
                <w:szCs w:val="24"/>
                <w:lang w:eastAsia="en-AU"/>
              </w:rPr>
              <w:t>Sussex J,</w:t>
            </w:r>
          </w:p>
          <w:p w:rsidR="006244A7" w:rsidRDefault="006244A7" w:rsidP="004A010A">
            <w:pPr>
              <w:spacing w:before="20" w:after="20" w:line="264" w:lineRule="auto"/>
              <w:rPr>
                <w:rFonts w:ascii="Calibri" w:hAnsi="Calibri" w:cs="Arial"/>
                <w:sz w:val="20"/>
                <w:szCs w:val="24"/>
                <w:highlight w:val="yellow"/>
                <w:lang w:eastAsia="en-AU"/>
              </w:rPr>
            </w:pPr>
            <w:r>
              <w:rPr>
                <w:rFonts w:ascii="Calibri" w:hAnsi="Calibri" w:cs="Arial"/>
                <w:sz w:val="20"/>
                <w:szCs w:val="24"/>
                <w:lang w:eastAsia="en-AU"/>
              </w:rPr>
              <w:t>Feng Y</w:t>
            </w:r>
          </w:p>
        </w:tc>
        <w:tc>
          <w:tcPr>
            <w:tcW w:w="1440" w:type="dxa"/>
          </w:tcPr>
          <w:p w:rsidR="00367FF3" w:rsidRDefault="003B0D88"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Office of Health Economics Research</w:t>
            </w:r>
          </w:p>
        </w:tc>
        <w:tc>
          <w:tcPr>
            <w:tcW w:w="1800" w:type="dxa"/>
          </w:tcPr>
          <w:p w:rsidR="00367FF3" w:rsidRDefault="003B0D88" w:rsidP="003B0D88">
            <w:pPr>
              <w:spacing w:before="20" w:after="20" w:line="264" w:lineRule="auto"/>
              <w:rPr>
                <w:rFonts w:ascii="Calibri" w:hAnsi="Calibri" w:cs="Arial"/>
                <w:sz w:val="20"/>
                <w:lang w:eastAsia="en-AU"/>
              </w:rPr>
            </w:pPr>
            <w:r>
              <w:rPr>
                <w:rFonts w:ascii="Calibri" w:hAnsi="Calibri" w:cs="Arial"/>
                <w:sz w:val="20"/>
                <w:lang w:eastAsia="en-AU"/>
              </w:rPr>
              <w:t>Review of empirical evidence about the impact of incentives</w:t>
            </w:r>
            <w:r w:rsidR="0088613F">
              <w:rPr>
                <w:rFonts w:ascii="Calibri" w:hAnsi="Calibri" w:cs="Arial"/>
                <w:sz w:val="20"/>
                <w:lang w:eastAsia="en-AU"/>
              </w:rPr>
              <w:t xml:space="preserve"> using PubMed</w:t>
            </w:r>
          </w:p>
        </w:tc>
        <w:tc>
          <w:tcPr>
            <w:tcW w:w="1800" w:type="dxa"/>
          </w:tcPr>
          <w:p w:rsidR="00367FF3" w:rsidRPr="00735EA3" w:rsidRDefault="00367FF3" w:rsidP="00473701">
            <w:pPr>
              <w:spacing w:before="20" w:after="20" w:line="264" w:lineRule="auto"/>
              <w:rPr>
                <w:rFonts w:ascii="Calibri" w:hAnsi="Calibri" w:cs="Arial"/>
                <w:sz w:val="20"/>
                <w:lang w:eastAsia="en-AU"/>
              </w:rPr>
            </w:pPr>
          </w:p>
        </w:tc>
        <w:tc>
          <w:tcPr>
            <w:tcW w:w="1055" w:type="dxa"/>
          </w:tcPr>
          <w:p w:rsidR="00367FF3" w:rsidRDefault="003B0D88" w:rsidP="00473701">
            <w:pPr>
              <w:spacing w:before="20" w:after="20" w:line="264" w:lineRule="auto"/>
              <w:rPr>
                <w:rFonts w:ascii="Calibri" w:hAnsi="Calibri" w:cs="Arial"/>
                <w:sz w:val="20"/>
                <w:lang w:eastAsia="en-AU"/>
              </w:rPr>
            </w:pPr>
            <w:r>
              <w:rPr>
                <w:rFonts w:ascii="Calibri" w:hAnsi="Calibri" w:cs="Arial"/>
                <w:sz w:val="20"/>
                <w:lang w:eastAsia="en-AU"/>
              </w:rPr>
              <w:t>United Kingdom</w:t>
            </w:r>
          </w:p>
        </w:tc>
        <w:tc>
          <w:tcPr>
            <w:tcW w:w="1285" w:type="dxa"/>
          </w:tcPr>
          <w:p w:rsidR="00367FF3" w:rsidRDefault="003B0D88" w:rsidP="003B0D88">
            <w:pPr>
              <w:spacing w:before="20" w:after="20" w:line="264" w:lineRule="auto"/>
              <w:rPr>
                <w:rFonts w:ascii="Calibri" w:hAnsi="Calibri" w:cs="Arial"/>
                <w:sz w:val="20"/>
                <w:lang w:eastAsia="en-AU"/>
              </w:rPr>
            </w:pPr>
            <w:r>
              <w:rPr>
                <w:rFonts w:ascii="Calibri" w:hAnsi="Calibri" w:cs="Arial"/>
                <w:sz w:val="20"/>
                <w:lang w:eastAsia="en-AU"/>
              </w:rPr>
              <w:t>Focuses on use of incentives in the English NHS and other international literature</w:t>
            </w:r>
            <w:r w:rsidR="0088613F">
              <w:rPr>
                <w:rFonts w:ascii="Calibri" w:hAnsi="Calibri" w:cs="Arial"/>
                <w:sz w:val="20"/>
                <w:lang w:eastAsia="en-AU"/>
              </w:rPr>
              <w:t xml:space="preserve"> from 2004 onwards</w:t>
            </w:r>
          </w:p>
        </w:tc>
        <w:tc>
          <w:tcPr>
            <w:tcW w:w="11135" w:type="dxa"/>
          </w:tcPr>
          <w:p w:rsidR="00367FF3" w:rsidRDefault="0088613F" w:rsidP="00E31FFD">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P4P programs appear, more often than not, to have a beneficial effect in primary and secondary care. This includes positive results in:</w:t>
            </w:r>
          </w:p>
          <w:p w:rsidR="0088613F" w:rsidRDefault="0088613F"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Use of P4P in chronic care (rather than acute care)</w:t>
            </w:r>
          </w:p>
          <w:p w:rsidR="0088613F" w:rsidRDefault="0088613F"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Use of P4P for diabetes, smoking cessation and asthma</w:t>
            </w:r>
          </w:p>
          <w:p w:rsidR="0088613F" w:rsidRDefault="0088613F"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Programs with clinical outcomes (rather than patient experience measures)</w:t>
            </w:r>
          </w:p>
          <w:p w:rsidR="0088613F" w:rsidRDefault="00685430"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The use of process indicators (rather than outcome measures)</w:t>
            </w:r>
          </w:p>
          <w:p w:rsidR="00685430" w:rsidRDefault="00685430"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Lower baseline levels of quality</w:t>
            </w:r>
          </w:p>
          <w:p w:rsidR="00685430" w:rsidRDefault="00685430"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Use of positive incentives for all participants (rather than schemes creating ‘winners’ and ‘losers’)</w:t>
            </w:r>
          </w:p>
          <w:p w:rsidR="00685430" w:rsidRDefault="00685430"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Use of incentives for individual providers and teams (rather than whole hospitals)</w:t>
            </w:r>
          </w:p>
          <w:p w:rsidR="00685430" w:rsidRDefault="00685430" w:rsidP="0088613F">
            <w:pPr>
              <w:pStyle w:val="ListParagraph"/>
              <w:numPr>
                <w:ilvl w:val="1"/>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New funds being made available (rather than a redistribution of existing funds)</w:t>
            </w:r>
          </w:p>
          <w:p w:rsidR="00685430" w:rsidRPr="0085714E" w:rsidRDefault="00685430" w:rsidP="00685430">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There appears to be scope for introduction of additional policies and modification of current NHS incentives to reduce variation in adherence to best-practice guidance</w:t>
            </w:r>
            <w:r w:rsidR="00E25107">
              <w:rPr>
                <w:rFonts w:ascii="Calibri" w:hAnsi="Calibri" w:cs="Arial"/>
                <w:color w:val="000000"/>
                <w:sz w:val="20"/>
                <w:shd w:val="clear" w:color="auto" w:fill="FFFFFF"/>
              </w:rPr>
              <w:t>.</w:t>
            </w:r>
          </w:p>
        </w:tc>
      </w:tr>
      <w:tr w:rsidR="00243838" w:rsidRPr="00DD5F78" w:rsidTr="008974E9">
        <w:trPr>
          <w:cantSplit/>
          <w:trHeight w:val="1624"/>
          <w:tblHeader/>
        </w:trPr>
        <w:tc>
          <w:tcPr>
            <w:tcW w:w="449" w:type="dxa"/>
            <w:shd w:val="clear" w:color="auto" w:fill="8DB3E2"/>
          </w:tcPr>
          <w:p w:rsidR="00243838" w:rsidRPr="00735EA3" w:rsidRDefault="00243838"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243838" w:rsidRDefault="00243838" w:rsidP="0085714E">
            <w:pPr>
              <w:spacing w:before="20" w:after="20" w:line="264" w:lineRule="auto"/>
              <w:rPr>
                <w:rFonts w:ascii="Calibri" w:hAnsi="Calibri" w:cs="Arial"/>
                <w:sz w:val="20"/>
                <w:szCs w:val="24"/>
                <w:lang w:eastAsia="en-AU"/>
              </w:rPr>
            </w:pPr>
            <w:r>
              <w:rPr>
                <w:rFonts w:ascii="Calibri" w:hAnsi="Calibri" w:cs="Arial"/>
                <w:sz w:val="20"/>
                <w:szCs w:val="24"/>
                <w:lang w:eastAsia="en-AU"/>
              </w:rPr>
              <w:t>A Picture of Progress on Hospital Errors</w:t>
            </w:r>
          </w:p>
        </w:tc>
        <w:tc>
          <w:tcPr>
            <w:tcW w:w="1440" w:type="dxa"/>
          </w:tcPr>
          <w:p w:rsidR="00243838" w:rsidRPr="006244A7" w:rsidRDefault="00243838" w:rsidP="00473701">
            <w:pPr>
              <w:spacing w:before="20" w:after="20" w:line="264" w:lineRule="auto"/>
              <w:rPr>
                <w:rFonts w:ascii="Calibri" w:hAnsi="Calibri" w:cs="Arial"/>
                <w:sz w:val="20"/>
                <w:szCs w:val="24"/>
                <w:lang w:eastAsia="en-AU"/>
              </w:rPr>
            </w:pPr>
            <w:r>
              <w:rPr>
                <w:rFonts w:ascii="Calibri" w:hAnsi="Calibri" w:cs="Arial"/>
                <w:sz w:val="20"/>
                <w:szCs w:val="24"/>
                <w:lang w:eastAsia="en-AU"/>
              </w:rPr>
              <w:t>Cohn, J</w:t>
            </w:r>
          </w:p>
        </w:tc>
        <w:tc>
          <w:tcPr>
            <w:tcW w:w="1440" w:type="dxa"/>
          </w:tcPr>
          <w:p w:rsidR="00243838" w:rsidRDefault="00243838"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The Milbank Quarterly</w:t>
            </w:r>
          </w:p>
        </w:tc>
        <w:tc>
          <w:tcPr>
            <w:tcW w:w="1800" w:type="dxa"/>
          </w:tcPr>
          <w:p w:rsidR="00243838" w:rsidRDefault="00A143F2" w:rsidP="000D1368">
            <w:pPr>
              <w:spacing w:before="20" w:after="20" w:line="264" w:lineRule="auto"/>
              <w:rPr>
                <w:rFonts w:ascii="Calibri" w:hAnsi="Calibri" w:cs="Arial"/>
                <w:sz w:val="20"/>
                <w:lang w:eastAsia="en-AU"/>
              </w:rPr>
            </w:pPr>
            <w:r>
              <w:rPr>
                <w:rFonts w:ascii="Calibri" w:hAnsi="Calibri" w:cs="Arial"/>
                <w:sz w:val="20"/>
                <w:lang w:eastAsia="en-AU"/>
              </w:rPr>
              <w:t>Review of government and hospital policies</w:t>
            </w:r>
            <w:r w:rsidR="0012479F">
              <w:rPr>
                <w:rFonts w:ascii="Calibri" w:hAnsi="Calibri" w:cs="Arial"/>
                <w:sz w:val="20"/>
                <w:lang w:eastAsia="en-AU"/>
              </w:rPr>
              <w:t xml:space="preserve"> for </w:t>
            </w:r>
            <w:r w:rsidR="000D1368">
              <w:rPr>
                <w:rFonts w:ascii="Calibri" w:hAnsi="Calibri" w:cs="Arial"/>
                <w:sz w:val="20"/>
                <w:lang w:eastAsia="en-AU"/>
              </w:rPr>
              <w:t>improving health care quality</w:t>
            </w:r>
          </w:p>
        </w:tc>
        <w:tc>
          <w:tcPr>
            <w:tcW w:w="1800" w:type="dxa"/>
          </w:tcPr>
          <w:p w:rsidR="00243838" w:rsidRPr="00735EA3" w:rsidRDefault="000D1368" w:rsidP="002E7092">
            <w:pPr>
              <w:spacing w:before="20" w:after="20" w:line="264" w:lineRule="auto"/>
              <w:rPr>
                <w:rFonts w:ascii="Calibri" w:hAnsi="Calibri" w:cs="Arial"/>
                <w:sz w:val="20"/>
                <w:lang w:eastAsia="en-AU"/>
              </w:rPr>
            </w:pPr>
            <w:r>
              <w:rPr>
                <w:rFonts w:ascii="Calibri" w:hAnsi="Calibri" w:cs="Arial"/>
                <w:sz w:val="20"/>
                <w:lang w:eastAsia="en-AU"/>
              </w:rPr>
              <w:t xml:space="preserve">Examination of government </w:t>
            </w:r>
            <w:r w:rsidR="00F24E09">
              <w:rPr>
                <w:rFonts w:ascii="Calibri" w:hAnsi="Calibri" w:cs="Arial"/>
                <w:sz w:val="20"/>
                <w:lang w:eastAsia="en-AU"/>
              </w:rPr>
              <w:t xml:space="preserve">policies </w:t>
            </w:r>
            <w:r>
              <w:rPr>
                <w:rFonts w:ascii="Calibri" w:hAnsi="Calibri" w:cs="Arial"/>
                <w:sz w:val="20"/>
                <w:lang w:eastAsia="en-AU"/>
              </w:rPr>
              <w:t xml:space="preserve">and private sector </w:t>
            </w:r>
            <w:r w:rsidR="00F24E09">
              <w:rPr>
                <w:rFonts w:ascii="Calibri" w:hAnsi="Calibri" w:cs="Arial"/>
                <w:sz w:val="20"/>
                <w:lang w:eastAsia="en-AU"/>
              </w:rPr>
              <w:t xml:space="preserve">initiatives </w:t>
            </w:r>
          </w:p>
        </w:tc>
        <w:tc>
          <w:tcPr>
            <w:tcW w:w="1055" w:type="dxa"/>
          </w:tcPr>
          <w:p w:rsidR="00243838" w:rsidRDefault="000D1368" w:rsidP="00473701">
            <w:pPr>
              <w:spacing w:before="20" w:after="20" w:line="264" w:lineRule="auto"/>
              <w:rPr>
                <w:rFonts w:ascii="Calibri" w:hAnsi="Calibri" w:cs="Arial"/>
                <w:sz w:val="20"/>
                <w:lang w:eastAsia="en-AU"/>
              </w:rPr>
            </w:pPr>
            <w:r>
              <w:rPr>
                <w:rFonts w:ascii="Calibri" w:hAnsi="Calibri" w:cs="Arial"/>
                <w:sz w:val="20"/>
                <w:lang w:eastAsia="en-AU"/>
              </w:rPr>
              <w:t>USA</w:t>
            </w:r>
          </w:p>
        </w:tc>
        <w:tc>
          <w:tcPr>
            <w:tcW w:w="1285" w:type="dxa"/>
          </w:tcPr>
          <w:p w:rsidR="00243838" w:rsidRDefault="000D1368" w:rsidP="003B0D88">
            <w:pPr>
              <w:spacing w:before="20" w:after="20" w:line="264" w:lineRule="auto"/>
              <w:rPr>
                <w:rFonts w:ascii="Calibri" w:hAnsi="Calibri" w:cs="Arial"/>
                <w:sz w:val="20"/>
                <w:lang w:eastAsia="en-AU"/>
              </w:rPr>
            </w:pPr>
            <w:r>
              <w:rPr>
                <w:rFonts w:ascii="Calibri" w:hAnsi="Calibri" w:cs="Arial"/>
                <w:sz w:val="20"/>
                <w:lang w:eastAsia="en-AU"/>
              </w:rPr>
              <w:t>Examination of payment reforms designed to minimize medication errors and readmission.</w:t>
            </w:r>
          </w:p>
        </w:tc>
        <w:tc>
          <w:tcPr>
            <w:tcW w:w="11135" w:type="dxa"/>
          </w:tcPr>
          <w:p w:rsidR="00F24E09" w:rsidRDefault="00F24E09" w:rsidP="00E31FFD">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 xml:space="preserve">The Department of Health and Human Services (USA) released data in December 2014 </w:t>
            </w:r>
            <w:r w:rsidR="00E25107">
              <w:rPr>
                <w:rFonts w:ascii="Calibri" w:hAnsi="Calibri" w:cs="Arial"/>
                <w:color w:val="000000"/>
                <w:sz w:val="20"/>
                <w:shd w:val="clear" w:color="auto" w:fill="FFFFFF"/>
              </w:rPr>
              <w:t xml:space="preserve">showing that the number of </w:t>
            </w:r>
            <w:r>
              <w:rPr>
                <w:rFonts w:ascii="Calibri" w:hAnsi="Calibri" w:cs="Arial"/>
                <w:color w:val="000000"/>
                <w:sz w:val="20"/>
                <w:shd w:val="clear" w:color="auto" w:fill="FFFFFF"/>
              </w:rPr>
              <w:t>hospital-acquired condi</w:t>
            </w:r>
            <w:r w:rsidR="00E25107">
              <w:rPr>
                <w:rFonts w:ascii="Calibri" w:hAnsi="Calibri" w:cs="Arial"/>
                <w:color w:val="000000"/>
                <w:sz w:val="20"/>
                <w:shd w:val="clear" w:color="auto" w:fill="FFFFFF"/>
              </w:rPr>
              <w:t>tions fell by 17% over 3 years</w:t>
            </w:r>
            <w:r>
              <w:rPr>
                <w:rFonts w:ascii="Calibri" w:hAnsi="Calibri" w:cs="Arial"/>
                <w:color w:val="000000"/>
                <w:sz w:val="20"/>
                <w:shd w:val="clear" w:color="auto" w:fill="FFFFFF"/>
              </w:rPr>
              <w:t xml:space="preserve"> </w:t>
            </w:r>
          </w:p>
          <w:p w:rsidR="00584C54" w:rsidRDefault="00F24E09" w:rsidP="00E31FFD">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“Obamacare”</w:t>
            </w:r>
            <w:r w:rsidR="00584C54">
              <w:rPr>
                <w:rFonts w:ascii="Calibri" w:hAnsi="Calibri" w:cs="Arial"/>
                <w:color w:val="000000"/>
                <w:sz w:val="20"/>
                <w:shd w:val="clear" w:color="auto" w:fill="FFFFFF"/>
              </w:rPr>
              <w:t xml:space="preserve"> and “Partnership for Patients” introduced payment reforms where large hospitals were rewarded financial incentives that prior</w:t>
            </w:r>
            <w:r w:rsidR="00E25107">
              <w:rPr>
                <w:rFonts w:ascii="Calibri" w:hAnsi="Calibri" w:cs="Arial"/>
                <w:color w:val="000000"/>
                <w:sz w:val="20"/>
                <w:shd w:val="clear" w:color="auto" w:fill="FFFFFF"/>
              </w:rPr>
              <w:t>itized the reduction of errors</w:t>
            </w:r>
          </w:p>
          <w:p w:rsidR="00584C54" w:rsidRDefault="00584C54" w:rsidP="00E31FFD">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The “Affordable Care Act” saw changes in Medicare payments, penalizing hospitals with high rates of rea</w:t>
            </w:r>
            <w:r w:rsidR="00E25107">
              <w:rPr>
                <w:rFonts w:ascii="Calibri" w:hAnsi="Calibri" w:cs="Arial"/>
                <w:color w:val="000000"/>
                <w:sz w:val="20"/>
                <w:shd w:val="clear" w:color="auto" w:fill="FFFFFF"/>
              </w:rPr>
              <w:t>dmission for certain conditions</w:t>
            </w:r>
          </w:p>
          <w:p w:rsidR="00E829FA" w:rsidRPr="002E7092" w:rsidRDefault="002E7092" w:rsidP="00E829FA">
            <w:pPr>
              <w:pStyle w:val="ListParagraph"/>
              <w:numPr>
                <w:ilvl w:val="0"/>
                <w:numId w:val="60"/>
              </w:numPr>
              <w:autoSpaceDE w:val="0"/>
              <w:autoSpaceDN w:val="0"/>
              <w:adjustRightInd w:val="0"/>
              <w:rPr>
                <w:rFonts w:ascii="Calibri" w:hAnsi="Calibri" w:cs="Arial"/>
                <w:color w:val="000000"/>
                <w:sz w:val="20"/>
                <w:shd w:val="clear" w:color="auto" w:fill="FFFFFF"/>
              </w:rPr>
            </w:pPr>
            <w:r>
              <w:rPr>
                <w:rFonts w:ascii="Calibri" w:hAnsi="Calibri" w:cs="Arial"/>
                <w:color w:val="000000"/>
                <w:sz w:val="20"/>
                <w:shd w:val="clear" w:color="auto" w:fill="FFFFFF"/>
              </w:rPr>
              <w:t>Opposing arguments have arisen suggesting that improvements in the quality of healthcare are due to a combination of public policy and private initiatives, and not solely the introduction of government financial incentives. Forward-</w:t>
            </w:r>
            <w:r w:rsidR="00E829FA">
              <w:rPr>
                <w:rFonts w:ascii="Calibri" w:hAnsi="Calibri" w:cs="Arial"/>
                <w:color w:val="000000"/>
                <w:sz w:val="20"/>
                <w:shd w:val="clear" w:color="auto" w:fill="FFFFFF"/>
              </w:rPr>
              <w:t xml:space="preserve">thinking hospitals </w:t>
            </w:r>
            <w:r>
              <w:rPr>
                <w:rFonts w:ascii="Calibri" w:hAnsi="Calibri" w:cs="Arial"/>
                <w:color w:val="000000"/>
                <w:sz w:val="20"/>
                <w:shd w:val="clear" w:color="auto" w:fill="FFFFFF"/>
              </w:rPr>
              <w:t>a</w:t>
            </w:r>
            <w:r w:rsidR="00E829FA">
              <w:rPr>
                <w:rFonts w:ascii="Calibri" w:hAnsi="Calibri" w:cs="Arial"/>
                <w:color w:val="000000"/>
                <w:sz w:val="20"/>
                <w:shd w:val="clear" w:color="auto" w:fill="FFFFFF"/>
              </w:rPr>
              <w:t>ll</w:t>
            </w:r>
            <w:r>
              <w:rPr>
                <w:rFonts w:ascii="Calibri" w:hAnsi="Calibri" w:cs="Arial"/>
                <w:color w:val="000000"/>
                <w:sz w:val="20"/>
                <w:shd w:val="clear" w:color="auto" w:fill="FFFFFF"/>
              </w:rPr>
              <w:t xml:space="preserve"> put a high priority on patient care, and forward–thinking corporations are eager to support these initiatives. </w:t>
            </w:r>
            <w:r w:rsidR="00E829FA">
              <w:rPr>
                <w:rFonts w:ascii="Calibri" w:hAnsi="Calibri" w:cs="Arial"/>
                <w:color w:val="000000"/>
                <w:sz w:val="20"/>
                <w:shd w:val="clear" w:color="auto" w:fill="FFFFFF"/>
              </w:rPr>
              <w:t>Forward-thinking hospitals are bound by their own initiative programs for quality improvement, where as other hospitals won’t change their ways unless real financial incentives are on the line</w:t>
            </w:r>
          </w:p>
        </w:tc>
      </w:tr>
      <w:tr w:rsidR="006F116A" w:rsidRPr="00DD5F78" w:rsidTr="008974E9">
        <w:trPr>
          <w:cantSplit/>
          <w:trHeight w:val="1624"/>
          <w:tblHeader/>
        </w:trPr>
        <w:tc>
          <w:tcPr>
            <w:tcW w:w="449" w:type="dxa"/>
            <w:shd w:val="clear" w:color="auto" w:fill="8DB3E2"/>
          </w:tcPr>
          <w:p w:rsidR="006F116A" w:rsidRPr="00735EA3" w:rsidRDefault="006F116A"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6F116A" w:rsidRPr="006F116A" w:rsidRDefault="006F116A" w:rsidP="006F116A">
            <w:pPr>
              <w:spacing w:before="20" w:after="20" w:line="264" w:lineRule="auto"/>
              <w:rPr>
                <w:rFonts w:ascii="Calibri" w:hAnsi="Calibri" w:cs="Arial"/>
                <w:iCs/>
                <w:sz w:val="20"/>
                <w:szCs w:val="24"/>
                <w:lang w:eastAsia="en-AU"/>
              </w:rPr>
            </w:pPr>
            <w:r w:rsidRPr="006F116A">
              <w:rPr>
                <w:rFonts w:ascii="Calibri" w:hAnsi="Calibri" w:cs="Arial"/>
                <w:iCs/>
                <w:sz w:val="20"/>
                <w:szCs w:val="24"/>
                <w:lang w:eastAsia="en-AU"/>
              </w:rPr>
              <w:t>Improving the care of patients with a hip fracture: a quality improvement report</w:t>
            </w:r>
          </w:p>
          <w:p w:rsidR="006F116A" w:rsidRPr="006F116A" w:rsidRDefault="006F116A" w:rsidP="006F116A">
            <w:pPr>
              <w:spacing w:before="20" w:after="20" w:line="264" w:lineRule="auto"/>
              <w:rPr>
                <w:rFonts w:ascii="Calibri" w:hAnsi="Calibri" w:cs="Arial"/>
                <w:iCs/>
                <w:sz w:val="20"/>
                <w:szCs w:val="24"/>
                <w:lang w:eastAsia="en-AU"/>
              </w:rPr>
            </w:pPr>
          </w:p>
          <w:p w:rsidR="006F116A" w:rsidRPr="006F116A" w:rsidRDefault="006F116A" w:rsidP="006F116A">
            <w:pPr>
              <w:spacing w:before="20" w:after="20" w:line="264" w:lineRule="auto"/>
              <w:rPr>
                <w:rFonts w:ascii="Calibri" w:hAnsi="Calibri" w:cs="Arial"/>
                <w:iCs/>
                <w:sz w:val="20"/>
                <w:szCs w:val="24"/>
                <w:lang w:eastAsia="en-AU"/>
              </w:rPr>
            </w:pPr>
          </w:p>
          <w:p w:rsidR="006F116A" w:rsidRPr="006F116A" w:rsidRDefault="006F116A" w:rsidP="006F116A">
            <w:pPr>
              <w:spacing w:before="20" w:after="20" w:line="264" w:lineRule="auto"/>
              <w:rPr>
                <w:rFonts w:ascii="Calibri" w:hAnsi="Calibri" w:cs="Arial"/>
                <w:iCs/>
                <w:sz w:val="20"/>
                <w:szCs w:val="24"/>
                <w:lang w:eastAsia="en-AU"/>
              </w:rPr>
            </w:pPr>
          </w:p>
        </w:tc>
        <w:tc>
          <w:tcPr>
            <w:tcW w:w="1440" w:type="dxa"/>
          </w:tcPr>
          <w:p w:rsidR="006F116A" w:rsidRPr="006F116A" w:rsidRDefault="006F116A" w:rsidP="006F116A">
            <w:pPr>
              <w:spacing w:before="20" w:after="20" w:line="264" w:lineRule="auto"/>
              <w:rPr>
                <w:rFonts w:ascii="Calibri" w:hAnsi="Calibri" w:cs="Arial"/>
                <w:iCs/>
                <w:sz w:val="20"/>
                <w:szCs w:val="24"/>
                <w:lang w:eastAsia="en-AU"/>
              </w:rPr>
            </w:pPr>
            <w:r w:rsidRPr="006F116A">
              <w:rPr>
                <w:rFonts w:ascii="Calibri" w:hAnsi="Calibri" w:cs="Arial"/>
                <w:iCs/>
                <w:sz w:val="20"/>
                <w:szCs w:val="24"/>
                <w:lang w:eastAsia="en-AU"/>
              </w:rPr>
              <w:t>Hawkes D, Bater J, Bailey C, Holland G, Ruddlesdin J, Wall A, Wykes P</w:t>
            </w:r>
          </w:p>
          <w:p w:rsidR="006F116A" w:rsidRPr="006F116A" w:rsidRDefault="006F116A" w:rsidP="006F116A">
            <w:pPr>
              <w:spacing w:before="20" w:after="20" w:line="264" w:lineRule="auto"/>
              <w:rPr>
                <w:rFonts w:ascii="Calibri" w:hAnsi="Calibri" w:cs="Arial"/>
                <w:iCs/>
                <w:sz w:val="20"/>
                <w:szCs w:val="24"/>
                <w:lang w:eastAsia="en-AU"/>
              </w:rPr>
            </w:pPr>
          </w:p>
        </w:tc>
        <w:tc>
          <w:tcPr>
            <w:tcW w:w="1440" w:type="dxa"/>
          </w:tcPr>
          <w:p w:rsidR="006F116A" w:rsidRDefault="006F116A"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BMJ Qual Saf</w:t>
            </w:r>
          </w:p>
        </w:tc>
        <w:tc>
          <w:tcPr>
            <w:tcW w:w="1800" w:type="dxa"/>
          </w:tcPr>
          <w:p w:rsidR="006F116A" w:rsidRDefault="006F116A" w:rsidP="000D1368">
            <w:pPr>
              <w:spacing w:before="20" w:after="20" w:line="264" w:lineRule="auto"/>
              <w:rPr>
                <w:rFonts w:ascii="Calibri" w:hAnsi="Calibri" w:cs="Arial"/>
                <w:sz w:val="20"/>
                <w:lang w:eastAsia="en-AU"/>
              </w:rPr>
            </w:pPr>
            <w:r>
              <w:rPr>
                <w:rFonts w:ascii="Calibri" w:hAnsi="Calibri" w:cs="Arial"/>
                <w:sz w:val="20"/>
                <w:lang w:eastAsia="en-AU"/>
              </w:rPr>
              <w:t>Audit cycle charting achievements against best-practice in hip fracture care</w:t>
            </w:r>
          </w:p>
        </w:tc>
        <w:tc>
          <w:tcPr>
            <w:tcW w:w="1800" w:type="dxa"/>
          </w:tcPr>
          <w:p w:rsidR="006F116A" w:rsidRDefault="006F116A" w:rsidP="006F116A">
            <w:pPr>
              <w:spacing w:before="20" w:after="20" w:line="264" w:lineRule="auto"/>
              <w:rPr>
                <w:rFonts w:ascii="Calibri" w:hAnsi="Calibri" w:cs="Arial"/>
                <w:sz w:val="20"/>
                <w:lang w:eastAsia="en-AU"/>
              </w:rPr>
            </w:pPr>
            <w:r>
              <w:rPr>
                <w:rFonts w:ascii="Calibri" w:hAnsi="Calibri" w:cs="Arial"/>
                <w:sz w:val="20"/>
                <w:lang w:eastAsia="en-AU"/>
              </w:rPr>
              <w:t>Two audit cycles of the national hip fracture database</w:t>
            </w:r>
          </w:p>
        </w:tc>
        <w:tc>
          <w:tcPr>
            <w:tcW w:w="1055" w:type="dxa"/>
          </w:tcPr>
          <w:p w:rsidR="006F116A" w:rsidRDefault="006F116A" w:rsidP="00473701">
            <w:pPr>
              <w:spacing w:before="20" w:after="20" w:line="264" w:lineRule="auto"/>
              <w:rPr>
                <w:rFonts w:ascii="Calibri" w:hAnsi="Calibri" w:cs="Arial"/>
                <w:sz w:val="20"/>
                <w:lang w:eastAsia="en-AU"/>
              </w:rPr>
            </w:pPr>
            <w:r>
              <w:rPr>
                <w:rFonts w:ascii="Calibri" w:hAnsi="Calibri" w:cs="Arial"/>
                <w:sz w:val="20"/>
                <w:lang w:eastAsia="en-AU"/>
              </w:rPr>
              <w:t>England</w:t>
            </w:r>
          </w:p>
        </w:tc>
        <w:tc>
          <w:tcPr>
            <w:tcW w:w="1285" w:type="dxa"/>
          </w:tcPr>
          <w:p w:rsidR="006F116A" w:rsidRDefault="006F116A" w:rsidP="003B0D88">
            <w:pPr>
              <w:spacing w:before="20" w:after="20" w:line="264" w:lineRule="auto"/>
              <w:rPr>
                <w:rFonts w:ascii="Calibri" w:hAnsi="Calibri" w:cs="Arial"/>
                <w:sz w:val="20"/>
                <w:lang w:eastAsia="en-AU"/>
              </w:rPr>
            </w:pPr>
            <w:r>
              <w:rPr>
                <w:rFonts w:ascii="Calibri" w:hAnsi="Calibri" w:cs="Arial"/>
                <w:sz w:val="20"/>
                <w:lang w:eastAsia="en-AU"/>
              </w:rPr>
              <w:t>An audit of patients at Royal Bolton Hospital in North West of England</w:t>
            </w:r>
          </w:p>
        </w:tc>
        <w:tc>
          <w:tcPr>
            <w:tcW w:w="11135" w:type="dxa"/>
          </w:tcPr>
          <w:p w:rsidR="006F116A" w:rsidRPr="006F116A" w:rsidRDefault="006F116A" w:rsidP="006F116A">
            <w:pPr>
              <w:pStyle w:val="ListParagraph"/>
              <w:numPr>
                <w:ilvl w:val="0"/>
                <w:numId w:val="60"/>
              </w:numPr>
              <w:autoSpaceDE w:val="0"/>
              <w:autoSpaceDN w:val="0"/>
              <w:adjustRightInd w:val="0"/>
              <w:rPr>
                <w:rFonts w:ascii="Calibri" w:hAnsi="Calibri" w:cs="Arial"/>
                <w:color w:val="000000"/>
                <w:sz w:val="20"/>
                <w:shd w:val="clear" w:color="auto" w:fill="FFFFFF"/>
              </w:rPr>
            </w:pPr>
            <w:r w:rsidRPr="006F116A">
              <w:rPr>
                <w:rFonts w:ascii="Calibri" w:hAnsi="Calibri" w:cs="Arial"/>
                <w:color w:val="000000"/>
                <w:sz w:val="20"/>
                <w:shd w:val="clear" w:color="auto" w:fill="FFFFFF"/>
              </w:rPr>
              <w:t>The Best practice Tariff for hip fracture care was introduced by the UK Department of Health in April 2010.</w:t>
            </w:r>
          </w:p>
          <w:p w:rsidR="006F116A" w:rsidRPr="006F116A" w:rsidRDefault="006F116A" w:rsidP="006F116A">
            <w:pPr>
              <w:pStyle w:val="ListParagraph"/>
              <w:numPr>
                <w:ilvl w:val="0"/>
                <w:numId w:val="60"/>
              </w:numPr>
              <w:autoSpaceDE w:val="0"/>
              <w:autoSpaceDN w:val="0"/>
              <w:adjustRightInd w:val="0"/>
              <w:rPr>
                <w:rFonts w:ascii="Calibri" w:hAnsi="Calibri" w:cs="Arial"/>
                <w:color w:val="000000"/>
                <w:sz w:val="20"/>
                <w:shd w:val="clear" w:color="auto" w:fill="FFFFFF"/>
              </w:rPr>
            </w:pPr>
            <w:r w:rsidRPr="006F116A">
              <w:rPr>
                <w:rFonts w:ascii="Calibri" w:hAnsi="Calibri" w:cs="Arial"/>
                <w:color w:val="000000"/>
                <w:sz w:val="20"/>
                <w:shd w:val="clear" w:color="auto" w:fill="FFFFFF"/>
              </w:rPr>
              <w:t>The United Kingdom’s National Hip Fracture Database and Best Practice Tariff were audited in two cycles in a district general hospital in the North West of England. The primary audit criterion was operative intervention within 36 hours of admission</w:t>
            </w:r>
          </w:p>
          <w:p w:rsidR="006F116A" w:rsidRPr="006F116A" w:rsidRDefault="006F116A" w:rsidP="006F116A">
            <w:pPr>
              <w:pStyle w:val="ListParagraph"/>
              <w:numPr>
                <w:ilvl w:val="0"/>
                <w:numId w:val="60"/>
              </w:numPr>
              <w:autoSpaceDE w:val="0"/>
              <w:autoSpaceDN w:val="0"/>
              <w:adjustRightInd w:val="0"/>
              <w:rPr>
                <w:rFonts w:ascii="Calibri" w:hAnsi="Calibri" w:cs="Arial"/>
                <w:color w:val="000000"/>
                <w:sz w:val="20"/>
                <w:shd w:val="clear" w:color="auto" w:fill="FFFFFF"/>
              </w:rPr>
            </w:pPr>
            <w:r w:rsidRPr="006F116A">
              <w:rPr>
                <w:rFonts w:ascii="Calibri" w:hAnsi="Calibri" w:cs="Arial"/>
                <w:color w:val="000000"/>
                <w:sz w:val="20"/>
                <w:shd w:val="clear" w:color="auto" w:fill="FFFFFF"/>
              </w:rPr>
              <w:t>The first cycle audit comprised 379 patients (admitted between May 2012 and April 2013) and there was a prospective re-audit of 162 patients (admitted between January 2013 and June 2014)</w:t>
            </w:r>
          </w:p>
          <w:p w:rsidR="006F116A" w:rsidRPr="006F116A" w:rsidRDefault="006F116A" w:rsidP="006F116A">
            <w:pPr>
              <w:pStyle w:val="ListParagraph"/>
              <w:numPr>
                <w:ilvl w:val="0"/>
                <w:numId w:val="60"/>
              </w:numPr>
              <w:autoSpaceDE w:val="0"/>
              <w:autoSpaceDN w:val="0"/>
              <w:adjustRightInd w:val="0"/>
              <w:rPr>
                <w:rFonts w:ascii="Calibri" w:hAnsi="Calibri" w:cs="Arial"/>
                <w:color w:val="000000"/>
                <w:sz w:val="20"/>
                <w:shd w:val="clear" w:color="auto" w:fill="FFFFFF"/>
              </w:rPr>
            </w:pPr>
            <w:r w:rsidRPr="006F116A">
              <w:rPr>
                <w:rFonts w:ascii="Calibri" w:hAnsi="Calibri" w:cs="Arial"/>
                <w:color w:val="000000"/>
                <w:sz w:val="20"/>
                <w:shd w:val="clear" w:color="auto" w:fill="FFFFFF"/>
              </w:rPr>
              <w:t xml:space="preserve">The proportion of patients undergoing operative intervention within 36 hours of admission improved from 41% to 78% (p&lt;0.001). </w:t>
            </w:r>
          </w:p>
          <w:p w:rsidR="006F116A" w:rsidRPr="006F116A" w:rsidRDefault="006F116A" w:rsidP="006F116A">
            <w:pPr>
              <w:pStyle w:val="ListParagraph"/>
              <w:numPr>
                <w:ilvl w:val="0"/>
                <w:numId w:val="60"/>
              </w:numPr>
              <w:autoSpaceDE w:val="0"/>
              <w:autoSpaceDN w:val="0"/>
              <w:adjustRightInd w:val="0"/>
              <w:rPr>
                <w:rFonts w:ascii="Calibri" w:hAnsi="Calibri" w:cs="Arial"/>
                <w:color w:val="000000"/>
                <w:sz w:val="20"/>
                <w:shd w:val="clear" w:color="auto" w:fill="FFFFFF"/>
              </w:rPr>
            </w:pPr>
            <w:r w:rsidRPr="006F116A">
              <w:rPr>
                <w:rFonts w:ascii="Calibri" w:hAnsi="Calibri" w:cs="Arial"/>
                <w:color w:val="000000"/>
                <w:sz w:val="20"/>
                <w:shd w:val="clear" w:color="auto" w:fill="FFFFFF"/>
              </w:rPr>
              <w:t>Overall achievement of the Best Practice Tariff was significantly higher during the second cycle going from 28% to 73% (p,0.001).</w:t>
            </w:r>
          </w:p>
          <w:p w:rsidR="006F116A" w:rsidRPr="006F116A" w:rsidRDefault="006F116A" w:rsidP="006F116A">
            <w:pPr>
              <w:pStyle w:val="ListParagraph"/>
              <w:numPr>
                <w:ilvl w:val="0"/>
                <w:numId w:val="60"/>
              </w:numPr>
              <w:autoSpaceDE w:val="0"/>
              <w:autoSpaceDN w:val="0"/>
              <w:adjustRightInd w:val="0"/>
              <w:rPr>
                <w:rFonts w:ascii="Calibri" w:hAnsi="Calibri" w:cs="Arial"/>
                <w:color w:val="000000"/>
                <w:sz w:val="20"/>
                <w:shd w:val="clear" w:color="auto" w:fill="FFFFFF"/>
              </w:rPr>
            </w:pPr>
            <w:r w:rsidRPr="006F116A">
              <w:rPr>
                <w:rFonts w:ascii="Calibri" w:hAnsi="Calibri" w:cs="Arial"/>
                <w:color w:val="000000"/>
                <w:sz w:val="20"/>
                <w:shd w:val="clear" w:color="auto" w:fill="FFFFFF"/>
              </w:rPr>
              <w:t>Significant improvements in the quality of hip fracture care were achieved following this audit. It demonstrates that targeted interventions can be introduced to address local specific problems in service provision.</w:t>
            </w:r>
          </w:p>
        </w:tc>
      </w:tr>
      <w:tr w:rsidR="006F116A" w:rsidRPr="00DD5F78" w:rsidTr="008974E9">
        <w:trPr>
          <w:cantSplit/>
          <w:trHeight w:val="1624"/>
          <w:tblHeader/>
        </w:trPr>
        <w:tc>
          <w:tcPr>
            <w:tcW w:w="449" w:type="dxa"/>
            <w:shd w:val="clear" w:color="auto" w:fill="8DB3E2"/>
          </w:tcPr>
          <w:p w:rsidR="006F116A" w:rsidRPr="00735EA3" w:rsidRDefault="006F116A" w:rsidP="00473701">
            <w:pPr>
              <w:pStyle w:val="ListParagraph"/>
              <w:numPr>
                <w:ilvl w:val="0"/>
                <w:numId w:val="67"/>
              </w:numPr>
              <w:spacing w:before="20" w:after="20" w:line="264" w:lineRule="auto"/>
              <w:rPr>
                <w:rFonts w:ascii="Calibri" w:hAnsi="Calibri" w:cs="Arial"/>
                <w:b/>
                <w:color w:val="FFFFFF"/>
                <w:sz w:val="20"/>
                <w:lang w:eastAsia="en-AU"/>
              </w:rPr>
            </w:pPr>
          </w:p>
        </w:tc>
        <w:tc>
          <w:tcPr>
            <w:tcW w:w="2791" w:type="dxa"/>
          </w:tcPr>
          <w:p w:rsidR="006F116A" w:rsidRPr="006F116A" w:rsidRDefault="006F116A" w:rsidP="006F116A">
            <w:pPr>
              <w:spacing w:before="20" w:after="20" w:line="264" w:lineRule="auto"/>
              <w:rPr>
                <w:rFonts w:ascii="Calibri" w:hAnsi="Calibri" w:cs="Arial"/>
                <w:iCs/>
                <w:sz w:val="20"/>
                <w:szCs w:val="24"/>
                <w:lang w:eastAsia="en-AU"/>
              </w:rPr>
            </w:pPr>
            <w:r>
              <w:rPr>
                <w:rFonts w:ascii="Calibri" w:hAnsi="Calibri" w:cs="Arial"/>
                <w:iCs/>
                <w:sz w:val="20"/>
                <w:szCs w:val="24"/>
                <w:lang w:eastAsia="en-AU"/>
              </w:rPr>
              <w:t>Hospitals to lose if veterans’ care lacking</w:t>
            </w:r>
          </w:p>
        </w:tc>
        <w:tc>
          <w:tcPr>
            <w:tcW w:w="1440" w:type="dxa"/>
          </w:tcPr>
          <w:p w:rsidR="006F116A" w:rsidRPr="006F116A" w:rsidRDefault="006F116A" w:rsidP="006F116A">
            <w:pPr>
              <w:spacing w:before="20" w:after="20" w:line="264" w:lineRule="auto"/>
              <w:rPr>
                <w:rFonts w:ascii="Calibri" w:hAnsi="Calibri" w:cs="Arial"/>
                <w:iCs/>
                <w:sz w:val="20"/>
                <w:szCs w:val="24"/>
                <w:lang w:eastAsia="en-AU"/>
              </w:rPr>
            </w:pPr>
            <w:r>
              <w:rPr>
                <w:rFonts w:ascii="Calibri" w:hAnsi="Calibri" w:cs="Arial"/>
                <w:iCs/>
                <w:sz w:val="20"/>
                <w:szCs w:val="24"/>
                <w:lang w:eastAsia="en-AU"/>
              </w:rPr>
              <w:t>Parnell S</w:t>
            </w:r>
          </w:p>
        </w:tc>
        <w:tc>
          <w:tcPr>
            <w:tcW w:w="1440" w:type="dxa"/>
          </w:tcPr>
          <w:p w:rsidR="006F116A" w:rsidRDefault="006F116A" w:rsidP="00473701">
            <w:pPr>
              <w:spacing w:before="20" w:after="20" w:line="264" w:lineRule="auto"/>
              <w:rPr>
                <w:rFonts w:ascii="Calibri" w:hAnsi="Calibri" w:cs="Arial"/>
                <w:iCs/>
                <w:sz w:val="20"/>
                <w:szCs w:val="24"/>
                <w:lang w:eastAsia="en-AU"/>
              </w:rPr>
            </w:pPr>
            <w:r>
              <w:rPr>
                <w:rFonts w:ascii="Calibri" w:hAnsi="Calibri" w:cs="Arial"/>
                <w:iCs/>
                <w:sz w:val="20"/>
                <w:szCs w:val="24"/>
                <w:lang w:eastAsia="en-AU"/>
              </w:rPr>
              <w:t>The Australian</w:t>
            </w:r>
          </w:p>
        </w:tc>
        <w:tc>
          <w:tcPr>
            <w:tcW w:w="1800" w:type="dxa"/>
          </w:tcPr>
          <w:p w:rsidR="006F116A" w:rsidRDefault="006F116A" w:rsidP="000D1368">
            <w:pPr>
              <w:spacing w:before="20" w:after="20" w:line="264" w:lineRule="auto"/>
              <w:rPr>
                <w:rFonts w:ascii="Calibri" w:hAnsi="Calibri" w:cs="Arial"/>
                <w:sz w:val="20"/>
                <w:lang w:eastAsia="en-AU"/>
              </w:rPr>
            </w:pPr>
            <w:r>
              <w:rPr>
                <w:rFonts w:ascii="Calibri" w:hAnsi="Calibri" w:cs="Arial"/>
                <w:sz w:val="20"/>
                <w:lang w:eastAsia="en-AU"/>
              </w:rPr>
              <w:t>Newspaper article</w:t>
            </w:r>
          </w:p>
        </w:tc>
        <w:tc>
          <w:tcPr>
            <w:tcW w:w="1800" w:type="dxa"/>
          </w:tcPr>
          <w:p w:rsidR="006F116A" w:rsidRDefault="006F116A" w:rsidP="006F116A">
            <w:pPr>
              <w:spacing w:before="20" w:after="20" w:line="264" w:lineRule="auto"/>
              <w:rPr>
                <w:rFonts w:ascii="Calibri" w:hAnsi="Calibri" w:cs="Arial"/>
                <w:sz w:val="20"/>
                <w:lang w:eastAsia="en-AU"/>
              </w:rPr>
            </w:pPr>
            <w:r>
              <w:rPr>
                <w:rFonts w:ascii="Calibri" w:hAnsi="Calibri" w:cs="Arial"/>
                <w:sz w:val="20"/>
                <w:lang w:eastAsia="en-AU"/>
              </w:rPr>
              <w:t>Department of Veterans’ Affairs (DVA) contracting with private hospitals</w:t>
            </w:r>
          </w:p>
        </w:tc>
        <w:tc>
          <w:tcPr>
            <w:tcW w:w="1055" w:type="dxa"/>
          </w:tcPr>
          <w:p w:rsidR="006F116A" w:rsidRDefault="006F116A" w:rsidP="00473701">
            <w:pPr>
              <w:spacing w:before="20" w:after="20" w:line="264" w:lineRule="auto"/>
              <w:rPr>
                <w:rFonts w:ascii="Calibri" w:hAnsi="Calibri" w:cs="Arial"/>
                <w:sz w:val="20"/>
                <w:lang w:eastAsia="en-AU"/>
              </w:rPr>
            </w:pPr>
            <w:r>
              <w:rPr>
                <w:rFonts w:ascii="Calibri" w:hAnsi="Calibri" w:cs="Arial"/>
                <w:sz w:val="20"/>
                <w:lang w:eastAsia="en-AU"/>
              </w:rPr>
              <w:t>Australia</w:t>
            </w:r>
          </w:p>
        </w:tc>
        <w:tc>
          <w:tcPr>
            <w:tcW w:w="1285" w:type="dxa"/>
          </w:tcPr>
          <w:p w:rsidR="006F116A" w:rsidRDefault="006F116A" w:rsidP="003B0D88">
            <w:pPr>
              <w:spacing w:before="20" w:after="20" w:line="264" w:lineRule="auto"/>
              <w:rPr>
                <w:rFonts w:ascii="Calibri" w:hAnsi="Calibri" w:cs="Arial"/>
                <w:sz w:val="20"/>
                <w:lang w:eastAsia="en-AU"/>
              </w:rPr>
            </w:pPr>
            <w:r>
              <w:rPr>
                <w:rFonts w:ascii="Calibri" w:hAnsi="Calibri" w:cs="Arial"/>
                <w:sz w:val="20"/>
                <w:lang w:eastAsia="en-AU"/>
              </w:rPr>
              <w:t>Quality and safety aspects of contracting with private hospitals</w:t>
            </w:r>
          </w:p>
        </w:tc>
        <w:tc>
          <w:tcPr>
            <w:tcW w:w="11135" w:type="dxa"/>
          </w:tcPr>
          <w:p w:rsidR="00334DEB" w:rsidRPr="00334DEB" w:rsidRDefault="00334DEB" w:rsidP="00334DEB">
            <w:pPr>
              <w:pStyle w:val="ListParagraph"/>
              <w:numPr>
                <w:ilvl w:val="0"/>
                <w:numId w:val="60"/>
              </w:numPr>
              <w:autoSpaceDE w:val="0"/>
              <w:autoSpaceDN w:val="0"/>
              <w:adjustRightInd w:val="0"/>
              <w:rPr>
                <w:rFonts w:ascii="Calibri" w:hAnsi="Calibri" w:cs="Arial"/>
                <w:color w:val="000000"/>
                <w:sz w:val="20"/>
                <w:shd w:val="clear" w:color="auto" w:fill="FFFFFF"/>
              </w:rPr>
            </w:pPr>
            <w:r w:rsidRPr="00334DEB">
              <w:rPr>
                <w:rFonts w:ascii="Calibri" w:hAnsi="Calibri" w:cs="Arial"/>
                <w:color w:val="000000"/>
                <w:sz w:val="20"/>
                <w:shd w:val="clear" w:color="auto" w:fill="FFFFFF"/>
              </w:rPr>
              <w:t>This article was published in the Australian newspaper by the health editor</w:t>
            </w:r>
          </w:p>
          <w:p w:rsidR="00334DEB" w:rsidRPr="00334DEB" w:rsidRDefault="00334DEB" w:rsidP="00334DEB">
            <w:pPr>
              <w:pStyle w:val="ListParagraph"/>
              <w:numPr>
                <w:ilvl w:val="0"/>
                <w:numId w:val="60"/>
              </w:numPr>
              <w:autoSpaceDE w:val="0"/>
              <w:autoSpaceDN w:val="0"/>
              <w:adjustRightInd w:val="0"/>
              <w:rPr>
                <w:rFonts w:ascii="Calibri" w:hAnsi="Calibri" w:cs="Arial"/>
                <w:color w:val="000000"/>
                <w:sz w:val="20"/>
                <w:shd w:val="clear" w:color="auto" w:fill="FFFFFF"/>
              </w:rPr>
            </w:pPr>
            <w:r w:rsidRPr="00334DEB">
              <w:rPr>
                <w:rFonts w:ascii="Calibri" w:hAnsi="Calibri" w:cs="Arial"/>
                <w:color w:val="000000"/>
                <w:sz w:val="20"/>
                <w:shd w:val="clear" w:color="auto" w:fill="FFFFFF"/>
              </w:rPr>
              <w:t>It highlights policy movements towards paying for safety and quality  in the private sector</w:t>
            </w:r>
          </w:p>
          <w:p w:rsidR="00334DEB" w:rsidRPr="00334DEB" w:rsidRDefault="00334DEB" w:rsidP="00334DEB">
            <w:pPr>
              <w:pStyle w:val="ListParagraph"/>
              <w:numPr>
                <w:ilvl w:val="0"/>
                <w:numId w:val="60"/>
              </w:numPr>
              <w:autoSpaceDE w:val="0"/>
              <w:autoSpaceDN w:val="0"/>
              <w:adjustRightInd w:val="0"/>
              <w:rPr>
                <w:rFonts w:ascii="Calibri" w:hAnsi="Calibri" w:cs="Arial"/>
                <w:color w:val="000000"/>
                <w:sz w:val="20"/>
                <w:shd w:val="clear" w:color="auto" w:fill="FFFFFF"/>
              </w:rPr>
            </w:pPr>
            <w:r w:rsidRPr="00334DEB">
              <w:rPr>
                <w:rFonts w:ascii="Calibri" w:hAnsi="Calibri" w:cs="Arial"/>
                <w:color w:val="000000"/>
                <w:sz w:val="20"/>
                <w:shd w:val="clear" w:color="auto" w:fill="FFFFFF"/>
              </w:rPr>
              <w:t>The Department of Veteran’s Affairs has notified private hospitals that in their next round of contracts (2016-2020), hospitals will not be paid for:</w:t>
            </w:r>
          </w:p>
          <w:p w:rsidR="00334DEB" w:rsidRPr="00334DEB" w:rsidRDefault="00334DEB" w:rsidP="00334DEB">
            <w:pPr>
              <w:pStyle w:val="ListParagraph"/>
              <w:numPr>
                <w:ilvl w:val="1"/>
                <w:numId w:val="60"/>
              </w:numPr>
              <w:autoSpaceDE w:val="0"/>
              <w:autoSpaceDN w:val="0"/>
              <w:adjustRightInd w:val="0"/>
              <w:rPr>
                <w:rFonts w:ascii="Calibri" w:hAnsi="Calibri" w:cs="Arial"/>
                <w:color w:val="000000"/>
                <w:sz w:val="20"/>
                <w:shd w:val="clear" w:color="auto" w:fill="FFFFFF"/>
              </w:rPr>
            </w:pPr>
            <w:r w:rsidRPr="00334DEB">
              <w:rPr>
                <w:rFonts w:ascii="Calibri" w:hAnsi="Calibri" w:cs="Arial"/>
                <w:color w:val="000000"/>
                <w:sz w:val="20"/>
                <w:shd w:val="clear" w:color="auto" w:fill="FFFFFF"/>
              </w:rPr>
              <w:t>eight sentinel events including wrong site surgery and suicide in an inpatient unit</w:t>
            </w:r>
          </w:p>
          <w:p w:rsidR="00334DEB" w:rsidRPr="00334DEB" w:rsidRDefault="00334DEB" w:rsidP="00334DEB">
            <w:pPr>
              <w:pStyle w:val="ListParagraph"/>
              <w:numPr>
                <w:ilvl w:val="1"/>
                <w:numId w:val="60"/>
              </w:numPr>
              <w:autoSpaceDE w:val="0"/>
              <w:autoSpaceDN w:val="0"/>
              <w:adjustRightInd w:val="0"/>
              <w:rPr>
                <w:rFonts w:ascii="Calibri" w:hAnsi="Calibri" w:cs="Arial"/>
                <w:color w:val="000000"/>
                <w:sz w:val="20"/>
                <w:shd w:val="clear" w:color="auto" w:fill="FFFFFF"/>
              </w:rPr>
            </w:pPr>
            <w:r w:rsidRPr="00334DEB">
              <w:rPr>
                <w:rFonts w:ascii="Calibri" w:hAnsi="Calibri" w:cs="Arial"/>
                <w:color w:val="000000"/>
                <w:sz w:val="20"/>
                <w:shd w:val="clear" w:color="auto" w:fill="FFFFFF"/>
              </w:rPr>
              <w:t>unplanned readmissions within 28 days for a complication related to first admission</w:t>
            </w:r>
          </w:p>
          <w:p w:rsidR="006F116A" w:rsidRPr="00334DEB" w:rsidRDefault="00334DEB" w:rsidP="00334DEB">
            <w:pPr>
              <w:pStyle w:val="ListParagraph"/>
              <w:numPr>
                <w:ilvl w:val="0"/>
                <w:numId w:val="60"/>
              </w:numPr>
              <w:autoSpaceDE w:val="0"/>
              <w:autoSpaceDN w:val="0"/>
              <w:adjustRightInd w:val="0"/>
              <w:rPr>
                <w:rFonts w:ascii="Calibri" w:hAnsi="Calibri" w:cs="Arial"/>
                <w:color w:val="000000"/>
                <w:sz w:val="20"/>
                <w:shd w:val="clear" w:color="auto" w:fill="FFFFFF"/>
              </w:rPr>
            </w:pPr>
            <w:r w:rsidRPr="00334DEB">
              <w:rPr>
                <w:rFonts w:ascii="Calibri" w:hAnsi="Calibri" w:cs="Arial"/>
                <w:color w:val="000000"/>
                <w:sz w:val="20"/>
                <w:shd w:val="clear" w:color="auto" w:fill="FFFFFF"/>
              </w:rPr>
              <w:t>Australian Private Hospitals Association stated that the initiatives success would depend more on the definitions being intended to be used more than the willingness of the sector to comply. Bupa signed similar agreement last year with Healthscope.</w:t>
            </w:r>
          </w:p>
        </w:tc>
      </w:tr>
    </w:tbl>
    <w:p w:rsidR="005070F4" w:rsidRDefault="005070F4" w:rsidP="005070F4"/>
    <w:p w:rsidR="004A010A" w:rsidRPr="004A010A" w:rsidRDefault="004A010A" w:rsidP="005070F4">
      <w:pPr>
        <w:rPr>
          <w:u w:val="single"/>
        </w:rPr>
      </w:pPr>
      <w:r w:rsidRPr="004A010A">
        <w:rPr>
          <w:u w:val="single"/>
        </w:rPr>
        <w:t>References</w:t>
      </w:r>
    </w:p>
    <w:p w:rsidR="004A010A" w:rsidRDefault="004A010A" w:rsidP="005070F4"/>
    <w:p w:rsidR="004A010A" w:rsidRPr="009A68C1" w:rsidRDefault="004A010A" w:rsidP="00FF05D7">
      <w:pPr>
        <w:numPr>
          <w:ilvl w:val="1"/>
          <w:numId w:val="37"/>
        </w:numPr>
        <w:tabs>
          <w:tab w:val="left" w:pos="1080"/>
          <w:tab w:val="left" w:pos="1134"/>
        </w:tabs>
        <w:spacing w:line="276" w:lineRule="auto"/>
        <w:ind w:left="1077" w:hanging="357"/>
        <w:rPr>
          <w:rFonts w:cs="Arial"/>
          <w:szCs w:val="24"/>
        </w:rPr>
      </w:pPr>
      <w:r w:rsidRPr="009A68C1">
        <w:rPr>
          <w:rFonts w:cs="Arial"/>
          <w:szCs w:val="24"/>
        </w:rPr>
        <w:t xml:space="preserve">Baxter PE, Hewko SJ, Pfaff KA, Cleghorn L, Cunningham BJ, Elston D, Cummings GG. Leaders’ experiences and perceptions implementing activity-based funding and pay-for-performance hospital funding models: A systematic review. </w:t>
      </w:r>
      <w:r w:rsidRPr="000F578B">
        <w:rPr>
          <w:rFonts w:cs="Arial"/>
          <w:i/>
          <w:szCs w:val="24"/>
        </w:rPr>
        <w:t>Health Policy</w:t>
      </w:r>
      <w:r w:rsidRPr="009A68C1">
        <w:rPr>
          <w:rFonts w:cs="Arial"/>
          <w:szCs w:val="24"/>
        </w:rPr>
        <w:t>. Forthcoming 2015 May.  doi:10.1016/j.healthpol.2015.05.003</w:t>
      </w:r>
    </w:p>
    <w:p w:rsidR="004A010A" w:rsidRPr="009A68C1" w:rsidRDefault="004A010A" w:rsidP="00FF05D7">
      <w:pPr>
        <w:numPr>
          <w:ilvl w:val="1"/>
          <w:numId w:val="37"/>
        </w:numPr>
        <w:tabs>
          <w:tab w:val="left" w:pos="1080"/>
          <w:tab w:val="left" w:pos="1134"/>
        </w:tabs>
        <w:spacing w:line="276" w:lineRule="auto"/>
        <w:ind w:left="1077" w:hanging="357"/>
        <w:rPr>
          <w:rFonts w:cs="Arial"/>
          <w:szCs w:val="24"/>
        </w:rPr>
      </w:pPr>
      <w:r w:rsidRPr="009A68C1">
        <w:rPr>
          <w:rFonts w:cs="Arial"/>
          <w:szCs w:val="24"/>
        </w:rPr>
        <w:t xml:space="preserve">Briffa TG, Hammett CJ, Cross DB, Macisaac AI, Rankin JM, Board N, Carr B, Hyun KK, French J, Brieger DB, Chew DP. Should fee-for-service be for all guideline-advocated acute coronary syndrome (ACS) care? Observations from the Snapshot ACS Study. </w:t>
      </w:r>
      <w:r w:rsidRPr="000F578B">
        <w:rPr>
          <w:rFonts w:cs="Arial"/>
          <w:i/>
          <w:szCs w:val="24"/>
        </w:rPr>
        <w:t>Australian Health Review</w:t>
      </w:r>
      <w:r w:rsidRPr="009A68C1">
        <w:rPr>
          <w:rFonts w:cs="Arial"/>
          <w:szCs w:val="24"/>
        </w:rPr>
        <w:t xml:space="preserve">. [Internet]. 2015. Available from: </w:t>
      </w:r>
      <w:r w:rsidRPr="00C1193C">
        <w:rPr>
          <w:rFonts w:cs="Arial"/>
          <w:color w:val="0000FF"/>
          <w:szCs w:val="24"/>
          <w:u w:val="single"/>
        </w:rPr>
        <w:t>http://dx.doi.org/10.1071/AH14153</w:t>
      </w:r>
    </w:p>
    <w:p w:rsidR="004A010A" w:rsidRPr="009A68C1" w:rsidRDefault="004A010A" w:rsidP="00FF05D7">
      <w:pPr>
        <w:numPr>
          <w:ilvl w:val="1"/>
          <w:numId w:val="37"/>
        </w:numPr>
        <w:tabs>
          <w:tab w:val="left" w:pos="1080"/>
          <w:tab w:val="left" w:pos="1134"/>
        </w:tabs>
        <w:spacing w:line="276" w:lineRule="auto"/>
        <w:ind w:left="1077" w:hanging="357"/>
        <w:rPr>
          <w:rFonts w:cs="Arial"/>
          <w:szCs w:val="24"/>
        </w:rPr>
      </w:pPr>
      <w:r w:rsidRPr="009A68C1">
        <w:rPr>
          <w:rFonts w:cs="Arial"/>
          <w:szCs w:val="24"/>
        </w:rPr>
        <w:lastRenderedPageBreak/>
        <w:t xml:space="preserve">Martinez EA, Varughese AM, Buck DW, Heitmiller ES. Quality Improvement and Patient Safety. In: Miller RD, Eriksson LI, Fleisher LA, Wiener-Kronish JP, Cohen NH, Young WL, editors. </w:t>
      </w:r>
      <w:r w:rsidRPr="000F578B">
        <w:rPr>
          <w:rFonts w:cs="Arial"/>
          <w:i/>
          <w:szCs w:val="24"/>
        </w:rPr>
        <w:t>Miller’s Anesthesia</w:t>
      </w:r>
      <w:r w:rsidRPr="009A68C1">
        <w:rPr>
          <w:rFonts w:cs="Arial"/>
          <w:szCs w:val="24"/>
        </w:rPr>
        <w:t>. Elsevier Health Sciences; 2014. vol 1 p.87-105</w:t>
      </w:r>
      <w:r w:rsidR="00055931">
        <w:rPr>
          <w:rFonts w:cs="Arial"/>
          <w:szCs w:val="24"/>
        </w:rPr>
        <w:t>.</w:t>
      </w:r>
    </w:p>
    <w:p w:rsidR="004A010A" w:rsidRPr="009A68C1" w:rsidRDefault="004A010A" w:rsidP="00FF05D7">
      <w:pPr>
        <w:numPr>
          <w:ilvl w:val="1"/>
          <w:numId w:val="37"/>
        </w:numPr>
        <w:tabs>
          <w:tab w:val="left" w:pos="1080"/>
          <w:tab w:val="left" w:pos="1134"/>
        </w:tabs>
        <w:spacing w:line="276" w:lineRule="auto"/>
        <w:ind w:left="1077" w:hanging="357"/>
        <w:rPr>
          <w:rFonts w:cs="Arial"/>
          <w:szCs w:val="24"/>
        </w:rPr>
      </w:pPr>
      <w:r w:rsidRPr="009A68C1">
        <w:rPr>
          <w:rFonts w:cs="Arial"/>
          <w:szCs w:val="24"/>
        </w:rPr>
        <w:t xml:space="preserve">Seidman J, Staloff J, Coppage M, Jagun D, Valladares A. The Forest Through the Trees: Maximizing Value in an Evolving Healthcare System. Washington (DC): </w:t>
      </w:r>
      <w:r w:rsidRPr="000F578B">
        <w:rPr>
          <w:rFonts w:cs="Arial"/>
          <w:i/>
          <w:szCs w:val="24"/>
        </w:rPr>
        <w:t>Avalere Health</w:t>
      </w:r>
      <w:r w:rsidRPr="009A68C1">
        <w:rPr>
          <w:rFonts w:cs="Arial"/>
          <w:szCs w:val="24"/>
        </w:rPr>
        <w:t xml:space="preserve">; 2015 May. Available from: </w:t>
      </w:r>
      <w:hyperlink r:id="rId12" w:history="1">
        <w:r w:rsidRPr="009A68C1">
          <w:rPr>
            <w:rStyle w:val="Hyperlink"/>
            <w:rFonts w:cs="Arial"/>
            <w:szCs w:val="24"/>
          </w:rPr>
          <w:t>http://uclainnovates.org/news/2015-05-13/forest-through-trees-maximizing-value-evolving-healthcare-system</w:t>
        </w:r>
      </w:hyperlink>
    </w:p>
    <w:p w:rsidR="004A010A" w:rsidRPr="009A68C1" w:rsidRDefault="004A010A" w:rsidP="00FF05D7">
      <w:pPr>
        <w:numPr>
          <w:ilvl w:val="1"/>
          <w:numId w:val="37"/>
        </w:numPr>
        <w:tabs>
          <w:tab w:val="left" w:pos="1080"/>
          <w:tab w:val="left" w:pos="1134"/>
        </w:tabs>
        <w:spacing w:line="276" w:lineRule="auto"/>
        <w:ind w:left="1077" w:hanging="357"/>
        <w:textAlignment w:val="baseline"/>
        <w:rPr>
          <w:rFonts w:cs="Arial"/>
          <w:szCs w:val="24"/>
        </w:rPr>
      </w:pPr>
      <w:r w:rsidRPr="009A68C1">
        <w:rPr>
          <w:rFonts w:cs="Arial"/>
          <w:szCs w:val="24"/>
        </w:rPr>
        <w:t xml:space="preserve">Papanicolas I, McGuire A. Do Financial Incentives Trump Clinical Guidance? Hip Replacement Treatment in England and Scotland. </w:t>
      </w:r>
      <w:r w:rsidRPr="000F578B">
        <w:rPr>
          <w:rFonts w:cs="Arial"/>
          <w:i/>
          <w:szCs w:val="24"/>
        </w:rPr>
        <w:t>Office of Health Economics</w:t>
      </w:r>
      <w:r w:rsidRPr="009A68C1">
        <w:rPr>
          <w:rFonts w:cs="Arial"/>
          <w:szCs w:val="24"/>
        </w:rPr>
        <w:t xml:space="preserve"> [Internet]. 2015 May 19 [cited 2015 Jun 3]. Available from: </w:t>
      </w:r>
      <w:hyperlink r:id="rId13" w:history="1">
        <w:r w:rsidRPr="009A68C1">
          <w:rPr>
            <w:rStyle w:val="Hyperlink"/>
            <w:rFonts w:cs="Arial"/>
            <w:szCs w:val="24"/>
          </w:rPr>
          <w:t>https://www.ohe.org/news/do-financial-incentives-trump-clinical-guidance-hip-replacement-treatment-england-and-scotland</w:t>
        </w:r>
      </w:hyperlink>
      <w:r w:rsidRPr="009A68C1">
        <w:rPr>
          <w:rFonts w:cs="Arial"/>
          <w:szCs w:val="24"/>
        </w:rPr>
        <w:t xml:space="preserve">  </w:t>
      </w:r>
    </w:p>
    <w:p w:rsidR="004A010A" w:rsidRPr="009A68C1" w:rsidRDefault="004A010A" w:rsidP="00FF05D7">
      <w:pPr>
        <w:numPr>
          <w:ilvl w:val="1"/>
          <w:numId w:val="37"/>
        </w:numPr>
        <w:tabs>
          <w:tab w:val="left" w:pos="1080"/>
          <w:tab w:val="left" w:pos="1134"/>
        </w:tabs>
        <w:spacing w:line="276" w:lineRule="auto"/>
        <w:ind w:left="1077" w:hanging="357"/>
        <w:textAlignment w:val="baseline"/>
        <w:rPr>
          <w:rFonts w:cs="Arial"/>
          <w:color w:val="333333"/>
          <w:szCs w:val="24"/>
        </w:rPr>
      </w:pPr>
      <w:r w:rsidRPr="009A68C1">
        <w:rPr>
          <w:rFonts w:cs="Arial"/>
          <w:szCs w:val="24"/>
        </w:rPr>
        <w:t xml:space="preserve">Rice S. New rating looks at hospital performance on high-volume procedures. </w:t>
      </w:r>
      <w:r w:rsidRPr="000F578B">
        <w:rPr>
          <w:rFonts w:cs="Arial"/>
          <w:i/>
          <w:szCs w:val="24"/>
        </w:rPr>
        <w:t>Modern Healthcare</w:t>
      </w:r>
      <w:r w:rsidRPr="009A68C1">
        <w:rPr>
          <w:rFonts w:cs="Arial"/>
          <w:szCs w:val="24"/>
        </w:rPr>
        <w:t xml:space="preserve"> [Internet]. 2015 May 20 [cited 2015 Jun 3]; Available from:  </w:t>
      </w:r>
      <w:hyperlink r:id="rId14" w:history="1">
        <w:r w:rsidRPr="009A68C1">
          <w:rPr>
            <w:rStyle w:val="Hyperlink"/>
            <w:rFonts w:cs="Arial"/>
            <w:szCs w:val="24"/>
          </w:rPr>
          <w:t>http://www.modernhealthcare.com/article/20150520/NEWS/150519876</w:t>
        </w:r>
      </w:hyperlink>
    </w:p>
    <w:p w:rsidR="004A010A" w:rsidRPr="009A68C1" w:rsidRDefault="004A010A" w:rsidP="00FF05D7">
      <w:pPr>
        <w:pStyle w:val="FootnoteText"/>
        <w:numPr>
          <w:ilvl w:val="1"/>
          <w:numId w:val="37"/>
        </w:numPr>
        <w:tabs>
          <w:tab w:val="left" w:pos="1080"/>
          <w:tab w:val="left" w:pos="1134"/>
        </w:tabs>
        <w:spacing w:line="276" w:lineRule="auto"/>
        <w:ind w:left="1077" w:hanging="357"/>
        <w:rPr>
          <w:rFonts w:ascii="Arial" w:hAnsi="Arial" w:cs="Arial"/>
          <w:sz w:val="24"/>
          <w:szCs w:val="24"/>
        </w:rPr>
      </w:pPr>
      <w:r w:rsidRPr="009A68C1">
        <w:rPr>
          <w:rFonts w:ascii="Arial" w:hAnsi="Arial" w:cs="Arial"/>
          <w:sz w:val="24"/>
          <w:szCs w:val="24"/>
        </w:rPr>
        <w:t xml:space="preserve">McDonald R, Boaden R, Roland M, Kristensen SR, Meacock R, Lau Y-S, Mason T, Turner AJ, Sutton M. A qualitative and quantitative evaluation of the Advancing Quality pay-for-performance programme in the NHS North West. </w:t>
      </w:r>
      <w:r w:rsidRPr="000F578B">
        <w:rPr>
          <w:rFonts w:ascii="Arial" w:hAnsi="Arial" w:cs="Arial"/>
          <w:i/>
          <w:sz w:val="24"/>
          <w:szCs w:val="24"/>
        </w:rPr>
        <w:t>Health Serv</w:t>
      </w:r>
      <w:r w:rsidR="000F578B">
        <w:rPr>
          <w:rFonts w:ascii="Arial" w:hAnsi="Arial" w:cs="Arial"/>
          <w:i/>
          <w:sz w:val="24"/>
          <w:szCs w:val="24"/>
        </w:rPr>
        <w:t xml:space="preserve">ices and </w:t>
      </w:r>
      <w:r w:rsidRPr="000F578B">
        <w:rPr>
          <w:rFonts w:ascii="Arial" w:hAnsi="Arial" w:cs="Arial"/>
          <w:i/>
          <w:sz w:val="24"/>
          <w:szCs w:val="24"/>
        </w:rPr>
        <w:t>Deliv</w:t>
      </w:r>
      <w:r w:rsidR="000F578B">
        <w:rPr>
          <w:rFonts w:ascii="Arial" w:hAnsi="Arial" w:cs="Arial"/>
          <w:i/>
          <w:sz w:val="24"/>
          <w:szCs w:val="24"/>
        </w:rPr>
        <w:t>ery</w:t>
      </w:r>
      <w:r w:rsidRPr="000F578B">
        <w:rPr>
          <w:rFonts w:ascii="Arial" w:hAnsi="Arial" w:cs="Arial"/>
          <w:i/>
          <w:sz w:val="24"/>
          <w:szCs w:val="24"/>
        </w:rPr>
        <w:t xml:space="preserve"> Res</w:t>
      </w:r>
      <w:r w:rsidR="000F578B">
        <w:rPr>
          <w:rFonts w:ascii="Arial" w:hAnsi="Arial" w:cs="Arial"/>
          <w:i/>
          <w:sz w:val="24"/>
          <w:szCs w:val="24"/>
        </w:rPr>
        <w:t>earch</w:t>
      </w:r>
      <w:r w:rsidRPr="009A68C1">
        <w:rPr>
          <w:rFonts w:ascii="Arial" w:hAnsi="Arial" w:cs="Arial"/>
          <w:sz w:val="24"/>
          <w:szCs w:val="24"/>
        </w:rPr>
        <w:t>. 2015</w:t>
      </w:r>
      <w:r w:rsidR="000F578B">
        <w:rPr>
          <w:rFonts w:ascii="Arial" w:hAnsi="Arial" w:cs="Arial"/>
          <w:sz w:val="24"/>
          <w:szCs w:val="24"/>
        </w:rPr>
        <w:t>;</w:t>
      </w:r>
      <w:r w:rsidRPr="009A68C1">
        <w:rPr>
          <w:rFonts w:ascii="Arial" w:hAnsi="Arial" w:cs="Arial"/>
          <w:sz w:val="24"/>
          <w:szCs w:val="24"/>
        </w:rPr>
        <w:t xml:space="preserve">3(23). </w:t>
      </w:r>
    </w:p>
    <w:p w:rsidR="004A010A" w:rsidRPr="009A68C1" w:rsidRDefault="004A010A" w:rsidP="00FF05D7">
      <w:pPr>
        <w:numPr>
          <w:ilvl w:val="1"/>
          <w:numId w:val="37"/>
        </w:numPr>
        <w:tabs>
          <w:tab w:val="left" w:pos="1080"/>
          <w:tab w:val="left" w:pos="1134"/>
        </w:tabs>
        <w:spacing w:line="276" w:lineRule="auto"/>
        <w:ind w:left="1077" w:hanging="357"/>
        <w:rPr>
          <w:rFonts w:cs="Arial"/>
          <w:szCs w:val="24"/>
        </w:rPr>
      </w:pPr>
      <w:r w:rsidRPr="009A68C1">
        <w:rPr>
          <w:rFonts w:cs="Arial"/>
          <w:szCs w:val="24"/>
        </w:rPr>
        <w:t>Lourenco SM, Greenberg JO, Spinks M, Bates D, Narayanan VG. The impact of providing feedback under negative financial incentives: Evidence from a field experiment. Proceedings of the 38th European Accounting Association Annual Congress; 2015 Apr 28-30; Glasgow, Scotland (UK).</w:t>
      </w:r>
    </w:p>
    <w:p w:rsidR="004A010A" w:rsidRPr="009A68C1" w:rsidRDefault="004A010A" w:rsidP="00FF05D7">
      <w:pPr>
        <w:numPr>
          <w:ilvl w:val="1"/>
          <w:numId w:val="37"/>
        </w:numPr>
        <w:tabs>
          <w:tab w:val="left" w:pos="1080"/>
          <w:tab w:val="left" w:pos="1134"/>
        </w:tabs>
        <w:spacing w:line="276" w:lineRule="auto"/>
        <w:ind w:left="1077" w:hanging="357"/>
      </w:pPr>
      <w:r w:rsidRPr="009A68C1">
        <w:t xml:space="preserve">Michtalik HJ, Carolan HT, Haut ER, Lau BD, Streiff MB, Finkelstein J, Pronovost PJ, Durkin N, Brotman DJ. Use of provider-level dashboards and pay-for-performance in venous thromboembolism prophylaxis. </w:t>
      </w:r>
      <w:r w:rsidRPr="00055931">
        <w:rPr>
          <w:i/>
        </w:rPr>
        <w:t>J</w:t>
      </w:r>
      <w:r w:rsidR="00055931" w:rsidRPr="00055931">
        <w:rPr>
          <w:i/>
        </w:rPr>
        <w:t>ournal of</w:t>
      </w:r>
      <w:r w:rsidRPr="00055931">
        <w:rPr>
          <w:i/>
        </w:rPr>
        <w:t xml:space="preserve"> Hosp</w:t>
      </w:r>
      <w:r w:rsidR="00055931" w:rsidRPr="00055931">
        <w:rPr>
          <w:i/>
        </w:rPr>
        <w:t>ital</w:t>
      </w:r>
      <w:r w:rsidRPr="00055931">
        <w:rPr>
          <w:i/>
        </w:rPr>
        <w:t xml:space="preserve"> Med</w:t>
      </w:r>
      <w:r w:rsidR="00055931" w:rsidRPr="00055931">
        <w:rPr>
          <w:i/>
        </w:rPr>
        <w:t>icine</w:t>
      </w:r>
      <w:r w:rsidR="00055931">
        <w:t>. 2015 Mar 10(3):</w:t>
      </w:r>
      <w:r w:rsidRPr="009A68C1">
        <w:t>172-</w:t>
      </w:r>
      <w:r w:rsidR="00055931">
        <w:t>17</w:t>
      </w:r>
      <w:r w:rsidRPr="009A68C1">
        <w:t xml:space="preserve">8. </w:t>
      </w:r>
    </w:p>
    <w:p w:rsidR="004A010A" w:rsidRPr="009A68C1" w:rsidRDefault="004A010A" w:rsidP="00FF05D7">
      <w:pPr>
        <w:numPr>
          <w:ilvl w:val="1"/>
          <w:numId w:val="37"/>
        </w:numPr>
        <w:tabs>
          <w:tab w:val="left" w:pos="1080"/>
          <w:tab w:val="left" w:pos="1134"/>
        </w:tabs>
        <w:spacing w:line="276" w:lineRule="auto"/>
        <w:ind w:left="1077" w:hanging="357"/>
      </w:pPr>
      <w:r w:rsidRPr="009A68C1">
        <w:t xml:space="preserve">Burwell SM. Setting Value-Based Payment Goals – HHS Efforts to Improve U.S. Health Care. </w:t>
      </w:r>
      <w:r w:rsidRPr="00055931">
        <w:rPr>
          <w:i/>
        </w:rPr>
        <w:t>N</w:t>
      </w:r>
      <w:r w:rsidR="00055931" w:rsidRPr="00055931">
        <w:rPr>
          <w:i/>
        </w:rPr>
        <w:t>ew</w:t>
      </w:r>
      <w:r w:rsidRPr="00055931">
        <w:rPr>
          <w:i/>
        </w:rPr>
        <w:t xml:space="preserve"> Engl</w:t>
      </w:r>
      <w:r w:rsidR="00055931" w:rsidRPr="00055931">
        <w:rPr>
          <w:i/>
        </w:rPr>
        <w:t>and</w:t>
      </w:r>
      <w:r w:rsidRPr="00055931">
        <w:rPr>
          <w:i/>
        </w:rPr>
        <w:t xml:space="preserve"> J</w:t>
      </w:r>
      <w:r w:rsidR="00055931" w:rsidRPr="00055931">
        <w:rPr>
          <w:i/>
        </w:rPr>
        <w:t>ournal of</w:t>
      </w:r>
      <w:r w:rsidRPr="00055931">
        <w:rPr>
          <w:i/>
        </w:rPr>
        <w:t xml:space="preserve"> Med</w:t>
      </w:r>
      <w:r w:rsidR="00055931" w:rsidRPr="00055931">
        <w:rPr>
          <w:i/>
        </w:rPr>
        <w:t>icine</w:t>
      </w:r>
      <w:r w:rsidRPr="009A68C1">
        <w:t>. 2015 Mar 5;372:897-899.</w:t>
      </w:r>
    </w:p>
    <w:p w:rsidR="004A010A" w:rsidRPr="009A68C1" w:rsidRDefault="004A010A" w:rsidP="00FF05D7">
      <w:pPr>
        <w:numPr>
          <w:ilvl w:val="1"/>
          <w:numId w:val="37"/>
        </w:numPr>
        <w:tabs>
          <w:tab w:val="left" w:pos="1080"/>
          <w:tab w:val="left" w:pos="1134"/>
        </w:tabs>
        <w:spacing w:line="276" w:lineRule="auto"/>
        <w:ind w:left="1077" w:hanging="357"/>
      </w:pPr>
      <w:r w:rsidRPr="009A68C1">
        <w:t xml:space="preserve">Cutler DM. Payment Reform Is About to Become a Reality. </w:t>
      </w:r>
      <w:r w:rsidRPr="00055931">
        <w:rPr>
          <w:i/>
        </w:rPr>
        <w:t>Journal of the American Medical Association</w:t>
      </w:r>
      <w:r w:rsidRPr="009A68C1">
        <w:t xml:space="preserve"> [Internet]. 2015 Feb 11 [cited 2015 Apr 28]. Available from: </w:t>
      </w:r>
      <w:r w:rsidRPr="00DA6362">
        <w:rPr>
          <w:color w:val="0000FF"/>
          <w:u w:val="single"/>
        </w:rPr>
        <w:t>http:newsatjama.jama.com/category/the-jama-forum/</w:t>
      </w:r>
    </w:p>
    <w:p w:rsidR="004A010A" w:rsidRDefault="004A010A" w:rsidP="00FF05D7">
      <w:pPr>
        <w:numPr>
          <w:ilvl w:val="1"/>
          <w:numId w:val="37"/>
        </w:numPr>
        <w:tabs>
          <w:tab w:val="left" w:pos="1080"/>
          <w:tab w:val="left" w:pos="1134"/>
        </w:tabs>
        <w:spacing w:line="276" w:lineRule="auto"/>
        <w:ind w:left="1077" w:hanging="357"/>
      </w:pPr>
      <w:r w:rsidRPr="009A68C1">
        <w:t xml:space="preserve">Schaffer SK, Sussex J, Feng Y. </w:t>
      </w:r>
      <w:r w:rsidR="000F578B">
        <w:t xml:space="preserve">Briefing 55: </w:t>
      </w:r>
      <w:r w:rsidRPr="009A68C1">
        <w:t>Incentives to follow Best Practice in Health Care.</w:t>
      </w:r>
      <w:r w:rsidR="000F578B">
        <w:t xml:space="preserve"> Southside (London): </w:t>
      </w:r>
      <w:r w:rsidR="000F578B" w:rsidRPr="00055931">
        <w:rPr>
          <w:i/>
        </w:rPr>
        <w:t>Office of Health Economics</w:t>
      </w:r>
      <w:r w:rsidR="000F578B">
        <w:t xml:space="preserve"> (UK); 2015 Feb.</w:t>
      </w:r>
    </w:p>
    <w:p w:rsidR="006F116A" w:rsidRDefault="00243838" w:rsidP="006F116A">
      <w:pPr>
        <w:numPr>
          <w:ilvl w:val="1"/>
          <w:numId w:val="37"/>
        </w:numPr>
        <w:tabs>
          <w:tab w:val="left" w:pos="1080"/>
          <w:tab w:val="left" w:pos="1134"/>
        </w:tabs>
        <w:spacing w:line="276" w:lineRule="auto"/>
        <w:ind w:left="1077" w:hanging="357"/>
      </w:pPr>
      <w:r>
        <w:t xml:space="preserve">Cohn, J. A Picture of Progress on Hospital Errors. </w:t>
      </w:r>
      <w:r w:rsidR="00891A3B">
        <w:rPr>
          <w:i/>
        </w:rPr>
        <w:t xml:space="preserve">The Milbank Quarterly. </w:t>
      </w:r>
      <w:r w:rsidR="00891A3B">
        <w:t>2015; 93(1):36-39.</w:t>
      </w:r>
    </w:p>
    <w:p w:rsidR="006F116A" w:rsidRDefault="006F116A" w:rsidP="006F116A">
      <w:pPr>
        <w:numPr>
          <w:ilvl w:val="1"/>
          <w:numId w:val="37"/>
        </w:numPr>
        <w:tabs>
          <w:tab w:val="left" w:pos="1080"/>
          <w:tab w:val="left" w:pos="1134"/>
        </w:tabs>
        <w:spacing w:line="276" w:lineRule="auto"/>
        <w:ind w:left="1077" w:hanging="357"/>
      </w:pPr>
      <w:r w:rsidRPr="006F116A">
        <w:t xml:space="preserve">Hawkes D, Bater J, Bailey C, Holland G, Ruddlesdin J, Wall A, Wykes P. Improving the care of patients with a hip fracture: a quality improvement report. </w:t>
      </w:r>
      <w:r w:rsidRPr="006F116A">
        <w:rPr>
          <w:i/>
        </w:rPr>
        <w:t>BMJ Qual Saf</w:t>
      </w:r>
      <w:r w:rsidRPr="006F116A">
        <w:t>; 2015; 0; 1-7.</w:t>
      </w:r>
    </w:p>
    <w:p w:rsidR="00A502B7" w:rsidRDefault="006F116A" w:rsidP="006F116A">
      <w:pPr>
        <w:numPr>
          <w:ilvl w:val="1"/>
          <w:numId w:val="37"/>
        </w:numPr>
        <w:tabs>
          <w:tab w:val="left" w:pos="1080"/>
          <w:tab w:val="left" w:pos="1134"/>
        </w:tabs>
        <w:spacing w:line="276" w:lineRule="auto"/>
        <w:ind w:left="1077" w:hanging="357"/>
        <w:sectPr w:rsidR="00A502B7" w:rsidSect="00606A38">
          <w:footerReference w:type="default" r:id="rId15"/>
          <w:footnotePr>
            <w:numRestart w:val="eachSect"/>
          </w:footnotePr>
          <w:pgSz w:w="23814" w:h="16839" w:orient="landscape" w:code="8"/>
          <w:pgMar w:top="720" w:right="1077" w:bottom="567" w:left="1077" w:header="709" w:footer="709" w:gutter="0"/>
          <w:cols w:space="708"/>
          <w:docGrid w:linePitch="360"/>
        </w:sectPr>
      </w:pPr>
      <w:r>
        <w:t xml:space="preserve">Parnell S. Hospitals to lose if veterans’ care lacking. </w:t>
      </w:r>
      <w:r w:rsidRPr="006F116A">
        <w:rPr>
          <w:i/>
        </w:rPr>
        <w:t>The Australian</w:t>
      </w:r>
      <w:r>
        <w:t>. 2 June 2015.</w:t>
      </w:r>
    </w:p>
    <w:p w:rsidR="00A502B7" w:rsidRDefault="00A502B7" w:rsidP="00A502B7">
      <w:pPr>
        <w:ind w:left="360" w:right="-1418"/>
        <w:rPr>
          <w:rStyle w:val="IntenseReference"/>
          <w:b w:val="0"/>
          <w:bCs w:val="0"/>
          <w:i w:val="0"/>
          <w:smallCaps w:val="0"/>
          <w:lang w:val="en-US"/>
        </w:rPr>
      </w:pPr>
      <w:r>
        <w:rPr>
          <w:b/>
        </w:rPr>
        <w:lastRenderedPageBreak/>
        <w:t>3.7</w:t>
      </w:r>
      <w:r>
        <w:rPr>
          <w:b/>
        </w:rPr>
        <w:t xml:space="preserve"> </w:t>
      </w:r>
      <w:r w:rsidRPr="00C3225A">
        <w:rPr>
          <w:b/>
        </w:rPr>
        <w:t>Summary o</w:t>
      </w:r>
      <w:r>
        <w:rPr>
          <w:b/>
        </w:rPr>
        <w:t>f literature J</w:t>
      </w:r>
      <w:r>
        <w:rPr>
          <w:b/>
        </w:rPr>
        <w:t>une</w:t>
      </w:r>
      <w:r>
        <w:rPr>
          <w:b/>
        </w:rPr>
        <w:t xml:space="preserve"> 2015 – </w:t>
      </w:r>
      <w:r>
        <w:rPr>
          <w:b/>
        </w:rPr>
        <w:t xml:space="preserve">October </w:t>
      </w:r>
      <w:r>
        <w:rPr>
          <w:b/>
        </w:rPr>
        <w:t>2015</w:t>
      </w:r>
    </w:p>
    <w:p w:rsidR="006F116A" w:rsidRDefault="006F116A" w:rsidP="00A502B7">
      <w:pPr>
        <w:tabs>
          <w:tab w:val="left" w:pos="1080"/>
          <w:tab w:val="left" w:pos="1134"/>
        </w:tabs>
        <w:spacing w:line="276" w:lineRule="auto"/>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25"/>
        <w:gridCol w:w="1930"/>
        <w:gridCol w:w="1309"/>
        <w:gridCol w:w="1537"/>
        <w:gridCol w:w="1541"/>
        <w:gridCol w:w="1970"/>
        <w:gridCol w:w="1518"/>
        <w:gridCol w:w="2406"/>
        <w:gridCol w:w="9240"/>
      </w:tblGrid>
      <w:tr w:rsidR="00A502B7" w:rsidRPr="004E42EF" w:rsidTr="001101F8">
        <w:trPr>
          <w:trHeight w:val="510"/>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p>
        </w:tc>
        <w:tc>
          <w:tcPr>
            <w:tcW w:w="441"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Article name</w:t>
            </w:r>
          </w:p>
        </w:tc>
        <w:tc>
          <w:tcPr>
            <w:tcW w:w="299"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Authors</w:t>
            </w:r>
          </w:p>
        </w:tc>
        <w:tc>
          <w:tcPr>
            <w:tcW w:w="351"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 xml:space="preserve">Publication </w:t>
            </w:r>
          </w:p>
        </w:tc>
        <w:tc>
          <w:tcPr>
            <w:tcW w:w="352"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Study design</w:t>
            </w:r>
          </w:p>
        </w:tc>
        <w:tc>
          <w:tcPr>
            <w:tcW w:w="450"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 xml:space="preserve">Model(s) &amp; mechanism </w:t>
            </w:r>
          </w:p>
        </w:tc>
        <w:tc>
          <w:tcPr>
            <w:tcW w:w="347"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 xml:space="preserve">Country </w:t>
            </w:r>
          </w:p>
        </w:tc>
        <w:tc>
          <w:tcPr>
            <w:tcW w:w="550"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Context &amp; setting</w:t>
            </w:r>
          </w:p>
        </w:tc>
        <w:tc>
          <w:tcPr>
            <w:tcW w:w="2112" w:type="pct"/>
            <w:shd w:val="clear" w:color="000000"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Results, impact, key points</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1</w:t>
            </w:r>
          </w:p>
        </w:tc>
        <w:tc>
          <w:tcPr>
            <w:tcW w:w="441" w:type="pct"/>
          </w:tcPr>
          <w:p w:rsidR="00A502B7" w:rsidRPr="00A502B7" w:rsidRDefault="00A502B7" w:rsidP="001101F8">
            <w:pPr>
              <w:pStyle w:val="Heading1"/>
              <w:shd w:val="clear" w:color="auto" w:fill="FFFFFF"/>
              <w:spacing w:before="0" w:after="180"/>
              <w:textAlignment w:val="baseline"/>
              <w:rPr>
                <w:rFonts w:ascii="Calibri" w:hAnsi="Calibri"/>
                <w:b w:val="0"/>
                <w:bCs w:val="0"/>
                <w:color w:val="2E2E2E"/>
                <w:sz w:val="18"/>
                <w:szCs w:val="18"/>
              </w:rPr>
            </w:pPr>
            <w:r w:rsidRPr="00A502B7">
              <w:rPr>
                <w:rFonts w:ascii="Calibri" w:hAnsi="Calibri"/>
                <w:b w:val="0"/>
                <w:bCs w:val="0"/>
                <w:color w:val="2E2E2E"/>
                <w:sz w:val="18"/>
                <w:szCs w:val="18"/>
              </w:rPr>
              <w:t>The Effect of Pay for Performance in the Emergency Department on Patient Waiting Times and Quality of Care in Ontario, Canada: A Difference-in-Differences Analysis</w:t>
            </w:r>
            <w:r w:rsidRPr="00A502B7">
              <w:rPr>
                <w:rStyle w:val="apple-converted-space"/>
                <w:rFonts w:ascii="Calibri" w:hAnsi="Calibri"/>
                <w:b w:val="0"/>
                <w:bCs w:val="0"/>
                <w:color w:val="2E2E2E"/>
                <w:sz w:val="18"/>
                <w:szCs w:val="18"/>
              </w:rPr>
              <w:t> </w:t>
            </w:r>
            <w:r w:rsidRPr="00A502B7">
              <w:rPr>
                <w:rStyle w:val="apple-converted-space"/>
                <w:rFonts w:ascii="Calibri" w:hAnsi="Calibri"/>
                <w:b w:val="0"/>
                <w:bCs w:val="0"/>
                <w:color w:val="2E2E2E"/>
                <w:sz w:val="18"/>
                <w:szCs w:val="18"/>
              </w:rPr>
              <w:fldChar w:fldCharType="begin"/>
            </w:r>
            <w:r w:rsidRPr="00A502B7">
              <w:rPr>
                <w:rStyle w:val="apple-converted-space"/>
                <w:rFonts w:ascii="Calibri" w:hAnsi="Calibri"/>
                <w:b w:val="0"/>
                <w:bCs w:val="0"/>
                <w:color w:val="2E2E2E"/>
                <w:sz w:val="18"/>
                <w:szCs w:val="18"/>
              </w:rPr>
              <w:instrText xml:space="preserve"> ADDIN EN.CITE &lt;EndNote&gt;&lt;Cite&gt;&lt;Author&gt;Vermeulen&lt;/Author&gt;&lt;RecNum&gt;235&lt;/RecNum&gt;&lt;DisplayText&gt;(1)&lt;/DisplayText&gt;&lt;record&gt;&lt;rec-number&gt;235&lt;/rec-number&gt;&lt;foreign-keys&gt;&lt;key app="EN" db-id="pxsz0w0wuvwzapeptavv0erkef22f2rwz0w0"&gt;235&lt;/key&gt;&lt;/foreign-keys&gt;&lt;ref-type name="Journal Article"&gt;17&lt;/ref-type&gt;&lt;contributors&gt;&lt;authors&gt;&lt;author&gt;Vermeulen, Marian J.&lt;/author&gt;&lt;author&gt;Stukel, Therese A.&lt;/author&gt;&lt;author&gt;Boozary, Andrew S.&lt;/author&gt;&lt;author&gt;Guttmann, Astrid&lt;/author&gt;&lt;author&gt;Schull, Michael J.&lt;/author&gt;&lt;/authors&gt;&lt;/contributors&gt;&lt;titles&gt;&lt;title&gt;The Effect of Pay for Performance in the Emergency Department on Patient Waiting Times and Quality of Care in Ontario, Canada: A Difference-in-Differences Analysis&lt;/title&gt;&lt;secondary-title&gt;Annals of Emergency Medicine&lt;/secondary-title&gt;&lt;/titles&gt;&lt;periodical&gt;&lt;full-title&gt;Annals of Emergency Medicine&lt;/full-title&gt;&lt;/periodical&gt;&lt;dates&gt;&lt;/dates&gt;&lt;isbn&gt;0196-0644&lt;/isbn&gt;&lt;urls&gt;&lt;related-urls&gt;&lt;url&gt;http://www.sciencedirect.com/science/article/pii/S0196064415005727&lt;/url&gt;&lt;/related-urls&gt;&lt;/urls&gt;&lt;electronic-resource-num&gt;http://dx.doi.org/10.1016/j.annemergmed.2015.06.028&lt;/electronic-resource-num&gt;&lt;/record&gt;&lt;/Cite&gt;&lt;/EndNote&gt;</w:instrText>
            </w:r>
            <w:r w:rsidRPr="00A502B7">
              <w:rPr>
                <w:rStyle w:val="apple-converted-space"/>
                <w:rFonts w:ascii="Calibri" w:hAnsi="Calibri"/>
                <w:b w:val="0"/>
                <w:bCs w:val="0"/>
                <w:color w:val="2E2E2E"/>
                <w:sz w:val="18"/>
                <w:szCs w:val="18"/>
              </w:rPr>
              <w:fldChar w:fldCharType="separate"/>
            </w:r>
            <w:r w:rsidRPr="00A502B7">
              <w:rPr>
                <w:rStyle w:val="apple-converted-space"/>
                <w:rFonts w:ascii="Calibri" w:hAnsi="Calibri"/>
                <w:b w:val="0"/>
                <w:bCs w:val="0"/>
                <w:noProof/>
                <w:color w:val="2E2E2E"/>
                <w:sz w:val="18"/>
                <w:szCs w:val="18"/>
              </w:rPr>
              <w:t>(</w:t>
            </w:r>
            <w:hyperlink w:anchor="_ENREF_1" w:tooltip="Vermeulen,  #235" w:history="1">
              <w:r w:rsidRPr="00A502B7">
                <w:rPr>
                  <w:rStyle w:val="apple-converted-space"/>
                  <w:rFonts w:ascii="Calibri" w:hAnsi="Calibri"/>
                  <w:b w:val="0"/>
                  <w:bCs w:val="0"/>
                  <w:noProof/>
                  <w:color w:val="2E2E2E"/>
                  <w:sz w:val="18"/>
                  <w:szCs w:val="18"/>
                </w:rPr>
                <w:t>1</w:t>
              </w:r>
            </w:hyperlink>
            <w:r w:rsidRPr="00A502B7">
              <w:rPr>
                <w:rStyle w:val="apple-converted-space"/>
                <w:rFonts w:ascii="Calibri" w:hAnsi="Calibri"/>
                <w:b w:val="0"/>
                <w:bCs w:val="0"/>
                <w:noProof/>
                <w:color w:val="2E2E2E"/>
                <w:sz w:val="18"/>
                <w:szCs w:val="18"/>
              </w:rPr>
              <w:t>)</w:t>
            </w:r>
            <w:r w:rsidRPr="00A502B7">
              <w:rPr>
                <w:rStyle w:val="apple-converted-space"/>
                <w:rFonts w:ascii="Calibri" w:hAnsi="Calibri"/>
                <w:b w:val="0"/>
                <w:bCs w:val="0"/>
                <w:color w:val="2E2E2E"/>
                <w:sz w:val="18"/>
                <w:szCs w:val="18"/>
              </w:rPr>
              <w:fldChar w:fldCharType="end"/>
            </w:r>
          </w:p>
          <w:p w:rsidR="00A502B7" w:rsidRPr="004E42EF" w:rsidRDefault="00A502B7" w:rsidP="001101F8">
            <w:pPr>
              <w:spacing w:before="20" w:after="20" w:line="264" w:lineRule="auto"/>
              <w:rPr>
                <w:rFonts w:ascii="Calibri" w:hAnsi="Calibri" w:cs="Arial"/>
                <w:sz w:val="18"/>
                <w:szCs w:val="18"/>
                <w:lang w:eastAsia="en-AU"/>
              </w:rPr>
            </w:pPr>
          </w:p>
        </w:tc>
        <w:tc>
          <w:tcPr>
            <w:tcW w:w="299"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Vermeulen et al</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Annals of Emergency Medicine</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 xml:space="preserve">Retrospective observational study </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Using multivariable difference-in-difference analysis</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Canada</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P4P program in Ontario Emergency Departments</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In 2008, the Ontario Ministry of Health launched the ED wait times strategy. This included:</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Public reporting of ED performance</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Setting province-wide benchmarks and targets for length of stay</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Lean improvement program</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Pay for results program with annual financial incentives for improved performance on length of stay (voluntary)</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This study analysed ED visits from 2007 to 2011. Pay-for-performance (P4P) hospitals and control sites were selected for three waves of the wait time strategies. Outcomes were measures 1 year from implementation between program and control hospitals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Short-term, modest improvements were observed as a result of greater reductions or smaller increases in ED length of stay in program vs control hospitals. This shows that voluntary P4P programs in EDs may improve performance</w:t>
            </w:r>
            <w:r>
              <w:rPr>
                <w:rFonts w:ascii="Calibri" w:hAnsi="Calibri" w:cs="Arial"/>
                <w:sz w:val="18"/>
                <w:szCs w:val="18"/>
                <w:shd w:val="clear" w:color="auto" w:fill="FFFFFF"/>
              </w:rPr>
              <w:t xml:space="preserve"> via length of stay</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The study noted that the effect of P4P on ED processes and outcomes warrants further study, particularly the effect of design features and contextual factors.  </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2</w:t>
            </w:r>
          </w:p>
        </w:tc>
        <w:tc>
          <w:tcPr>
            <w:tcW w:w="441" w:type="pct"/>
          </w:tcPr>
          <w:p w:rsidR="00A502B7" w:rsidRPr="00A502B7" w:rsidRDefault="00A502B7" w:rsidP="001101F8">
            <w:pPr>
              <w:pStyle w:val="Heading1"/>
              <w:shd w:val="clear" w:color="auto" w:fill="FFFFFF"/>
              <w:spacing w:before="0" w:after="180"/>
              <w:textAlignment w:val="baseline"/>
              <w:rPr>
                <w:rFonts w:ascii="Calibri" w:hAnsi="Calibri"/>
                <w:b w:val="0"/>
                <w:bCs w:val="0"/>
                <w:color w:val="2E2E2E"/>
                <w:sz w:val="18"/>
                <w:szCs w:val="18"/>
              </w:rPr>
            </w:pPr>
            <w:r w:rsidRPr="00A502B7">
              <w:rPr>
                <w:rFonts w:ascii="Calibri" w:hAnsi="Calibri"/>
                <w:b w:val="0"/>
                <w:color w:val="2E2E2E"/>
                <w:sz w:val="18"/>
                <w:szCs w:val="18"/>
              </w:rPr>
              <w:t>Patients’ views on pay for performance in France: a qualitative study in primary care</w:t>
            </w:r>
            <w:r w:rsidRPr="00A502B7">
              <w:rPr>
                <w:rFonts w:ascii="Calibri" w:hAnsi="Calibri"/>
                <w:b w:val="0"/>
                <w:bCs w:val="0"/>
                <w:color w:val="2E2E2E"/>
                <w:sz w:val="18"/>
                <w:szCs w:val="18"/>
              </w:rPr>
              <w:fldChar w:fldCharType="begin"/>
            </w:r>
            <w:r w:rsidRPr="00A502B7">
              <w:rPr>
                <w:rFonts w:ascii="Calibri" w:hAnsi="Calibri"/>
                <w:b w:val="0"/>
                <w:bCs w:val="0"/>
                <w:color w:val="2E2E2E"/>
                <w:sz w:val="18"/>
                <w:szCs w:val="18"/>
              </w:rPr>
              <w:instrText xml:space="preserve"> ADDIN EN.CITE &lt;EndNote&gt;&lt;Cite&gt;&lt;Author&gt;Saint-Lary&lt;/Author&gt;&lt;Year&gt;2015&lt;/Year&gt;&lt;RecNum&gt;236&lt;/RecNum&gt;&lt;DisplayText&gt;(2)&lt;/DisplayText&gt;&lt;record&gt;&lt;rec-number&gt;236&lt;/rec-number&gt;&lt;foreign-keys&gt;&lt;key app="EN" db-id="pxsz0w0wuvwzapeptavv0erkef22f2rwz0w0"&gt;236&lt;/key&gt;&lt;/foreign-keys&gt;&lt;ref-type name="Journal Article"&gt;17&lt;/ref-type&gt;&lt;contributors&gt;&lt;authors&gt;&lt;author&gt;Saint-Lary, Olivier&lt;/author&gt;&lt;author&gt;Leroux, Claire&lt;/author&gt;&lt;author&gt;Dubourdieu, Cécile&lt;/author&gt;&lt;author&gt;Fournier, Cécile&lt;/author&gt;&lt;author&gt;François-Purssell, Irène&lt;/author&gt;&lt;/authors&gt;&lt;/contributors&gt;&lt;titles&gt;&lt;title&gt;Patients’ views on pay for performance in France: a qualitative study in primary care&lt;/title&gt;&lt;secondary-title&gt;British Journal of General Practice&lt;/secondary-title&gt;&lt;/titles&gt;&lt;periodical&gt;&lt;full-title&gt;British Journal of General Practice&lt;/full-title&gt;&lt;/periodical&gt;&lt;pages&gt;e552-e559&lt;/pages&gt;&lt;volume&gt;65&lt;/volume&gt;&lt;number&gt;637&lt;/number&gt;&lt;dates&gt;&lt;year&gt;2015&lt;/year&gt;&lt;pub-dates&gt;&lt;date&gt;2015-08-01 00:00:00&lt;/date&gt;&lt;/pub-dates&gt;&lt;/dates&gt;&lt;urls&gt;&lt;related-urls&gt;&lt;url&gt;http://bjgp.org/bjgp/65/637/e552.full.pdf&lt;/url&gt;&lt;/related-urls&gt;&lt;/urls&gt;&lt;electronic-resource-num&gt;10.3399/bjgp15X686149&lt;/electronic-resource-num&gt;&lt;/record&gt;&lt;/Cite&gt;&lt;/EndNote&gt;</w:instrText>
            </w:r>
            <w:r w:rsidRPr="00A502B7">
              <w:rPr>
                <w:rFonts w:ascii="Calibri" w:hAnsi="Calibri"/>
                <w:b w:val="0"/>
                <w:bCs w:val="0"/>
                <w:color w:val="2E2E2E"/>
                <w:sz w:val="18"/>
                <w:szCs w:val="18"/>
              </w:rPr>
              <w:fldChar w:fldCharType="separate"/>
            </w:r>
            <w:r w:rsidRPr="00A502B7">
              <w:rPr>
                <w:rFonts w:ascii="Calibri" w:hAnsi="Calibri"/>
                <w:b w:val="0"/>
                <w:bCs w:val="0"/>
                <w:noProof/>
                <w:color w:val="2E2E2E"/>
                <w:sz w:val="18"/>
                <w:szCs w:val="18"/>
              </w:rPr>
              <w:t>(</w:t>
            </w:r>
            <w:hyperlink w:anchor="_ENREF_2" w:tooltip="Saint-Lary, 2015 #236" w:history="1">
              <w:r w:rsidRPr="00A502B7">
                <w:rPr>
                  <w:rFonts w:ascii="Calibri" w:hAnsi="Calibri"/>
                  <w:b w:val="0"/>
                  <w:bCs w:val="0"/>
                  <w:noProof/>
                  <w:color w:val="2E2E2E"/>
                  <w:sz w:val="18"/>
                  <w:szCs w:val="18"/>
                </w:rPr>
                <w:t>2</w:t>
              </w:r>
            </w:hyperlink>
            <w:r w:rsidRPr="00A502B7">
              <w:rPr>
                <w:rFonts w:ascii="Calibri" w:hAnsi="Calibri"/>
                <w:b w:val="0"/>
                <w:bCs w:val="0"/>
                <w:noProof/>
                <w:color w:val="2E2E2E"/>
                <w:sz w:val="18"/>
                <w:szCs w:val="18"/>
              </w:rPr>
              <w:t>)</w:t>
            </w:r>
            <w:r w:rsidRPr="00A502B7">
              <w:rPr>
                <w:rFonts w:ascii="Calibri" w:hAnsi="Calibri"/>
                <w:b w:val="0"/>
                <w:bCs w:val="0"/>
                <w:color w:val="2E2E2E"/>
                <w:sz w:val="18"/>
                <w:szCs w:val="18"/>
              </w:rPr>
              <w:fldChar w:fldCharType="end"/>
            </w:r>
          </w:p>
        </w:tc>
        <w:tc>
          <w:tcPr>
            <w:tcW w:w="299"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Saint-Lary et al</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 xml:space="preserve">British Journal of General Practice </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Qualitative study</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 xml:space="preserve">Semi-structured patient interviews </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France</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Primary Care  through GP clinics</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P4P was implemented in 2009 in France. Since 2012, it has been standard </w:t>
            </w:r>
            <w:r>
              <w:rPr>
                <w:rFonts w:ascii="Calibri" w:hAnsi="Calibri" w:cs="Arial"/>
                <w:sz w:val="18"/>
                <w:szCs w:val="18"/>
                <w:shd w:val="clear" w:color="auto" w:fill="FFFFFF"/>
              </w:rPr>
              <w:t>for most General Practitioners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Forty French family practice patients were interviewed about P4P in 2013</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Most patients did not know what P4P was and had stated that they did not notice any change in care </w:t>
            </w:r>
            <w:r>
              <w:rPr>
                <w:rFonts w:ascii="Calibri" w:hAnsi="Calibri" w:cs="Arial"/>
                <w:sz w:val="18"/>
                <w:szCs w:val="18"/>
                <w:shd w:val="clear" w:color="auto" w:fill="FFFFFF"/>
              </w:rPr>
              <w:t>since the system was introduced</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Some patients noted possible benefits in the quality of care (e.g. improvements in follow-up and prevention, better information)</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Some patients were worried about over-prescription of unnecessary medical treatments, increasing costs, patient selection and standardised consultations</w:t>
            </w:r>
          </w:p>
        </w:tc>
      </w:tr>
      <w:tr w:rsidR="00A502B7" w:rsidRPr="004E42EF" w:rsidTr="001101F8">
        <w:trPr>
          <w:trHeight w:val="1198"/>
          <w:tblHeader/>
        </w:trPr>
        <w:tc>
          <w:tcPr>
            <w:tcW w:w="97" w:type="pct"/>
            <w:shd w:val="clear" w:color="auto" w:fill="8DB3E2"/>
          </w:tcPr>
          <w:p w:rsidR="00A502B7" w:rsidRPr="00A502B7" w:rsidRDefault="00A502B7" w:rsidP="001101F8">
            <w:pPr>
              <w:spacing w:before="20" w:after="20" w:line="264" w:lineRule="auto"/>
              <w:rPr>
                <w:rFonts w:ascii="Calibri" w:hAnsi="Calibri" w:cs="Arial"/>
                <w:b/>
                <w:color w:val="FFFFFF"/>
                <w:sz w:val="18"/>
                <w:szCs w:val="18"/>
                <w:lang w:eastAsia="en-AU"/>
              </w:rPr>
            </w:pPr>
            <w:r w:rsidRPr="00A502B7">
              <w:rPr>
                <w:rFonts w:ascii="Calibri" w:hAnsi="Calibri" w:cs="Arial"/>
                <w:b/>
                <w:color w:val="FFFFFF"/>
                <w:sz w:val="18"/>
                <w:szCs w:val="18"/>
                <w:lang w:eastAsia="en-AU"/>
              </w:rPr>
              <w:t>3</w:t>
            </w:r>
          </w:p>
        </w:tc>
        <w:tc>
          <w:tcPr>
            <w:tcW w:w="441" w:type="pct"/>
          </w:tcPr>
          <w:p w:rsidR="00A502B7" w:rsidRPr="00A502B7" w:rsidRDefault="00A502B7" w:rsidP="001101F8">
            <w:pPr>
              <w:pStyle w:val="Heading1"/>
              <w:shd w:val="clear" w:color="auto" w:fill="FFFFFF"/>
              <w:spacing w:before="0" w:after="0" w:line="252" w:lineRule="atLeast"/>
              <w:textAlignment w:val="baseline"/>
              <w:rPr>
                <w:rFonts w:ascii="Calibri" w:hAnsi="Calibri"/>
                <w:b w:val="0"/>
                <w:bCs w:val="0"/>
                <w:color w:val="000000"/>
                <w:sz w:val="18"/>
                <w:szCs w:val="18"/>
              </w:rPr>
            </w:pPr>
            <w:r w:rsidRPr="00A502B7">
              <w:rPr>
                <w:rFonts w:ascii="Calibri" w:hAnsi="Calibri"/>
                <w:b w:val="0"/>
                <w:bCs w:val="0"/>
                <w:color w:val="000000"/>
                <w:sz w:val="18"/>
                <w:szCs w:val="18"/>
              </w:rPr>
              <w:t xml:space="preserve">Long-Term Effect of Hospital Pay for Performance on Mortality in England </w:t>
            </w:r>
            <w:r w:rsidRPr="00A502B7">
              <w:rPr>
                <w:rFonts w:ascii="Calibri" w:hAnsi="Calibri"/>
                <w:b w:val="0"/>
                <w:bCs w:val="0"/>
                <w:color w:val="000000"/>
                <w:sz w:val="18"/>
                <w:szCs w:val="18"/>
              </w:rPr>
              <w:fldChar w:fldCharType="begin"/>
            </w:r>
            <w:r w:rsidRPr="00A502B7">
              <w:rPr>
                <w:rFonts w:ascii="Calibri" w:hAnsi="Calibri"/>
                <w:b w:val="0"/>
                <w:bCs w:val="0"/>
                <w:color w:val="000000"/>
                <w:sz w:val="18"/>
                <w:szCs w:val="18"/>
              </w:rPr>
              <w:instrText xml:space="preserve"> ADDIN EN.CITE &lt;EndNote&gt;&lt;Cite&gt;&lt;Author&gt;Kristensen&lt;/Author&gt;&lt;Year&gt;2014&lt;/Year&gt;&lt;RecNum&gt;237&lt;/RecNum&gt;&lt;DisplayText&gt;(3)&lt;/DisplayText&gt;&lt;record&gt;&lt;rec-number&gt;237&lt;/rec-number&gt;&lt;foreign-keys&gt;&lt;key app="EN" db-id="pxsz0w0wuvwzapeptavv0erkef22f2rwz0w0"&gt;237&lt;/key&gt;&lt;/foreign-keys&gt;&lt;ref-type name="Journal Article"&gt;17&lt;/ref-type&gt;&lt;contributors&gt;&lt;authors&gt;&lt;author&gt;Kristensen, Søren Rud&lt;/author&gt;&lt;author&gt;Meacock, Rachel&lt;/author&gt;&lt;author&gt;Turner, Alex J.&lt;/author&gt;&lt;author&gt;Boaden, Ruth&lt;/author&gt;&lt;author&gt;McDonald, Ruth&lt;/author&gt;&lt;author&gt;Roland, Martin&lt;/author&gt;&lt;author&gt;Sutton, Matthew&lt;/author&gt;&lt;/authors&gt;&lt;/contributors&gt;&lt;titles&gt;&lt;title&gt;Long-Term Effect of Hospital Pay for Performance on Mortality in England&lt;/title&gt;&lt;secondary-title&gt;New England Journal of Medicine&lt;/secondary-title&gt;&lt;/titles&gt;&lt;periodical&gt;&lt;full-title&gt;New England Journal of Medicine&lt;/full-title&gt;&lt;/periodical&gt;&lt;pages&gt;540-548&lt;/pages&gt;&lt;volume&gt;371&lt;/volume&gt;&lt;number&gt;6&lt;/number&gt;&lt;dates&gt;&lt;year&gt;2014&lt;/year&gt;&lt;/dates&gt;&lt;accession-num&gt;25099578&lt;/accession-num&gt;&lt;urls&gt;&lt;related-urls&gt;&lt;url&gt;http://www.nejm.org/doi/full/10.1056/NEJMoa1400962&lt;/url&gt;&lt;/related-urls&gt;&lt;/urls&gt;&lt;electronic-resource-num&gt;doi:10.1056/NEJMoa1400962&lt;/electronic-resource-num&gt;&lt;/record&gt;&lt;/Cite&gt;&lt;/EndNote&gt;</w:instrText>
            </w:r>
            <w:r w:rsidRPr="00A502B7">
              <w:rPr>
                <w:rFonts w:ascii="Calibri" w:hAnsi="Calibri"/>
                <w:b w:val="0"/>
                <w:bCs w:val="0"/>
                <w:color w:val="000000"/>
                <w:sz w:val="18"/>
                <w:szCs w:val="18"/>
              </w:rPr>
              <w:fldChar w:fldCharType="separate"/>
            </w:r>
            <w:r w:rsidRPr="00A502B7">
              <w:rPr>
                <w:rFonts w:ascii="Calibri" w:hAnsi="Calibri"/>
                <w:b w:val="0"/>
                <w:bCs w:val="0"/>
                <w:noProof/>
                <w:color w:val="000000"/>
                <w:sz w:val="18"/>
                <w:szCs w:val="18"/>
              </w:rPr>
              <w:t>(</w:t>
            </w:r>
            <w:hyperlink w:anchor="_ENREF_3" w:tooltip="Kristensen, 2014 #237" w:history="1">
              <w:r w:rsidRPr="00A502B7">
                <w:rPr>
                  <w:rFonts w:ascii="Calibri" w:hAnsi="Calibri"/>
                  <w:b w:val="0"/>
                  <w:bCs w:val="0"/>
                  <w:noProof/>
                  <w:color w:val="000000"/>
                  <w:sz w:val="18"/>
                  <w:szCs w:val="18"/>
                </w:rPr>
                <w:t>3</w:t>
              </w:r>
            </w:hyperlink>
            <w:r w:rsidRPr="00A502B7">
              <w:rPr>
                <w:rFonts w:ascii="Calibri" w:hAnsi="Calibri"/>
                <w:b w:val="0"/>
                <w:bCs w:val="0"/>
                <w:noProof/>
                <w:color w:val="000000"/>
                <w:sz w:val="18"/>
                <w:szCs w:val="18"/>
              </w:rPr>
              <w:t>)</w:t>
            </w:r>
            <w:r w:rsidRPr="00A502B7">
              <w:rPr>
                <w:rFonts w:ascii="Calibri" w:hAnsi="Calibri"/>
                <w:b w:val="0"/>
                <w:bCs w:val="0"/>
                <w:color w:val="000000"/>
                <w:sz w:val="18"/>
                <w:szCs w:val="18"/>
              </w:rPr>
              <w:fldChar w:fldCharType="end"/>
            </w:r>
          </w:p>
          <w:p w:rsidR="00A502B7" w:rsidRPr="00A502B7" w:rsidRDefault="00A502B7" w:rsidP="001101F8">
            <w:pPr>
              <w:pStyle w:val="Heading1"/>
              <w:shd w:val="clear" w:color="auto" w:fill="FFFFFF"/>
              <w:spacing w:before="0" w:after="180"/>
              <w:textAlignment w:val="baseline"/>
              <w:rPr>
                <w:rFonts w:ascii="Calibri" w:hAnsi="Calibri"/>
                <w:b w:val="0"/>
                <w:bCs w:val="0"/>
                <w:color w:val="2E2E2E"/>
                <w:sz w:val="18"/>
                <w:szCs w:val="18"/>
              </w:rPr>
            </w:pPr>
          </w:p>
        </w:tc>
        <w:tc>
          <w:tcPr>
            <w:tcW w:w="299"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Kristensen et al</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New England Journal of Medicine</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Retrospective data analysis</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 xml:space="preserve">Difference in difference regression analysis </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NHS England (Northwest)</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NHS Hospitals</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Advancing Quality is a program that was implemented in Northwest England in 2008 </w:t>
            </w:r>
          </w:p>
          <w:p w:rsidR="00A502B7" w:rsidRPr="00E12E7C"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The introduction of the program was associated with a short-term (18 month) reduction in mortality. Longer term, 30-day in-hospital mortality among 1.8 million hospital admissions for </w:t>
            </w:r>
            <w:r w:rsidRPr="00E12E7C">
              <w:rPr>
                <w:rFonts w:ascii="Calibri" w:hAnsi="Calibri" w:cs="Arial"/>
                <w:sz w:val="18"/>
                <w:szCs w:val="18"/>
                <w:lang w:eastAsia="en-AU"/>
              </w:rPr>
              <w:t>the analysis compared risk adjusted mortality for an 18 month period before the program was introduced with subsequent mortality in the first 18 months (shorter term) and then the next 24 months (longer term)</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Throughout the program, hospitals in the incentive program continues to improve performance. Mortality for the three conditions covered by the participating hospitals fell. However, the reduction in mortality was greater in control hospitals. By the end of the study period, the reduced mort</w:t>
            </w:r>
            <w:r>
              <w:rPr>
                <w:rFonts w:ascii="Calibri" w:hAnsi="Calibri" w:cs="Arial"/>
                <w:sz w:val="18"/>
                <w:szCs w:val="18"/>
                <w:shd w:val="clear" w:color="auto" w:fill="FFFFFF"/>
              </w:rPr>
              <w:t>ality was no longer significant</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There was the possibility of a positive spillover effect to other conditions not covered by the program</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Short-term relative reductions in mortality for conditions linked to financial incentive</w:t>
            </w:r>
            <w:r>
              <w:rPr>
                <w:rFonts w:ascii="Calibri" w:hAnsi="Calibri" w:cs="Arial"/>
                <w:sz w:val="18"/>
                <w:szCs w:val="18"/>
                <w:shd w:val="clear" w:color="auto" w:fill="FFFFFF"/>
              </w:rPr>
              <w:t>s were therefore not maintained</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Financial payments were made to the hospitals, not clinical teams directly. </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4</w:t>
            </w:r>
          </w:p>
        </w:tc>
        <w:tc>
          <w:tcPr>
            <w:tcW w:w="441" w:type="pct"/>
          </w:tcPr>
          <w:p w:rsidR="00A502B7" w:rsidRPr="00A502B7" w:rsidRDefault="00A502B7" w:rsidP="00A502B7">
            <w:pPr>
              <w:pStyle w:val="Heading1"/>
              <w:shd w:val="clear" w:color="auto" w:fill="FFFFFF"/>
              <w:spacing w:before="0" w:after="0" w:line="252" w:lineRule="atLeast"/>
              <w:textAlignment w:val="baseline"/>
              <w:rPr>
                <w:rFonts w:ascii="Calibri" w:hAnsi="Calibri"/>
                <w:b w:val="0"/>
                <w:bCs w:val="0"/>
                <w:color w:val="2E2E2E"/>
                <w:sz w:val="18"/>
                <w:szCs w:val="18"/>
              </w:rPr>
            </w:pPr>
            <w:r>
              <w:rPr>
                <w:rFonts w:ascii="Calibri" w:hAnsi="Calibri"/>
                <w:b w:val="0"/>
                <w:bCs w:val="0"/>
                <w:color w:val="000000"/>
                <w:sz w:val="18"/>
                <w:szCs w:val="18"/>
              </w:rPr>
              <w:t>“Never Events” and the quest for preventable harm</w:t>
            </w:r>
            <w:r w:rsidRPr="00136D25">
              <w:rPr>
                <w:rStyle w:val="IntenseReference"/>
                <w:rFonts w:ascii="Calibri" w:hAnsi="Calibri"/>
                <w:b/>
                <w:noProof/>
                <w:sz w:val="18"/>
                <w:szCs w:val="18"/>
              </w:rPr>
              <w:t xml:space="preserve"> </w:t>
            </w:r>
            <w:r w:rsidRPr="00A502B7">
              <w:rPr>
                <w:rFonts w:ascii="Calibri" w:hAnsi="Calibri"/>
                <w:b w:val="0"/>
                <w:bCs w:val="0"/>
                <w:color w:val="2E2E2E"/>
                <w:sz w:val="18"/>
                <w:szCs w:val="18"/>
              </w:rPr>
              <w:fldChar w:fldCharType="begin"/>
            </w:r>
            <w:r w:rsidRPr="00A502B7">
              <w:rPr>
                <w:rFonts w:ascii="Calibri" w:hAnsi="Calibri"/>
                <w:b w:val="0"/>
                <w:bCs w:val="0"/>
                <w:color w:val="2E2E2E"/>
                <w:sz w:val="18"/>
                <w:szCs w:val="18"/>
              </w:rPr>
              <w:instrText xml:space="preserve"> ADDIN EN.CITE &lt;EndNote&gt;&lt;Cite&gt;&lt;Author&gt;Austin JM&lt;/Author&gt;&lt;Year&gt;2015&lt;/Year&gt;&lt;RecNum&gt;238&lt;/RecNum&gt;&lt;DisplayText&gt;(4)&lt;/DisplayText&gt;&lt;record&gt;&lt;rec-number&gt;238&lt;/rec-number&gt;&lt;foreign-keys&gt;&lt;key app="EN" db-id="pxsz0w0wuvwzapeptavv0erkef22f2rwz0w0"&gt;238&lt;/key&gt;&lt;/foreign-keys&gt;&lt;ref-type name="Journal Article"&gt;17&lt;/ref-type&gt;&lt;contributors&gt;&lt;authors&gt;&lt;author&gt;Austin JM,&lt;/author&gt;&lt;author&gt;Pronovost PJ,&lt;/author&gt;&lt;/authors&gt;&lt;/contributors&gt;&lt;titles&gt;&lt;title&gt;“Never Events” and the Quest to Reduce Preventable Harm&lt;/title&gt;&lt;secondary-title&gt;The Joint Commission Journal on Quality and Patient Safety&lt;/secondary-title&gt;&lt;/titles&gt;&lt;periodical&gt;&lt;full-title&gt;The Joint Commission Journal on Quality and Patient Safety&lt;/full-title&gt;&lt;/periodical&gt;&lt;volume&gt;41&lt;/volume&gt;&lt;number&gt;6&lt;/number&gt;&lt;dates&gt;&lt;year&gt;2015&lt;/year&gt;&lt;/dates&gt;&lt;urls&gt;&lt;/urls&gt;&lt;/record&gt;&lt;/Cite&gt;&lt;/EndNote&gt;</w:instrText>
            </w:r>
            <w:r w:rsidRPr="00A502B7">
              <w:rPr>
                <w:rFonts w:ascii="Calibri" w:hAnsi="Calibri"/>
                <w:b w:val="0"/>
                <w:bCs w:val="0"/>
                <w:color w:val="2E2E2E"/>
                <w:sz w:val="18"/>
                <w:szCs w:val="18"/>
              </w:rPr>
              <w:fldChar w:fldCharType="separate"/>
            </w:r>
            <w:r w:rsidRPr="00A502B7">
              <w:rPr>
                <w:rFonts w:ascii="Calibri" w:hAnsi="Calibri"/>
                <w:b w:val="0"/>
                <w:bCs w:val="0"/>
                <w:noProof/>
                <w:color w:val="2E2E2E"/>
                <w:sz w:val="18"/>
                <w:szCs w:val="18"/>
              </w:rPr>
              <w:t>(</w:t>
            </w:r>
            <w:hyperlink w:anchor="_ENREF_4" w:tooltip="Austin JM, 2015 #238" w:history="1">
              <w:r w:rsidRPr="00A502B7">
                <w:rPr>
                  <w:rFonts w:ascii="Calibri" w:hAnsi="Calibri"/>
                  <w:b w:val="0"/>
                  <w:bCs w:val="0"/>
                  <w:noProof/>
                  <w:color w:val="2E2E2E"/>
                  <w:sz w:val="18"/>
                  <w:szCs w:val="18"/>
                </w:rPr>
                <w:t>4</w:t>
              </w:r>
            </w:hyperlink>
            <w:r w:rsidRPr="00A502B7">
              <w:rPr>
                <w:rFonts w:ascii="Calibri" w:hAnsi="Calibri"/>
                <w:b w:val="0"/>
                <w:bCs w:val="0"/>
                <w:noProof/>
                <w:color w:val="2E2E2E"/>
                <w:sz w:val="18"/>
                <w:szCs w:val="18"/>
              </w:rPr>
              <w:t>)</w:t>
            </w:r>
            <w:r w:rsidRPr="00A502B7">
              <w:rPr>
                <w:rFonts w:ascii="Calibri" w:hAnsi="Calibri"/>
                <w:b w:val="0"/>
                <w:bCs w:val="0"/>
                <w:color w:val="2E2E2E"/>
                <w:sz w:val="18"/>
                <w:szCs w:val="18"/>
              </w:rPr>
              <w:fldChar w:fldCharType="end"/>
            </w:r>
          </w:p>
        </w:tc>
        <w:tc>
          <w:tcPr>
            <w:tcW w:w="299" w:type="pct"/>
          </w:tcPr>
          <w:p w:rsidR="00A502B7" w:rsidRPr="004E42EF" w:rsidRDefault="00A502B7" w:rsidP="001101F8">
            <w:pPr>
              <w:spacing w:before="20" w:after="20" w:line="264" w:lineRule="auto"/>
              <w:rPr>
                <w:rFonts w:ascii="Calibri" w:hAnsi="Calibri" w:cs="Arial"/>
                <w:sz w:val="18"/>
                <w:szCs w:val="18"/>
                <w:highlight w:val="yellow"/>
                <w:lang w:eastAsia="en-AU"/>
              </w:rPr>
            </w:pPr>
            <w:r w:rsidRPr="004E42EF">
              <w:rPr>
                <w:rFonts w:ascii="Calibri" w:hAnsi="Calibri" w:cs="Arial"/>
                <w:sz w:val="18"/>
                <w:szCs w:val="18"/>
                <w:lang w:eastAsia="en-AU"/>
              </w:rPr>
              <w:t>Austin JM and Pronovost PJ</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The Joint Commission Journal on Quality and Patient Safety</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Discussion article</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Pr>
                <w:rFonts w:ascii="Calibri" w:hAnsi="Calibri" w:cs="Arial"/>
                <w:sz w:val="18"/>
                <w:szCs w:val="18"/>
                <w:lang w:eastAsia="en-AU"/>
              </w:rPr>
              <w:t>Observational</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Pr>
                <w:rFonts w:ascii="Calibri" w:hAnsi="Calibri" w:cs="Arial"/>
                <w:sz w:val="18"/>
                <w:szCs w:val="18"/>
                <w:lang w:eastAsia="en-AU"/>
              </w:rPr>
              <w:t>US</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Pr>
                <w:rFonts w:ascii="Calibri" w:hAnsi="Calibri" w:cs="Arial"/>
                <w:sz w:val="18"/>
                <w:szCs w:val="18"/>
                <w:lang w:eastAsia="en-AU"/>
              </w:rPr>
              <w:t>Centre for Medicaid Services</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This article explores never events and their definitions by different healthcare organisations around the world</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Never event data are obtained through a variety of methods including self-reported, claims data and routine screening</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Healthcare would benefit from having one ‘never event’ list to standardise surveillance and reporting of these events. There are issues with timelags in reporting never event data</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article contains a discussion about never event data informing hospital payment primarily in the United States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Reaction to the payment policies have been mixed, however there has been limited evaluation of the never events in the US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article discusses the challenges in determining preventability and states that most entities recognise that not all events are fully preventable. It recognises that some may be ‘largely preventable’ or ‘reasonably</w:t>
            </w:r>
            <w:r>
              <w:rPr>
                <w:rFonts w:ascii="Calibri" w:hAnsi="Calibri" w:cs="Arial"/>
                <w:sz w:val="18"/>
                <w:szCs w:val="18"/>
                <w:shd w:val="clear" w:color="auto" w:fill="FFFFFF"/>
              </w:rPr>
              <w:t>’</w:t>
            </w:r>
            <w:r w:rsidRPr="004E42EF">
              <w:rPr>
                <w:rFonts w:ascii="Calibri" w:hAnsi="Calibri" w:cs="Arial"/>
                <w:sz w:val="18"/>
                <w:szCs w:val="18"/>
                <w:shd w:val="clear" w:color="auto" w:fill="FFFFFF"/>
              </w:rPr>
              <w:t xml:space="preserve"> preventable. Furthermore, there seems to be strong agreement in the Centre for Medicaid Services that surgical never events are almost entirely preventable, but nosocomial infections are not</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article provides four recommendations to enhance the ability of never events to reduce preventable harm in the US:</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Agreement on a standard definition of a never event</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Establish standards for the accuracy of never events derived from administrative data </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Transparently report the number of never events</w:t>
            </w:r>
          </w:p>
          <w:p w:rsidR="00A502B7" w:rsidRPr="004E42EF" w:rsidRDefault="00A502B7" w:rsidP="00A502B7">
            <w:pPr>
              <w:pStyle w:val="ListParagraph"/>
              <w:numPr>
                <w:ilvl w:val="1"/>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Create mechanisms to share best practices for reducing all types of never events</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5</w:t>
            </w:r>
          </w:p>
        </w:tc>
        <w:tc>
          <w:tcPr>
            <w:tcW w:w="441" w:type="pct"/>
          </w:tcPr>
          <w:p w:rsidR="00A502B7" w:rsidRPr="00A502B7" w:rsidRDefault="00A502B7" w:rsidP="001101F8">
            <w:pPr>
              <w:pStyle w:val="Heading1"/>
              <w:shd w:val="clear" w:color="auto" w:fill="FFFFFF"/>
              <w:spacing w:before="0" w:after="180"/>
              <w:textAlignment w:val="baseline"/>
              <w:rPr>
                <w:rFonts w:ascii="Calibri" w:hAnsi="Calibri"/>
                <w:b w:val="0"/>
                <w:bCs w:val="0"/>
                <w:color w:val="2E2E2E"/>
                <w:sz w:val="18"/>
                <w:szCs w:val="18"/>
              </w:rPr>
            </w:pPr>
            <w:r>
              <w:rPr>
                <w:rFonts w:ascii="Calibri" w:hAnsi="Calibri"/>
                <w:b w:val="0"/>
                <w:bCs w:val="0"/>
                <w:color w:val="000000"/>
                <w:sz w:val="18"/>
                <w:szCs w:val="18"/>
              </w:rPr>
              <w:t xml:space="preserve">Hospital board and management practices are strongly related to hospital performance on clinical quality metrics </w:t>
            </w:r>
            <w:r w:rsidRPr="00A502B7">
              <w:rPr>
                <w:rFonts w:ascii="Calibri" w:hAnsi="Calibri"/>
                <w:b w:val="0"/>
                <w:bCs w:val="0"/>
                <w:color w:val="2E2E2E"/>
                <w:sz w:val="18"/>
                <w:szCs w:val="18"/>
              </w:rPr>
              <w:fldChar w:fldCharType="begin"/>
            </w:r>
            <w:r w:rsidRPr="00A502B7">
              <w:rPr>
                <w:rFonts w:ascii="Calibri" w:hAnsi="Calibri"/>
                <w:b w:val="0"/>
                <w:bCs w:val="0"/>
                <w:color w:val="2E2E2E"/>
                <w:sz w:val="18"/>
                <w:szCs w:val="18"/>
              </w:rPr>
              <w:instrText xml:space="preserve"> ADDIN EN.CITE &lt;EndNote&gt;&lt;Cite&gt;&lt;Author&gt;Tsai TC&lt;/Author&gt;&lt;Year&gt;2015&lt;/Year&gt;&lt;RecNum&gt;239&lt;/RecNum&gt;&lt;DisplayText&gt;(5)&lt;/DisplayText&gt;&lt;record&gt;&lt;rec-number&gt;239&lt;/rec-number&gt;&lt;foreign-keys&gt;&lt;key app="EN" db-id="pxsz0w0wuvwzapeptavv0erkef22f2rwz0w0"&gt;239&lt;/key&gt;&lt;/foreign-keys&gt;&lt;ref-type name="Journal Article"&gt;17&lt;/ref-type&gt;&lt;contributors&gt;&lt;authors&gt;&lt;author&gt;Tsai TC, &lt;/author&gt;&lt;author&gt;Jha AK, &lt;/author&gt;&lt;author&gt;Gawande AA, &lt;/author&gt;&lt;author&gt;Huckman RS, &lt;/author&gt;&lt;author&gt;Bloom N,&lt;/author&gt;&lt;author&gt;Sadun R,&lt;/author&gt;&lt;/authors&gt;&lt;/contributors&gt;&lt;titles&gt;&lt;title&gt;Hospital Board and Management Practices are Strongly Related to Hospital Preformance on Clinical Quality Metrics&lt;/title&gt;&lt;secondary-title&gt;Helath Affairs&lt;/secondary-title&gt;&lt;/titles&gt;&lt;periodical&gt;&lt;full-title&gt;Helath Affairs&lt;/full-title&gt;&lt;/periodical&gt;&lt;pages&gt;1304-1311&lt;/pages&gt;&lt;volume&gt;34&lt;/volume&gt;&lt;number&gt;8&lt;/number&gt;&lt;dates&gt;&lt;year&gt;2015&lt;/year&gt;&lt;/dates&gt;&lt;urls&gt;&lt;/urls&gt;&lt;/record&gt;&lt;/Cite&gt;&lt;/EndNote&gt;</w:instrText>
            </w:r>
            <w:r w:rsidRPr="00A502B7">
              <w:rPr>
                <w:rFonts w:ascii="Calibri" w:hAnsi="Calibri"/>
                <w:b w:val="0"/>
                <w:bCs w:val="0"/>
                <w:color w:val="2E2E2E"/>
                <w:sz w:val="18"/>
                <w:szCs w:val="18"/>
              </w:rPr>
              <w:fldChar w:fldCharType="separate"/>
            </w:r>
            <w:r w:rsidRPr="00A502B7">
              <w:rPr>
                <w:rFonts w:ascii="Calibri" w:hAnsi="Calibri"/>
                <w:b w:val="0"/>
                <w:bCs w:val="0"/>
                <w:noProof/>
                <w:color w:val="2E2E2E"/>
                <w:sz w:val="18"/>
                <w:szCs w:val="18"/>
              </w:rPr>
              <w:t>(</w:t>
            </w:r>
            <w:hyperlink w:anchor="_ENREF_5" w:tooltip="Tsai TC, 2015 #239" w:history="1">
              <w:r w:rsidRPr="00A502B7">
                <w:rPr>
                  <w:rFonts w:ascii="Calibri" w:hAnsi="Calibri"/>
                  <w:b w:val="0"/>
                  <w:bCs w:val="0"/>
                  <w:noProof/>
                  <w:color w:val="2E2E2E"/>
                  <w:sz w:val="18"/>
                  <w:szCs w:val="18"/>
                </w:rPr>
                <w:t>5</w:t>
              </w:r>
            </w:hyperlink>
            <w:r w:rsidRPr="00A502B7">
              <w:rPr>
                <w:rFonts w:ascii="Calibri" w:hAnsi="Calibri"/>
                <w:b w:val="0"/>
                <w:bCs w:val="0"/>
                <w:noProof/>
                <w:color w:val="2E2E2E"/>
                <w:sz w:val="18"/>
                <w:szCs w:val="18"/>
              </w:rPr>
              <w:t>)</w:t>
            </w:r>
            <w:r w:rsidRPr="00A502B7">
              <w:rPr>
                <w:rFonts w:ascii="Calibri" w:hAnsi="Calibri"/>
                <w:b w:val="0"/>
                <w:bCs w:val="0"/>
                <w:color w:val="2E2E2E"/>
                <w:sz w:val="18"/>
                <w:szCs w:val="18"/>
              </w:rPr>
              <w:fldChar w:fldCharType="end"/>
            </w:r>
          </w:p>
        </w:tc>
        <w:tc>
          <w:tcPr>
            <w:tcW w:w="299"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Tsai et al</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Health Affairs</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Qualitative study</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 xml:space="preserve">Data was collected from surveys (world management survey and the hospital boards survey) </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US and UK hospital groups</w:t>
            </w:r>
          </w:p>
          <w:p w:rsidR="00A502B7" w:rsidRPr="004E42EF" w:rsidRDefault="00A502B7" w:rsidP="001101F8">
            <w:pPr>
              <w:spacing w:before="20" w:after="20" w:line="264" w:lineRule="auto"/>
              <w:rPr>
                <w:rFonts w:ascii="Calibri" w:hAnsi="Calibri" w:cs="Arial"/>
                <w:sz w:val="18"/>
                <w:szCs w:val="18"/>
                <w:lang w:eastAsia="en-AU"/>
              </w:rPr>
            </w:pP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Findings were not representative of all hospitals as it was a non-random subset of hospitals</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study claims that the association between hospital leadership and quality has not been explored in depth. Therefore it explores the relationships amongst hospital boards, management practices of front-line managers, and the quality of care delivered</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study found that effective board practices were associated with a specific pattern of management practices:</w:t>
            </w:r>
          </w:p>
          <w:p w:rsidR="00A502B7" w:rsidRPr="004E42EF" w:rsidRDefault="00A502B7" w:rsidP="00136D25">
            <w:pPr>
              <w:pStyle w:val="ListParagraph"/>
              <w:numPr>
                <w:ilvl w:val="0"/>
                <w:numId w:val="68"/>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Hospitals with more effective management practices provided higher quality care</w:t>
            </w:r>
          </w:p>
          <w:p w:rsidR="00A502B7" w:rsidRPr="004E42EF" w:rsidRDefault="00A502B7" w:rsidP="00136D25">
            <w:pPr>
              <w:pStyle w:val="ListParagraph"/>
              <w:numPr>
                <w:ilvl w:val="0"/>
                <w:numId w:val="68"/>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Higher-rated hospital boards had superior performance by hospital management staff</w:t>
            </w:r>
          </w:p>
          <w:p w:rsidR="00A502B7" w:rsidRPr="004E42EF" w:rsidRDefault="00A502B7" w:rsidP="00136D25">
            <w:pPr>
              <w:pStyle w:val="ListParagraph"/>
              <w:numPr>
                <w:ilvl w:val="0"/>
                <w:numId w:val="68"/>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Hospitals with boards that paid greater attention to clinical quality had management that better monitored quality performance </w:t>
            </w:r>
          </w:p>
          <w:p w:rsidR="00A502B7" w:rsidRPr="004E42EF" w:rsidRDefault="00A502B7" w:rsidP="00136D25">
            <w:pPr>
              <w:pStyle w:val="ListParagraph"/>
              <w:numPr>
                <w:ilvl w:val="0"/>
                <w:numId w:val="68"/>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Hospitals using clinical quality metrics more effectively had higher performance by hospital management staff on target setting and operations</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lastRenderedPageBreak/>
              <w:t>6</w:t>
            </w:r>
          </w:p>
        </w:tc>
        <w:tc>
          <w:tcPr>
            <w:tcW w:w="441" w:type="pct"/>
          </w:tcPr>
          <w:p w:rsidR="00A502B7" w:rsidRPr="00A502B7" w:rsidRDefault="00E86678" w:rsidP="001101F8">
            <w:pPr>
              <w:pStyle w:val="Heading1"/>
              <w:shd w:val="clear" w:color="auto" w:fill="FFFFFF"/>
              <w:spacing w:before="0" w:after="180"/>
              <w:textAlignment w:val="baseline"/>
              <w:rPr>
                <w:rStyle w:val="IntenseReference"/>
                <w:rFonts w:ascii="Calibri" w:hAnsi="Calibri"/>
                <w:bCs/>
                <w:i w:val="0"/>
                <w:smallCaps w:val="0"/>
                <w:noProof/>
                <w:sz w:val="18"/>
                <w:szCs w:val="18"/>
              </w:rPr>
            </w:pPr>
            <w:r w:rsidRPr="00E86678">
              <w:rPr>
                <w:rStyle w:val="IntenseReference"/>
                <w:rFonts w:ascii="Calibri" w:hAnsi="Calibri"/>
                <w:bCs/>
                <w:i w:val="0"/>
                <w:smallCaps w:val="0"/>
                <w:noProof/>
                <w:color w:val="auto"/>
                <w:sz w:val="18"/>
                <w:szCs w:val="18"/>
              </w:rPr>
              <w:t>Most hospitals face 30-day readmissions penalty in fiscal 2016</w:t>
            </w:r>
            <w:r>
              <w:rPr>
                <w:rStyle w:val="IntenseReference"/>
                <w:rFonts w:ascii="Calibri" w:hAnsi="Calibri"/>
                <w:bCs/>
                <w:i w:val="0"/>
                <w:smallCaps w:val="0"/>
                <w:noProof/>
                <w:color w:val="auto"/>
                <w:sz w:val="18"/>
                <w:szCs w:val="18"/>
              </w:rPr>
              <w:t xml:space="preserve"> </w:t>
            </w:r>
            <w:r w:rsidR="00A502B7" w:rsidRPr="00E86678">
              <w:rPr>
                <w:rStyle w:val="IntenseReference"/>
                <w:rFonts w:ascii="Calibri" w:hAnsi="Calibri"/>
                <w:bCs/>
                <w:i w:val="0"/>
                <w:smallCaps w:val="0"/>
                <w:noProof/>
                <w:color w:val="auto"/>
                <w:sz w:val="18"/>
                <w:szCs w:val="18"/>
              </w:rPr>
              <w:fldChar w:fldCharType="begin"/>
            </w:r>
            <w:r w:rsidR="00A502B7" w:rsidRPr="00E86678">
              <w:rPr>
                <w:rStyle w:val="IntenseReference"/>
                <w:rFonts w:ascii="Calibri" w:hAnsi="Calibri"/>
                <w:i w:val="0"/>
                <w:noProof/>
                <w:color w:val="auto"/>
                <w:sz w:val="18"/>
                <w:szCs w:val="18"/>
              </w:rPr>
              <w:instrText xml:space="preserve"> ADDIN EN.CITE &lt;EndNote&gt;&lt;Cite&gt;&lt;Author&gt;Rice S&lt;/Author&gt;&lt;Year&gt;2015&lt;/Year&gt;&lt;RecNum&gt;240&lt;/RecNum&gt;&lt;DisplayText&gt;(6)&lt;/DisplayText&gt;&lt;record&gt;&lt;rec-number&gt;240&lt;/rec-number&gt;&lt;foreign-keys&gt;&lt;key app="EN" db-id="pxsz0w0wuvwzapeptavv0erkef22f2rwz0w0"&gt;240&lt;/key&gt;&lt;/foreign-keys&gt;&lt;ref-type name="Newspaper Article"&gt;23&lt;/ref-type&gt;&lt;contributors&gt;&lt;authors&gt;&lt;author&gt;Rice S,&lt;/author&gt;&lt;/authors&gt;&lt;/contributors&gt;&lt;titles&gt;&lt;title&gt;Most hospitals face 30-day readmissions penalty in fiscal 2016&lt;/title&gt;&lt;secondary-title&gt;Modern Healthcare&lt;/secondary-title&gt;&lt;/titles&gt;&lt;dates&gt;&lt;year&gt;2015&lt;/year&gt;&lt;pub-dates&gt;&lt;date&gt;3 August 2015&lt;/date&gt;&lt;/pub-dates&gt;&lt;/dates&gt;&lt;urls&gt;&lt;related-urls&gt;&lt;url&gt;http://www.modernhealthcare.com/article/20150803/NEWS/150809981?utm_source=modernhealthcare&amp;amp;utm_medium=email&amp;amp;utm_content=externalURL&amp;amp;utm_campaign=am&lt;/url&gt;&lt;/related-urls&gt;&lt;/urls&gt;&lt;/record&gt;&lt;/Cite&gt;&lt;/EndNote&gt;</w:instrText>
            </w:r>
            <w:r w:rsidR="00A502B7" w:rsidRPr="00E86678">
              <w:rPr>
                <w:rStyle w:val="IntenseReference"/>
                <w:rFonts w:ascii="Calibri" w:hAnsi="Calibri"/>
                <w:bCs/>
                <w:i w:val="0"/>
                <w:smallCaps w:val="0"/>
                <w:noProof/>
                <w:color w:val="auto"/>
                <w:sz w:val="18"/>
                <w:szCs w:val="18"/>
              </w:rPr>
              <w:fldChar w:fldCharType="separate"/>
            </w:r>
            <w:r w:rsidR="00A502B7" w:rsidRPr="00E86678">
              <w:rPr>
                <w:rStyle w:val="IntenseReference"/>
                <w:rFonts w:ascii="Calibri" w:hAnsi="Calibri"/>
                <w:i w:val="0"/>
                <w:noProof/>
                <w:color w:val="auto"/>
                <w:sz w:val="18"/>
                <w:szCs w:val="18"/>
              </w:rPr>
              <w:t>(</w:t>
            </w:r>
            <w:hyperlink w:anchor="_ENREF_6" w:tooltip="Rice S, 2015 #240" w:history="1">
              <w:r w:rsidR="00A502B7" w:rsidRPr="00E86678">
                <w:rPr>
                  <w:rStyle w:val="IntenseReference"/>
                  <w:rFonts w:ascii="Calibri" w:hAnsi="Calibri"/>
                  <w:i w:val="0"/>
                  <w:noProof/>
                  <w:color w:val="auto"/>
                  <w:sz w:val="18"/>
                  <w:szCs w:val="18"/>
                </w:rPr>
                <w:t>6</w:t>
              </w:r>
            </w:hyperlink>
            <w:r w:rsidR="00A502B7" w:rsidRPr="00E86678">
              <w:rPr>
                <w:rStyle w:val="IntenseReference"/>
                <w:rFonts w:ascii="Calibri" w:hAnsi="Calibri"/>
                <w:i w:val="0"/>
                <w:noProof/>
                <w:color w:val="auto"/>
                <w:sz w:val="18"/>
                <w:szCs w:val="18"/>
              </w:rPr>
              <w:t>)</w:t>
            </w:r>
            <w:r w:rsidR="00A502B7" w:rsidRPr="00E86678">
              <w:rPr>
                <w:rStyle w:val="IntenseReference"/>
                <w:rFonts w:ascii="Calibri" w:hAnsi="Calibri"/>
                <w:bCs/>
                <w:i w:val="0"/>
                <w:smallCaps w:val="0"/>
                <w:noProof/>
                <w:color w:val="auto"/>
                <w:sz w:val="18"/>
                <w:szCs w:val="18"/>
              </w:rPr>
              <w:fldChar w:fldCharType="end"/>
            </w:r>
          </w:p>
        </w:tc>
        <w:tc>
          <w:tcPr>
            <w:tcW w:w="299"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Rice S</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Modern Healthcare</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News-letter article</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Opinion piece analysing Centre for Medicaid data</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US</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Data analysis from national hospital admissions data</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This article discusses the US hospital readmissions reduction program. This program, created under the Affordable Care Act in 2014, evaluated how patients with myocardial infarction, heart failure or pneumonia returned to hospital within 30 days of discharge. Two conditions were added in 2015, COPD and total hip/knee replacements.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 xml:space="preserve">The penalty in 2015 was 3% reduction in payment per admission. It is estimated that the majority of hospitals faced fines in 2014-15 with only 799 out of 3400 receiving no penalties. No further quantum is provided </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program continues to receive some criticism especially for facilities in poor communities. However, certain types of hospitals (e.g. critical-access hospitals and Maryland because of its unique all-payer rate-setting system) are exempt.</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7</w:t>
            </w:r>
          </w:p>
        </w:tc>
        <w:tc>
          <w:tcPr>
            <w:tcW w:w="441" w:type="pct"/>
          </w:tcPr>
          <w:p w:rsidR="00A502B7" w:rsidRPr="00A502B7" w:rsidRDefault="00A502B7" w:rsidP="001101F8">
            <w:pPr>
              <w:pStyle w:val="Heading1"/>
              <w:shd w:val="clear" w:color="auto" w:fill="FFFFFF"/>
              <w:spacing w:before="0" w:after="199"/>
              <w:rPr>
                <w:rFonts w:ascii="Calibri" w:hAnsi="Calibri"/>
                <w:b w:val="0"/>
                <w:color w:val="000000"/>
                <w:sz w:val="18"/>
                <w:szCs w:val="18"/>
              </w:rPr>
            </w:pPr>
            <w:r w:rsidRPr="00A502B7">
              <w:rPr>
                <w:rFonts w:ascii="Calibri" w:hAnsi="Calibri"/>
                <w:b w:val="0"/>
                <w:color w:val="000000"/>
                <w:sz w:val="18"/>
                <w:szCs w:val="18"/>
              </w:rPr>
              <w:t xml:space="preserve">Bundling risk: New demo program shows CMS' eagerness to ditch fee for service </w:t>
            </w:r>
            <w:r w:rsidRPr="00A502B7">
              <w:rPr>
                <w:rFonts w:ascii="Calibri" w:hAnsi="Calibri"/>
                <w:b w:val="0"/>
                <w:color w:val="000000"/>
                <w:sz w:val="18"/>
                <w:szCs w:val="18"/>
              </w:rPr>
              <w:fldChar w:fldCharType="begin"/>
            </w:r>
            <w:r w:rsidRPr="00A502B7">
              <w:rPr>
                <w:rFonts w:ascii="Calibri" w:hAnsi="Calibri"/>
                <w:b w:val="0"/>
                <w:color w:val="000000"/>
                <w:sz w:val="18"/>
                <w:szCs w:val="18"/>
              </w:rPr>
              <w:instrText xml:space="preserve"> ADDIN EN.CITE &lt;EndNote&gt;&lt;Cite&gt;&lt;Year&gt;2015&lt;/Year&gt;&lt;RecNum&gt;243&lt;/RecNum&gt;&lt;DisplayText&gt;(7)&lt;/DisplayText&gt;&lt;record&gt;&lt;rec-number&gt;243&lt;/rec-number&gt;&lt;foreign-keys&gt;&lt;key app="EN" db-id="pxsz0w0wuvwzapeptavv0erkef22f2rwz0w0"&gt;243&lt;/key&gt;&lt;/foreign-keys&gt;&lt;ref-type name="Newspaper Article"&gt;23&lt;/ref-type&gt;&lt;contributors&gt;&lt;/contributors&gt;&lt;titles&gt;&lt;title&gt;Bundling risk: New demo program shows CMS&amp;apos; eagerness to ditch fee for service&lt;/title&gt;&lt;secondary-title&gt;Modern Healthcare&lt;/secondary-title&gt;&lt;/titles&gt;&lt;dates&gt;&lt;year&gt;2015&lt;/year&gt;&lt;/dates&gt;&lt;urls&gt;&lt;related-urls&gt;&lt;url&gt;http://www.modernhealthcare.com/article/20150718/MAGAZINE/307189986?utm_source=modernhealthcare&amp;amp;utm_medium=email&amp;amp;utm_content=externalURL&amp;amp;utm_campaign=am&lt;/url&gt;&lt;/related-urls&gt;&lt;/urls&gt;&lt;/record&gt;&lt;/Cite&gt;&lt;/EndNote&gt;</w:instrText>
            </w:r>
            <w:r w:rsidRPr="00A502B7">
              <w:rPr>
                <w:rFonts w:ascii="Calibri" w:hAnsi="Calibri"/>
                <w:b w:val="0"/>
                <w:color w:val="000000"/>
                <w:sz w:val="18"/>
                <w:szCs w:val="18"/>
              </w:rPr>
              <w:fldChar w:fldCharType="separate"/>
            </w:r>
            <w:r w:rsidRPr="00A502B7">
              <w:rPr>
                <w:rFonts w:ascii="Calibri" w:hAnsi="Calibri"/>
                <w:b w:val="0"/>
                <w:noProof/>
                <w:color w:val="000000"/>
                <w:sz w:val="18"/>
                <w:szCs w:val="18"/>
              </w:rPr>
              <w:t>(</w:t>
            </w:r>
            <w:hyperlink w:anchor="_ENREF_7" w:tooltip=", 2015 #243" w:history="1">
              <w:r w:rsidRPr="00A502B7">
                <w:rPr>
                  <w:rFonts w:ascii="Calibri" w:hAnsi="Calibri"/>
                  <w:b w:val="0"/>
                  <w:noProof/>
                  <w:color w:val="000000"/>
                  <w:sz w:val="18"/>
                  <w:szCs w:val="18"/>
                </w:rPr>
                <w:t>7</w:t>
              </w:r>
            </w:hyperlink>
            <w:r w:rsidRPr="00A502B7">
              <w:rPr>
                <w:rFonts w:ascii="Calibri" w:hAnsi="Calibri"/>
                <w:b w:val="0"/>
                <w:noProof/>
                <w:color w:val="000000"/>
                <w:sz w:val="18"/>
                <w:szCs w:val="18"/>
              </w:rPr>
              <w:t>)</w:t>
            </w:r>
            <w:r w:rsidRPr="00A502B7">
              <w:rPr>
                <w:rFonts w:ascii="Calibri" w:hAnsi="Calibri"/>
                <w:b w:val="0"/>
                <w:color w:val="000000"/>
                <w:sz w:val="18"/>
                <w:szCs w:val="18"/>
              </w:rPr>
              <w:fldChar w:fldCharType="end"/>
            </w:r>
          </w:p>
          <w:p w:rsidR="00A502B7" w:rsidRPr="00A502B7" w:rsidRDefault="00A502B7" w:rsidP="001101F8">
            <w:pPr>
              <w:rPr>
                <w:rStyle w:val="IntenseReference"/>
                <w:rFonts w:ascii="Calibri" w:hAnsi="Calibri" w:cs="Arial"/>
                <w:b w:val="0"/>
                <w:bCs w:val="0"/>
                <w:i w:val="0"/>
                <w:smallCaps w:val="0"/>
                <w:noProof/>
                <w:sz w:val="18"/>
                <w:szCs w:val="18"/>
              </w:rPr>
            </w:pPr>
          </w:p>
        </w:tc>
        <w:tc>
          <w:tcPr>
            <w:tcW w:w="299" w:type="pct"/>
          </w:tcPr>
          <w:p w:rsidR="00A502B7" w:rsidRPr="004E42EF" w:rsidRDefault="00144101" w:rsidP="001101F8">
            <w:pPr>
              <w:spacing w:before="20" w:after="20" w:line="264" w:lineRule="auto"/>
              <w:rPr>
                <w:rFonts w:ascii="Calibri" w:hAnsi="Calibri" w:cs="Arial"/>
                <w:sz w:val="18"/>
                <w:szCs w:val="18"/>
                <w:lang w:eastAsia="en-AU"/>
              </w:rPr>
            </w:pPr>
            <w:r>
              <w:rPr>
                <w:rFonts w:ascii="Calibri" w:hAnsi="Calibri" w:cs="Arial"/>
                <w:sz w:val="18"/>
                <w:szCs w:val="18"/>
                <w:lang w:eastAsia="en-AU"/>
              </w:rPr>
              <w:t>Modern Healthcare</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sz w:val="18"/>
                <w:szCs w:val="18"/>
                <w:lang w:eastAsia="en-AU"/>
              </w:rPr>
              <w:t>Modern Healthcare</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Online article</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Opinion piece on Medicare bundled payments</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US</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Hip and knee replacements</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Bundled payments are used for hip and knee replacement procedures in some parts of the US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Bundling starts with hospital admission and extend for 90 days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Joint replacement spending after patients leave the hospital varies widely and makes up nearly half of Medicare’s total spending on joint replacements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Hospitals that cannot manage to hold spending within the bundled amount, need to repay Medicare the difference after the first year</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Potential expansions to the model include CABG and treatment for chronic conditions suc</w:t>
            </w:r>
            <w:r>
              <w:rPr>
                <w:rFonts w:ascii="Calibri" w:hAnsi="Calibri" w:cs="Arial"/>
                <w:sz w:val="18"/>
                <w:szCs w:val="18"/>
                <w:shd w:val="clear" w:color="auto" w:fill="FFFFFF"/>
              </w:rPr>
              <w:t>h as diabetes and heart failure</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article surmises examples of successful local bundling programs. For example, one three year initiative in bundling for joint replacement and cardiac care reduced spending by $319 per person (source: Advisory Board Co.)</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8</w:t>
            </w:r>
          </w:p>
        </w:tc>
        <w:tc>
          <w:tcPr>
            <w:tcW w:w="441" w:type="pct"/>
          </w:tcPr>
          <w:p w:rsidR="00A502B7" w:rsidRPr="00A502B7" w:rsidRDefault="00A502B7" w:rsidP="001101F8">
            <w:pPr>
              <w:pStyle w:val="Heading1"/>
              <w:shd w:val="clear" w:color="auto" w:fill="FFFFFF"/>
              <w:spacing w:before="0" w:after="199"/>
              <w:rPr>
                <w:rFonts w:ascii="Calibri" w:hAnsi="Calibri"/>
                <w:b w:val="0"/>
                <w:color w:val="000000"/>
                <w:sz w:val="18"/>
                <w:szCs w:val="18"/>
              </w:rPr>
            </w:pPr>
            <w:r w:rsidRPr="00A502B7">
              <w:rPr>
                <w:rFonts w:ascii="Calibri" w:hAnsi="Calibri"/>
                <w:b w:val="0"/>
                <w:color w:val="000000"/>
                <w:sz w:val="18"/>
                <w:szCs w:val="18"/>
              </w:rPr>
              <w:t xml:space="preserve">Accountable care organisations: the national landscape </w:t>
            </w:r>
            <w:r w:rsidRPr="00A502B7">
              <w:rPr>
                <w:rFonts w:ascii="Calibri" w:hAnsi="Calibri"/>
                <w:b w:val="0"/>
                <w:color w:val="000000"/>
                <w:sz w:val="18"/>
                <w:szCs w:val="18"/>
              </w:rPr>
              <w:fldChar w:fldCharType="begin"/>
            </w:r>
            <w:r w:rsidRPr="00A502B7">
              <w:rPr>
                <w:rFonts w:ascii="Calibri" w:hAnsi="Calibri"/>
                <w:b w:val="0"/>
                <w:color w:val="000000"/>
                <w:sz w:val="18"/>
                <w:szCs w:val="18"/>
              </w:rPr>
              <w:instrText xml:space="preserve"> ADDIN EN.CITE &lt;EndNote&gt;&lt;Cite&gt;&lt;Author&gt;Shortell SM&lt;/Author&gt;&lt;Year&gt;2015&lt;/Year&gt;&lt;RecNum&gt;244&lt;/RecNum&gt;&lt;DisplayText&gt;(8)&lt;/DisplayText&gt;&lt;record&gt;&lt;rec-number&gt;244&lt;/rec-number&gt;&lt;foreign-keys&gt;&lt;key app="EN" db-id="pxsz0w0wuvwzapeptavv0erkef22f2rwz0w0"&gt;244&lt;/key&gt;&lt;/foreign-keys&gt;&lt;ref-type name="Journal Article"&gt;17&lt;/ref-type&gt;&lt;contributors&gt;&lt;authors&gt;&lt;author&gt;Shortell SM,&lt;/author&gt;&lt;author&gt;Colla CH,&lt;/author&gt;&lt;author&gt;Lewis VA,&lt;/author&gt;&lt;author&gt;Fisher E,&lt;/author&gt;&lt;author&gt;Kessell E,&lt;/author&gt;&lt;author&gt;Ramsay P,&lt;/author&gt;&lt;/authors&gt;&lt;/contributors&gt;&lt;titles&gt;&lt;title&gt;Accountable Care Organizations: The National Landscape&lt;/title&gt;&lt;secondary-title&gt;Journal of Health Politics, Policy and Law&lt;/secondary-title&gt;&lt;/titles&gt;&lt;periodical&gt;&lt;full-title&gt;Journal of Health Politics, Policy and Law&lt;/full-title&gt;&lt;/periodical&gt;&lt;volume&gt;40&lt;/volume&gt;&lt;number&gt;3&lt;/number&gt;&lt;dates&gt;&lt;year&gt;2015&lt;/year&gt;&lt;/dates&gt;&lt;urls&gt;&lt;related-urls&gt;&lt;url&gt;http://jhppl.dukejournals.org/content/early/2015/06/09/03616878-3149976.full.pdf+html&lt;/url&gt;&lt;/related-urls&gt;&lt;/urls&gt;&lt;/record&gt;&lt;/Cite&gt;&lt;/EndNote&gt;</w:instrText>
            </w:r>
            <w:r w:rsidRPr="00A502B7">
              <w:rPr>
                <w:rFonts w:ascii="Calibri" w:hAnsi="Calibri"/>
                <w:b w:val="0"/>
                <w:color w:val="000000"/>
                <w:sz w:val="18"/>
                <w:szCs w:val="18"/>
              </w:rPr>
              <w:fldChar w:fldCharType="separate"/>
            </w:r>
            <w:r w:rsidRPr="00A502B7">
              <w:rPr>
                <w:rFonts w:ascii="Calibri" w:hAnsi="Calibri"/>
                <w:b w:val="0"/>
                <w:noProof/>
                <w:color w:val="000000"/>
                <w:sz w:val="18"/>
                <w:szCs w:val="18"/>
              </w:rPr>
              <w:t>(</w:t>
            </w:r>
            <w:hyperlink w:anchor="_ENREF_8" w:tooltip="Shortell SM, 2015 #244" w:history="1">
              <w:r w:rsidRPr="00A502B7">
                <w:rPr>
                  <w:rFonts w:ascii="Calibri" w:hAnsi="Calibri"/>
                  <w:b w:val="0"/>
                  <w:noProof/>
                  <w:color w:val="000000"/>
                  <w:sz w:val="18"/>
                  <w:szCs w:val="18"/>
                </w:rPr>
                <w:t>8</w:t>
              </w:r>
            </w:hyperlink>
            <w:r w:rsidRPr="00A502B7">
              <w:rPr>
                <w:rFonts w:ascii="Calibri" w:hAnsi="Calibri"/>
                <w:b w:val="0"/>
                <w:noProof/>
                <w:color w:val="000000"/>
                <w:sz w:val="18"/>
                <w:szCs w:val="18"/>
              </w:rPr>
              <w:t>)</w:t>
            </w:r>
            <w:r w:rsidRPr="00A502B7">
              <w:rPr>
                <w:rFonts w:ascii="Calibri" w:hAnsi="Calibri"/>
                <w:b w:val="0"/>
                <w:color w:val="000000"/>
                <w:sz w:val="18"/>
                <w:szCs w:val="18"/>
              </w:rPr>
              <w:fldChar w:fldCharType="end"/>
            </w:r>
          </w:p>
        </w:tc>
        <w:tc>
          <w:tcPr>
            <w:tcW w:w="299" w:type="pct"/>
          </w:tcPr>
          <w:p w:rsidR="00A502B7" w:rsidRPr="004E42EF" w:rsidRDefault="00A502B7" w:rsidP="001101F8">
            <w:pPr>
              <w:spacing w:before="20" w:after="20" w:line="264" w:lineRule="auto"/>
              <w:rPr>
                <w:rFonts w:ascii="Calibri" w:hAnsi="Calibri" w:cs="Arial"/>
                <w:sz w:val="18"/>
                <w:szCs w:val="18"/>
                <w:highlight w:val="yellow"/>
                <w:lang w:eastAsia="en-AU"/>
              </w:rPr>
            </w:pPr>
            <w:r w:rsidRPr="004E42EF">
              <w:rPr>
                <w:rFonts w:ascii="Calibri" w:hAnsi="Calibri" w:cs="Arial"/>
                <w:sz w:val="18"/>
                <w:szCs w:val="18"/>
                <w:lang w:eastAsia="en-AU"/>
              </w:rPr>
              <w:t>Shortell et al</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iCs/>
                <w:sz w:val="18"/>
                <w:szCs w:val="18"/>
                <w:lang w:eastAsia="en-AU"/>
              </w:rPr>
              <w:t>Journal of Health, Politics and Law</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Review of evidence</w:t>
            </w:r>
          </w:p>
        </w:tc>
        <w:tc>
          <w:tcPr>
            <w:tcW w:w="4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 xml:space="preserve">Examines published literature and national US health data </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US</w:t>
            </w:r>
          </w:p>
        </w:tc>
        <w:tc>
          <w:tcPr>
            <w:tcW w:w="550"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Accountable care organisations (hospital and primary care)</w:t>
            </w:r>
          </w:p>
        </w:tc>
        <w:tc>
          <w:tcPr>
            <w:tcW w:w="2112" w:type="pct"/>
          </w:tcPr>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This article describes the characteristics of the over 700 accountab</w:t>
            </w:r>
            <w:r>
              <w:rPr>
                <w:rFonts w:ascii="Calibri" w:hAnsi="Calibri" w:cs="Arial"/>
                <w:sz w:val="18"/>
                <w:szCs w:val="18"/>
                <w:shd w:val="clear" w:color="auto" w:fill="FFFFFF"/>
              </w:rPr>
              <w:t>le care organisations in the US</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vast majority of ACOs (84 percent) make shared savings contingent on meeting quality performance metrics, and 40 percent include additional bonus p</w:t>
            </w:r>
            <w:r>
              <w:rPr>
                <w:rFonts w:ascii="Calibri" w:hAnsi="Calibri" w:cs="Arial"/>
                <w:sz w:val="18"/>
                <w:szCs w:val="18"/>
                <w:shd w:val="clear" w:color="auto" w:fill="FFFFFF"/>
              </w:rPr>
              <w:t>ayments for quality performance</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The evidence to date on whether ACOs can help achieve the triple aim of improving quality and population health while reducing the r</w:t>
            </w:r>
            <w:r>
              <w:rPr>
                <w:rFonts w:ascii="Calibri" w:hAnsi="Calibri" w:cs="Arial"/>
                <w:sz w:val="18"/>
                <w:szCs w:val="18"/>
                <w:shd w:val="clear" w:color="auto" w:fill="FFFFFF"/>
              </w:rPr>
              <w:t>ate of growth in costs is mixed</w:t>
            </w:r>
          </w:p>
          <w:p w:rsidR="00A502B7" w:rsidRPr="004E42EF"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Ongoing and new evaluations over the next few years will provide a more comprehensive assessment of ACO performance, but what seems clear is that there will be “winners” and “losers,” that is, higher performers and lower performers</w:t>
            </w:r>
          </w:p>
        </w:tc>
      </w:tr>
      <w:tr w:rsidR="00A502B7" w:rsidRPr="004E42EF" w:rsidTr="001101F8">
        <w:trPr>
          <w:trHeight w:val="1198"/>
          <w:tblHeader/>
        </w:trPr>
        <w:tc>
          <w:tcPr>
            <w:tcW w:w="97" w:type="pct"/>
            <w:shd w:val="clear" w:color="auto" w:fill="8DB3E2"/>
          </w:tcPr>
          <w:p w:rsidR="00A502B7" w:rsidRPr="004E42EF" w:rsidRDefault="00A502B7" w:rsidP="001101F8">
            <w:pPr>
              <w:spacing w:before="20" w:after="20" w:line="264" w:lineRule="auto"/>
              <w:rPr>
                <w:rFonts w:ascii="Calibri" w:hAnsi="Calibri" w:cs="Arial"/>
                <w:b/>
                <w:color w:val="FFFFFF"/>
                <w:sz w:val="18"/>
                <w:szCs w:val="18"/>
                <w:lang w:eastAsia="en-AU"/>
              </w:rPr>
            </w:pPr>
            <w:r w:rsidRPr="004E42EF">
              <w:rPr>
                <w:rFonts w:ascii="Calibri" w:hAnsi="Calibri" w:cs="Arial"/>
                <w:b/>
                <w:color w:val="FFFFFF"/>
                <w:sz w:val="18"/>
                <w:szCs w:val="18"/>
                <w:lang w:eastAsia="en-AU"/>
              </w:rPr>
              <w:t>9</w:t>
            </w:r>
          </w:p>
        </w:tc>
        <w:tc>
          <w:tcPr>
            <w:tcW w:w="441" w:type="pct"/>
          </w:tcPr>
          <w:p w:rsidR="00A502B7" w:rsidRPr="00A502B7" w:rsidRDefault="00A502B7" w:rsidP="001101F8">
            <w:pPr>
              <w:pStyle w:val="Heading1"/>
              <w:shd w:val="clear" w:color="auto" w:fill="FFFFFF"/>
              <w:spacing w:before="0" w:after="199"/>
              <w:rPr>
                <w:rFonts w:ascii="Calibri" w:hAnsi="Calibri"/>
                <w:b w:val="0"/>
                <w:color w:val="000000"/>
                <w:sz w:val="18"/>
                <w:szCs w:val="18"/>
              </w:rPr>
            </w:pPr>
            <w:r w:rsidRPr="00A502B7">
              <w:rPr>
                <w:rFonts w:ascii="Calibri" w:hAnsi="Calibri"/>
                <w:b w:val="0"/>
                <w:color w:val="000000"/>
                <w:sz w:val="18"/>
                <w:szCs w:val="18"/>
              </w:rPr>
              <w:t>Risk factors predict increased length of stay and readmission rates in revision joint arthroplasty</w:t>
            </w:r>
            <w:r w:rsidRPr="004E42EF">
              <w:rPr>
                <w:rFonts w:ascii="Times New Roman" w:hAnsi="Times New Roman"/>
                <w:sz w:val="18"/>
                <w:szCs w:val="18"/>
                <w:lang w:eastAsia="en-AU"/>
              </w:rPr>
              <w:t xml:space="preserve"> </w:t>
            </w:r>
            <w:r w:rsidRPr="00A502B7">
              <w:rPr>
                <w:rFonts w:ascii="Calibri" w:hAnsi="Calibri"/>
                <w:b w:val="0"/>
                <w:color w:val="000000"/>
                <w:sz w:val="18"/>
                <w:szCs w:val="18"/>
              </w:rPr>
              <w:fldChar w:fldCharType="begin"/>
            </w:r>
            <w:r w:rsidRPr="00A502B7">
              <w:rPr>
                <w:rFonts w:ascii="Calibri" w:hAnsi="Calibri"/>
                <w:b w:val="0"/>
                <w:color w:val="000000"/>
                <w:sz w:val="18"/>
                <w:szCs w:val="18"/>
              </w:rPr>
              <w:instrText xml:space="preserve"> ADDIN EN.CITE &lt;EndNote&gt;&lt;Cite&gt;&lt;Author&gt;Keswani&lt;/Author&gt;&lt;RecNum&gt;245&lt;/RecNum&gt;&lt;DisplayText&gt;(9)&lt;/DisplayText&gt;&lt;record&gt;&lt;rec-number&gt;245&lt;/rec-number&gt;&lt;foreign-keys&gt;&lt;key app="EN" db-id="pxsz0w0wuvwzapeptavv0erkef22f2rwz0w0"&gt;245&lt;/key&gt;&lt;/foreign-keys&gt;&lt;ref-type name="Journal Article"&gt;17&lt;/ref-type&gt;&lt;contributors&gt;&lt;authors&gt;&lt;author&gt;Keswani, Aakash&lt;/author&gt;&lt;author&gt;Lovy, Andrew&lt;/author&gt;&lt;author&gt;Robinson, John&lt;/author&gt;&lt;author&gt;Levy, Roger&lt;/author&gt;&lt;author&gt;Chen, Darwin&lt;/author&gt;&lt;author&gt;Moucha, Calin&lt;/author&gt;&lt;/authors&gt;&lt;/contributors&gt;&lt;titles&gt;&lt;title&gt;Risk factors predict increased length of stay and readmission rates in revision joint arthroplasty&lt;/title&gt;&lt;secondary-title&gt;The Journal of Arthroplasty&lt;/secondary-title&gt;&lt;/titles&gt;&lt;periodical&gt;&lt;full-title&gt;The Journal of Arthroplasty&lt;/full-title&gt;&lt;/periodical&gt;&lt;keywords&gt;&lt;keyword&gt;revision knee arthroplasty&lt;/keyword&gt;&lt;keyword&gt;revision hip arthroplasty&lt;/keyword&gt;&lt;keyword&gt;readmission&lt;/keyword&gt;&lt;keyword&gt;length of stay&lt;/keyword&gt;&lt;keyword&gt;risk factors&lt;/keyword&gt;&lt;keyword&gt;complications&lt;/keyword&gt;&lt;/keywords&gt;&lt;dates&gt;&lt;/dates&gt;&lt;isbn&gt;0883-5403&lt;/isbn&gt;&lt;urls&gt;&lt;related-urls&gt;&lt;url&gt;http://www.sciencedirect.com/science/article/pii/S0883540315008888&lt;/url&gt;&lt;/related-urls&gt;&lt;/urls&gt;&lt;electronic-resource-num&gt;http://dx.doi.org/10.1016/j.arth.2015.09.050&lt;/electronic-resource-num&gt;&lt;/record&gt;&lt;/Cite&gt;&lt;/EndNote&gt;</w:instrText>
            </w:r>
            <w:r w:rsidRPr="00A502B7">
              <w:rPr>
                <w:rFonts w:ascii="Calibri" w:hAnsi="Calibri"/>
                <w:b w:val="0"/>
                <w:color w:val="000000"/>
                <w:sz w:val="18"/>
                <w:szCs w:val="18"/>
              </w:rPr>
              <w:fldChar w:fldCharType="separate"/>
            </w:r>
            <w:r w:rsidRPr="00A502B7">
              <w:rPr>
                <w:rFonts w:ascii="Calibri" w:hAnsi="Calibri"/>
                <w:b w:val="0"/>
                <w:noProof/>
                <w:color w:val="000000"/>
                <w:sz w:val="18"/>
                <w:szCs w:val="18"/>
              </w:rPr>
              <w:t>(</w:t>
            </w:r>
            <w:hyperlink w:anchor="_ENREF_9" w:tooltip="Keswani,  #245" w:history="1">
              <w:r w:rsidRPr="00A502B7">
                <w:rPr>
                  <w:rFonts w:ascii="Calibri" w:hAnsi="Calibri"/>
                  <w:b w:val="0"/>
                  <w:noProof/>
                  <w:color w:val="000000"/>
                  <w:sz w:val="18"/>
                  <w:szCs w:val="18"/>
                </w:rPr>
                <w:t>9</w:t>
              </w:r>
            </w:hyperlink>
            <w:r w:rsidRPr="00A502B7">
              <w:rPr>
                <w:rFonts w:ascii="Calibri" w:hAnsi="Calibri"/>
                <w:b w:val="0"/>
                <w:noProof/>
                <w:color w:val="000000"/>
                <w:sz w:val="18"/>
                <w:szCs w:val="18"/>
              </w:rPr>
              <w:t>)</w:t>
            </w:r>
            <w:r w:rsidRPr="00A502B7">
              <w:rPr>
                <w:rFonts w:ascii="Calibri" w:hAnsi="Calibri"/>
                <w:b w:val="0"/>
                <w:color w:val="000000"/>
                <w:sz w:val="18"/>
                <w:szCs w:val="18"/>
              </w:rPr>
              <w:fldChar w:fldCharType="end"/>
            </w:r>
          </w:p>
        </w:tc>
        <w:tc>
          <w:tcPr>
            <w:tcW w:w="299"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Keswani et al</w:t>
            </w:r>
          </w:p>
        </w:tc>
        <w:tc>
          <w:tcPr>
            <w:tcW w:w="351" w:type="pct"/>
          </w:tcPr>
          <w:p w:rsidR="00A502B7" w:rsidRPr="004E42EF" w:rsidRDefault="00A502B7" w:rsidP="001101F8">
            <w:pPr>
              <w:spacing w:before="20" w:after="20" w:line="264" w:lineRule="auto"/>
              <w:rPr>
                <w:rFonts w:ascii="Calibri" w:hAnsi="Calibri" w:cs="Arial"/>
                <w:iCs/>
                <w:sz w:val="18"/>
                <w:szCs w:val="18"/>
                <w:lang w:eastAsia="en-AU"/>
              </w:rPr>
            </w:pPr>
            <w:r w:rsidRPr="004E42EF">
              <w:rPr>
                <w:rFonts w:ascii="Calibri" w:hAnsi="Calibri" w:cs="Arial"/>
                <w:sz w:val="18"/>
                <w:szCs w:val="18"/>
                <w:lang w:eastAsia="en-AU"/>
              </w:rPr>
              <w:t>Journal of Arthroplasty</w:t>
            </w:r>
          </w:p>
        </w:tc>
        <w:tc>
          <w:tcPr>
            <w:tcW w:w="352" w:type="pct"/>
          </w:tcPr>
          <w:p w:rsidR="00A502B7" w:rsidRPr="004E42EF" w:rsidRDefault="00A502B7" w:rsidP="001101F8">
            <w:pPr>
              <w:spacing w:before="20" w:after="20" w:line="264" w:lineRule="auto"/>
              <w:rPr>
                <w:rFonts w:ascii="Calibri" w:hAnsi="Calibri" w:cs="Arial"/>
                <w:sz w:val="18"/>
                <w:szCs w:val="18"/>
                <w:lang w:eastAsia="en-AU"/>
              </w:rPr>
            </w:pPr>
            <w:r>
              <w:rPr>
                <w:rFonts w:ascii="Calibri" w:hAnsi="Calibri" w:cs="Arial"/>
                <w:sz w:val="18"/>
                <w:szCs w:val="18"/>
                <w:lang w:eastAsia="en-AU"/>
              </w:rPr>
              <w:t>Retrospective analysis</w:t>
            </w:r>
          </w:p>
        </w:tc>
        <w:tc>
          <w:tcPr>
            <w:tcW w:w="450" w:type="pct"/>
          </w:tcPr>
          <w:p w:rsidR="00A502B7" w:rsidRPr="00BC197D" w:rsidRDefault="00A502B7" w:rsidP="001101F8">
            <w:pPr>
              <w:spacing w:before="20" w:after="20" w:line="264" w:lineRule="auto"/>
              <w:rPr>
                <w:rFonts w:ascii="Calibri" w:hAnsi="Calibri" w:cs="Arial"/>
                <w:sz w:val="18"/>
                <w:szCs w:val="18"/>
                <w:lang w:eastAsia="en-AU"/>
              </w:rPr>
            </w:pPr>
            <w:r w:rsidRPr="00BC197D">
              <w:rPr>
                <w:rFonts w:ascii="Calibri" w:hAnsi="Calibri" w:cs="Arial"/>
                <w:sz w:val="18"/>
                <w:szCs w:val="18"/>
                <w:lang w:eastAsia="en-AU"/>
              </w:rPr>
              <w:t>Bivariate and multivariate analyses of risk</w:t>
            </w:r>
          </w:p>
          <w:p w:rsidR="00A502B7" w:rsidRPr="00BC197D" w:rsidRDefault="00A502B7" w:rsidP="001101F8">
            <w:pPr>
              <w:spacing w:before="20" w:after="20" w:line="264" w:lineRule="auto"/>
              <w:rPr>
                <w:rFonts w:ascii="Calibri" w:hAnsi="Calibri" w:cs="Arial"/>
                <w:sz w:val="18"/>
                <w:szCs w:val="18"/>
                <w:lang w:eastAsia="en-AU"/>
              </w:rPr>
            </w:pPr>
            <w:r w:rsidRPr="00BC197D">
              <w:rPr>
                <w:rFonts w:ascii="Calibri" w:hAnsi="Calibri" w:cs="Arial"/>
                <w:sz w:val="18"/>
                <w:szCs w:val="18"/>
                <w:lang w:eastAsia="en-AU"/>
              </w:rPr>
              <w:t>factors for 30-day readmission and extended LOS were assessed using</w:t>
            </w:r>
          </w:p>
          <w:p w:rsidR="00A502B7" w:rsidRPr="004E42EF" w:rsidRDefault="00A502B7" w:rsidP="001101F8">
            <w:pPr>
              <w:spacing w:before="20" w:after="20" w:line="264" w:lineRule="auto"/>
              <w:rPr>
                <w:rFonts w:ascii="Calibri" w:hAnsi="Calibri" w:cs="Arial"/>
                <w:sz w:val="18"/>
                <w:szCs w:val="18"/>
                <w:lang w:eastAsia="en-AU"/>
              </w:rPr>
            </w:pPr>
            <w:r w:rsidRPr="00BC197D">
              <w:rPr>
                <w:rFonts w:ascii="Calibri" w:hAnsi="Calibri" w:cs="Arial"/>
                <w:sz w:val="18"/>
                <w:szCs w:val="18"/>
                <w:lang w:eastAsia="en-AU"/>
              </w:rPr>
              <w:t>preoperative and intraoperative variables.</w:t>
            </w:r>
          </w:p>
        </w:tc>
        <w:tc>
          <w:tcPr>
            <w:tcW w:w="347" w:type="pct"/>
          </w:tcPr>
          <w:p w:rsidR="00A502B7" w:rsidRPr="004E42EF" w:rsidRDefault="00A502B7" w:rsidP="001101F8">
            <w:pPr>
              <w:spacing w:before="20" w:after="20" w:line="264" w:lineRule="auto"/>
              <w:rPr>
                <w:rFonts w:ascii="Calibri" w:hAnsi="Calibri" w:cs="Arial"/>
                <w:sz w:val="18"/>
                <w:szCs w:val="18"/>
                <w:lang w:eastAsia="en-AU"/>
              </w:rPr>
            </w:pPr>
            <w:r w:rsidRPr="004E42EF">
              <w:rPr>
                <w:rFonts w:ascii="Calibri" w:hAnsi="Calibri" w:cs="Arial"/>
                <w:sz w:val="18"/>
                <w:szCs w:val="18"/>
                <w:lang w:eastAsia="en-AU"/>
              </w:rPr>
              <w:t>US</w:t>
            </w:r>
          </w:p>
        </w:tc>
        <w:tc>
          <w:tcPr>
            <w:tcW w:w="550" w:type="pct"/>
          </w:tcPr>
          <w:p w:rsidR="00A502B7" w:rsidRPr="00A502B7" w:rsidRDefault="00A502B7" w:rsidP="001101F8">
            <w:pPr>
              <w:spacing w:before="20" w:after="20" w:line="264" w:lineRule="auto"/>
              <w:rPr>
                <w:rFonts w:ascii="Calibri" w:hAnsi="Calibri" w:cs="Arial"/>
                <w:sz w:val="18"/>
                <w:szCs w:val="18"/>
                <w:lang w:eastAsia="en-AU"/>
              </w:rPr>
            </w:pPr>
            <w:r w:rsidRPr="00A502B7">
              <w:rPr>
                <w:rFonts w:ascii="Calibri" w:hAnsi="Calibri"/>
                <w:sz w:val="18"/>
                <w:szCs w:val="18"/>
                <w:lang w:eastAsia="en-AU"/>
              </w:rPr>
              <w:t xml:space="preserve">Data were analysed from the American College of Surgeon’s National Surgical Quality Improvement Program </w:t>
            </w:r>
          </w:p>
        </w:tc>
        <w:tc>
          <w:tcPr>
            <w:tcW w:w="2112" w:type="pct"/>
          </w:tcPr>
          <w:p w:rsidR="00A502B7" w:rsidRPr="008F7451"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Pr>
                <w:rFonts w:ascii="Calibri" w:hAnsi="Calibri" w:cs="Arial"/>
                <w:sz w:val="18"/>
                <w:szCs w:val="18"/>
                <w:shd w:val="clear" w:color="auto" w:fill="FFFFFF"/>
              </w:rPr>
              <w:t>S</w:t>
            </w:r>
            <w:r w:rsidRPr="008F7451">
              <w:rPr>
                <w:rFonts w:ascii="Calibri" w:hAnsi="Calibri" w:cs="Arial"/>
                <w:sz w:val="18"/>
                <w:szCs w:val="18"/>
                <w:shd w:val="clear" w:color="auto" w:fill="FFFFFF"/>
              </w:rPr>
              <w:t>everal primary total joint replacement bundled payment programs</w:t>
            </w:r>
            <w:r>
              <w:rPr>
                <w:rFonts w:ascii="Calibri" w:hAnsi="Calibri" w:cs="Arial"/>
                <w:sz w:val="18"/>
                <w:szCs w:val="18"/>
                <w:shd w:val="clear" w:color="auto" w:fill="FFFFFF"/>
              </w:rPr>
              <w:t xml:space="preserve"> in the US </w:t>
            </w:r>
            <w:r w:rsidRPr="008F7451">
              <w:rPr>
                <w:rFonts w:ascii="Calibri" w:hAnsi="Calibri" w:cs="Arial"/>
                <w:sz w:val="18"/>
                <w:szCs w:val="18"/>
                <w:shd w:val="clear" w:color="auto" w:fill="FFFFFF"/>
              </w:rPr>
              <w:t xml:space="preserve"> have credited reduction of inpatient</w:t>
            </w:r>
            <w:r>
              <w:rPr>
                <w:rFonts w:ascii="Calibri" w:hAnsi="Calibri" w:cs="Arial"/>
                <w:sz w:val="18"/>
                <w:szCs w:val="18"/>
                <w:shd w:val="clear" w:color="auto" w:fill="FFFFFF"/>
              </w:rPr>
              <w:t xml:space="preserve"> </w:t>
            </w:r>
            <w:r w:rsidRPr="008F7451">
              <w:rPr>
                <w:rFonts w:ascii="Calibri" w:hAnsi="Calibri" w:cs="Arial"/>
                <w:sz w:val="18"/>
                <w:szCs w:val="18"/>
                <w:shd w:val="clear" w:color="auto" w:fill="FFFFFF"/>
              </w:rPr>
              <w:t>LOS as a major lever for creating cost savings relative to baseline</w:t>
            </w:r>
          </w:p>
          <w:p w:rsidR="00A502B7"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4E42EF">
              <w:rPr>
                <w:rFonts w:ascii="Calibri" w:hAnsi="Calibri" w:cs="Arial"/>
                <w:sz w:val="18"/>
                <w:szCs w:val="18"/>
                <w:shd w:val="clear" w:color="auto" w:fill="FFFFFF"/>
              </w:rPr>
              <w:t>This study identif</w:t>
            </w:r>
            <w:r>
              <w:rPr>
                <w:rFonts w:ascii="Calibri" w:hAnsi="Calibri" w:cs="Arial"/>
                <w:sz w:val="18"/>
                <w:szCs w:val="18"/>
                <w:shd w:val="clear" w:color="auto" w:fill="FFFFFF"/>
              </w:rPr>
              <w:t>ied</w:t>
            </w:r>
            <w:r w:rsidRPr="004E42EF">
              <w:rPr>
                <w:rFonts w:ascii="Calibri" w:hAnsi="Calibri" w:cs="Arial"/>
                <w:sz w:val="18"/>
                <w:szCs w:val="18"/>
                <w:shd w:val="clear" w:color="auto" w:fill="FFFFFF"/>
              </w:rPr>
              <w:t xml:space="preserve"> risk factors for 30-day readmission and extended length of stay (LOS) in revision total knee and hip arthroplasty patients</w:t>
            </w:r>
          </w:p>
          <w:p w:rsidR="00A502B7"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Pr>
                <w:rFonts w:ascii="Calibri" w:hAnsi="Calibri" w:cs="Arial"/>
                <w:sz w:val="18"/>
                <w:szCs w:val="18"/>
                <w:shd w:val="clear" w:color="auto" w:fill="FFFFFF"/>
              </w:rPr>
              <w:t>Cohort was all patients undergoing knee or hip replacement revision in 2011-13</w:t>
            </w:r>
          </w:p>
          <w:p w:rsidR="00A502B7" w:rsidRPr="008A0821"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sidRPr="008A0821">
              <w:rPr>
                <w:rFonts w:ascii="Calibri" w:hAnsi="Calibri" w:cs="Arial"/>
                <w:sz w:val="18"/>
                <w:szCs w:val="18"/>
                <w:shd w:val="clear" w:color="auto" w:fill="FFFFFF"/>
              </w:rPr>
              <w:t>The most common causes for revision were mechanical (52% knee, 52% hip), infection (13% knee, 8% hip), dislocation</w:t>
            </w:r>
            <w:r>
              <w:rPr>
                <w:rFonts w:ascii="Calibri" w:hAnsi="Calibri" w:cs="Arial"/>
                <w:sz w:val="18"/>
                <w:szCs w:val="18"/>
                <w:shd w:val="clear" w:color="auto" w:fill="FFFFFF"/>
              </w:rPr>
              <w:t xml:space="preserve"> </w:t>
            </w:r>
            <w:r w:rsidRPr="008A0821">
              <w:rPr>
                <w:rFonts w:ascii="Calibri" w:hAnsi="Calibri" w:cs="Arial"/>
                <w:sz w:val="18"/>
                <w:szCs w:val="18"/>
                <w:shd w:val="clear" w:color="auto" w:fill="FFFFFF"/>
              </w:rPr>
              <w:t>(6% knee, 13% hip) and fracture (1% knee, 4% hip). Rate of readmission for knee patients (6.4%, 318 patients) was lower than for hip patients (8.0%, 409 patients) (p=0.002).</w:t>
            </w:r>
          </w:p>
          <w:p w:rsidR="00A502B7" w:rsidRPr="00BC197D" w:rsidRDefault="00A502B7" w:rsidP="00A502B7">
            <w:pPr>
              <w:pStyle w:val="ListParagraph"/>
              <w:numPr>
                <w:ilvl w:val="0"/>
                <w:numId w:val="60"/>
              </w:numPr>
              <w:autoSpaceDE w:val="0"/>
              <w:autoSpaceDN w:val="0"/>
              <w:adjustRightInd w:val="0"/>
              <w:rPr>
                <w:rFonts w:ascii="Calibri" w:hAnsi="Calibri" w:cs="Arial"/>
                <w:sz w:val="18"/>
                <w:szCs w:val="18"/>
                <w:shd w:val="clear" w:color="auto" w:fill="FFFFFF"/>
              </w:rPr>
            </w:pPr>
            <w:r>
              <w:rPr>
                <w:rFonts w:ascii="Calibri" w:hAnsi="Calibri" w:cs="Arial"/>
                <w:sz w:val="18"/>
                <w:szCs w:val="18"/>
                <w:shd w:val="clear" w:color="auto" w:fill="FFFFFF"/>
              </w:rPr>
              <w:t>The study recommended that</w:t>
            </w:r>
            <w:r w:rsidRPr="00BC197D">
              <w:rPr>
                <w:rFonts w:ascii="Calibri" w:hAnsi="Calibri" w:cs="Arial"/>
                <w:sz w:val="18"/>
                <w:szCs w:val="18"/>
                <w:shd w:val="clear" w:color="auto" w:fill="FFFFFF"/>
              </w:rPr>
              <w:t xml:space="preserve"> P4P models must account for nonmodifiable</w:t>
            </w:r>
            <w:r>
              <w:rPr>
                <w:rFonts w:ascii="Calibri" w:hAnsi="Calibri" w:cs="Arial"/>
                <w:sz w:val="18"/>
                <w:szCs w:val="18"/>
                <w:shd w:val="clear" w:color="auto" w:fill="FFFFFF"/>
              </w:rPr>
              <w:t xml:space="preserve"> </w:t>
            </w:r>
            <w:r w:rsidRPr="00BC197D">
              <w:rPr>
                <w:rFonts w:ascii="Calibri" w:hAnsi="Calibri" w:cs="Arial"/>
                <w:sz w:val="18"/>
                <w:szCs w:val="18"/>
                <w:shd w:val="clear" w:color="auto" w:fill="FFFFFF"/>
              </w:rPr>
              <w:t>risk factors for readmission and extended LOS by appropriate risk-adjustment,</w:t>
            </w:r>
            <w:r>
              <w:rPr>
                <w:rFonts w:ascii="Calibri" w:hAnsi="Calibri" w:cs="Arial"/>
                <w:sz w:val="18"/>
                <w:szCs w:val="18"/>
                <w:shd w:val="clear" w:color="auto" w:fill="FFFFFF"/>
              </w:rPr>
              <w:t xml:space="preserve"> with</w:t>
            </w:r>
            <w:r w:rsidRPr="00BC197D">
              <w:rPr>
                <w:rFonts w:ascii="Calibri" w:hAnsi="Calibri" w:cs="Arial"/>
                <w:sz w:val="18"/>
                <w:szCs w:val="18"/>
                <w:shd w:val="clear" w:color="auto" w:fill="FFFFFF"/>
              </w:rPr>
              <w:t xml:space="preserve"> sub stratification</w:t>
            </w:r>
            <w:r>
              <w:rPr>
                <w:rFonts w:ascii="Calibri" w:hAnsi="Calibri" w:cs="Arial"/>
                <w:sz w:val="18"/>
                <w:szCs w:val="18"/>
                <w:shd w:val="clear" w:color="auto" w:fill="FFFFFF"/>
              </w:rPr>
              <w:t xml:space="preserve"> </w:t>
            </w:r>
            <w:r w:rsidRPr="00BC197D">
              <w:rPr>
                <w:rFonts w:ascii="Calibri" w:hAnsi="Calibri" w:cs="Arial"/>
                <w:sz w:val="18"/>
                <w:szCs w:val="18"/>
                <w:shd w:val="clear" w:color="auto" w:fill="FFFFFF"/>
              </w:rPr>
              <w:t xml:space="preserve">of patients based on revision </w:t>
            </w:r>
            <w:r>
              <w:rPr>
                <w:rFonts w:ascii="Calibri" w:hAnsi="Calibri" w:cs="Arial"/>
                <w:sz w:val="18"/>
                <w:szCs w:val="18"/>
                <w:shd w:val="clear" w:color="auto" w:fill="FFFFFF"/>
              </w:rPr>
              <w:t xml:space="preserve">joint replacement </w:t>
            </w:r>
            <w:r w:rsidRPr="00BC197D">
              <w:rPr>
                <w:rFonts w:ascii="Calibri" w:hAnsi="Calibri" w:cs="Arial"/>
                <w:sz w:val="18"/>
                <w:szCs w:val="18"/>
                <w:shd w:val="clear" w:color="auto" w:fill="FFFFFF"/>
              </w:rPr>
              <w:t>etiology, or exclusions.</w:t>
            </w:r>
          </w:p>
          <w:p w:rsidR="00A502B7" w:rsidRPr="004E42EF" w:rsidRDefault="00A502B7" w:rsidP="001101F8">
            <w:pPr>
              <w:autoSpaceDE w:val="0"/>
              <w:autoSpaceDN w:val="0"/>
              <w:adjustRightInd w:val="0"/>
              <w:rPr>
                <w:rFonts w:ascii="Times New Roman" w:hAnsi="Times New Roman"/>
                <w:sz w:val="18"/>
                <w:szCs w:val="18"/>
                <w:lang w:eastAsia="en-AU"/>
              </w:rPr>
            </w:pPr>
          </w:p>
        </w:tc>
      </w:tr>
    </w:tbl>
    <w:p w:rsidR="00A502B7" w:rsidRDefault="00A502B7" w:rsidP="00A502B7">
      <w:pPr>
        <w:tabs>
          <w:tab w:val="left" w:pos="1080"/>
          <w:tab w:val="left" w:pos="1134"/>
        </w:tabs>
        <w:spacing w:line="276" w:lineRule="auto"/>
      </w:pPr>
    </w:p>
    <w:p w:rsidR="00EE0CA0" w:rsidRPr="009A68C1" w:rsidRDefault="00EE0CA0" w:rsidP="00A502B7">
      <w:pPr>
        <w:tabs>
          <w:tab w:val="left" w:pos="1080"/>
          <w:tab w:val="left" w:pos="1134"/>
        </w:tabs>
        <w:spacing w:line="276" w:lineRule="auto"/>
        <w:sectPr w:rsidR="00EE0CA0" w:rsidRPr="009A68C1" w:rsidSect="00606A38">
          <w:footnotePr>
            <w:numRestart w:val="eachSect"/>
          </w:footnotePr>
          <w:pgSz w:w="23814" w:h="16839" w:orient="landscape" w:code="8"/>
          <w:pgMar w:top="720" w:right="1077" w:bottom="567" w:left="1077" w:header="709" w:footer="709" w:gutter="0"/>
          <w:cols w:space="708"/>
          <w:docGrid w:linePitch="360"/>
        </w:sectPr>
      </w:pPr>
      <w:r>
        <w:object w:dxaOrig="13958" w:dyaOrig="3794">
          <v:shape id="_x0000_i1036" type="#_x0000_t75" style="width:698.25pt;height:190.05pt" o:ole="">
            <v:imagedata r:id="rId16" o:title=""/>
          </v:shape>
          <o:OLEObject Type="Embed" ProgID="Word.Document.12" ShapeID="_x0000_i1036" DrawAspect="Content" ObjectID="_1507617887" r:id="rId17">
            <o:FieldCodes>\s</o:FieldCodes>
          </o:OLEObject>
        </w:object>
      </w:r>
      <w:bookmarkStart w:id="34" w:name="_GoBack"/>
      <w:bookmarkEnd w:id="34"/>
    </w:p>
    <w:p w:rsidR="007A1C4A" w:rsidRPr="00E95FD4" w:rsidRDefault="007A1C4A" w:rsidP="00E967CA">
      <w:pPr>
        <w:pStyle w:val="Heading1"/>
        <w:numPr>
          <w:ilvl w:val="0"/>
          <w:numId w:val="2"/>
        </w:numPr>
        <w:spacing w:before="0"/>
        <w:ind w:hanging="720"/>
        <w:rPr>
          <w:color w:val="008080"/>
          <w:lang w:eastAsia="en-AU"/>
        </w:rPr>
      </w:pPr>
      <w:bookmarkStart w:id="35" w:name="_Toc372115657"/>
      <w:r>
        <w:rPr>
          <w:color w:val="008080"/>
          <w:lang w:eastAsia="en-AU"/>
        </w:rPr>
        <w:lastRenderedPageBreak/>
        <w:t>International examples</w:t>
      </w:r>
      <w:bookmarkEnd w:id="35"/>
    </w:p>
    <w:p w:rsidR="007A1C4A" w:rsidRDefault="00A502B7" w:rsidP="00C57554">
      <w:pPr>
        <w:jc w:val="both"/>
        <w:rPr>
          <w:rFonts w:cs="Arial"/>
        </w:rPr>
      </w:pPr>
      <w:r>
        <w:rPr>
          <w:rFonts w:cs="Arial"/>
        </w:rPr>
        <w:pict>
          <v:shape id="_x0000_i1031" type="#_x0000_t75" style="width:400.8pt;height:7.15pt" o:hrpct="0" o:hr="t">
            <v:imagedata r:id="rId10" o:title=""/>
          </v:shape>
        </w:pict>
      </w:r>
    </w:p>
    <w:p w:rsidR="007A1C4A" w:rsidRPr="000C1D3B" w:rsidRDefault="007A1C4A" w:rsidP="007A524D">
      <w:pPr>
        <w:pStyle w:val="Heading2"/>
        <w:spacing w:after="120" w:line="264" w:lineRule="auto"/>
        <w:rPr>
          <w:i w:val="0"/>
        </w:rPr>
      </w:pPr>
      <w:bookmarkStart w:id="36" w:name="_Toc372115658"/>
      <w:r>
        <w:rPr>
          <w:i w:val="0"/>
        </w:rPr>
        <w:t>4</w:t>
      </w:r>
      <w:r w:rsidRPr="000C1D3B">
        <w:rPr>
          <w:i w:val="0"/>
        </w:rPr>
        <w:t>.1</w:t>
      </w:r>
      <w:r w:rsidRPr="000C1D3B">
        <w:rPr>
          <w:i w:val="0"/>
        </w:rPr>
        <w:tab/>
      </w:r>
      <w:r>
        <w:rPr>
          <w:i w:val="0"/>
        </w:rPr>
        <w:t>Context</w:t>
      </w:r>
      <w:bookmarkEnd w:id="36"/>
      <w:r w:rsidRPr="000C1D3B">
        <w:rPr>
          <w:i w:val="0"/>
        </w:rPr>
        <w:t xml:space="preserve"> </w:t>
      </w:r>
    </w:p>
    <w:p w:rsidR="007A1C4A" w:rsidRPr="00584465" w:rsidRDefault="007A1C4A" w:rsidP="00040F9E">
      <w:pPr>
        <w:spacing w:before="120" w:after="120" w:line="264" w:lineRule="auto"/>
        <w:rPr>
          <w:rFonts w:cs="Arial"/>
          <w:szCs w:val="24"/>
        </w:rPr>
      </w:pPr>
      <w:r w:rsidRPr="00584465">
        <w:rPr>
          <w:rFonts w:cs="Arial"/>
          <w:szCs w:val="24"/>
        </w:rPr>
        <w:t xml:space="preserve">At its 30 October </w:t>
      </w:r>
      <w:r>
        <w:rPr>
          <w:rFonts w:cs="Arial"/>
          <w:szCs w:val="24"/>
        </w:rPr>
        <w:t xml:space="preserve">2012 </w:t>
      </w:r>
      <w:r w:rsidRPr="00584465">
        <w:rPr>
          <w:rFonts w:cs="Arial"/>
          <w:szCs w:val="24"/>
        </w:rPr>
        <w:t xml:space="preserve">meeting, JWP members requested that additional research be undertaken </w:t>
      </w:r>
      <w:r>
        <w:rPr>
          <w:rFonts w:cs="Arial"/>
          <w:szCs w:val="24"/>
        </w:rPr>
        <w:t xml:space="preserve">on several </w:t>
      </w:r>
      <w:r w:rsidRPr="00584465">
        <w:rPr>
          <w:rFonts w:cs="Arial"/>
          <w:szCs w:val="24"/>
        </w:rPr>
        <w:t xml:space="preserve">international </w:t>
      </w:r>
      <w:r>
        <w:rPr>
          <w:rFonts w:cs="Arial"/>
          <w:szCs w:val="24"/>
        </w:rPr>
        <w:t xml:space="preserve">examples on large scale quality improvement initiatives, including integrating </w:t>
      </w:r>
      <w:r w:rsidRPr="00584465">
        <w:rPr>
          <w:rFonts w:cs="Arial"/>
          <w:szCs w:val="24"/>
        </w:rPr>
        <w:t xml:space="preserve">quality </w:t>
      </w:r>
      <w:r>
        <w:rPr>
          <w:rFonts w:cs="Arial"/>
          <w:szCs w:val="24"/>
        </w:rPr>
        <w:t>with</w:t>
      </w:r>
      <w:r w:rsidRPr="00584465">
        <w:rPr>
          <w:rFonts w:cs="Arial"/>
          <w:szCs w:val="24"/>
        </w:rPr>
        <w:t xml:space="preserve"> funding</w:t>
      </w:r>
      <w:r>
        <w:rPr>
          <w:rFonts w:cs="Arial"/>
          <w:szCs w:val="24"/>
        </w:rPr>
        <w:t>.</w:t>
      </w:r>
    </w:p>
    <w:p w:rsidR="007A1C4A" w:rsidRDefault="007A1C4A" w:rsidP="00040F9E">
      <w:pPr>
        <w:pBdr>
          <w:top w:val="single" w:sz="12" w:space="1" w:color="7F7F7F"/>
          <w:left w:val="single" w:sz="12" w:space="4" w:color="7F7F7F"/>
          <w:bottom w:val="single" w:sz="12" w:space="1" w:color="7F7F7F"/>
          <w:right w:val="single" w:sz="12" w:space="4" w:color="7F7F7F"/>
        </w:pBdr>
        <w:spacing w:before="120" w:after="120" w:line="264" w:lineRule="auto"/>
        <w:jc w:val="both"/>
        <w:rPr>
          <w:rFonts w:cs="Arial"/>
          <w:b/>
          <w:szCs w:val="24"/>
        </w:rPr>
      </w:pPr>
      <w:r w:rsidRPr="00CA7244">
        <w:rPr>
          <w:rFonts w:cs="Arial"/>
          <w:b/>
          <w:szCs w:val="24"/>
        </w:rPr>
        <w:t xml:space="preserve">Extract of the 30 October </w:t>
      </w:r>
      <w:r>
        <w:rPr>
          <w:rFonts w:cs="Arial"/>
          <w:b/>
          <w:szCs w:val="24"/>
        </w:rPr>
        <w:t xml:space="preserve">2012 </w:t>
      </w:r>
      <w:r w:rsidRPr="00CA7244">
        <w:rPr>
          <w:rFonts w:cs="Arial"/>
          <w:b/>
          <w:szCs w:val="24"/>
        </w:rPr>
        <w:t>minutes</w:t>
      </w:r>
    </w:p>
    <w:p w:rsidR="007A1C4A" w:rsidRPr="00CA7244" w:rsidRDefault="007A1C4A" w:rsidP="00040F9E">
      <w:pPr>
        <w:pBdr>
          <w:top w:val="single" w:sz="12" w:space="1" w:color="7F7F7F"/>
          <w:left w:val="single" w:sz="12" w:space="4" w:color="7F7F7F"/>
          <w:bottom w:val="single" w:sz="12" w:space="1" w:color="7F7F7F"/>
          <w:right w:val="single" w:sz="12" w:space="4" w:color="7F7F7F"/>
        </w:pBdr>
        <w:spacing w:before="120" w:after="120" w:line="264" w:lineRule="auto"/>
        <w:jc w:val="both"/>
        <w:rPr>
          <w:rFonts w:cs="Arial"/>
          <w:b/>
          <w:szCs w:val="24"/>
        </w:rPr>
      </w:pPr>
      <w:r w:rsidRPr="00CA7244">
        <w:rPr>
          <w:rFonts w:cs="Arial"/>
          <w:b/>
          <w:szCs w:val="24"/>
        </w:rPr>
        <w:t xml:space="preserve">Action </w:t>
      </w:r>
      <w:r>
        <w:rPr>
          <w:rFonts w:cs="Arial"/>
          <w:b/>
          <w:szCs w:val="24"/>
        </w:rPr>
        <w:t>5</w:t>
      </w:r>
      <w:r w:rsidRPr="00CA7244">
        <w:rPr>
          <w:rFonts w:cs="Arial"/>
          <w:b/>
          <w:szCs w:val="24"/>
        </w:rPr>
        <w:t>: Additional research will be undertaken on exemplars/systems that have implemented large scale change (e.g. UK, US, Germany etc.).</w:t>
      </w:r>
    </w:p>
    <w:p w:rsidR="007A1C4A" w:rsidRPr="00CA7244" w:rsidRDefault="007A1C4A" w:rsidP="00040F9E">
      <w:pPr>
        <w:pBdr>
          <w:top w:val="single" w:sz="12" w:space="1" w:color="7F7F7F"/>
          <w:left w:val="single" w:sz="12" w:space="4" w:color="7F7F7F"/>
          <w:bottom w:val="single" w:sz="12" w:space="1" w:color="7F7F7F"/>
          <w:right w:val="single" w:sz="12" w:space="4" w:color="7F7F7F"/>
        </w:pBdr>
        <w:spacing w:before="120" w:after="120" w:line="264" w:lineRule="auto"/>
        <w:rPr>
          <w:rFonts w:cs="Arial"/>
        </w:rPr>
      </w:pPr>
      <w:r>
        <w:rPr>
          <w:rFonts w:cs="Arial"/>
        </w:rPr>
        <w:t>The Chair recommended additional work to be undertaken. The Commission and IHPA will explore additional research around exemplars / systems having implemented large scale change (e.g. UK, US (Kaiser Permanente), Germany).</w:t>
      </w:r>
    </w:p>
    <w:p w:rsidR="007A1C4A" w:rsidRDefault="007A1C4A" w:rsidP="003325A6">
      <w:pPr>
        <w:pStyle w:val="Heading2"/>
        <w:spacing w:after="120" w:line="264" w:lineRule="auto"/>
        <w:rPr>
          <w:i w:val="0"/>
        </w:rPr>
      </w:pPr>
      <w:bookmarkStart w:id="37" w:name="_Toc372115659"/>
      <w:r>
        <w:rPr>
          <w:i w:val="0"/>
        </w:rPr>
        <w:t>4.2</w:t>
      </w:r>
      <w:r w:rsidRPr="000C1D3B">
        <w:rPr>
          <w:i w:val="0"/>
        </w:rPr>
        <w:tab/>
      </w:r>
      <w:r>
        <w:rPr>
          <w:i w:val="0"/>
        </w:rPr>
        <w:t>Overview</w:t>
      </w:r>
      <w:bookmarkEnd w:id="37"/>
      <w:r>
        <w:rPr>
          <w:i w:val="0"/>
        </w:rPr>
        <w:t xml:space="preserve"> </w:t>
      </w:r>
    </w:p>
    <w:p w:rsidR="007A1C4A" w:rsidRPr="000C1D3B" w:rsidRDefault="007A1C4A" w:rsidP="00040F9E">
      <w:pPr>
        <w:spacing w:before="120" w:after="120" w:line="264" w:lineRule="auto"/>
        <w:rPr>
          <w:rFonts w:cs="Arial"/>
          <w:szCs w:val="24"/>
        </w:rPr>
      </w:pPr>
      <w:r w:rsidRPr="000C1D3B">
        <w:rPr>
          <w:rFonts w:cs="Arial"/>
          <w:szCs w:val="24"/>
        </w:rPr>
        <w:t>This section provides a summary of the</w:t>
      </w:r>
      <w:r>
        <w:rPr>
          <w:rFonts w:cs="Arial"/>
          <w:szCs w:val="24"/>
        </w:rPr>
        <w:t xml:space="preserve"> approaches to improve quality, with particular regard to funding, in</w:t>
      </w:r>
      <w:r w:rsidRPr="000C1D3B">
        <w:rPr>
          <w:rFonts w:cs="Arial"/>
          <w:szCs w:val="24"/>
        </w:rPr>
        <w:t xml:space="preserve"> the following </w:t>
      </w:r>
      <w:r>
        <w:rPr>
          <w:rFonts w:cs="Arial"/>
          <w:szCs w:val="24"/>
        </w:rPr>
        <w:t xml:space="preserve">healthcare </w:t>
      </w:r>
      <w:r w:rsidRPr="000C1D3B">
        <w:rPr>
          <w:rFonts w:cs="Arial"/>
          <w:szCs w:val="24"/>
        </w:rPr>
        <w:t>systems:</w:t>
      </w:r>
    </w:p>
    <w:p w:rsidR="007A1C4A" w:rsidRPr="00040F9E" w:rsidRDefault="007A1C4A" w:rsidP="00B54A21">
      <w:pPr>
        <w:numPr>
          <w:ilvl w:val="0"/>
          <w:numId w:val="5"/>
        </w:numPr>
        <w:spacing w:line="264" w:lineRule="auto"/>
        <w:rPr>
          <w:rFonts w:cs="Arial"/>
          <w:sz w:val="22"/>
          <w:szCs w:val="22"/>
        </w:rPr>
      </w:pPr>
      <w:r w:rsidRPr="00040F9E">
        <w:rPr>
          <w:rFonts w:cs="Arial"/>
          <w:sz w:val="22"/>
          <w:szCs w:val="22"/>
        </w:rPr>
        <w:t>UK</w:t>
      </w:r>
    </w:p>
    <w:p w:rsidR="007A1C4A" w:rsidRPr="00040F9E" w:rsidRDefault="007A1C4A" w:rsidP="00B54A21">
      <w:pPr>
        <w:numPr>
          <w:ilvl w:val="0"/>
          <w:numId w:val="5"/>
        </w:numPr>
        <w:spacing w:line="264" w:lineRule="auto"/>
        <w:rPr>
          <w:rFonts w:cs="Arial"/>
          <w:sz w:val="22"/>
          <w:szCs w:val="22"/>
        </w:rPr>
      </w:pPr>
      <w:r w:rsidRPr="00040F9E">
        <w:rPr>
          <w:rFonts w:cs="Arial"/>
          <w:sz w:val="22"/>
          <w:szCs w:val="22"/>
        </w:rPr>
        <w:t>Germany</w:t>
      </w:r>
    </w:p>
    <w:p w:rsidR="007A1C4A" w:rsidRPr="00040F9E" w:rsidRDefault="007A1C4A" w:rsidP="00B54A21">
      <w:pPr>
        <w:numPr>
          <w:ilvl w:val="0"/>
          <w:numId w:val="5"/>
        </w:numPr>
        <w:spacing w:line="264" w:lineRule="auto"/>
        <w:rPr>
          <w:rFonts w:cs="Arial"/>
          <w:sz w:val="22"/>
          <w:szCs w:val="22"/>
        </w:rPr>
      </w:pPr>
      <w:r w:rsidRPr="00040F9E">
        <w:rPr>
          <w:rFonts w:cs="Arial"/>
          <w:sz w:val="22"/>
          <w:szCs w:val="22"/>
        </w:rPr>
        <w:t>Kaiser Permanente (US)</w:t>
      </w:r>
    </w:p>
    <w:p w:rsidR="007A1C4A" w:rsidRDefault="007A1C4A" w:rsidP="00040F9E">
      <w:pPr>
        <w:spacing w:before="120" w:after="120" w:line="264" w:lineRule="auto"/>
        <w:rPr>
          <w:rFonts w:cs="Arial"/>
        </w:rPr>
      </w:pPr>
      <w:r w:rsidRPr="00ED6432">
        <w:rPr>
          <w:rFonts w:cs="Arial"/>
        </w:rPr>
        <w:t>These three systems have adopted various approaches to improve quality of care. The most enthusiasm for linking quality to healthcare funding is exhibited in the UK. Where, in addition to a large-scale P4P scheme in primary care, various elements comprising the Payment by Results (PbR) initiative aims to improve quality through financial incentives.</w:t>
      </w:r>
      <w:r>
        <w:rPr>
          <w:rFonts w:cs="Arial"/>
        </w:rPr>
        <w:t xml:space="preserve">  </w:t>
      </w:r>
    </w:p>
    <w:p w:rsidR="007A1C4A" w:rsidRDefault="007A1C4A" w:rsidP="00040F9E">
      <w:pPr>
        <w:spacing w:before="120" w:after="120" w:line="264" w:lineRule="auto"/>
        <w:rPr>
          <w:rFonts w:cs="Arial"/>
        </w:rPr>
      </w:pPr>
      <w:r>
        <w:rPr>
          <w:rFonts w:cs="Arial"/>
        </w:rPr>
        <w:t>Germany has adopted a more cautious approach. Indeed, a recent report on P4P produced by Germany’s peak safety and quality body articulates reservations about implementing such schemes citing a lack of conclusive evidence, the existence of other appropriate levers, and the possibility of unintended consequences.</w:t>
      </w:r>
    </w:p>
    <w:p w:rsidR="007A1C4A" w:rsidRDefault="007A1C4A" w:rsidP="00B54A21">
      <w:pPr>
        <w:spacing w:before="120" w:line="264" w:lineRule="auto"/>
        <w:rPr>
          <w:rFonts w:cs="Arial"/>
        </w:rPr>
      </w:pPr>
      <w:r>
        <w:rPr>
          <w:rFonts w:cs="Arial"/>
        </w:rPr>
        <w:t>Kaiser Permanente, a large healthcare system in the US, has focused on other quality improvement mechanisms including public reporting and benchmarking. Clinicians employed by Kaiser are salaried and not remunerated on a fee-for-service basis. However, clinicians are eligible to receive annual bonuses of up to 5% of salary based on performance across a range of quality measures, including patient satisfaction and group contribution.</w:t>
      </w:r>
    </w:p>
    <w:p w:rsidR="007A1C4A" w:rsidRPr="000A5C91" w:rsidRDefault="007A1C4A" w:rsidP="007A524D">
      <w:pPr>
        <w:pStyle w:val="Heading2"/>
        <w:spacing w:after="120" w:line="264" w:lineRule="auto"/>
      </w:pPr>
      <w:r w:rsidRPr="00D010B1">
        <w:rPr>
          <w:color w:val="1F497D"/>
        </w:rPr>
        <w:br w:type="page"/>
      </w:r>
      <w:bookmarkStart w:id="38" w:name="_Toc372115660"/>
      <w:r>
        <w:rPr>
          <w:i w:val="0"/>
        </w:rPr>
        <w:lastRenderedPageBreak/>
        <w:t>4.3</w:t>
      </w:r>
      <w:r w:rsidRPr="000A5C91">
        <w:rPr>
          <w:i w:val="0"/>
        </w:rPr>
        <w:tab/>
        <w:t>Funding and quality mechanisms: UK health care system</w:t>
      </w:r>
      <w:bookmarkEnd w:id="38"/>
    </w:p>
    <w:p w:rsidR="007A1C4A" w:rsidRPr="00584465" w:rsidRDefault="007A1C4A" w:rsidP="007A524D">
      <w:pPr>
        <w:spacing w:before="240" w:after="120" w:line="264" w:lineRule="auto"/>
        <w:rPr>
          <w:rFonts w:cs="Arial"/>
          <w:b/>
          <w:sz w:val="28"/>
          <w:szCs w:val="28"/>
        </w:rPr>
      </w:pPr>
      <w:r>
        <w:rPr>
          <w:rFonts w:cs="Arial"/>
          <w:b/>
          <w:sz w:val="28"/>
          <w:szCs w:val="28"/>
        </w:rPr>
        <w:t>4.3.1</w:t>
      </w:r>
      <w:r>
        <w:rPr>
          <w:rFonts w:cs="Arial"/>
          <w:b/>
          <w:sz w:val="28"/>
          <w:szCs w:val="28"/>
        </w:rPr>
        <w:tab/>
      </w:r>
      <w:r w:rsidRPr="00584465">
        <w:rPr>
          <w:rFonts w:cs="Arial"/>
          <w:b/>
          <w:sz w:val="28"/>
          <w:szCs w:val="28"/>
        </w:rPr>
        <w:t>Background</w:t>
      </w:r>
    </w:p>
    <w:p w:rsidR="007A1C4A" w:rsidRPr="00584465" w:rsidRDefault="007A1C4A" w:rsidP="007A524D">
      <w:pPr>
        <w:spacing w:before="120" w:after="120" w:line="264" w:lineRule="auto"/>
        <w:rPr>
          <w:rFonts w:cs="Arial"/>
          <w:szCs w:val="24"/>
        </w:rPr>
      </w:pPr>
      <w:r w:rsidRPr="00584465">
        <w:rPr>
          <w:rFonts w:cs="Arial"/>
          <w:szCs w:val="24"/>
        </w:rPr>
        <w:t>The UK has a population of about 62M. Its healthcare spend is about 9.6% GDP and it has approximately 2.6 physicians per 1000 inhabitants. The corresponding ratio is 3.6 in Germany, 2.4 in the USA and 3 in Australia.</w:t>
      </w:r>
    </w:p>
    <w:p w:rsidR="007A1C4A" w:rsidRPr="00584465" w:rsidRDefault="007A1C4A" w:rsidP="007A524D">
      <w:pPr>
        <w:spacing w:before="120" w:after="120" w:line="264" w:lineRule="auto"/>
        <w:rPr>
          <w:rFonts w:cs="Arial"/>
          <w:i/>
          <w:szCs w:val="24"/>
        </w:rPr>
      </w:pPr>
      <w:r w:rsidRPr="00584465">
        <w:rPr>
          <w:rFonts w:cs="Arial"/>
          <w:i/>
          <w:szCs w:val="24"/>
        </w:rPr>
        <w:t>Healthcare coverage, financing and organisation</w:t>
      </w:r>
    </w:p>
    <w:p w:rsidR="007A1C4A" w:rsidRPr="00584465" w:rsidRDefault="007A1C4A" w:rsidP="007A524D">
      <w:pPr>
        <w:spacing w:before="120" w:after="120" w:line="264" w:lineRule="auto"/>
        <w:rPr>
          <w:rFonts w:cs="Arial"/>
          <w:szCs w:val="24"/>
        </w:rPr>
      </w:pPr>
      <w:r w:rsidRPr="00584465">
        <w:rPr>
          <w:rFonts w:cs="Arial"/>
          <w:szCs w:val="24"/>
        </w:rPr>
        <w:t xml:space="preserve">Healthcare coverage is universal for citizens and residents, and largely free through the National Health Service (NHS). Private hospital care is financed through voluntary insurance or at point of use. </w:t>
      </w:r>
    </w:p>
    <w:p w:rsidR="007A1C4A" w:rsidRPr="00584465" w:rsidRDefault="007A1C4A" w:rsidP="007A524D">
      <w:pPr>
        <w:spacing w:before="120" w:after="120" w:line="264" w:lineRule="auto"/>
        <w:rPr>
          <w:rFonts w:cs="Arial"/>
          <w:szCs w:val="24"/>
        </w:rPr>
      </w:pPr>
      <w:r w:rsidRPr="00584465">
        <w:rPr>
          <w:rFonts w:cs="Arial"/>
          <w:szCs w:val="24"/>
        </w:rPr>
        <w:t>Funding comes from general taxation and payroll tax. There are co-payments imposed on prescription drugs (outpatients only) and dentistry services. Exemptions apply to children, students, over 60s and pregnant women.</w:t>
      </w:r>
    </w:p>
    <w:p w:rsidR="007A1C4A" w:rsidRDefault="007A1C4A" w:rsidP="007A524D">
      <w:pPr>
        <w:spacing w:before="120" w:after="120" w:line="264" w:lineRule="auto"/>
        <w:rPr>
          <w:rFonts w:cs="Arial"/>
          <w:b/>
          <w:sz w:val="28"/>
          <w:szCs w:val="28"/>
        </w:rPr>
      </w:pPr>
      <w:r w:rsidRPr="00584465">
        <w:rPr>
          <w:rFonts w:cs="Arial"/>
          <w:szCs w:val="24"/>
        </w:rPr>
        <w:t>Overall responsibility for health care rests with Parliament, the Secretary of State for Health and the Department of Health. Since 2012 day to day responsibility has been handed to the NHS Commissioning Board. Apart from some exceptions, Clinical Commission Groups (CCGs) are responsible for NHS services at a local level.</w:t>
      </w:r>
    </w:p>
    <w:p w:rsidR="007A1C4A" w:rsidRPr="00584465" w:rsidRDefault="007A1C4A" w:rsidP="007A524D">
      <w:pPr>
        <w:spacing w:before="240" w:after="120" w:line="264" w:lineRule="auto"/>
        <w:rPr>
          <w:rFonts w:cs="Arial"/>
          <w:b/>
          <w:sz w:val="28"/>
          <w:szCs w:val="28"/>
        </w:rPr>
      </w:pPr>
      <w:r>
        <w:rPr>
          <w:rFonts w:cs="Arial"/>
          <w:b/>
          <w:sz w:val="28"/>
          <w:szCs w:val="28"/>
        </w:rPr>
        <w:t>4.3.2</w:t>
      </w:r>
      <w:r>
        <w:rPr>
          <w:rFonts w:cs="Arial"/>
          <w:b/>
          <w:sz w:val="28"/>
          <w:szCs w:val="28"/>
        </w:rPr>
        <w:tab/>
      </w:r>
      <w:r w:rsidRPr="00584465">
        <w:rPr>
          <w:rFonts w:cs="Arial"/>
          <w:b/>
          <w:sz w:val="28"/>
          <w:szCs w:val="28"/>
        </w:rPr>
        <w:t>Hospitals</w:t>
      </w:r>
    </w:p>
    <w:p w:rsidR="007A1C4A" w:rsidRPr="00584465" w:rsidRDefault="007A1C4A" w:rsidP="007A524D">
      <w:pPr>
        <w:spacing w:before="120" w:after="120" w:line="264" w:lineRule="auto"/>
        <w:rPr>
          <w:rFonts w:cs="Arial"/>
          <w:szCs w:val="24"/>
        </w:rPr>
      </w:pPr>
      <w:r w:rsidRPr="00584465">
        <w:rPr>
          <w:rFonts w:cs="Arial"/>
          <w:szCs w:val="24"/>
        </w:rPr>
        <w:t xml:space="preserve">Public hospitals fall under either NHS trusts or Foundation trusts. A trust is afforded Foundation status when it demonstrates sustained high performance. Foundation trusts have greater flexibility such as more access to capital funding, and the capacity to run deficits and accumulate surpluses. A recent Commonwealth Fund report states that </w:t>
      </w:r>
      <w:r>
        <w:rPr>
          <w:rFonts w:cs="Arial"/>
          <w:szCs w:val="24"/>
        </w:rPr>
        <w:t>the UK G</w:t>
      </w:r>
      <w:r w:rsidRPr="00584465">
        <w:rPr>
          <w:rFonts w:cs="Arial"/>
          <w:szCs w:val="24"/>
        </w:rPr>
        <w:t>overnment plans for all trusts to become foundation trusts in the future.</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r w:rsidRPr="00584465">
        <w:rPr>
          <w:rFonts w:cs="Arial"/>
          <w:szCs w:val="24"/>
        </w:rPr>
        <w:t xml:space="preserve">  </w:t>
      </w:r>
    </w:p>
    <w:p w:rsidR="007A1C4A" w:rsidRPr="004C666A" w:rsidRDefault="007A1C4A" w:rsidP="007A524D">
      <w:pPr>
        <w:tabs>
          <w:tab w:val="left" w:pos="993"/>
        </w:tabs>
        <w:spacing w:before="240" w:after="120" w:line="264" w:lineRule="auto"/>
        <w:rPr>
          <w:rFonts w:cs="Arial"/>
          <w:b/>
          <w:szCs w:val="24"/>
        </w:rPr>
      </w:pPr>
      <w:r>
        <w:rPr>
          <w:rFonts w:cs="Arial"/>
          <w:b/>
          <w:szCs w:val="24"/>
        </w:rPr>
        <w:t>4.3</w:t>
      </w:r>
      <w:r w:rsidRPr="004C666A">
        <w:rPr>
          <w:rFonts w:cs="Arial"/>
          <w:b/>
          <w:szCs w:val="24"/>
        </w:rPr>
        <w:t xml:space="preserve">.2.1  Hospital funding </w:t>
      </w:r>
    </w:p>
    <w:p w:rsidR="007A1C4A" w:rsidRPr="00584465" w:rsidRDefault="007A1C4A" w:rsidP="007A524D">
      <w:pPr>
        <w:spacing w:before="120" w:after="120" w:line="264" w:lineRule="auto"/>
        <w:rPr>
          <w:rFonts w:cs="Arial"/>
          <w:szCs w:val="24"/>
        </w:rPr>
      </w:pPr>
      <w:r w:rsidRPr="00584465">
        <w:rPr>
          <w:rFonts w:cs="Arial"/>
          <w:szCs w:val="24"/>
        </w:rPr>
        <w:t xml:space="preserve">Trusts contract with CCG’s and the NHS Commissioning Board to provide services and are reimbursed according to nationally determined rates for diagnostic groupings (HRGs) on a casemix basis. The prices or ‘tariffs’ are based on national average costs and about 60% of hospital activity is funded in this </w:t>
      </w:r>
      <w:r>
        <w:rPr>
          <w:rFonts w:cs="Arial"/>
          <w:szCs w:val="24"/>
        </w:rPr>
        <w:t>manner</w:t>
      </w:r>
      <w:r w:rsidRPr="00584465">
        <w:rPr>
          <w:rFonts w:cs="Arial"/>
          <w:szCs w:val="24"/>
        </w:rPr>
        <w:t>. To promote efficiency, each year tariffs are reduced slightly each year.</w:t>
      </w:r>
      <w:r w:rsidRPr="00584465">
        <w:rPr>
          <w:rFonts w:cs="Arial"/>
          <w:szCs w:val="24"/>
        </w:rPr>
        <w:fldChar w:fldCharType="begin"/>
      </w:r>
      <w:r w:rsidRPr="00584465">
        <w:rPr>
          <w:rFonts w:cs="Arial"/>
          <w:szCs w:val="24"/>
        </w:rPr>
        <w:instrText xml:space="preserve"> ADDIN EN.CITE &lt;EndNote&gt;&lt;Cite&gt;&lt;Author&gt;Appleby J&lt;/Author&gt;&lt;Year&gt;2012&lt;/Year&gt;&lt;RecNum&gt;12218&lt;/RecNum&gt;&lt;record&gt;&lt;rec-number&gt;12218&lt;/rec-number&gt;&lt;foreign-keys&gt;&lt;key app="EN" db-id="5r0eapxzsestz4er5zaxe5zqz99fvpawedp5"&gt;12218&lt;/key&gt;&lt;/foreign-keys&gt;&lt;ref-type name="Report"&gt;27&lt;/ref-type&gt;&lt;contributors&gt;&lt;authors&gt;&lt;author&gt;Appleby J,&lt;/author&gt;&lt;author&gt;Harrison T,&lt;/author&gt;&lt;author&gt;Hawkins L,&lt;/author&gt;&lt;author&gt;Dixon A,&lt;/author&gt;&lt;/authors&gt;&lt;/contributors&gt;&lt;titles&gt;&lt;title&gt;Payment by results: how can payment systems help to deliver better care?&lt;/title&gt;&lt;/titles&gt;&lt;dates&gt;&lt;year&gt;2012&lt;/year&gt;&lt;/dates&gt;&lt;pub-location&gt;London&lt;/pub-location&gt;&lt;publisher&gt;The King&amp;apos;s Fund&lt;/publisher&gt;&lt;urls&gt;&lt;/urls&gt;&lt;/record&gt;&lt;/Cite&gt;&lt;/EndNote&gt;</w:instrText>
      </w:r>
      <w:r w:rsidRPr="00584465">
        <w:rPr>
          <w:rFonts w:cs="Arial"/>
          <w:szCs w:val="24"/>
        </w:rPr>
        <w:fldChar w:fldCharType="separate"/>
      </w:r>
      <w:r w:rsidRPr="00584465">
        <w:rPr>
          <w:rFonts w:cs="Arial"/>
          <w:noProof/>
          <w:szCs w:val="24"/>
          <w:vertAlign w:val="superscript"/>
        </w:rPr>
        <w:t>2</w:t>
      </w:r>
      <w:r w:rsidRPr="00584465">
        <w:rPr>
          <w:rFonts w:cs="Arial"/>
          <w:szCs w:val="24"/>
        </w:rPr>
        <w:fldChar w:fldCharType="end"/>
      </w:r>
    </w:p>
    <w:p w:rsidR="007A1C4A" w:rsidRPr="00584465" w:rsidRDefault="007A1C4A" w:rsidP="007A524D">
      <w:pPr>
        <w:spacing w:before="240" w:after="120" w:line="264" w:lineRule="auto"/>
        <w:rPr>
          <w:rFonts w:cs="Arial"/>
          <w:b/>
          <w:sz w:val="28"/>
          <w:szCs w:val="28"/>
        </w:rPr>
      </w:pPr>
      <w:r>
        <w:rPr>
          <w:rFonts w:cs="Arial"/>
          <w:b/>
          <w:sz w:val="28"/>
          <w:szCs w:val="28"/>
        </w:rPr>
        <w:t>4.3.3</w:t>
      </w:r>
      <w:r>
        <w:rPr>
          <w:rFonts w:cs="Arial"/>
          <w:b/>
          <w:sz w:val="28"/>
          <w:szCs w:val="28"/>
        </w:rPr>
        <w:tab/>
      </w:r>
      <w:r w:rsidRPr="00584465">
        <w:rPr>
          <w:rFonts w:cs="Arial"/>
          <w:b/>
          <w:sz w:val="28"/>
          <w:szCs w:val="28"/>
        </w:rPr>
        <w:t xml:space="preserve">Quality </w:t>
      </w:r>
    </w:p>
    <w:p w:rsidR="007A1C4A" w:rsidRDefault="007A1C4A" w:rsidP="007A524D">
      <w:pPr>
        <w:spacing w:before="120" w:after="120" w:line="264" w:lineRule="auto"/>
        <w:rPr>
          <w:rFonts w:cs="Arial"/>
          <w:szCs w:val="24"/>
        </w:rPr>
      </w:pPr>
      <w:r w:rsidRPr="00584465">
        <w:rPr>
          <w:rFonts w:cs="Arial"/>
          <w:szCs w:val="24"/>
        </w:rPr>
        <w:t xml:space="preserve">Explicit policy for enhancing care quality was articulated by the government in the late 1990s, comprising </w:t>
      </w:r>
      <w:r>
        <w:rPr>
          <w:rFonts w:cs="Arial"/>
          <w:szCs w:val="24"/>
        </w:rPr>
        <w:t xml:space="preserve">monitoring, </w:t>
      </w:r>
      <w:r w:rsidRPr="00584465">
        <w:rPr>
          <w:rFonts w:cs="Arial"/>
          <w:szCs w:val="24"/>
        </w:rPr>
        <w:t xml:space="preserve">standard setting and payment by results (PbR). A quality and outcomes framework for primary care </w:t>
      </w:r>
      <w:r>
        <w:rPr>
          <w:rFonts w:cs="Arial"/>
          <w:szCs w:val="24"/>
        </w:rPr>
        <w:t>was</w:t>
      </w:r>
      <w:r w:rsidRPr="00584465">
        <w:rPr>
          <w:rFonts w:cs="Arial"/>
          <w:szCs w:val="24"/>
        </w:rPr>
        <w:t xml:space="preserve"> also been introduced</w:t>
      </w:r>
      <w:r>
        <w:rPr>
          <w:rFonts w:cs="Arial"/>
          <w:szCs w:val="24"/>
        </w:rPr>
        <w:t xml:space="preserve"> in 2004</w:t>
      </w:r>
      <w:r w:rsidRPr="00584465">
        <w:rPr>
          <w:rFonts w:cs="Arial"/>
          <w:szCs w:val="24"/>
        </w:rPr>
        <w:t>. These elemen</w:t>
      </w:r>
      <w:r>
        <w:rPr>
          <w:rFonts w:cs="Arial"/>
          <w:szCs w:val="24"/>
        </w:rPr>
        <w:t>ts are presented in a diagram (refer to Figure 1)</w:t>
      </w:r>
      <w:r w:rsidRPr="00584465">
        <w:rPr>
          <w:rFonts w:cs="Arial"/>
          <w:szCs w:val="24"/>
        </w:rPr>
        <w:t xml:space="preserve">. </w:t>
      </w:r>
    </w:p>
    <w:p w:rsidR="007A1C4A" w:rsidRPr="00F55B5A" w:rsidRDefault="00136D25" w:rsidP="004771BC">
      <w:pPr>
        <w:spacing w:before="240" w:after="200" w:line="264" w:lineRule="auto"/>
        <w:rPr>
          <w:rFonts w:cs="Arial"/>
          <w:b/>
          <w:szCs w:val="24"/>
        </w:rPr>
      </w:pPr>
      <w:r>
        <w:rPr>
          <w:noProof/>
          <w:lang w:val="en-US"/>
        </w:rPr>
        <w:lastRenderedPageBreak/>
        <w:pict>
          <v:rect id="_x0000_s1026" style="position:absolute;margin-left:-36pt;margin-top:24.15pt;width:7in;height:427pt;z-index:33" filled="f" strokecolor="#969696"/>
        </w:pict>
      </w:r>
      <w:r w:rsidR="007A1C4A" w:rsidRPr="00F55B5A">
        <w:rPr>
          <w:rFonts w:cs="Arial"/>
          <w:b/>
          <w:szCs w:val="24"/>
        </w:rPr>
        <w:t>Figure 1. Summary of quality enhancement schemes in the NHS</w:t>
      </w:r>
    </w:p>
    <w:p w:rsidR="007A1C4A" w:rsidRDefault="00136D25" w:rsidP="007A625D">
      <w:pPr>
        <w:spacing w:before="120" w:after="120" w:line="264" w:lineRule="auto"/>
        <w:rPr>
          <w:rFonts w:cs="Arial"/>
          <w:b/>
          <w:color w:val="000000"/>
          <w:sz w:val="21"/>
          <w:szCs w:val="21"/>
        </w:rPr>
      </w:pPr>
      <w:r>
        <w:rPr>
          <w:noProof/>
          <w:lang w:val="en-US"/>
        </w:rPr>
        <w:pict>
          <v:shapetype id="_x0000_t202" coordsize="21600,21600" o:spt="202" path="m,l,21600r21600,l21600,xe">
            <v:stroke joinstyle="miter"/>
            <v:path gradientshapeok="t" o:connecttype="rect"/>
          </v:shapetype>
          <v:shape id="_x0000_s1027" type="#_x0000_t202" style="position:absolute;margin-left:27pt;margin-top:238.2pt;width:81pt;height:18pt;z-index:8">
            <v:textbox style="mso-next-textbox:#_x0000_s1027">
              <w:txbxContent>
                <w:p w:rsidR="00E25107" w:rsidRPr="00D8090C" w:rsidRDefault="00E25107" w:rsidP="007A625D">
                  <w:pPr>
                    <w:rPr>
                      <w:rFonts w:cs="Arial"/>
                      <w:color w:val="FF0000"/>
                      <w:sz w:val="20"/>
                    </w:rPr>
                  </w:pPr>
                  <w:r w:rsidRPr="00D8090C">
                    <w:rPr>
                      <w:rFonts w:cs="Arial"/>
                      <w:b/>
                      <w:color w:val="FF0000"/>
                      <w:sz w:val="20"/>
                    </w:rPr>
                    <w:t>CQUIN</w:t>
                  </w:r>
                </w:p>
                <w:p w:rsidR="00E25107" w:rsidRPr="00F43C78" w:rsidRDefault="00E25107" w:rsidP="007A625D">
                  <w:pPr>
                    <w:jc w:val="center"/>
                    <w:rPr>
                      <w:rFonts w:cs="Arial"/>
                      <w:sz w:val="20"/>
                    </w:rPr>
                  </w:pPr>
                </w:p>
              </w:txbxContent>
            </v:textbox>
          </v:shape>
        </w:pict>
      </w:r>
      <w:r>
        <w:rPr>
          <w:noProof/>
          <w:lang w:val="en-US"/>
        </w:rPr>
        <w:pict>
          <v:line id="_x0000_s1028" style="position:absolute;z-index:6" from="0,220.2pt" to="0,355.2pt"/>
        </w:pict>
      </w:r>
      <w:r>
        <w:rPr>
          <w:noProof/>
          <w:lang w:val="en-US"/>
        </w:rPr>
        <w:pict>
          <v:shape id="_x0000_s1029" type="#_x0000_t202" style="position:absolute;margin-left:-18pt;margin-top:193.2pt;width:135pt;height:27pt;z-index:5">
            <v:textbox style="mso-next-textbox:#_x0000_s1029">
              <w:txbxContent>
                <w:p w:rsidR="00E25107" w:rsidRPr="00D8090C" w:rsidRDefault="00E25107" w:rsidP="007A625D">
                  <w:pPr>
                    <w:jc w:val="center"/>
                    <w:rPr>
                      <w:rFonts w:cs="Arial"/>
                      <w:color w:val="FF0000"/>
                      <w:sz w:val="20"/>
                    </w:rPr>
                  </w:pPr>
                  <w:r w:rsidRPr="00D8090C">
                    <w:rPr>
                      <w:rFonts w:cs="Arial"/>
                      <w:b/>
                      <w:color w:val="FF0000"/>
                      <w:sz w:val="20"/>
                    </w:rPr>
                    <w:t>PbR</w:t>
                  </w:r>
                </w:p>
                <w:p w:rsidR="00E25107" w:rsidRPr="00F43C78" w:rsidRDefault="00E25107" w:rsidP="007A625D">
                  <w:pPr>
                    <w:jc w:val="center"/>
                    <w:rPr>
                      <w:rFonts w:cs="Arial"/>
                      <w:sz w:val="20"/>
                    </w:rPr>
                  </w:pPr>
                </w:p>
              </w:txbxContent>
            </v:textbox>
          </v:shape>
        </w:pict>
      </w:r>
      <w:r>
        <w:rPr>
          <w:noProof/>
          <w:lang w:val="en-US"/>
        </w:rPr>
        <w:pict>
          <v:shape id="_x0000_s1030" type="#_x0000_t202" style="position:absolute;margin-left:189pt;margin-top:193.2pt;width:198pt;height:27pt;z-index:7">
            <v:textbox style="mso-next-textbox:#_x0000_s1030">
              <w:txbxContent>
                <w:p w:rsidR="00E25107" w:rsidRPr="00D8090C" w:rsidRDefault="00E25107" w:rsidP="007A625D">
                  <w:pPr>
                    <w:jc w:val="center"/>
                    <w:rPr>
                      <w:rFonts w:cs="Arial"/>
                      <w:color w:val="0000FF"/>
                      <w:sz w:val="20"/>
                    </w:rPr>
                  </w:pPr>
                  <w:r w:rsidRPr="00D8090C">
                    <w:rPr>
                      <w:rFonts w:cs="Arial"/>
                      <w:b/>
                      <w:color w:val="0000FF"/>
                      <w:sz w:val="20"/>
                    </w:rPr>
                    <w:t>Quality and outcomes framework</w:t>
                  </w:r>
                </w:p>
                <w:p w:rsidR="00E25107" w:rsidRPr="00F43C78" w:rsidRDefault="00E25107" w:rsidP="007A625D">
                  <w:pPr>
                    <w:jc w:val="center"/>
                    <w:rPr>
                      <w:rFonts w:cs="Arial"/>
                      <w:sz w:val="20"/>
                    </w:rPr>
                  </w:pPr>
                </w:p>
              </w:txbxContent>
            </v:textbox>
          </v:shape>
        </w:pict>
      </w:r>
      <w:r>
        <w:rPr>
          <w:noProof/>
          <w:lang w:val="en-US"/>
        </w:rPr>
        <w:pict>
          <v:line id="_x0000_s1031" style="position:absolute;z-index:16" from="0,355.2pt" to="0,400.2pt">
            <v:stroke dashstyle="dash"/>
          </v:line>
        </w:pict>
      </w:r>
      <w:r>
        <w:rPr>
          <w:noProof/>
          <w:lang w:val="en-US"/>
        </w:rPr>
        <w:pict>
          <v:line id="_x0000_s1032" style="position:absolute;z-index:18" from="0,400.2pt" to="27pt,400.2pt">
            <v:stroke dashstyle="dash"/>
          </v:line>
        </w:pict>
      </w:r>
      <w:r>
        <w:rPr>
          <w:noProof/>
          <w:lang w:val="en-US"/>
        </w:rPr>
        <w:pict>
          <v:line id="_x0000_s1033" style="position:absolute;z-index:13" from="0,319.2pt" to="27pt,319.2pt"/>
        </w:pict>
      </w:r>
      <w:r>
        <w:rPr>
          <w:noProof/>
          <w:lang w:val="en-US"/>
        </w:rPr>
        <w:pict>
          <v:line id="_x0000_s1034" style="position:absolute;z-index:14" from="0,280.65pt" to="27pt,280.65pt"/>
        </w:pict>
      </w:r>
      <w:r>
        <w:rPr>
          <w:noProof/>
          <w:lang w:val="en-US"/>
        </w:rPr>
        <w:pict>
          <v:line id="_x0000_s1035" style="position:absolute;z-index:15" from="0,247.2pt" to="27pt,247.2pt"/>
        </w:pict>
      </w:r>
      <w:r>
        <w:rPr>
          <w:noProof/>
          <w:lang w:val="en-US"/>
        </w:rPr>
        <w:pict>
          <v:line id="_x0000_s1036" style="position:absolute;z-index:12" from="0,355.2pt" to="27pt,355.2pt"/>
        </w:pict>
      </w:r>
      <w:r>
        <w:rPr>
          <w:noProof/>
          <w:lang w:val="en-US"/>
        </w:rPr>
        <w:pict>
          <v:shape id="_x0000_s1037" type="#_x0000_t202" style="position:absolute;margin-left:27pt;margin-top:346.2pt;width:81pt;height:25.3pt;z-index:11">
            <v:textbox style="mso-next-textbox:#_x0000_s1037">
              <w:txbxContent>
                <w:p w:rsidR="00E25107" w:rsidRPr="00D8090C" w:rsidRDefault="00E25107" w:rsidP="007A625D">
                  <w:pPr>
                    <w:rPr>
                      <w:rFonts w:cs="Arial"/>
                      <w:color w:val="FF0000"/>
                      <w:sz w:val="20"/>
                    </w:rPr>
                  </w:pPr>
                  <w:r w:rsidRPr="00D8090C">
                    <w:rPr>
                      <w:rFonts w:cs="Arial"/>
                      <w:b/>
                      <w:color w:val="FF0000"/>
                      <w:sz w:val="20"/>
                    </w:rPr>
                    <w:t>Never events</w:t>
                  </w:r>
                </w:p>
                <w:p w:rsidR="00E25107" w:rsidRPr="00D8090C" w:rsidRDefault="00E25107" w:rsidP="007A625D">
                  <w:pPr>
                    <w:jc w:val="center"/>
                    <w:rPr>
                      <w:rFonts w:cs="Arial"/>
                      <w:color w:val="FF0000"/>
                      <w:sz w:val="20"/>
                    </w:rPr>
                  </w:pPr>
                </w:p>
              </w:txbxContent>
            </v:textbox>
          </v:shape>
        </w:pict>
      </w:r>
      <w:r>
        <w:rPr>
          <w:noProof/>
          <w:lang w:val="en-US"/>
        </w:rPr>
        <w:pict>
          <v:shape id="_x0000_s1038" type="#_x0000_t202" style="position:absolute;margin-left:27pt;margin-top:301.2pt;width:81pt;height:36pt;z-index:10">
            <v:textbox style="mso-next-textbox:#_x0000_s1038">
              <w:txbxContent>
                <w:p w:rsidR="00E25107" w:rsidRPr="00D8090C" w:rsidRDefault="00E25107" w:rsidP="007A625D">
                  <w:pPr>
                    <w:rPr>
                      <w:rFonts w:cs="Arial"/>
                      <w:b/>
                      <w:color w:val="FF0000"/>
                      <w:sz w:val="20"/>
                    </w:rPr>
                  </w:pPr>
                  <w:r w:rsidRPr="00D8090C">
                    <w:rPr>
                      <w:rFonts w:cs="Arial"/>
                      <w:b/>
                      <w:color w:val="FF0000"/>
                      <w:sz w:val="20"/>
                    </w:rPr>
                    <w:t xml:space="preserve">AQ </w:t>
                  </w:r>
                </w:p>
                <w:p w:rsidR="00E25107" w:rsidRPr="00D8090C" w:rsidRDefault="00E25107" w:rsidP="007A625D">
                  <w:pPr>
                    <w:rPr>
                      <w:rFonts w:cs="Arial"/>
                      <w:b/>
                      <w:color w:val="FF0000"/>
                      <w:sz w:val="20"/>
                    </w:rPr>
                  </w:pPr>
                  <w:r>
                    <w:rPr>
                      <w:rFonts w:cs="Arial"/>
                      <w:color w:val="FF0000"/>
                      <w:sz w:val="20"/>
                    </w:rPr>
                    <w:t>NW England</w:t>
                  </w:r>
                </w:p>
                <w:p w:rsidR="00E25107" w:rsidRPr="00F43C78" w:rsidRDefault="00E25107" w:rsidP="007A625D">
                  <w:pPr>
                    <w:rPr>
                      <w:rFonts w:cs="Arial"/>
                      <w:sz w:val="20"/>
                    </w:rPr>
                  </w:pPr>
                </w:p>
              </w:txbxContent>
            </v:textbox>
          </v:shape>
        </w:pict>
      </w:r>
      <w:r>
        <w:rPr>
          <w:noProof/>
          <w:lang w:val="en-US"/>
        </w:rPr>
        <w:pict>
          <v:shape id="_x0000_s1039" type="#_x0000_t202" style="position:absolute;margin-left:27pt;margin-top:266.9pt;width:81pt;height:25.3pt;z-index:9">
            <v:textbox style="mso-next-textbox:#_x0000_s1039">
              <w:txbxContent>
                <w:p w:rsidR="00E25107" w:rsidRPr="00D8090C" w:rsidRDefault="00E25107" w:rsidP="007A625D">
                  <w:pPr>
                    <w:rPr>
                      <w:rFonts w:cs="Arial"/>
                      <w:color w:val="FF0000"/>
                      <w:sz w:val="20"/>
                    </w:rPr>
                  </w:pPr>
                  <w:r w:rsidRPr="00D8090C">
                    <w:rPr>
                      <w:rFonts w:cs="Arial"/>
                      <w:b/>
                      <w:color w:val="FF0000"/>
                      <w:sz w:val="20"/>
                    </w:rPr>
                    <w:t>BPTs</w:t>
                  </w:r>
                </w:p>
                <w:p w:rsidR="00E25107" w:rsidRPr="00F43C78" w:rsidRDefault="00E25107" w:rsidP="007A625D">
                  <w:pPr>
                    <w:jc w:val="center"/>
                    <w:rPr>
                      <w:rFonts w:cs="Arial"/>
                      <w:sz w:val="20"/>
                    </w:rPr>
                  </w:pPr>
                </w:p>
              </w:txbxContent>
            </v:textbox>
          </v:shape>
        </w:pict>
      </w:r>
      <w:r>
        <w:rPr>
          <w:noProof/>
          <w:lang w:val="en-US"/>
        </w:rPr>
        <w:pict>
          <v:shape id="_x0000_s1040" type="#_x0000_t202" style="position:absolute;margin-left:303.75pt;margin-top:278.25pt;width:90pt;height:27pt;z-index:24">
            <v:textbox style="mso-next-textbox:#_x0000_s1040">
              <w:txbxContent>
                <w:p w:rsidR="00E25107" w:rsidRPr="004027EC" w:rsidRDefault="00E25107" w:rsidP="007A625D">
                  <w:pPr>
                    <w:jc w:val="center"/>
                    <w:rPr>
                      <w:rFonts w:cs="Arial"/>
                      <w:b/>
                      <w:sz w:val="18"/>
                      <w:szCs w:val="18"/>
                    </w:rPr>
                  </w:pPr>
                  <w:r w:rsidRPr="004027EC">
                    <w:rPr>
                      <w:rFonts w:cs="Arial"/>
                      <w:b/>
                      <w:sz w:val="18"/>
                      <w:szCs w:val="18"/>
                    </w:rPr>
                    <w:t>Purchasers (Commissioners)</w:t>
                  </w:r>
                </w:p>
              </w:txbxContent>
            </v:textbox>
          </v:shape>
        </w:pict>
      </w:r>
      <w:r>
        <w:rPr>
          <w:noProof/>
          <w:lang w:val="en-US"/>
        </w:rPr>
        <w:pict>
          <v:line id="_x0000_s1041" style="position:absolute;flip:y;z-index:26" from="321.75pt,305.25pt" to="321.75pt,368.25pt">
            <v:stroke endarrow="block"/>
          </v:line>
        </w:pict>
      </w:r>
      <w:r>
        <w:rPr>
          <w:noProof/>
          <w:lang w:val="en-US"/>
        </w:rPr>
        <w:pict>
          <v:line id="_x0000_s1042" style="position:absolute;z-index:28" from="384.75pt,305.25pt" to="384.75pt,368.25pt">
            <v:stroke endarrow="block"/>
          </v:line>
        </w:pict>
      </w:r>
      <w:r>
        <w:rPr>
          <w:noProof/>
          <w:lang w:val="en-US"/>
        </w:rPr>
        <w:pict>
          <v:shape id="_x0000_s1043" type="#_x0000_t202" style="position:absolute;margin-left:258.75pt;margin-top:368.25pt;width:1in;height:27pt;z-index:23">
            <v:textbox style="mso-next-textbox:#_x0000_s1043">
              <w:txbxContent>
                <w:p w:rsidR="00E25107" w:rsidRPr="004027EC" w:rsidRDefault="00E25107" w:rsidP="007A625D">
                  <w:pPr>
                    <w:jc w:val="center"/>
                    <w:rPr>
                      <w:rFonts w:cs="Arial"/>
                      <w:b/>
                      <w:sz w:val="18"/>
                      <w:szCs w:val="18"/>
                    </w:rPr>
                  </w:pPr>
                  <w:r w:rsidRPr="004027EC">
                    <w:rPr>
                      <w:rFonts w:cs="Arial"/>
                      <w:b/>
                      <w:sz w:val="18"/>
                      <w:szCs w:val="18"/>
                    </w:rPr>
                    <w:t>National hip # registry</w:t>
                  </w:r>
                </w:p>
              </w:txbxContent>
            </v:textbox>
          </v:shape>
        </w:pict>
      </w:r>
      <w:r>
        <w:rPr>
          <w:noProof/>
          <w:lang w:val="en-US"/>
        </w:rPr>
        <w:pict>
          <v:shape id="_x0000_s1044" type="#_x0000_t202" style="position:absolute;margin-left:261pt;margin-top:323.25pt;width:62.45pt;height:27pt;z-index:31" filled="f" stroked="f">
            <v:textbox style="mso-next-textbox:#_x0000_s1044">
              <w:txbxContent>
                <w:p w:rsidR="00E25107" w:rsidRPr="004027EC" w:rsidRDefault="00E25107" w:rsidP="007A625D">
                  <w:pPr>
                    <w:jc w:val="right"/>
                    <w:rPr>
                      <w:rFonts w:cs="Arial"/>
                      <w:sz w:val="16"/>
                      <w:szCs w:val="16"/>
                    </w:rPr>
                  </w:pPr>
                  <w:r>
                    <w:rPr>
                      <w:rFonts w:cs="Arial"/>
                      <w:sz w:val="16"/>
                      <w:szCs w:val="16"/>
                    </w:rPr>
                    <w:t>Compliance</w:t>
                  </w:r>
                </w:p>
              </w:txbxContent>
            </v:textbox>
          </v:shape>
        </w:pict>
      </w:r>
      <w:r>
        <w:rPr>
          <w:noProof/>
          <w:lang w:val="en-US"/>
        </w:rPr>
        <w:pict>
          <v:shape id="_x0000_s1045" type="#_x0000_t202" style="position:absolute;margin-left:382.2pt;margin-top:324.1pt;width:49.8pt;height:27pt;z-index:30" filled="f" stroked="f">
            <v:textbox style="mso-next-textbox:#_x0000_s1045">
              <w:txbxContent>
                <w:p w:rsidR="00E25107" w:rsidRPr="004027EC" w:rsidRDefault="00E25107" w:rsidP="007A625D">
                  <w:pPr>
                    <w:rPr>
                      <w:rFonts w:cs="Arial"/>
                      <w:sz w:val="16"/>
                      <w:szCs w:val="16"/>
                    </w:rPr>
                  </w:pPr>
                  <w:r>
                    <w:rPr>
                      <w:rFonts w:cs="Arial"/>
                      <w:sz w:val="16"/>
                      <w:szCs w:val="16"/>
                    </w:rPr>
                    <w:t>Payment</w:t>
                  </w:r>
                </w:p>
              </w:txbxContent>
            </v:textbox>
          </v:shape>
        </w:pict>
      </w:r>
      <w:r>
        <w:rPr>
          <w:noProof/>
          <w:lang w:val="en-US"/>
        </w:rPr>
        <w:pict>
          <v:shape id="_x0000_s1046" type="#_x0000_t202" style="position:absolute;margin-left:243pt;margin-top:249pt;width:213.75pt;height:162pt;z-index:21">
            <v:textbox style="mso-next-textbox:#_x0000_s1046">
              <w:txbxContent>
                <w:p w:rsidR="00E25107" w:rsidRPr="004027EC" w:rsidRDefault="00E25107" w:rsidP="007A625D">
                  <w:pPr>
                    <w:rPr>
                      <w:rFonts w:cs="Arial"/>
                      <w:b/>
                      <w:color w:val="FF0000"/>
                      <w:sz w:val="22"/>
                      <w:szCs w:val="22"/>
                    </w:rPr>
                  </w:pPr>
                  <w:r>
                    <w:rPr>
                      <w:rFonts w:cs="Arial"/>
                      <w:b/>
                      <w:color w:val="FF0000"/>
                      <w:sz w:val="22"/>
                      <w:szCs w:val="22"/>
                    </w:rPr>
                    <w:t xml:space="preserve"> </w:t>
                  </w:r>
                </w:p>
                <w:p w:rsidR="00E25107" w:rsidRDefault="00E25107" w:rsidP="007A625D"/>
              </w:txbxContent>
            </v:textbox>
          </v:shape>
        </w:pict>
      </w:r>
      <w:r>
        <w:rPr>
          <w:noProof/>
          <w:lang w:val="en-US"/>
        </w:rPr>
        <w:pict>
          <v:shape id="_x0000_s1047" type="#_x0000_t202" style="position:absolute;margin-left:375.75pt;margin-top:368.25pt;width:74.25pt;height:27pt;z-index:22">
            <v:textbox style="mso-next-textbox:#_x0000_s1047">
              <w:txbxContent>
                <w:p w:rsidR="00E25107" w:rsidRPr="004027EC" w:rsidRDefault="00E25107" w:rsidP="007A625D">
                  <w:pPr>
                    <w:jc w:val="center"/>
                    <w:rPr>
                      <w:rFonts w:cs="Arial"/>
                      <w:b/>
                      <w:sz w:val="18"/>
                      <w:szCs w:val="18"/>
                    </w:rPr>
                  </w:pPr>
                  <w:r w:rsidRPr="004027EC">
                    <w:rPr>
                      <w:rFonts w:cs="Arial"/>
                      <w:b/>
                      <w:sz w:val="18"/>
                      <w:szCs w:val="18"/>
                    </w:rPr>
                    <w:t>Local hosp</w:t>
                  </w:r>
                  <w:r>
                    <w:rPr>
                      <w:rFonts w:cs="Arial"/>
                      <w:b/>
                      <w:sz w:val="18"/>
                      <w:szCs w:val="18"/>
                    </w:rPr>
                    <w:t>ital</w:t>
                  </w:r>
                </w:p>
              </w:txbxContent>
            </v:textbox>
          </v:shape>
        </w:pict>
      </w:r>
      <w:r>
        <w:rPr>
          <w:noProof/>
          <w:lang w:val="en-US"/>
        </w:rPr>
        <w:pict>
          <v:shape id="_x0000_s1048" type="#_x0000_t202" style="position:absolute;margin-left:231.75pt;margin-top:249pt;width:149.25pt;height:27pt;z-index:25" filled="f" stroked="f">
            <v:textbox style="mso-next-textbox:#_x0000_s1048">
              <w:txbxContent>
                <w:p w:rsidR="00E25107" w:rsidRPr="004027EC" w:rsidRDefault="00E25107" w:rsidP="007A625D">
                  <w:pPr>
                    <w:jc w:val="center"/>
                    <w:rPr>
                      <w:rFonts w:cs="Arial"/>
                      <w:b/>
                      <w:sz w:val="22"/>
                      <w:szCs w:val="22"/>
                    </w:rPr>
                  </w:pPr>
                  <w:r w:rsidRPr="004027EC">
                    <w:rPr>
                      <w:rFonts w:cs="Arial"/>
                      <w:b/>
                      <w:sz w:val="22"/>
                      <w:szCs w:val="22"/>
                    </w:rPr>
                    <w:t xml:space="preserve">Figure 2. BPTs </w:t>
                  </w:r>
                  <w:r w:rsidRPr="00FD6B75">
                    <w:rPr>
                      <w:rFonts w:cs="Arial"/>
                      <w:sz w:val="22"/>
                      <w:szCs w:val="22"/>
                    </w:rPr>
                    <w:t>(</w:t>
                  </w:r>
                  <w:r w:rsidRPr="004027EC">
                    <w:rPr>
                      <w:rFonts w:cs="Arial"/>
                      <w:sz w:val="22"/>
                      <w:szCs w:val="22"/>
                    </w:rPr>
                    <w:t>Hip #</w:t>
                  </w:r>
                  <w:r>
                    <w:rPr>
                      <w:rFonts w:cs="Arial"/>
                      <w:sz w:val="22"/>
                      <w:szCs w:val="22"/>
                    </w:rPr>
                    <w:t>)</w:t>
                  </w:r>
                </w:p>
              </w:txbxContent>
            </v:textbox>
          </v:shape>
        </w:pict>
      </w:r>
      <w:r>
        <w:rPr>
          <w:noProof/>
          <w:lang w:val="en-US"/>
        </w:rPr>
        <w:pict>
          <v:shape id="_x0000_s1049" type="#_x0000_t202" style="position:absolute;margin-left:338.9pt;margin-top:366.9pt;width:36pt;height:18pt;z-index:29" filled="f" stroked="f">
            <v:textbox style="mso-next-textbox:#_x0000_s1049">
              <w:txbxContent>
                <w:p w:rsidR="00E25107" w:rsidRPr="004027EC" w:rsidRDefault="00E25107" w:rsidP="007A625D">
                  <w:pPr>
                    <w:rPr>
                      <w:rFonts w:cs="Arial"/>
                      <w:sz w:val="16"/>
                      <w:szCs w:val="16"/>
                    </w:rPr>
                  </w:pPr>
                  <w:r>
                    <w:rPr>
                      <w:rFonts w:cs="Arial"/>
                      <w:sz w:val="16"/>
                      <w:szCs w:val="16"/>
                    </w:rPr>
                    <w:t>data</w:t>
                  </w:r>
                </w:p>
              </w:txbxContent>
            </v:textbox>
          </v:shape>
        </w:pict>
      </w:r>
      <w:r>
        <w:rPr>
          <w:noProof/>
          <w:lang w:val="en-US"/>
        </w:rPr>
        <w:pict>
          <v:line id="_x0000_s1050" style="position:absolute;flip:x;z-index:27" from="330.75pt,382.85pt" to="375.75pt,382.85pt">
            <v:stroke endarrow="block"/>
          </v:line>
        </w:pict>
      </w:r>
      <w:r>
        <w:rPr>
          <w:noProof/>
          <w:lang w:val="en-US"/>
        </w:rPr>
        <w:pict>
          <v:shape id="_x0000_s1051" type="#_x0000_t202" style="position:absolute;margin-left:27pt;margin-top:386.45pt;width:171pt;height:27pt;z-index:17">
            <v:stroke dashstyle="dash"/>
            <v:textbox style="mso-next-textbox:#_x0000_s1051">
              <w:txbxContent>
                <w:p w:rsidR="00E25107" w:rsidRPr="00D8090C" w:rsidRDefault="00E25107" w:rsidP="007A625D">
                  <w:pPr>
                    <w:rPr>
                      <w:rFonts w:cs="Arial"/>
                      <w:color w:val="FF0000"/>
                      <w:sz w:val="20"/>
                    </w:rPr>
                  </w:pPr>
                  <w:r>
                    <w:rPr>
                      <w:rFonts w:cs="Arial"/>
                      <w:b/>
                      <w:color w:val="FF0000"/>
                      <w:sz w:val="20"/>
                    </w:rPr>
                    <w:t>Annual casemix tariff reductions</w:t>
                  </w:r>
                </w:p>
                <w:p w:rsidR="00E25107" w:rsidRPr="00D8090C" w:rsidRDefault="00E25107" w:rsidP="007A625D">
                  <w:pPr>
                    <w:jc w:val="center"/>
                    <w:rPr>
                      <w:rFonts w:cs="Arial"/>
                      <w:color w:val="FF0000"/>
                      <w:sz w:val="20"/>
                    </w:rPr>
                  </w:pPr>
                </w:p>
              </w:txbxContent>
            </v:textbox>
          </v:shape>
        </w:pict>
      </w:r>
      <w:r>
        <w:rPr>
          <w:noProof/>
          <w:lang w:val="en-US"/>
        </w:rPr>
        <w:pict>
          <v:line id="_x0000_s1052" style="position:absolute;z-index:32" from="108pt,289.2pt" to="243pt,289.2pt" strokecolor="red">
            <v:stroke dashstyle="dash" endarrow="block"/>
          </v:line>
        </w:pict>
      </w:r>
      <w:r>
        <w:rPr>
          <w:noProof/>
          <w:lang w:val="en-US"/>
        </w:rPr>
        <w:pict>
          <v:shape id="_x0000_s1053" type="#_x0000_t202" style="position:absolute;margin-left:189pt;margin-top:10.15pt;width:198pt;height:27pt;z-index:3" strokecolor="blue">
            <v:textbox style="mso-next-textbox:#_x0000_s1053">
              <w:txbxContent>
                <w:p w:rsidR="00E25107" w:rsidRPr="00D8090C" w:rsidRDefault="00E25107" w:rsidP="007A625D">
                  <w:pPr>
                    <w:jc w:val="center"/>
                    <w:rPr>
                      <w:rFonts w:cs="Arial"/>
                      <w:b/>
                      <w:color w:val="0000FF"/>
                      <w:sz w:val="20"/>
                    </w:rPr>
                  </w:pPr>
                  <w:r w:rsidRPr="00D8090C">
                    <w:rPr>
                      <w:rFonts w:cs="Arial"/>
                      <w:b/>
                      <w:color w:val="0000FF"/>
                      <w:sz w:val="20"/>
                    </w:rPr>
                    <w:t>PRIMARY CARE &amp; OTHER SECTORS</w:t>
                  </w:r>
                </w:p>
                <w:p w:rsidR="00E25107" w:rsidRPr="00D8090C" w:rsidRDefault="00E25107" w:rsidP="007A625D">
                  <w:pPr>
                    <w:rPr>
                      <w:rFonts w:cs="Arial"/>
                      <w:color w:val="0000FF"/>
                      <w:sz w:val="20"/>
                    </w:rPr>
                  </w:pPr>
                </w:p>
              </w:txbxContent>
            </v:textbox>
          </v:shape>
        </w:pict>
      </w:r>
      <w:r>
        <w:rPr>
          <w:noProof/>
          <w:lang w:val="en-US"/>
        </w:rPr>
        <w:pict>
          <v:shape id="_x0000_s1054" type="#_x0000_t202" style="position:absolute;margin-left:-18pt;margin-top:10.15pt;width:2in;height:27pt;z-index:2" strokecolor="red">
            <v:textbox style="mso-next-textbox:#_x0000_s1054">
              <w:txbxContent>
                <w:p w:rsidR="00E25107" w:rsidRPr="00D8090C" w:rsidRDefault="00E25107" w:rsidP="007A625D">
                  <w:pPr>
                    <w:jc w:val="center"/>
                    <w:rPr>
                      <w:rFonts w:cs="Arial"/>
                      <w:b/>
                      <w:color w:val="FF0000"/>
                      <w:sz w:val="20"/>
                    </w:rPr>
                  </w:pPr>
                  <w:r w:rsidRPr="00D8090C">
                    <w:rPr>
                      <w:rFonts w:cs="Arial"/>
                      <w:b/>
                      <w:color w:val="FF0000"/>
                      <w:sz w:val="20"/>
                    </w:rPr>
                    <w:t>HOSPITALS</w:t>
                  </w:r>
                  <w:r>
                    <w:rPr>
                      <w:rFonts w:cs="Arial"/>
                      <w:b/>
                      <w:color w:val="FF0000"/>
                      <w:sz w:val="20"/>
                    </w:rPr>
                    <w:t xml:space="preserve"> (NHS Trusts)</w:t>
                  </w:r>
                </w:p>
                <w:p w:rsidR="00E25107" w:rsidRPr="00F43C78" w:rsidRDefault="00E25107" w:rsidP="007A625D">
                  <w:pPr>
                    <w:rPr>
                      <w:rFonts w:cs="Arial"/>
                      <w:sz w:val="20"/>
                    </w:rPr>
                  </w:pPr>
                </w:p>
              </w:txbxContent>
            </v:textbox>
          </v:shape>
        </w:pict>
      </w:r>
    </w:p>
    <w:p w:rsidR="007A1C4A" w:rsidRDefault="007A1C4A" w:rsidP="007A625D">
      <w:pPr>
        <w:spacing w:before="120" w:after="120" w:line="264" w:lineRule="auto"/>
        <w:rPr>
          <w:rFonts w:cs="Arial"/>
          <w:b/>
          <w:color w:val="000000"/>
          <w:sz w:val="21"/>
          <w:szCs w:val="21"/>
        </w:rPr>
      </w:pPr>
    </w:p>
    <w:p w:rsidR="007A1C4A" w:rsidRDefault="00136D25" w:rsidP="007A625D">
      <w:pPr>
        <w:spacing w:before="120" w:after="120" w:line="264" w:lineRule="auto"/>
        <w:jc w:val="both"/>
        <w:rPr>
          <w:rFonts w:cs="Arial"/>
          <w:b/>
          <w:color w:val="000000"/>
          <w:sz w:val="21"/>
          <w:szCs w:val="21"/>
        </w:rPr>
      </w:pPr>
      <w:r>
        <w:rPr>
          <w:noProof/>
          <w:lang w:val="en-US"/>
        </w:rPr>
        <w:pict>
          <v:shape id="_x0000_s1055" type="#_x0000_t202" style="position:absolute;left:0;text-align:left;margin-left:50.25pt;margin-top:6.3pt;width:264.75pt;height:27pt;z-index:19" filled="f" stroked="f">
            <v:textbox style="mso-next-textbox:#_x0000_s1055">
              <w:txbxContent>
                <w:p w:rsidR="00E25107" w:rsidRPr="00661DAB" w:rsidRDefault="00E25107" w:rsidP="007A625D">
                  <w:pPr>
                    <w:jc w:val="center"/>
                    <w:rPr>
                      <w:rFonts w:cs="Arial"/>
                      <w:b/>
                      <w:i/>
                      <w:color w:val="008000"/>
                    </w:rPr>
                  </w:pPr>
                  <w:r>
                    <w:rPr>
                      <w:rFonts w:cs="Arial"/>
                      <w:b/>
                      <w:i/>
                      <w:color w:val="008000"/>
                    </w:rPr>
                    <w:t>Non-financial</w:t>
                  </w:r>
                  <w:r w:rsidRPr="00661DAB">
                    <w:rPr>
                      <w:rFonts w:cs="Arial"/>
                      <w:b/>
                      <w:i/>
                      <w:color w:val="008000"/>
                    </w:rPr>
                    <w:t xml:space="preserve"> </w:t>
                  </w:r>
                  <w:r>
                    <w:rPr>
                      <w:rFonts w:cs="Arial"/>
                      <w:b/>
                      <w:i/>
                      <w:color w:val="008000"/>
                    </w:rPr>
                    <w:t>mechanisms</w:t>
                  </w:r>
                </w:p>
              </w:txbxContent>
            </v:textbox>
          </v:shape>
        </w:pict>
      </w:r>
      <w:r w:rsidR="007A1C4A">
        <w:rPr>
          <w:rFonts w:cs="Arial"/>
          <w:b/>
          <w:color w:val="000000"/>
          <w:sz w:val="21"/>
          <w:szCs w:val="21"/>
        </w:rPr>
        <w:t xml:space="preserve">                                                                  </w:t>
      </w:r>
    </w:p>
    <w:p w:rsidR="007A1C4A" w:rsidRDefault="007A1C4A" w:rsidP="007A625D">
      <w:pPr>
        <w:spacing w:before="120" w:after="120" w:line="264" w:lineRule="auto"/>
        <w:rPr>
          <w:rFonts w:cs="Arial"/>
          <w:b/>
          <w:color w:val="000000"/>
          <w:sz w:val="21"/>
          <w:szCs w:val="21"/>
        </w:rPr>
      </w:pPr>
    </w:p>
    <w:p w:rsidR="007A1C4A" w:rsidRDefault="00136D25" w:rsidP="007A625D">
      <w:pPr>
        <w:spacing w:before="120" w:after="120" w:line="264" w:lineRule="auto"/>
        <w:rPr>
          <w:rFonts w:cs="Arial"/>
          <w:b/>
          <w:color w:val="000000"/>
          <w:sz w:val="21"/>
          <w:szCs w:val="21"/>
        </w:rPr>
      </w:pPr>
      <w:r>
        <w:rPr>
          <w:noProof/>
          <w:lang w:val="en-US"/>
        </w:rPr>
        <w:pict>
          <v:shape id="_x0000_s1056" type="#_x0000_t202" style="position:absolute;margin-left:18pt;margin-top:1.9pt;width:297pt;height:24.15pt;z-index:1">
            <v:textbox style="mso-next-textbox:#_x0000_s1056">
              <w:txbxContent>
                <w:p w:rsidR="00E25107" w:rsidRPr="00B001F1" w:rsidRDefault="00E25107" w:rsidP="007A625D">
                  <w:pPr>
                    <w:jc w:val="center"/>
                    <w:rPr>
                      <w:rFonts w:cs="Arial"/>
                      <w:b/>
                      <w:sz w:val="20"/>
                    </w:rPr>
                  </w:pPr>
                  <w:r>
                    <w:rPr>
                      <w:rFonts w:cs="Arial"/>
                      <w:b/>
                      <w:sz w:val="20"/>
                    </w:rPr>
                    <w:t>Monitoring (</w:t>
                  </w:r>
                  <w:r>
                    <w:rPr>
                      <w:rFonts w:cs="Arial"/>
                      <w:sz w:val="20"/>
                    </w:rPr>
                    <w:t>Care Quality Commission)</w:t>
                  </w:r>
                </w:p>
              </w:txbxContent>
            </v:textbox>
          </v:shape>
        </w:pict>
      </w:r>
    </w:p>
    <w:p w:rsidR="007A1C4A" w:rsidRDefault="007A1C4A" w:rsidP="007A625D">
      <w:pPr>
        <w:spacing w:before="120" w:after="120" w:line="264" w:lineRule="auto"/>
        <w:rPr>
          <w:rFonts w:cs="Arial"/>
          <w:b/>
          <w:color w:val="000000"/>
          <w:sz w:val="21"/>
          <w:szCs w:val="21"/>
        </w:rPr>
      </w:pPr>
    </w:p>
    <w:p w:rsidR="007A1C4A" w:rsidRDefault="00136D25" w:rsidP="007A625D">
      <w:pPr>
        <w:spacing w:before="120" w:after="120" w:line="264" w:lineRule="auto"/>
        <w:rPr>
          <w:rFonts w:cs="Arial"/>
          <w:b/>
          <w:color w:val="000000"/>
          <w:sz w:val="21"/>
          <w:szCs w:val="21"/>
        </w:rPr>
      </w:pPr>
      <w:r>
        <w:rPr>
          <w:noProof/>
          <w:lang w:val="en-US"/>
        </w:rPr>
        <w:pict>
          <v:shape id="_x0000_s1057" type="#_x0000_t202" style="position:absolute;margin-left:18pt;margin-top:.7pt;width:297pt;height:24.15pt;z-index:4">
            <v:textbox style="mso-next-textbox:#_x0000_s1057">
              <w:txbxContent>
                <w:p w:rsidR="00E25107" w:rsidRPr="00B001F1" w:rsidRDefault="00E25107" w:rsidP="007A625D">
                  <w:pPr>
                    <w:jc w:val="center"/>
                    <w:rPr>
                      <w:rFonts w:cs="Arial"/>
                      <w:b/>
                      <w:sz w:val="20"/>
                    </w:rPr>
                  </w:pPr>
                  <w:r>
                    <w:rPr>
                      <w:rFonts w:cs="Arial"/>
                      <w:b/>
                      <w:sz w:val="20"/>
                    </w:rPr>
                    <w:t>Standards (</w:t>
                  </w:r>
                  <w:r>
                    <w:rPr>
                      <w:rFonts w:cs="Arial"/>
                      <w:sz w:val="20"/>
                    </w:rPr>
                    <w:t xml:space="preserve">NICE) </w:t>
                  </w:r>
                </w:p>
                <w:p w:rsidR="00E25107" w:rsidRPr="00F43C78" w:rsidRDefault="00E25107" w:rsidP="007A625D">
                  <w:pPr>
                    <w:jc w:val="center"/>
                    <w:rPr>
                      <w:rFonts w:cs="Arial"/>
                      <w:sz w:val="20"/>
                    </w:rPr>
                  </w:pPr>
                </w:p>
              </w:txbxContent>
            </v:textbox>
          </v:shape>
        </w:pict>
      </w:r>
    </w:p>
    <w:p w:rsidR="007A1C4A" w:rsidRDefault="007A1C4A" w:rsidP="007A625D">
      <w:pPr>
        <w:spacing w:before="120" w:after="120" w:line="264" w:lineRule="auto"/>
        <w:rPr>
          <w:rFonts w:cs="Arial"/>
          <w:b/>
          <w:color w:val="000000"/>
          <w:sz w:val="21"/>
          <w:szCs w:val="21"/>
        </w:rPr>
      </w:pPr>
    </w:p>
    <w:p w:rsidR="007A1C4A" w:rsidRDefault="00136D25" w:rsidP="007A625D">
      <w:pPr>
        <w:spacing w:before="120" w:after="120" w:line="264" w:lineRule="auto"/>
        <w:rPr>
          <w:rFonts w:cs="Arial"/>
          <w:b/>
          <w:color w:val="000000"/>
          <w:sz w:val="21"/>
          <w:szCs w:val="21"/>
        </w:rPr>
      </w:pPr>
      <w:r>
        <w:rPr>
          <w:noProof/>
          <w:lang w:val="en-US"/>
        </w:rPr>
        <w:pict>
          <v:shape id="_x0000_s1058" type="#_x0000_t202" style="position:absolute;margin-left:54pt;margin-top:.55pt;width:3in;height:27pt;z-index:20" filled="f" stroked="f">
            <v:textbox style="mso-next-textbox:#_x0000_s1058">
              <w:txbxContent>
                <w:p w:rsidR="00E25107" w:rsidRPr="00661DAB" w:rsidRDefault="00E25107" w:rsidP="007A625D">
                  <w:pPr>
                    <w:jc w:val="center"/>
                    <w:rPr>
                      <w:rFonts w:cs="Arial"/>
                      <w:b/>
                      <w:i/>
                      <w:color w:val="008000"/>
                    </w:rPr>
                  </w:pPr>
                  <w:r>
                    <w:rPr>
                      <w:rFonts w:cs="Arial"/>
                      <w:b/>
                      <w:i/>
                      <w:color w:val="008000"/>
                    </w:rPr>
                    <w:t>Financial</w:t>
                  </w:r>
                  <w:r w:rsidRPr="00661DAB">
                    <w:rPr>
                      <w:rFonts w:cs="Arial"/>
                      <w:b/>
                      <w:i/>
                      <w:color w:val="008000"/>
                    </w:rPr>
                    <w:t xml:space="preserve"> </w:t>
                  </w:r>
                  <w:r>
                    <w:rPr>
                      <w:rFonts w:cs="Arial"/>
                      <w:b/>
                      <w:i/>
                      <w:color w:val="008000"/>
                    </w:rPr>
                    <w:t>mechanisms</w:t>
                  </w:r>
                </w:p>
              </w:txbxContent>
            </v:textbox>
          </v:shape>
        </w:pict>
      </w:r>
    </w:p>
    <w:p w:rsidR="007A1C4A" w:rsidRDefault="007A1C4A" w:rsidP="007A625D">
      <w:pPr>
        <w:spacing w:before="120" w:after="120" w:line="264" w:lineRule="auto"/>
        <w:rPr>
          <w:rFonts w:cs="Arial"/>
          <w:b/>
          <w:color w:val="000000"/>
          <w:sz w:val="21"/>
          <w:szCs w:val="21"/>
        </w:rPr>
      </w:pPr>
    </w:p>
    <w:p w:rsidR="007A1C4A" w:rsidRDefault="007A1C4A" w:rsidP="007A625D">
      <w:pPr>
        <w:spacing w:before="120" w:after="120" w:line="264" w:lineRule="auto"/>
        <w:rPr>
          <w:rFonts w:cs="Arial"/>
          <w:b/>
          <w:color w:val="000000"/>
          <w:sz w:val="21"/>
          <w:szCs w:val="21"/>
        </w:rPr>
      </w:pPr>
    </w:p>
    <w:p w:rsidR="007A1C4A" w:rsidRDefault="007A1C4A" w:rsidP="007A625D">
      <w:pPr>
        <w:spacing w:before="120" w:after="120" w:line="264" w:lineRule="auto"/>
        <w:rPr>
          <w:rFonts w:cs="Arial"/>
          <w:b/>
          <w:color w:val="000000"/>
          <w:sz w:val="21"/>
          <w:szCs w:val="21"/>
        </w:rPr>
      </w:pPr>
    </w:p>
    <w:p w:rsidR="007A1C4A" w:rsidRDefault="007A1C4A" w:rsidP="007A625D">
      <w:pPr>
        <w:spacing w:before="120" w:after="120" w:line="264" w:lineRule="auto"/>
        <w:rPr>
          <w:rFonts w:cs="Arial"/>
          <w:b/>
          <w:color w:val="000000"/>
          <w:sz w:val="21"/>
          <w:szCs w:val="21"/>
        </w:rPr>
      </w:pPr>
    </w:p>
    <w:p w:rsidR="007A1C4A" w:rsidRDefault="007A1C4A" w:rsidP="007A625D">
      <w:pPr>
        <w:spacing w:before="120" w:after="120" w:line="264" w:lineRule="auto"/>
        <w:rPr>
          <w:rFonts w:cs="Arial"/>
          <w:b/>
          <w:color w:val="000000"/>
          <w:sz w:val="21"/>
          <w:szCs w:val="21"/>
        </w:rPr>
      </w:pPr>
    </w:p>
    <w:p w:rsidR="007A1C4A" w:rsidRDefault="007A1C4A" w:rsidP="007A625D">
      <w:pPr>
        <w:spacing w:before="120" w:after="120" w:line="264" w:lineRule="auto"/>
        <w:rPr>
          <w:rFonts w:cs="Arial"/>
          <w:b/>
          <w:color w:val="000000"/>
          <w:sz w:val="21"/>
          <w:szCs w:val="21"/>
        </w:rPr>
      </w:pPr>
    </w:p>
    <w:p w:rsidR="007A1C4A" w:rsidRDefault="007A1C4A" w:rsidP="007A625D">
      <w:pPr>
        <w:spacing w:before="120" w:after="120" w:line="264" w:lineRule="auto"/>
        <w:rPr>
          <w:rFonts w:cs="Arial"/>
          <w:b/>
          <w:color w:val="000000"/>
          <w:sz w:val="21"/>
          <w:szCs w:val="21"/>
        </w:rPr>
      </w:pPr>
    </w:p>
    <w:p w:rsidR="007A1C4A" w:rsidRDefault="007A1C4A" w:rsidP="007A625D"/>
    <w:p w:rsidR="007A1C4A" w:rsidRDefault="007A1C4A" w:rsidP="007A524D">
      <w:pPr>
        <w:spacing w:before="120" w:after="120" w:line="264" w:lineRule="auto"/>
        <w:rPr>
          <w:rFonts w:cs="Arial"/>
          <w:szCs w:val="24"/>
        </w:rPr>
      </w:pPr>
    </w:p>
    <w:p w:rsidR="007A1C4A" w:rsidRDefault="007A1C4A" w:rsidP="007A524D">
      <w:pPr>
        <w:spacing w:before="120" w:after="120" w:line="264" w:lineRule="auto"/>
        <w:rPr>
          <w:rFonts w:cs="Arial"/>
          <w:szCs w:val="24"/>
        </w:rPr>
      </w:pPr>
    </w:p>
    <w:p w:rsidR="007A1C4A" w:rsidRDefault="007A1C4A" w:rsidP="007A524D">
      <w:pPr>
        <w:spacing w:before="120" w:after="120" w:line="264" w:lineRule="auto"/>
        <w:rPr>
          <w:rFonts w:cs="Arial"/>
          <w:szCs w:val="24"/>
        </w:rPr>
      </w:pPr>
    </w:p>
    <w:p w:rsidR="007A1C4A" w:rsidRDefault="007A1C4A" w:rsidP="007A524D">
      <w:pPr>
        <w:spacing w:before="120" w:after="120" w:line="264" w:lineRule="auto"/>
        <w:rPr>
          <w:rFonts w:cs="Arial"/>
          <w:szCs w:val="24"/>
        </w:rPr>
      </w:pPr>
    </w:p>
    <w:p w:rsidR="007A1C4A" w:rsidRDefault="007A1C4A" w:rsidP="007A524D">
      <w:pPr>
        <w:spacing w:before="120" w:after="120" w:line="264" w:lineRule="auto"/>
        <w:rPr>
          <w:rFonts w:cs="Arial"/>
          <w:szCs w:val="24"/>
        </w:rPr>
      </w:pPr>
    </w:p>
    <w:p w:rsidR="007A1C4A" w:rsidRPr="00992A1F" w:rsidRDefault="007A1C4A" w:rsidP="00ED54FD">
      <w:pPr>
        <w:keepNext/>
        <w:keepLines/>
        <w:numPr>
          <w:ilvl w:val="3"/>
          <w:numId w:val="22"/>
        </w:numPr>
        <w:tabs>
          <w:tab w:val="left" w:pos="993"/>
        </w:tabs>
        <w:spacing w:before="120" w:after="120" w:line="264" w:lineRule="auto"/>
        <w:rPr>
          <w:rFonts w:cs="Arial"/>
          <w:b/>
          <w:szCs w:val="24"/>
        </w:rPr>
      </w:pPr>
      <w:r w:rsidRPr="00992A1F">
        <w:rPr>
          <w:rFonts w:cs="Arial"/>
          <w:b/>
          <w:szCs w:val="24"/>
        </w:rPr>
        <w:t xml:space="preserve">Monitoring </w:t>
      </w:r>
    </w:p>
    <w:p w:rsidR="007A1C4A" w:rsidRPr="00584465" w:rsidRDefault="007A1C4A" w:rsidP="007A524D">
      <w:pPr>
        <w:keepNext/>
        <w:keepLines/>
        <w:spacing w:before="120" w:after="120" w:line="264" w:lineRule="auto"/>
        <w:rPr>
          <w:rFonts w:cs="Arial"/>
          <w:szCs w:val="24"/>
        </w:rPr>
      </w:pPr>
      <w:r w:rsidRPr="00584465">
        <w:rPr>
          <w:rFonts w:cs="Arial"/>
          <w:szCs w:val="24"/>
        </w:rPr>
        <w:t>Since 2009 the Care Quality Commission monitors performance of all health and adult social care in England, including hospitals, primary care, and the private and voluntary sector. It investigates healthcare services if performance concerns arise. Since 2010 acute care facilities have to provide annual ‘Quality Accounts’, public reports on the quality of services they provide in terms of safety, effectiveness, and patient experience. The primary aim is to provide patients with information about provider performance. According to the Commonwealth Fund, an extension of Quality Accounts to other care settings such as general practice is planned.</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p>
    <w:p w:rsidR="007A1C4A" w:rsidRPr="00992A1F" w:rsidRDefault="007A1C4A" w:rsidP="00ED54FD">
      <w:pPr>
        <w:numPr>
          <w:ilvl w:val="3"/>
          <w:numId w:val="22"/>
        </w:numPr>
        <w:tabs>
          <w:tab w:val="left" w:pos="993"/>
        </w:tabs>
        <w:spacing w:before="240" w:after="120" w:line="264" w:lineRule="auto"/>
        <w:rPr>
          <w:rFonts w:cs="Arial"/>
          <w:b/>
          <w:szCs w:val="24"/>
        </w:rPr>
      </w:pPr>
      <w:r w:rsidRPr="00992A1F">
        <w:rPr>
          <w:rFonts w:cs="Arial"/>
          <w:b/>
          <w:szCs w:val="24"/>
        </w:rPr>
        <w:t>Quality Standards</w:t>
      </w:r>
    </w:p>
    <w:p w:rsidR="007A1C4A" w:rsidRPr="00584465" w:rsidRDefault="007A1C4A" w:rsidP="007A524D">
      <w:pPr>
        <w:spacing w:before="120" w:after="120" w:line="264" w:lineRule="auto"/>
        <w:rPr>
          <w:rFonts w:cs="Arial"/>
          <w:szCs w:val="24"/>
        </w:rPr>
      </w:pPr>
      <w:r w:rsidRPr="00584465">
        <w:rPr>
          <w:rFonts w:cs="Arial"/>
          <w:szCs w:val="24"/>
        </w:rPr>
        <w:t xml:space="preserve">The National Institute for Health and Clinical Excellence (NICE) develops clinical guidelines for a range of treatments, conditions and procedures. </w:t>
      </w:r>
      <w:r w:rsidRPr="00584465">
        <w:rPr>
          <w:rFonts w:cs="Arial"/>
          <w:color w:val="000000"/>
          <w:szCs w:val="24"/>
        </w:rPr>
        <w:t xml:space="preserve">More recently NICE has been given the responsibility of developing quality </w:t>
      </w:r>
      <w:r w:rsidRPr="00584465">
        <w:rPr>
          <w:rFonts w:cs="Arial"/>
          <w:color w:val="000000"/>
          <w:szCs w:val="24"/>
        </w:rPr>
        <w:lastRenderedPageBreak/>
        <w:t>standards based on existing clinical guidelines. Currently, 180 clinical standards have been referred to NICE by the Department of Health.</w:t>
      </w:r>
      <w:r w:rsidRPr="00584465">
        <w:rPr>
          <w:rFonts w:cs="Arial"/>
          <w:color w:val="000000"/>
          <w:szCs w:val="24"/>
        </w:rPr>
        <w:fldChar w:fldCharType="begin"/>
      </w:r>
      <w:r w:rsidRPr="00584465">
        <w:rPr>
          <w:rFonts w:cs="Arial"/>
          <w:color w:val="000000"/>
          <w:szCs w:val="24"/>
        </w:rPr>
        <w:instrText xml:space="preserve"> ADDIN EN.CITE &lt;EndNote&gt;&lt;Cite&gt;&lt;RecNum&gt;13366&lt;/RecNum&gt;&lt;record&gt;&lt;rec-number&gt;13366&lt;/rec-number&gt;&lt;foreign-keys&gt;&lt;key app="EN" db-id="5r0eapxzsestz4er5zaxe5zqz99fvpawedp5"&gt;13366&lt;/key&gt;&lt;/foreign-keys&gt;&lt;ref-type name="Journal Article"&gt;17&lt;/ref-type&gt;&lt;contributors&gt;&lt;/contributors&gt;&lt;titles&gt;&lt;title&gt;www.nice.org.uk/guidance/qualitystandards/QualityStandardsLibrary.jsp accessed 17 December 2012&lt;/title&gt;&lt;/titles&gt;&lt;dates&gt;&lt;/dates&gt;&lt;urls&gt;&lt;/urls&gt;&lt;/record&gt;&lt;/Cite&gt;&lt;/EndNote&gt;</w:instrText>
      </w:r>
      <w:r w:rsidRPr="00584465">
        <w:rPr>
          <w:rFonts w:cs="Arial"/>
          <w:color w:val="000000"/>
          <w:szCs w:val="24"/>
        </w:rPr>
        <w:fldChar w:fldCharType="separate"/>
      </w:r>
      <w:r w:rsidRPr="00584465">
        <w:rPr>
          <w:rFonts w:cs="Arial"/>
          <w:noProof/>
          <w:color w:val="000000"/>
          <w:szCs w:val="24"/>
          <w:vertAlign w:val="superscript"/>
        </w:rPr>
        <w:t>3</w:t>
      </w:r>
      <w:r w:rsidRPr="00584465">
        <w:rPr>
          <w:rFonts w:cs="Arial"/>
          <w:color w:val="000000"/>
          <w:szCs w:val="24"/>
        </w:rPr>
        <w:fldChar w:fldCharType="end"/>
      </w:r>
      <w:r w:rsidRPr="00584465">
        <w:rPr>
          <w:rFonts w:cs="Arial"/>
          <w:color w:val="000000"/>
          <w:szCs w:val="24"/>
        </w:rPr>
        <w:t xml:space="preserve"> Fifty quality standards have been completed or are </w:t>
      </w:r>
      <w:r>
        <w:rPr>
          <w:rFonts w:cs="Arial"/>
          <w:color w:val="000000"/>
          <w:szCs w:val="24"/>
        </w:rPr>
        <w:t xml:space="preserve">under </w:t>
      </w:r>
      <w:r w:rsidRPr="00584465">
        <w:rPr>
          <w:rFonts w:cs="Arial"/>
          <w:color w:val="000000"/>
          <w:szCs w:val="24"/>
        </w:rPr>
        <w:t>development.</w:t>
      </w:r>
      <w:r w:rsidRPr="00584465">
        <w:rPr>
          <w:rFonts w:cs="Arial"/>
          <w:color w:val="000000"/>
          <w:szCs w:val="24"/>
        </w:rPr>
        <w:fldChar w:fldCharType="begin"/>
      </w:r>
      <w:r w:rsidRPr="00584465">
        <w:rPr>
          <w:rFonts w:cs="Arial"/>
          <w:color w:val="000000"/>
          <w:szCs w:val="24"/>
        </w:rPr>
        <w:instrText xml:space="preserve"> ADDIN EN.CITE &lt;EndNote&gt;&lt;Cite&gt;&lt;RecNum&gt;13367&lt;/RecNum&gt;&lt;record&gt;&lt;rec-number&gt;13367&lt;/rec-number&gt;&lt;foreign-keys&gt;&lt;key app="EN" db-id="5r0eapxzsestz4er5zaxe5zqz99fvpawedp5"&gt;13367&lt;/key&gt;&lt;/foreign-keys&gt;&lt;ref-type name="Journal Article"&gt;17&lt;/ref-type&gt;&lt;contributors&gt;&lt;/contributors&gt;&lt;titles&gt;&lt;title&gt;www.nice.org.uk/guidance/qualitystandards/qualitystandards.jsp?p=off accessed 17 December 2012&lt;/title&gt;&lt;/titles&gt;&lt;dates&gt;&lt;/dates&gt;&lt;urls&gt;&lt;/urls&gt;&lt;/record&gt;&lt;/Cite&gt;&lt;/EndNote&gt;</w:instrText>
      </w:r>
      <w:r w:rsidRPr="00584465">
        <w:rPr>
          <w:rFonts w:cs="Arial"/>
          <w:color w:val="000000"/>
          <w:szCs w:val="24"/>
        </w:rPr>
        <w:fldChar w:fldCharType="separate"/>
      </w:r>
      <w:r w:rsidRPr="00584465">
        <w:rPr>
          <w:rFonts w:cs="Arial"/>
          <w:noProof/>
          <w:color w:val="000000"/>
          <w:szCs w:val="24"/>
          <w:vertAlign w:val="superscript"/>
        </w:rPr>
        <w:t>4</w:t>
      </w:r>
      <w:r w:rsidRPr="00584465">
        <w:rPr>
          <w:rFonts w:cs="Arial"/>
          <w:color w:val="000000"/>
          <w:szCs w:val="24"/>
        </w:rPr>
        <w:fldChar w:fldCharType="end"/>
      </w:r>
      <w:r w:rsidRPr="00584465">
        <w:rPr>
          <w:rFonts w:cs="Arial"/>
          <w:color w:val="000000"/>
          <w:szCs w:val="24"/>
        </w:rPr>
        <w:t xml:space="preserve"> </w:t>
      </w:r>
      <w:r>
        <w:rPr>
          <w:rFonts w:cs="Arial"/>
          <w:color w:val="000000"/>
          <w:szCs w:val="24"/>
        </w:rPr>
        <w:t>A</w:t>
      </w:r>
      <w:r w:rsidRPr="00584465">
        <w:rPr>
          <w:rFonts w:cs="Arial"/>
          <w:szCs w:val="24"/>
        </w:rPr>
        <w:t>dherence</w:t>
      </w:r>
      <w:r>
        <w:rPr>
          <w:rFonts w:cs="Arial"/>
          <w:szCs w:val="24"/>
        </w:rPr>
        <w:t xml:space="preserve"> to</w:t>
      </w:r>
      <w:r w:rsidRPr="00584465">
        <w:rPr>
          <w:rFonts w:cs="Arial"/>
          <w:szCs w:val="24"/>
        </w:rPr>
        <w:t xml:space="preserve"> t</w:t>
      </w:r>
      <w:r>
        <w:rPr>
          <w:rFonts w:cs="Arial"/>
          <w:szCs w:val="24"/>
        </w:rPr>
        <w:t>hese clinical s</w:t>
      </w:r>
      <w:r w:rsidRPr="00584465">
        <w:rPr>
          <w:rFonts w:cs="Arial"/>
          <w:szCs w:val="24"/>
        </w:rPr>
        <w:t xml:space="preserve">tandards </w:t>
      </w:r>
      <w:r>
        <w:rPr>
          <w:rFonts w:cs="Arial"/>
          <w:szCs w:val="24"/>
        </w:rPr>
        <w:t>is</w:t>
      </w:r>
      <w:r w:rsidRPr="00584465">
        <w:rPr>
          <w:rFonts w:cs="Arial"/>
          <w:szCs w:val="24"/>
        </w:rPr>
        <w:t xml:space="preserve"> voluntary. </w:t>
      </w:r>
    </w:p>
    <w:p w:rsidR="007A1C4A" w:rsidRPr="00992A1F" w:rsidRDefault="007A1C4A" w:rsidP="00ED54FD">
      <w:pPr>
        <w:numPr>
          <w:ilvl w:val="3"/>
          <w:numId w:val="22"/>
        </w:numPr>
        <w:tabs>
          <w:tab w:val="left" w:pos="993"/>
        </w:tabs>
        <w:spacing w:before="240" w:after="120" w:line="264" w:lineRule="auto"/>
        <w:ind w:left="1276" w:hanging="1276"/>
        <w:rPr>
          <w:rFonts w:cs="Arial"/>
          <w:b/>
          <w:szCs w:val="24"/>
        </w:rPr>
      </w:pPr>
      <w:r w:rsidRPr="00992A1F">
        <w:rPr>
          <w:rFonts w:cs="Arial"/>
          <w:b/>
          <w:szCs w:val="24"/>
        </w:rPr>
        <w:t>Quality and outcomes framework (primary care)</w:t>
      </w:r>
    </w:p>
    <w:p w:rsidR="007A1C4A" w:rsidRPr="00584465" w:rsidRDefault="007A1C4A" w:rsidP="007A524D">
      <w:pPr>
        <w:spacing w:before="120" w:after="120" w:line="264" w:lineRule="auto"/>
        <w:rPr>
          <w:rFonts w:cs="Arial"/>
          <w:color w:val="000000"/>
          <w:szCs w:val="24"/>
        </w:rPr>
      </w:pPr>
      <w:r w:rsidRPr="00ED6432">
        <w:rPr>
          <w:rFonts w:cs="Arial"/>
          <w:color w:val="000000"/>
          <w:szCs w:val="24"/>
        </w:rPr>
        <w:t>In 2004 the Quality and Outcomes Framework was introduced as part of the new GP contract system. This scheme is based on providing financial incentives to improve patient and population health. These financial incentives make up</w:t>
      </w:r>
      <w:r>
        <w:rPr>
          <w:rFonts w:cs="Arial"/>
          <w:color w:val="000000"/>
          <w:szCs w:val="24"/>
        </w:rPr>
        <w:t>,</w:t>
      </w:r>
      <w:r w:rsidRPr="00ED6432">
        <w:rPr>
          <w:rFonts w:cs="Arial"/>
          <w:color w:val="000000"/>
          <w:szCs w:val="24"/>
        </w:rPr>
        <w:t xml:space="preserve"> on average</w:t>
      </w:r>
      <w:r>
        <w:rPr>
          <w:rFonts w:cs="Arial"/>
          <w:color w:val="000000"/>
          <w:szCs w:val="24"/>
        </w:rPr>
        <w:t>,</w:t>
      </w:r>
      <w:r w:rsidRPr="00ED6432">
        <w:rPr>
          <w:rFonts w:cs="Arial"/>
          <w:color w:val="000000"/>
          <w:szCs w:val="24"/>
        </w:rPr>
        <w:t xml:space="preserve"> a quarter of a GP’s income.</w:t>
      </w:r>
    </w:p>
    <w:p w:rsidR="007A1C4A" w:rsidRPr="00584465" w:rsidRDefault="007A1C4A" w:rsidP="007A524D">
      <w:pPr>
        <w:spacing w:before="120" w:after="120" w:line="264" w:lineRule="auto"/>
        <w:rPr>
          <w:rFonts w:cs="Arial"/>
          <w:color w:val="000000"/>
          <w:szCs w:val="24"/>
        </w:rPr>
      </w:pPr>
      <w:r w:rsidRPr="00584465">
        <w:rPr>
          <w:rFonts w:cs="Arial"/>
          <w:color w:val="000000"/>
          <w:szCs w:val="24"/>
        </w:rPr>
        <w:t>GP practices are awarded points (the total of which determines part of their remuneration) for keeping a disease register of patients with certain diseases or conditions, managing and treating patients with those conditions, and improving the health of affected patients by (e.g. controlling their blood pressure or cholesterol levels or managing diabetes). This scheme also rewards GPs for integrating care with other</w:t>
      </w:r>
      <w:r>
        <w:rPr>
          <w:rFonts w:cs="Arial"/>
          <w:color w:val="000000"/>
          <w:szCs w:val="24"/>
        </w:rPr>
        <w:t xml:space="preserve"> sectors, good practice organis</w:t>
      </w:r>
      <w:r w:rsidRPr="00584465">
        <w:rPr>
          <w:rFonts w:cs="Arial"/>
          <w:color w:val="000000"/>
          <w:szCs w:val="24"/>
        </w:rPr>
        <w:t xml:space="preserve">ation and patient experience of care (as measured by patient surveys). </w:t>
      </w:r>
    </w:p>
    <w:p w:rsidR="007A1C4A" w:rsidRPr="00584465" w:rsidRDefault="007A1C4A" w:rsidP="007A524D">
      <w:pPr>
        <w:spacing w:before="120" w:after="120" w:line="264" w:lineRule="auto"/>
        <w:rPr>
          <w:rFonts w:cs="Arial"/>
          <w:szCs w:val="24"/>
        </w:rPr>
      </w:pPr>
      <w:r w:rsidRPr="00584465">
        <w:rPr>
          <w:rFonts w:cs="Arial"/>
          <w:color w:val="000000"/>
          <w:szCs w:val="24"/>
        </w:rPr>
        <w:t>While early successes were reported, further evaluation suggests that this scheme has not generated lasting gains in improved patient outcomes.</w:t>
      </w:r>
      <w:r w:rsidRPr="00584465">
        <w:rPr>
          <w:rFonts w:cs="Arial"/>
          <w:color w:val="000000"/>
          <w:szCs w:val="24"/>
        </w:rPr>
        <w:fldChar w:fldCharType="begin"/>
      </w:r>
      <w:r w:rsidRPr="00584465">
        <w:rPr>
          <w:rFonts w:cs="Arial"/>
          <w:color w:val="000000"/>
          <w:szCs w:val="24"/>
        </w:rPr>
        <w:instrText xml:space="preserve"> ADDIN EN.CITE &lt;EndNote&gt;&lt;Cite&gt;&lt;Author&gt;Cashin C&lt;/Author&gt;&lt;Year&gt;2011&lt;/Year&gt;&lt;RecNum&gt;13368&lt;/RecNum&gt;&lt;record&gt;&lt;rec-number&gt;13368&lt;/rec-number&gt;&lt;foreign-keys&gt;&lt;key app="EN" db-id="5r0eapxzsestz4er5zaxe5zqz99fvpawedp5"&gt;13368&lt;/key&gt;&lt;/foreign-keys&gt;&lt;ref-type name="Report"&gt;27&lt;/ref-type&gt;&lt;contributors&gt;&lt;authors&gt;&lt;author&gt;Cashin C,&lt;/author&gt;&lt;/authors&gt;&lt;/contributors&gt;&lt;titles&gt;&lt;title&gt;Major Developments in Results-Based Financing (RBF) in OECD Countries: United Kingdom: Quality and Outcomes Framework (QOF)&lt;/title&gt;&lt;/titles&gt;&lt;dates&gt;&lt;year&gt;2011&lt;/year&gt;&lt;/dates&gt;&lt;publisher&gt;The World Bank&lt;/publisher&gt;&lt;urls&gt;&lt;/urls&gt;&lt;/record&gt;&lt;/Cite&gt;&lt;/EndNote&gt;</w:instrText>
      </w:r>
      <w:r w:rsidRPr="00584465">
        <w:rPr>
          <w:rFonts w:cs="Arial"/>
          <w:color w:val="000000"/>
          <w:szCs w:val="24"/>
        </w:rPr>
        <w:fldChar w:fldCharType="separate"/>
      </w:r>
      <w:r w:rsidRPr="00584465">
        <w:rPr>
          <w:rFonts w:cs="Arial"/>
          <w:noProof/>
          <w:color w:val="000000"/>
          <w:szCs w:val="24"/>
          <w:vertAlign w:val="superscript"/>
        </w:rPr>
        <w:t>5</w:t>
      </w:r>
      <w:r w:rsidRPr="00584465">
        <w:rPr>
          <w:rFonts w:cs="Arial"/>
          <w:color w:val="000000"/>
          <w:szCs w:val="24"/>
        </w:rPr>
        <w:fldChar w:fldCharType="end"/>
      </w:r>
    </w:p>
    <w:p w:rsidR="007A1C4A" w:rsidRPr="00992A1F" w:rsidRDefault="007A1C4A" w:rsidP="00ED54FD">
      <w:pPr>
        <w:numPr>
          <w:ilvl w:val="3"/>
          <w:numId w:val="22"/>
        </w:numPr>
        <w:tabs>
          <w:tab w:val="left" w:pos="993"/>
        </w:tabs>
        <w:spacing w:before="240" w:after="120" w:line="264" w:lineRule="auto"/>
        <w:ind w:left="1276" w:hanging="1276"/>
        <w:rPr>
          <w:rFonts w:cs="Arial"/>
          <w:b/>
          <w:szCs w:val="24"/>
        </w:rPr>
      </w:pPr>
      <w:r w:rsidRPr="00992A1F">
        <w:rPr>
          <w:rFonts w:cs="Arial"/>
          <w:b/>
          <w:szCs w:val="24"/>
        </w:rPr>
        <w:t>Payment by Results (PbR)</w:t>
      </w:r>
    </w:p>
    <w:p w:rsidR="007A1C4A" w:rsidRDefault="007A1C4A" w:rsidP="007A524D">
      <w:pPr>
        <w:spacing w:before="120" w:after="120" w:line="264" w:lineRule="auto"/>
        <w:rPr>
          <w:rFonts w:cs="Arial"/>
          <w:color w:val="000000"/>
          <w:szCs w:val="24"/>
        </w:rPr>
      </w:pPr>
      <w:r w:rsidRPr="00584465">
        <w:rPr>
          <w:rFonts w:cs="Arial"/>
          <w:color w:val="000000"/>
          <w:szCs w:val="24"/>
        </w:rPr>
        <w:t xml:space="preserve">The PbR initiative for hospitals comprises </w:t>
      </w:r>
      <w:r>
        <w:rPr>
          <w:rFonts w:cs="Arial"/>
          <w:color w:val="000000"/>
          <w:szCs w:val="24"/>
        </w:rPr>
        <w:t>four main elements:</w:t>
      </w:r>
      <w:r w:rsidRPr="00584465">
        <w:rPr>
          <w:rFonts w:cs="Arial"/>
          <w:color w:val="000000"/>
          <w:szCs w:val="24"/>
        </w:rPr>
        <w:t xml:space="preserve"> Commissioning for quality and Innovation (CQUIN)</w:t>
      </w:r>
      <w:r w:rsidRPr="00584465">
        <w:rPr>
          <w:rStyle w:val="FootnoteReference"/>
          <w:color w:val="000000"/>
          <w:szCs w:val="24"/>
        </w:rPr>
        <w:footnoteReference w:id="4"/>
      </w:r>
      <w:r w:rsidRPr="00584465">
        <w:rPr>
          <w:rFonts w:cs="Arial"/>
          <w:color w:val="000000"/>
          <w:szCs w:val="24"/>
        </w:rPr>
        <w:t xml:space="preserve">, Best Practice Tariffs (BPTs), the Advancing Quality (AQ) initiative and the ‘never events’ scheme. </w:t>
      </w:r>
      <w:r>
        <w:rPr>
          <w:rFonts w:cs="Arial"/>
          <w:color w:val="000000"/>
          <w:szCs w:val="24"/>
        </w:rPr>
        <w:t xml:space="preserve"> These are outlined below.</w:t>
      </w:r>
    </w:p>
    <w:p w:rsidR="007A1C4A" w:rsidRPr="001438C9" w:rsidRDefault="007A1C4A" w:rsidP="007A524D">
      <w:pPr>
        <w:spacing w:before="120" w:after="120" w:line="264" w:lineRule="auto"/>
        <w:rPr>
          <w:rFonts w:cs="Arial"/>
          <w:color w:val="000000"/>
          <w:szCs w:val="24"/>
          <w:vertAlign w:val="superscript"/>
        </w:rPr>
      </w:pPr>
      <w:r w:rsidRPr="00F55406">
        <w:rPr>
          <w:rFonts w:cs="Arial"/>
          <w:color w:val="000000"/>
          <w:szCs w:val="24"/>
        </w:rPr>
        <w:t xml:space="preserve">A complete list of the </w:t>
      </w:r>
      <w:r>
        <w:rPr>
          <w:rFonts w:cs="Arial"/>
          <w:color w:val="000000"/>
          <w:szCs w:val="24"/>
        </w:rPr>
        <w:t xml:space="preserve">other </w:t>
      </w:r>
      <w:r w:rsidRPr="00F55406">
        <w:rPr>
          <w:rFonts w:cs="Arial"/>
          <w:color w:val="000000"/>
          <w:szCs w:val="24"/>
        </w:rPr>
        <w:t>variations and flexibilities applied within the PbR scheme is provided in Appendix 1. The Kings Fund report,</w:t>
      </w:r>
      <w:r w:rsidRPr="00F55406">
        <w:rPr>
          <w:rFonts w:cs="Arial"/>
          <w:color w:val="000000"/>
          <w:szCs w:val="24"/>
          <w:vertAlign w:val="superscript"/>
        </w:rPr>
        <w:t>2</w:t>
      </w:r>
      <w:r w:rsidRPr="00F55406">
        <w:rPr>
          <w:rFonts w:cs="Arial"/>
          <w:color w:val="000000"/>
          <w:szCs w:val="24"/>
        </w:rPr>
        <w:t xml:space="preserve"> which published this table, concludes that while PbR in its current form is suited to services that are easy to isolate and define (e.g. elective care), it is not ‘fit f</w:t>
      </w:r>
      <w:r>
        <w:rPr>
          <w:rFonts w:cs="Arial"/>
          <w:color w:val="000000"/>
          <w:szCs w:val="24"/>
        </w:rPr>
        <w:t xml:space="preserve">or purpose’ to meet objectives </w:t>
      </w:r>
      <w:r w:rsidRPr="00F55406">
        <w:rPr>
          <w:rFonts w:cs="Arial"/>
          <w:color w:val="000000"/>
          <w:szCs w:val="24"/>
        </w:rPr>
        <w:t xml:space="preserve">of, and emerging challenges for the NHS such as health promotion; chronic illness. The authors also question whether certain aspects of PbR, such as tariff reductions, are sustainable. They propose “an approach that maximises local flexibility but ensures greater transparency in pricing.” </w:t>
      </w:r>
      <w:r w:rsidRPr="00F55406">
        <w:rPr>
          <w:rFonts w:cs="Arial"/>
          <w:color w:val="000000"/>
          <w:szCs w:val="24"/>
          <w:vertAlign w:val="superscript"/>
        </w:rPr>
        <w:t>2(p42)</w:t>
      </w:r>
    </w:p>
    <w:p w:rsidR="007A1C4A" w:rsidRPr="00177D2B" w:rsidRDefault="007A1C4A" w:rsidP="00ED54FD">
      <w:pPr>
        <w:keepNext/>
        <w:keepLines/>
        <w:numPr>
          <w:ilvl w:val="0"/>
          <w:numId w:val="13"/>
        </w:numPr>
        <w:spacing w:before="240" w:after="120" w:line="264" w:lineRule="auto"/>
        <w:ind w:left="0" w:firstLine="0"/>
        <w:rPr>
          <w:rFonts w:cs="Arial"/>
          <w:i/>
          <w:color w:val="000000"/>
          <w:szCs w:val="24"/>
          <w:u w:val="single"/>
        </w:rPr>
      </w:pPr>
      <w:r w:rsidRPr="00177D2B">
        <w:rPr>
          <w:rFonts w:cs="Arial"/>
          <w:i/>
          <w:color w:val="000000"/>
          <w:szCs w:val="24"/>
          <w:u w:val="single"/>
        </w:rPr>
        <w:lastRenderedPageBreak/>
        <w:t xml:space="preserve">CQUIN </w:t>
      </w:r>
    </w:p>
    <w:p w:rsidR="007A1C4A" w:rsidRPr="00584465" w:rsidRDefault="007A1C4A" w:rsidP="00E97CB2">
      <w:pPr>
        <w:keepNext/>
        <w:keepLines/>
        <w:spacing w:before="120" w:after="120" w:line="264" w:lineRule="auto"/>
        <w:rPr>
          <w:rFonts w:cs="Arial"/>
          <w:color w:val="000000"/>
          <w:szCs w:val="24"/>
        </w:rPr>
      </w:pPr>
      <w:r w:rsidRPr="00584465">
        <w:rPr>
          <w:rFonts w:cs="Arial"/>
          <w:color w:val="000000"/>
          <w:szCs w:val="24"/>
        </w:rPr>
        <w:t xml:space="preserve">This scheme was introduced in 2009 and operates through a list of quality ‘goals’ that </w:t>
      </w:r>
      <w:r>
        <w:rPr>
          <w:rFonts w:cs="Arial"/>
          <w:color w:val="000000"/>
          <w:szCs w:val="24"/>
        </w:rPr>
        <w:t>are</w:t>
      </w:r>
      <w:r w:rsidRPr="00584465">
        <w:rPr>
          <w:rFonts w:cs="Arial"/>
          <w:color w:val="000000"/>
          <w:szCs w:val="24"/>
        </w:rPr>
        <w:t xml:space="preserve"> periodically agreed between a hospital and local commissioner. A small portion of a hospital’s revenue (1.5-2.5%) is linked to the achievement of these goals</w:t>
      </w:r>
      <w:r>
        <w:rPr>
          <w:rFonts w:cs="Arial"/>
          <w:color w:val="000000"/>
          <w:szCs w:val="24"/>
        </w:rPr>
        <w:t>; t</w:t>
      </w:r>
      <w:r w:rsidRPr="00584465">
        <w:rPr>
          <w:rFonts w:cs="Arial"/>
          <w:color w:val="000000"/>
          <w:szCs w:val="24"/>
        </w:rPr>
        <w:t>his amount is ‘at risk’ should the goals not be met. In the past 2 years goals centered on national priority areas including:</w:t>
      </w:r>
    </w:p>
    <w:p w:rsidR="007A1C4A" w:rsidRPr="00584465" w:rsidRDefault="007A1C4A" w:rsidP="007A524D">
      <w:pPr>
        <w:numPr>
          <w:ilvl w:val="0"/>
          <w:numId w:val="6"/>
        </w:numPr>
        <w:spacing w:before="120" w:after="120" w:line="264" w:lineRule="auto"/>
        <w:rPr>
          <w:rFonts w:cs="Arial"/>
          <w:color w:val="000000"/>
          <w:szCs w:val="24"/>
        </w:rPr>
      </w:pPr>
      <w:r w:rsidRPr="00584465">
        <w:rPr>
          <w:rFonts w:cs="Arial"/>
          <w:color w:val="000000"/>
          <w:szCs w:val="24"/>
        </w:rPr>
        <w:t xml:space="preserve">Reducing Venous Thromboembolism (VTE) </w:t>
      </w:r>
    </w:p>
    <w:p w:rsidR="007A1C4A" w:rsidRPr="00584465" w:rsidRDefault="007A1C4A" w:rsidP="007A524D">
      <w:pPr>
        <w:numPr>
          <w:ilvl w:val="0"/>
          <w:numId w:val="6"/>
        </w:numPr>
        <w:spacing w:before="120" w:after="120" w:line="264" w:lineRule="auto"/>
        <w:rPr>
          <w:rFonts w:cs="Arial"/>
          <w:color w:val="000000"/>
          <w:szCs w:val="24"/>
        </w:rPr>
      </w:pPr>
      <w:r w:rsidRPr="00584465">
        <w:rPr>
          <w:rFonts w:cs="Arial"/>
          <w:color w:val="000000"/>
          <w:szCs w:val="24"/>
        </w:rPr>
        <w:t>Improving responsiveness to patient needs</w:t>
      </w:r>
    </w:p>
    <w:p w:rsidR="007A1C4A" w:rsidRPr="00584465" w:rsidRDefault="007A1C4A" w:rsidP="007A524D">
      <w:pPr>
        <w:numPr>
          <w:ilvl w:val="0"/>
          <w:numId w:val="6"/>
        </w:numPr>
        <w:spacing w:before="120" w:after="120" w:line="264" w:lineRule="auto"/>
        <w:rPr>
          <w:rFonts w:cs="Arial"/>
          <w:color w:val="000000"/>
          <w:szCs w:val="24"/>
        </w:rPr>
      </w:pPr>
      <w:r w:rsidRPr="00584465">
        <w:rPr>
          <w:rFonts w:cs="Arial"/>
          <w:color w:val="000000"/>
          <w:szCs w:val="24"/>
        </w:rPr>
        <w:t>Dementia diagnosis</w:t>
      </w:r>
    </w:p>
    <w:p w:rsidR="007A1C4A" w:rsidRPr="00ED6432" w:rsidRDefault="007A1C4A" w:rsidP="007A524D">
      <w:pPr>
        <w:numPr>
          <w:ilvl w:val="0"/>
          <w:numId w:val="6"/>
        </w:numPr>
        <w:spacing w:before="120" w:after="120" w:line="264" w:lineRule="auto"/>
        <w:rPr>
          <w:rFonts w:cs="Arial"/>
          <w:color w:val="000000"/>
          <w:szCs w:val="24"/>
        </w:rPr>
      </w:pPr>
      <w:r w:rsidRPr="00ED6432">
        <w:rPr>
          <w:rFonts w:cs="Arial"/>
          <w:color w:val="000000"/>
          <w:szCs w:val="24"/>
        </w:rPr>
        <w:t xml:space="preserve">Collection of data to measure harm due to pressure ulcers, falls and </w:t>
      </w:r>
      <w:r>
        <w:rPr>
          <w:rFonts w:cs="Arial"/>
          <w:color w:val="000000"/>
          <w:szCs w:val="24"/>
        </w:rPr>
        <w:t>c</w:t>
      </w:r>
      <w:r w:rsidRPr="00ED6432">
        <w:rPr>
          <w:rFonts w:cs="Arial"/>
          <w:color w:val="000000"/>
          <w:szCs w:val="24"/>
        </w:rPr>
        <w:t xml:space="preserve">atheter-associated </w:t>
      </w:r>
      <w:r>
        <w:rPr>
          <w:rFonts w:cs="Arial"/>
          <w:color w:val="000000"/>
          <w:szCs w:val="24"/>
        </w:rPr>
        <w:t>u</w:t>
      </w:r>
      <w:r w:rsidRPr="00ED6432">
        <w:rPr>
          <w:rFonts w:cs="Arial"/>
          <w:color w:val="000000"/>
          <w:szCs w:val="24"/>
        </w:rPr>
        <w:t xml:space="preserve">rinary </w:t>
      </w:r>
      <w:r>
        <w:rPr>
          <w:rFonts w:cs="Arial"/>
          <w:color w:val="000000"/>
          <w:szCs w:val="24"/>
        </w:rPr>
        <w:t>t</w:t>
      </w:r>
      <w:r w:rsidRPr="00ED6432">
        <w:rPr>
          <w:rFonts w:cs="Arial"/>
          <w:color w:val="000000"/>
          <w:szCs w:val="24"/>
        </w:rPr>
        <w:t xml:space="preserve">ract </w:t>
      </w:r>
      <w:r>
        <w:rPr>
          <w:rFonts w:cs="Arial"/>
          <w:color w:val="000000"/>
          <w:szCs w:val="24"/>
        </w:rPr>
        <w:t>i</w:t>
      </w:r>
      <w:r w:rsidRPr="00ED6432">
        <w:rPr>
          <w:rFonts w:cs="Arial"/>
          <w:color w:val="000000"/>
          <w:szCs w:val="24"/>
        </w:rPr>
        <w:t>nfections (CAUTI)</w:t>
      </w:r>
    </w:p>
    <w:p w:rsidR="007A1C4A" w:rsidRPr="00584465" w:rsidRDefault="007A1C4A" w:rsidP="007A524D">
      <w:pPr>
        <w:spacing w:before="120" w:after="120" w:line="264" w:lineRule="auto"/>
        <w:rPr>
          <w:rFonts w:cs="Arial"/>
          <w:color w:val="000000"/>
          <w:szCs w:val="24"/>
        </w:rPr>
      </w:pPr>
      <w:r w:rsidRPr="00584465">
        <w:rPr>
          <w:rFonts w:cs="Arial"/>
          <w:color w:val="000000"/>
          <w:szCs w:val="24"/>
        </w:rPr>
        <w:t>There has not been a detailed evaluation of this scheme to date.</w:t>
      </w:r>
    </w:p>
    <w:p w:rsidR="007A1C4A" w:rsidRPr="00177D2B" w:rsidRDefault="007A1C4A" w:rsidP="00ED54FD">
      <w:pPr>
        <w:keepNext/>
        <w:keepLines/>
        <w:numPr>
          <w:ilvl w:val="0"/>
          <w:numId w:val="13"/>
        </w:numPr>
        <w:spacing w:before="240" w:after="120" w:line="264" w:lineRule="auto"/>
        <w:ind w:left="0" w:firstLine="0"/>
        <w:rPr>
          <w:rFonts w:cs="Arial"/>
          <w:i/>
          <w:color w:val="000000"/>
          <w:szCs w:val="24"/>
          <w:u w:val="single"/>
        </w:rPr>
      </w:pPr>
      <w:r w:rsidRPr="00177D2B">
        <w:rPr>
          <w:rFonts w:cs="Arial"/>
          <w:i/>
          <w:color w:val="000000"/>
          <w:szCs w:val="24"/>
          <w:u w:val="single"/>
        </w:rPr>
        <w:t xml:space="preserve">Best Practice Tariffs (BPTs) </w:t>
      </w:r>
    </w:p>
    <w:p w:rsidR="007A1C4A" w:rsidRPr="00ED6432" w:rsidRDefault="007A1C4A" w:rsidP="007A524D">
      <w:pPr>
        <w:spacing w:before="120" w:after="120" w:line="264" w:lineRule="auto"/>
        <w:rPr>
          <w:rFonts w:cs="Arial"/>
          <w:color w:val="000000"/>
          <w:szCs w:val="24"/>
        </w:rPr>
      </w:pPr>
      <w:r w:rsidRPr="00ED6432">
        <w:rPr>
          <w:rFonts w:cs="Arial"/>
          <w:color w:val="000000"/>
          <w:szCs w:val="24"/>
        </w:rPr>
        <w:t xml:space="preserve">Since 2010 the Department of Health has been adjusting payment for certain high-volume conditions and procedures for which an agreed best practice care path can be established. The initial four procedures / conditions were cholecystectomy, fragility hip fracture, cataracts and stroke care. The list has now been expanded to include renal dialysis, transient ischaemic attack (TIA), interventional radiology paediatric diabetes, hip and knee replacements (THR, TKR). </w:t>
      </w:r>
    </w:p>
    <w:p w:rsidR="007A1C4A" w:rsidRPr="00ED6432" w:rsidRDefault="007A1C4A" w:rsidP="007A524D">
      <w:pPr>
        <w:spacing w:before="120" w:after="120" w:line="264" w:lineRule="auto"/>
        <w:rPr>
          <w:rFonts w:cs="Arial"/>
          <w:color w:val="000000"/>
          <w:szCs w:val="24"/>
        </w:rPr>
      </w:pPr>
      <w:r w:rsidRPr="00ED6432">
        <w:rPr>
          <w:rFonts w:cs="Arial"/>
          <w:color w:val="000000"/>
          <w:szCs w:val="24"/>
        </w:rPr>
        <w:t>Adjustments are either normative settings, based on best-practice or both. For example:</w:t>
      </w:r>
    </w:p>
    <w:p w:rsidR="007A1C4A" w:rsidRPr="00ED6432" w:rsidRDefault="007A1C4A" w:rsidP="007A524D">
      <w:pPr>
        <w:numPr>
          <w:ilvl w:val="0"/>
          <w:numId w:val="7"/>
        </w:numPr>
        <w:spacing w:before="120" w:after="120" w:line="264" w:lineRule="auto"/>
        <w:rPr>
          <w:rFonts w:cs="Arial"/>
          <w:color w:val="000000"/>
          <w:szCs w:val="24"/>
        </w:rPr>
      </w:pPr>
      <w:r w:rsidRPr="00ED6432">
        <w:rPr>
          <w:rFonts w:cs="Arial"/>
          <w:color w:val="000000"/>
          <w:szCs w:val="24"/>
        </w:rPr>
        <w:t xml:space="preserve">In 2010/11 reimbursement for cholecystectomy performed as a day </w:t>
      </w:r>
      <w:r>
        <w:rPr>
          <w:rFonts w:cs="Arial"/>
          <w:color w:val="000000"/>
          <w:szCs w:val="24"/>
        </w:rPr>
        <w:t>case was</w:t>
      </w:r>
      <w:r w:rsidRPr="00ED6432">
        <w:rPr>
          <w:rFonts w:cs="Arial"/>
          <w:color w:val="000000"/>
          <w:szCs w:val="24"/>
        </w:rPr>
        <w:t xml:space="preserve"> 24% higher than the previous year and</w:t>
      </w:r>
      <w:r w:rsidRPr="00ED6432">
        <w:rPr>
          <w:rFonts w:cs="Arial"/>
          <w:i/>
          <w:color w:val="000000"/>
          <w:szCs w:val="24"/>
        </w:rPr>
        <w:t xml:space="preserve"> </w:t>
      </w:r>
      <w:r w:rsidRPr="00ED6432">
        <w:rPr>
          <w:rFonts w:cs="Arial"/>
          <w:color w:val="000000"/>
          <w:szCs w:val="24"/>
        </w:rPr>
        <w:t>reimbursement for a non-day case procedure (without complications)</w:t>
      </w:r>
    </w:p>
    <w:p w:rsidR="007A1C4A" w:rsidRPr="00ED6432" w:rsidRDefault="007A1C4A" w:rsidP="007A524D">
      <w:pPr>
        <w:numPr>
          <w:ilvl w:val="0"/>
          <w:numId w:val="7"/>
        </w:numPr>
        <w:spacing w:before="120" w:after="120" w:line="264" w:lineRule="auto"/>
        <w:rPr>
          <w:rFonts w:cs="Arial"/>
          <w:color w:val="000000"/>
          <w:szCs w:val="24"/>
        </w:rPr>
      </w:pPr>
      <w:r w:rsidRPr="00ED6432">
        <w:rPr>
          <w:rFonts w:cs="Arial"/>
          <w:color w:val="000000"/>
          <w:szCs w:val="24"/>
        </w:rPr>
        <w:t>In 2010/11 reimbursement for fragility hip fracture was about 7% above the base tariff (the national average cost for the procedure) if a list of criteria are met and a set care path is followed. In 2011/12 this was doubled, while the base tariff was lowered by 7%, effectively imposing a penalty for not following agreed best practice. Combined, these adjustments amount to approximately 20% of the original base tariff.</w:t>
      </w:r>
    </w:p>
    <w:p w:rsidR="007A1C4A" w:rsidRPr="00ED6432" w:rsidRDefault="007A1C4A" w:rsidP="007A524D">
      <w:pPr>
        <w:spacing w:before="120" w:after="120" w:line="264" w:lineRule="auto"/>
        <w:rPr>
          <w:rFonts w:cs="Arial"/>
          <w:color w:val="000000"/>
          <w:szCs w:val="24"/>
        </w:rPr>
      </w:pPr>
      <w:r w:rsidRPr="00ED6432">
        <w:rPr>
          <w:rFonts w:cs="Arial"/>
          <w:color w:val="000000"/>
          <w:szCs w:val="24"/>
        </w:rPr>
        <w:t>A recent evaluation of BPTs (limited to the initial list) found some evidence for effectiveness in practice change and modest to moderate improvements in processes and outcomes for some of the listed conditions.</w:t>
      </w:r>
      <w:r w:rsidRPr="00ED6432">
        <w:rPr>
          <w:rFonts w:cs="Arial"/>
          <w:color w:val="000000"/>
          <w:szCs w:val="24"/>
        </w:rPr>
        <w:fldChar w:fldCharType="begin"/>
      </w:r>
      <w:r w:rsidRPr="00ED6432">
        <w:rPr>
          <w:rFonts w:cs="Arial"/>
          <w:color w:val="000000"/>
          <w:szCs w:val="24"/>
        </w:rPr>
        <w:instrText xml:space="preserve"> ADDIN EN.CITE &lt;EndNote&gt;&lt;Cite&gt;&lt;Author&gt;McDonald R&lt;/Author&gt;&lt;Year&gt;2012&lt;/Year&gt;&lt;RecNum&gt;13355&lt;/RecNum&gt;&lt;record&gt;&lt;rec-number&gt;13355&lt;/rec-number&gt;&lt;foreign-keys&gt;&lt;key app="EN" db-id="5r0eapxzsestz4er5zaxe5zqz99fvpawedp5"&gt;13355&lt;/key&gt;&lt;/foreign-keys&gt;&lt;ref-type name="Report"&gt;27&lt;/ref-type&gt;&lt;contributors&gt;&lt;authors&gt;&lt;author&gt;McDonald R,&lt;/author&gt;&lt;author&gt;Allen T, &lt;/author&gt;&lt;author&gt;Zaidi S,&lt;/author&gt;&lt;author&gt;Sutton M,&lt;/author&gt;&lt;author&gt;Todd S,&lt;/author&gt;&lt;author&gt;Fichera E,&lt;/author&gt;&lt;author&gt;Konteh F,&lt;/author&gt;&lt;/authors&gt;&lt;/contributors&gt;&lt;titles&gt;&lt;title&gt;A Qualitative and Quantitative Evaluation of the Introduction of Best Practice Tariffs&lt;/title&gt;&lt;/titles&gt;&lt;dates&gt;&lt;year&gt;2012&lt;/year&gt;&lt;/dates&gt;&lt;publisher&gt;University of Nottingham&lt;/publisher&gt;&lt;urls&gt;&lt;/urls&gt;&lt;/record&gt;&lt;/Cite&gt;&lt;/EndNote&gt;</w:instrText>
      </w:r>
      <w:r w:rsidRPr="00ED6432">
        <w:rPr>
          <w:rFonts w:cs="Arial"/>
          <w:color w:val="000000"/>
          <w:szCs w:val="24"/>
        </w:rPr>
        <w:fldChar w:fldCharType="separate"/>
      </w:r>
      <w:r w:rsidRPr="00ED6432">
        <w:rPr>
          <w:rFonts w:cs="Arial"/>
          <w:noProof/>
          <w:color w:val="000000"/>
          <w:szCs w:val="24"/>
          <w:vertAlign w:val="superscript"/>
        </w:rPr>
        <w:t>6</w:t>
      </w:r>
      <w:r w:rsidRPr="00ED6432">
        <w:rPr>
          <w:rFonts w:cs="Arial"/>
          <w:color w:val="000000"/>
          <w:szCs w:val="24"/>
        </w:rPr>
        <w:fldChar w:fldCharType="end"/>
      </w:r>
    </w:p>
    <w:p w:rsidR="007A1C4A" w:rsidRPr="00ED6432" w:rsidRDefault="007A1C4A" w:rsidP="00ED54FD">
      <w:pPr>
        <w:keepNext/>
        <w:keepLines/>
        <w:numPr>
          <w:ilvl w:val="0"/>
          <w:numId w:val="13"/>
        </w:numPr>
        <w:spacing w:before="240" w:after="120" w:line="264" w:lineRule="auto"/>
        <w:ind w:left="0" w:firstLine="0"/>
        <w:rPr>
          <w:rFonts w:cs="Arial"/>
          <w:i/>
          <w:color w:val="000000"/>
          <w:szCs w:val="24"/>
          <w:u w:val="single"/>
        </w:rPr>
      </w:pPr>
      <w:r w:rsidRPr="00ED6432">
        <w:rPr>
          <w:rFonts w:cs="Arial"/>
          <w:i/>
          <w:color w:val="000000"/>
          <w:szCs w:val="24"/>
          <w:u w:val="single"/>
        </w:rPr>
        <w:t xml:space="preserve">Advancing Quality (AQ) </w:t>
      </w:r>
    </w:p>
    <w:p w:rsidR="007A1C4A" w:rsidRPr="00584465" w:rsidRDefault="007A1C4A" w:rsidP="00E97CB2">
      <w:pPr>
        <w:spacing w:before="120" w:after="120" w:line="264" w:lineRule="auto"/>
        <w:rPr>
          <w:rFonts w:cs="Arial"/>
          <w:szCs w:val="24"/>
        </w:rPr>
      </w:pPr>
      <w:r w:rsidRPr="00ED6432">
        <w:rPr>
          <w:rFonts w:cs="Arial"/>
          <w:color w:val="000000"/>
          <w:szCs w:val="24"/>
        </w:rPr>
        <w:t>This is the first P4P scheme in England, and was i</w:t>
      </w:r>
      <w:r w:rsidRPr="00ED6432">
        <w:rPr>
          <w:rFonts w:cs="Arial"/>
          <w:szCs w:val="24"/>
        </w:rPr>
        <w:t xml:space="preserve">ntroduced in 2008 in all NHS hospitals in the northwest region (population approximately 6.8M). Performance was gauged by 28 quality measures based on patient-level data covering 5 clinical areas: </w:t>
      </w:r>
      <w:r>
        <w:rPr>
          <w:rFonts w:cs="Arial"/>
          <w:szCs w:val="24"/>
        </w:rPr>
        <w:t>a</w:t>
      </w:r>
      <w:r w:rsidRPr="00ED6432">
        <w:rPr>
          <w:rFonts w:cs="Arial"/>
          <w:szCs w:val="24"/>
        </w:rPr>
        <w:t xml:space="preserve">cute myocardial infarction (AMI), </w:t>
      </w:r>
      <w:r>
        <w:rPr>
          <w:rFonts w:cs="Arial"/>
          <w:szCs w:val="24"/>
        </w:rPr>
        <w:t>c</w:t>
      </w:r>
      <w:r w:rsidRPr="00ED6432">
        <w:rPr>
          <w:rFonts w:cs="Arial"/>
          <w:szCs w:val="24"/>
        </w:rPr>
        <w:t xml:space="preserve">oronary </w:t>
      </w:r>
      <w:r>
        <w:rPr>
          <w:rFonts w:cs="Arial"/>
          <w:szCs w:val="24"/>
        </w:rPr>
        <w:t>a</w:t>
      </w:r>
      <w:r w:rsidRPr="00ED6432">
        <w:rPr>
          <w:rFonts w:cs="Arial"/>
          <w:szCs w:val="24"/>
        </w:rPr>
        <w:t xml:space="preserve">rtery </w:t>
      </w:r>
      <w:r>
        <w:rPr>
          <w:rFonts w:cs="Arial"/>
          <w:szCs w:val="24"/>
        </w:rPr>
        <w:lastRenderedPageBreak/>
        <w:t>b</w:t>
      </w:r>
      <w:r w:rsidRPr="00ED6432">
        <w:rPr>
          <w:rFonts w:cs="Arial"/>
          <w:szCs w:val="24"/>
        </w:rPr>
        <w:t xml:space="preserve">ypass </w:t>
      </w:r>
      <w:r>
        <w:rPr>
          <w:rFonts w:cs="Arial"/>
          <w:szCs w:val="24"/>
        </w:rPr>
        <w:t>g</w:t>
      </w:r>
      <w:r w:rsidRPr="00ED6432">
        <w:rPr>
          <w:rFonts w:cs="Arial"/>
          <w:szCs w:val="24"/>
        </w:rPr>
        <w:t xml:space="preserve">raft (CABG), </w:t>
      </w:r>
      <w:r>
        <w:rPr>
          <w:rFonts w:cs="Arial"/>
          <w:szCs w:val="24"/>
        </w:rPr>
        <w:t>h</w:t>
      </w:r>
      <w:r w:rsidRPr="00ED6432">
        <w:rPr>
          <w:rFonts w:cs="Arial"/>
          <w:szCs w:val="24"/>
        </w:rPr>
        <w:t xml:space="preserve">eart </w:t>
      </w:r>
      <w:r>
        <w:rPr>
          <w:rFonts w:cs="Arial"/>
          <w:szCs w:val="24"/>
        </w:rPr>
        <w:t>f</w:t>
      </w:r>
      <w:r w:rsidRPr="00ED6432">
        <w:rPr>
          <w:rFonts w:cs="Arial"/>
          <w:szCs w:val="24"/>
        </w:rPr>
        <w:t>ailure, hip and knee surgery, and pneumonia. It is a tournament based scheme where the top and second quartiles of hospitals are rewarded with 4% and 2% bonuses respectively.</w:t>
      </w:r>
      <w:r w:rsidRPr="00584465">
        <w:rPr>
          <w:rFonts w:cs="Arial"/>
          <w:szCs w:val="24"/>
        </w:rPr>
        <w:t xml:space="preserve"> </w:t>
      </w:r>
    </w:p>
    <w:p w:rsidR="007A1C4A" w:rsidRPr="00584465" w:rsidRDefault="007A1C4A" w:rsidP="007A524D">
      <w:pPr>
        <w:spacing w:before="120" w:after="120" w:line="264" w:lineRule="auto"/>
        <w:rPr>
          <w:rFonts w:cs="Arial"/>
          <w:szCs w:val="24"/>
        </w:rPr>
      </w:pPr>
      <w:r w:rsidRPr="00584465">
        <w:rPr>
          <w:rFonts w:cs="Arial"/>
          <w:szCs w:val="24"/>
        </w:rPr>
        <w:t>T</w:t>
      </w:r>
      <w:r>
        <w:rPr>
          <w:rFonts w:cs="Arial"/>
          <w:szCs w:val="24"/>
        </w:rPr>
        <w:t xml:space="preserve">he scheme cost approximately £3.2 </w:t>
      </w:r>
      <w:r w:rsidRPr="00584465">
        <w:rPr>
          <w:rFonts w:cs="Arial"/>
          <w:szCs w:val="24"/>
        </w:rPr>
        <w:t>M per annum and is based on the US Medicare Premier Hospital Quality Incentive Demonstration (PHQID) project. Key differences are</w:t>
      </w:r>
      <w:r>
        <w:rPr>
          <w:rFonts w:cs="Arial"/>
          <w:szCs w:val="24"/>
        </w:rPr>
        <w:t xml:space="preserve"> that AQ is not revenue neutral</w:t>
      </w:r>
      <w:r w:rsidRPr="00584465">
        <w:rPr>
          <w:rFonts w:cs="Arial"/>
          <w:szCs w:val="24"/>
        </w:rPr>
        <w:t xml:space="preserve"> and delivers larger bonuses to a broader spread among participating hospitals.  Another distinction</w:t>
      </w:r>
      <w:r>
        <w:rPr>
          <w:rFonts w:cs="Arial"/>
          <w:szCs w:val="24"/>
        </w:rPr>
        <w:t>s</w:t>
      </w:r>
      <w:r w:rsidRPr="00584465">
        <w:rPr>
          <w:rFonts w:cs="Arial"/>
          <w:szCs w:val="24"/>
        </w:rPr>
        <w:t xml:space="preserve"> with PHQID </w:t>
      </w:r>
      <w:r>
        <w:rPr>
          <w:rFonts w:cs="Arial"/>
          <w:szCs w:val="24"/>
        </w:rPr>
        <w:t>include</w:t>
      </w:r>
      <w:r w:rsidRPr="00584465">
        <w:rPr>
          <w:rFonts w:cs="Arial"/>
          <w:szCs w:val="24"/>
        </w:rPr>
        <w:t xml:space="preserve"> (a) hospital leaders agreed to reinvest the bonuses in quality programs, and (b) regular face-to-face pan-regional seminars where ‘competing’ hospitals share</w:t>
      </w:r>
      <w:r>
        <w:rPr>
          <w:rFonts w:cs="Arial"/>
          <w:szCs w:val="24"/>
        </w:rPr>
        <w:t>d</w:t>
      </w:r>
      <w:r w:rsidRPr="00584465">
        <w:rPr>
          <w:rFonts w:cs="Arial"/>
          <w:szCs w:val="24"/>
        </w:rPr>
        <w:t xml:space="preserve"> learnings and ideas.</w:t>
      </w:r>
      <w:r w:rsidRPr="00584465">
        <w:rPr>
          <w:rFonts w:cs="Arial"/>
          <w:szCs w:val="24"/>
        </w:rPr>
        <w:fldChar w:fldCharType="begin"/>
      </w:r>
      <w:r w:rsidRPr="00584465">
        <w:rPr>
          <w:rFonts w:cs="Arial"/>
          <w:szCs w:val="24"/>
        </w:rPr>
        <w:instrText xml:space="preserve"> ADDIN EN.CITE &lt;EndNote&gt;&lt;Cite&gt;&lt;Author&gt;Epstein&lt;/Author&gt;&lt;Year&gt;2012&lt;/Year&gt;&lt;RecNum&gt;13362&lt;/RecNum&gt;&lt;record&gt;&lt;rec-number&gt;13362&lt;/rec-number&gt;&lt;foreign-keys&gt;&lt;key app="EN" db-id="5r0eapxzsestz4er5zaxe5zqz99fvpawedp5"&gt;13362&lt;/key&gt;&lt;/foreign-keys&gt;&lt;ref-type name="Journal Article"&gt;17&lt;/ref-type&gt;&lt;contributors&gt;&lt;authors&gt;&lt;author&gt;Epstein, Arnold M.&lt;/author&gt;&lt;/authors&gt;&lt;/contributors&gt;&lt;titles&gt;&lt;title&gt;Will Pay for Performance Improve Quality of Care? The Answer Is in the Details&lt;/title&gt;&lt;secondary-title&gt;New England Journal of Medicine&lt;/secondary-title&gt;&lt;/titles&gt;&lt;periodical&gt;&lt;full-title&gt;New England Journal of Medicine&lt;/full-title&gt;&lt;/periodical&gt;&lt;pages&gt;1852-1853&lt;/pages&gt;&lt;volume&gt;367&lt;/volume&gt;&lt;number&gt;19&lt;/number&gt;&lt;dates&gt;&lt;year&gt;2012&lt;/year&gt;&lt;/dates&gt;&lt;urls&gt;&lt;related-urls&gt;&lt;url&gt;http://www.nejm.org/doi/full/10.1056/NEJMe1212133&lt;/url&gt;&lt;/related-urls&gt;&lt;/urls&gt;&lt;electronic-resource-num&gt;doi:10.1056/NEJMe1212133&lt;/electronic-resource-num&gt;&lt;/record&gt;&lt;/Cite&gt;&lt;/EndNote&gt;</w:instrText>
      </w:r>
      <w:r w:rsidRPr="00584465">
        <w:rPr>
          <w:rFonts w:cs="Arial"/>
          <w:szCs w:val="24"/>
        </w:rPr>
        <w:fldChar w:fldCharType="separate"/>
      </w:r>
      <w:r w:rsidRPr="00584465">
        <w:rPr>
          <w:rFonts w:cs="Arial"/>
          <w:noProof/>
          <w:szCs w:val="24"/>
          <w:vertAlign w:val="superscript"/>
        </w:rPr>
        <w:t>7</w:t>
      </w:r>
      <w:r w:rsidRPr="00584465">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A recent evaluation of the AQ published in the N</w:t>
      </w:r>
      <w:r>
        <w:rPr>
          <w:rFonts w:cs="Arial"/>
          <w:szCs w:val="24"/>
        </w:rPr>
        <w:t xml:space="preserve">ew </w:t>
      </w:r>
      <w:r w:rsidRPr="00584465">
        <w:rPr>
          <w:rFonts w:cs="Arial"/>
          <w:szCs w:val="24"/>
        </w:rPr>
        <w:t>E</w:t>
      </w:r>
      <w:r>
        <w:rPr>
          <w:rFonts w:cs="Arial"/>
          <w:szCs w:val="24"/>
        </w:rPr>
        <w:t xml:space="preserve">ngland </w:t>
      </w:r>
      <w:r w:rsidRPr="00584465">
        <w:rPr>
          <w:rFonts w:cs="Arial"/>
          <w:szCs w:val="24"/>
        </w:rPr>
        <w:t>J</w:t>
      </w:r>
      <w:r>
        <w:rPr>
          <w:rFonts w:cs="Arial"/>
          <w:szCs w:val="24"/>
        </w:rPr>
        <w:t xml:space="preserve">ournal of </w:t>
      </w:r>
      <w:r w:rsidRPr="00584465">
        <w:rPr>
          <w:rFonts w:cs="Arial"/>
          <w:szCs w:val="24"/>
        </w:rPr>
        <w:t>M</w:t>
      </w:r>
      <w:r>
        <w:rPr>
          <w:rFonts w:cs="Arial"/>
          <w:szCs w:val="24"/>
        </w:rPr>
        <w:t>edicine</w:t>
      </w:r>
      <w:r w:rsidRPr="00584465">
        <w:rPr>
          <w:rFonts w:cs="Arial"/>
          <w:szCs w:val="24"/>
        </w:rPr>
        <w:t xml:space="preserve"> showed an attributable, significant clinical reduction in mortality.</w:t>
      </w:r>
      <w:r w:rsidRPr="00584465">
        <w:rPr>
          <w:rFonts w:cs="Arial"/>
          <w:szCs w:val="24"/>
        </w:rPr>
        <w:fldChar w:fldCharType="begin"/>
      </w:r>
      <w:r w:rsidRPr="00584465">
        <w:rPr>
          <w:rFonts w:cs="Arial"/>
          <w:szCs w:val="24"/>
        </w:rPr>
        <w:instrText xml:space="preserve"> ADDIN EN.CITE &lt;EndNote&gt;&lt;Cite&gt;&lt;Author&gt;Sutton&lt;/Author&gt;&lt;Year&gt;2012&lt;/Year&gt;&lt;RecNum&gt;12228&lt;/RecNum&gt;&lt;record&gt;&lt;rec-number&gt;12228&lt;/rec-number&gt;&lt;foreign-keys&gt;&lt;key app="EN" db-id="5r0eapxzsestz4er5zaxe5zqz99fvpawedp5"&gt;12228&lt;/key&gt;&lt;/foreign-keys&gt;&lt;ref-type name="Journal Article"&gt;17&lt;/ref-type&gt;&lt;contributors&gt;&lt;authors&gt;&lt;author&gt;Sutton, Matt&lt;/author&gt;&lt;author&gt;Nikolova, Silviya&lt;/author&gt;&lt;author&gt;Boaden, Ruth&lt;/author&gt;&lt;author&gt;Lester, Helen&lt;/author&gt;&lt;author&gt;McDonald, Ruth&lt;/author&gt;&lt;author&gt;Roland, Martin&lt;/author&gt;&lt;/authors&gt;&lt;/contributors&gt;&lt;titles&gt;&lt;title&gt;Reduced Mortality with Hospital Pay for Performance in England&lt;/title&gt;&lt;secondary-title&gt;New England Journal of Medicine&lt;/secondary-title&gt;&lt;/titles&gt;&lt;periodical&gt;&lt;full-title&gt;New England Journal of Medicine&lt;/full-title&gt;&lt;/periodical&gt;&lt;pages&gt;1821-1828&lt;/pages&gt;&lt;volume&gt;367&lt;/volume&gt;&lt;number&gt;19&lt;/number&gt;&lt;dates&gt;&lt;year&gt;2012&lt;/year&gt;&lt;/dates&gt;&lt;urls&gt;&lt;related-urls&gt;&lt;url&gt;http://www.nejm.org/doi/full/10.1056/NEJMsa1114951&lt;/url&gt;&lt;/related-urls&gt;&lt;/urls&gt;&lt;electronic-resource-num&gt;doi:10.1056/NEJMsa1114951&lt;/electronic-resource-num&gt;&lt;/record&gt;&lt;/Cite&gt;&lt;/EndNote&gt;</w:instrText>
      </w:r>
      <w:r w:rsidRPr="00584465">
        <w:rPr>
          <w:rFonts w:cs="Arial"/>
          <w:szCs w:val="24"/>
        </w:rPr>
        <w:fldChar w:fldCharType="separate"/>
      </w:r>
      <w:r w:rsidRPr="00584465">
        <w:rPr>
          <w:rFonts w:cs="Arial"/>
          <w:noProof/>
          <w:szCs w:val="24"/>
          <w:vertAlign w:val="superscript"/>
        </w:rPr>
        <w:t>8</w:t>
      </w:r>
      <w:r w:rsidRPr="00584465">
        <w:rPr>
          <w:rFonts w:cs="Arial"/>
          <w:szCs w:val="24"/>
        </w:rPr>
        <w:fldChar w:fldCharType="end"/>
      </w:r>
    </w:p>
    <w:p w:rsidR="007A1C4A" w:rsidRPr="00177D2B" w:rsidRDefault="007A1C4A" w:rsidP="00ED54FD">
      <w:pPr>
        <w:keepNext/>
        <w:keepLines/>
        <w:numPr>
          <w:ilvl w:val="0"/>
          <w:numId w:val="13"/>
        </w:numPr>
        <w:spacing w:before="240" w:after="120" w:line="264" w:lineRule="auto"/>
        <w:ind w:left="0" w:firstLine="0"/>
        <w:rPr>
          <w:rFonts w:cs="Arial"/>
          <w:i/>
          <w:color w:val="000000"/>
          <w:szCs w:val="24"/>
          <w:u w:val="single"/>
        </w:rPr>
      </w:pPr>
      <w:r w:rsidRPr="00177D2B">
        <w:rPr>
          <w:rFonts w:cs="Arial"/>
          <w:i/>
          <w:color w:val="000000"/>
          <w:szCs w:val="24"/>
          <w:u w:val="single"/>
        </w:rPr>
        <w:t xml:space="preserve">Never events </w:t>
      </w:r>
    </w:p>
    <w:p w:rsidR="007A1C4A" w:rsidRDefault="007A1C4A" w:rsidP="001438C9">
      <w:pPr>
        <w:spacing w:before="120" w:after="120" w:line="264" w:lineRule="auto"/>
        <w:rPr>
          <w:rFonts w:cs="Arial"/>
          <w:color w:val="000000"/>
          <w:szCs w:val="24"/>
        </w:rPr>
      </w:pPr>
      <w:r w:rsidRPr="00584465">
        <w:rPr>
          <w:rFonts w:cs="Arial"/>
          <w:color w:val="000000"/>
          <w:szCs w:val="24"/>
        </w:rPr>
        <w:t>Since 2009 hospitals are only reimbursed for a list of hospital acquired conditions and adverse events at the ‘discretion of commissioners’.</w:t>
      </w:r>
      <w:r w:rsidRPr="00584465">
        <w:rPr>
          <w:rFonts w:cs="Arial"/>
          <w:b/>
          <w:color w:val="000000"/>
          <w:szCs w:val="24"/>
        </w:rPr>
        <w:t xml:space="preserve"> </w:t>
      </w:r>
      <w:r w:rsidRPr="00584465">
        <w:rPr>
          <w:rFonts w:cs="Arial"/>
          <w:color w:val="000000"/>
          <w:szCs w:val="24"/>
        </w:rPr>
        <w:t>The primary objectives of the policy include raising the profile of patient safety, increasing reporting levels and improving transparency. The initial list included eight never events and 111 such events were reported in 2009/10.</w:t>
      </w:r>
      <w:r w:rsidRPr="00584465">
        <w:rPr>
          <w:rFonts w:cs="Arial"/>
          <w:color w:val="000000"/>
          <w:szCs w:val="24"/>
        </w:rPr>
        <w:fldChar w:fldCharType="begin"/>
      </w:r>
      <w:r w:rsidRPr="00584465">
        <w:rPr>
          <w:rFonts w:cs="Arial"/>
          <w:color w:val="000000"/>
          <w:szCs w:val="24"/>
        </w:rPr>
        <w:instrText xml:space="preserve"> ADDIN EN.CITE &lt;EndNote&gt;&lt;Cite&gt;&lt;Author&gt;National Patient Safety Agency&lt;/Author&gt;&lt;Year&gt;2010&lt;/Year&gt;&lt;RecNum&gt;13369&lt;/RecNum&gt;&lt;record&gt;&lt;rec-number&gt;13369&lt;/rec-number&gt;&lt;foreign-keys&gt;&lt;key app="EN" db-id="5r0eapxzsestz4er5zaxe5zqz99fvpawedp5"&gt;13369&lt;/key&gt;&lt;/foreign-keys&gt;&lt;ref-type name="Report"&gt;27&lt;/ref-type&gt;&lt;contributors&gt;&lt;authors&gt;&lt;author&gt;National Patient Safety Agency,&lt;/author&gt;&lt;/authors&gt;&lt;/contributors&gt;&lt;titles&gt;&lt;title&gt;Never Events Annual Report 2009/10&lt;/title&gt;&lt;/titles&gt;&lt;dates&gt;&lt;year&gt;2010&lt;/year&gt;&lt;/dates&gt;&lt;publisher&gt;NPSA&lt;/publisher&gt;&lt;urls&gt;&lt;/urls&gt;&lt;/record&gt;&lt;/Cite&gt;&lt;/EndNote&gt;</w:instrText>
      </w:r>
      <w:r w:rsidRPr="00584465">
        <w:rPr>
          <w:rFonts w:cs="Arial"/>
          <w:color w:val="000000"/>
          <w:szCs w:val="24"/>
        </w:rPr>
        <w:fldChar w:fldCharType="separate"/>
      </w:r>
      <w:r w:rsidRPr="00584465">
        <w:rPr>
          <w:rFonts w:cs="Arial"/>
          <w:noProof/>
          <w:color w:val="000000"/>
          <w:szCs w:val="24"/>
          <w:vertAlign w:val="superscript"/>
        </w:rPr>
        <w:t>9</w:t>
      </w:r>
      <w:r w:rsidRPr="00584465">
        <w:rPr>
          <w:rFonts w:cs="Arial"/>
          <w:color w:val="000000"/>
          <w:szCs w:val="24"/>
        </w:rPr>
        <w:fldChar w:fldCharType="end"/>
      </w:r>
      <w:r w:rsidRPr="00584465">
        <w:rPr>
          <w:rFonts w:cs="Arial"/>
          <w:color w:val="000000"/>
          <w:szCs w:val="24"/>
        </w:rPr>
        <w:t xml:space="preserve"> It is unclear to what extent commissioners exercise their capacity to not reimburse for these events. The list of never events was recently expanded to 25.</w:t>
      </w:r>
      <w:r w:rsidRPr="00584465">
        <w:rPr>
          <w:rFonts w:cs="Arial"/>
          <w:color w:val="000000"/>
          <w:szCs w:val="24"/>
        </w:rPr>
        <w:fldChar w:fldCharType="begin"/>
      </w:r>
      <w:r w:rsidRPr="00584465">
        <w:rPr>
          <w:rFonts w:cs="Arial"/>
          <w:color w:val="000000"/>
          <w:szCs w:val="24"/>
        </w:rPr>
        <w:instrText xml:space="preserve"> ADDIN EN.CITE &lt;EndNote&gt;&lt;Cite&gt;&lt;Author&gt;Department of Health&lt;/Author&gt;&lt;Year&gt;2012&lt;/Year&gt;&lt;RecNum&gt;13370&lt;/RecNum&gt;&lt;record&gt;&lt;rec-number&gt;13370&lt;/rec-number&gt;&lt;foreign-keys&gt;&lt;key app="EN" db-id="5r0eapxzsestz4er5zaxe5zqz99fvpawedp5"&gt;13370&lt;/key&gt;&lt;/foreign-keys&gt;&lt;ref-type name="Report"&gt;27&lt;/ref-type&gt;&lt;contributors&gt;&lt;authors&gt;&lt;author&gt;Department of Health,&lt;/author&gt;&lt;/authors&gt;&lt;/contributors&gt;&lt;titles&gt;&lt;title&gt;Never events policy framework&lt;/title&gt;&lt;/titles&gt;&lt;dates&gt;&lt;year&gt;2012&lt;/year&gt;&lt;/dates&gt;&lt;pub-location&gt;London&lt;/pub-location&gt;&lt;urls&gt;&lt;/urls&gt;&lt;/record&gt;&lt;/Cite&gt;&lt;/EndNote&gt;</w:instrText>
      </w:r>
      <w:r w:rsidRPr="00584465">
        <w:rPr>
          <w:rFonts w:cs="Arial"/>
          <w:color w:val="000000"/>
          <w:szCs w:val="24"/>
        </w:rPr>
        <w:fldChar w:fldCharType="separate"/>
      </w:r>
      <w:r w:rsidRPr="00584465">
        <w:rPr>
          <w:rFonts w:cs="Arial"/>
          <w:noProof/>
          <w:color w:val="000000"/>
          <w:szCs w:val="24"/>
          <w:vertAlign w:val="superscript"/>
        </w:rPr>
        <w:t>10</w:t>
      </w:r>
      <w:r w:rsidRPr="00584465">
        <w:rPr>
          <w:rFonts w:cs="Arial"/>
          <w:color w:val="000000"/>
          <w:szCs w:val="24"/>
        </w:rPr>
        <w:fldChar w:fldCharType="end"/>
      </w:r>
    </w:p>
    <w:p w:rsidR="007A1C4A" w:rsidRPr="001438C9" w:rsidRDefault="007A1C4A" w:rsidP="001438C9">
      <w:pPr>
        <w:spacing w:before="120" w:after="120" w:line="264" w:lineRule="auto"/>
        <w:rPr>
          <w:rFonts w:cs="Arial"/>
          <w:color w:val="000000"/>
          <w:szCs w:val="24"/>
        </w:rPr>
      </w:pPr>
    </w:p>
    <w:p w:rsidR="007A1C4A" w:rsidRDefault="007A1C4A" w:rsidP="00C950C4">
      <w:pPr>
        <w:spacing w:before="240" w:after="120" w:line="264" w:lineRule="auto"/>
        <w:rPr>
          <w:rFonts w:cs="Arial"/>
          <w:b/>
          <w:sz w:val="28"/>
          <w:szCs w:val="28"/>
        </w:rPr>
      </w:pPr>
      <w:r>
        <w:rPr>
          <w:rFonts w:cs="Arial"/>
          <w:b/>
          <w:sz w:val="28"/>
          <w:szCs w:val="28"/>
        </w:rPr>
        <w:t>4.3.4</w:t>
      </w:r>
      <w:r>
        <w:rPr>
          <w:rFonts w:cs="Arial"/>
          <w:b/>
          <w:sz w:val="28"/>
          <w:szCs w:val="28"/>
        </w:rPr>
        <w:tab/>
      </w:r>
      <w:r w:rsidRPr="00584465">
        <w:rPr>
          <w:rFonts w:cs="Arial"/>
          <w:b/>
          <w:sz w:val="28"/>
          <w:szCs w:val="28"/>
        </w:rPr>
        <w:t xml:space="preserve">References </w:t>
      </w:r>
    </w:p>
    <w:p w:rsidR="007A1C4A" w:rsidRDefault="007A1C4A" w:rsidP="00C950C4">
      <w:pPr>
        <w:spacing w:before="240" w:after="120" w:line="264" w:lineRule="auto"/>
        <w:ind w:left="360" w:hanging="360"/>
        <w:rPr>
          <w:rFonts w:cs="Arial"/>
          <w:b/>
          <w:sz w:val="28"/>
          <w:szCs w:val="28"/>
        </w:rPr>
      </w:pPr>
      <w:r w:rsidRPr="00584465">
        <w:rPr>
          <w:rFonts w:cs="Arial"/>
          <w:szCs w:val="24"/>
        </w:rPr>
        <w:fldChar w:fldCharType="begin"/>
      </w:r>
      <w:r w:rsidRPr="00584465">
        <w:rPr>
          <w:rFonts w:cs="Arial"/>
          <w:szCs w:val="24"/>
        </w:rPr>
        <w:instrText xml:space="preserve"> ADDIN EN.REFLIST </w:instrText>
      </w:r>
      <w:r w:rsidRPr="00584465">
        <w:rPr>
          <w:rFonts w:cs="Arial"/>
          <w:szCs w:val="24"/>
        </w:rPr>
        <w:fldChar w:fldCharType="separate"/>
      </w:r>
      <w:r w:rsidRPr="00584465">
        <w:rPr>
          <w:rFonts w:cs="Arial"/>
          <w:noProof/>
          <w:szCs w:val="24"/>
        </w:rPr>
        <w:t>1.</w:t>
      </w:r>
      <w:r>
        <w:rPr>
          <w:rFonts w:cs="Arial"/>
          <w:noProof/>
          <w:szCs w:val="24"/>
        </w:rPr>
        <w:tab/>
      </w:r>
      <w:r w:rsidRPr="00584465">
        <w:rPr>
          <w:rFonts w:cs="Arial"/>
          <w:noProof/>
          <w:szCs w:val="24"/>
        </w:rPr>
        <w:t>Thomson S, Osborn R, Squires D, Jun M. International Profiles of Health Care Systems. The Commonwealth Fund, 2012.</w:t>
      </w:r>
    </w:p>
    <w:p w:rsidR="007A1C4A" w:rsidRDefault="007A1C4A" w:rsidP="00C950C4">
      <w:pPr>
        <w:spacing w:before="240" w:after="120" w:line="264" w:lineRule="auto"/>
        <w:ind w:left="360" w:hanging="360"/>
        <w:rPr>
          <w:rFonts w:cs="Arial"/>
          <w:b/>
          <w:sz w:val="28"/>
          <w:szCs w:val="28"/>
        </w:rPr>
      </w:pPr>
      <w:r w:rsidRPr="00584465">
        <w:rPr>
          <w:rFonts w:cs="Arial"/>
          <w:noProof/>
          <w:szCs w:val="24"/>
        </w:rPr>
        <w:t>2.</w:t>
      </w:r>
      <w:r>
        <w:rPr>
          <w:rFonts w:cs="Arial"/>
          <w:noProof/>
          <w:szCs w:val="24"/>
        </w:rPr>
        <w:tab/>
      </w:r>
      <w:r w:rsidRPr="00584465">
        <w:rPr>
          <w:rFonts w:cs="Arial"/>
          <w:noProof/>
          <w:szCs w:val="24"/>
        </w:rPr>
        <w:t>Appleby J, Harrison T, Hawkins L, Dixon A. Payment by results: how can payment systems help to deliver better care? London. The King's Fund, 2012.</w:t>
      </w:r>
    </w:p>
    <w:p w:rsidR="007A1C4A" w:rsidRDefault="007A1C4A" w:rsidP="00C950C4">
      <w:pPr>
        <w:spacing w:before="240" w:after="120" w:line="264" w:lineRule="auto"/>
        <w:ind w:left="360" w:hanging="360"/>
        <w:rPr>
          <w:rFonts w:cs="Arial"/>
          <w:b/>
          <w:sz w:val="28"/>
          <w:szCs w:val="28"/>
        </w:rPr>
      </w:pPr>
      <w:r w:rsidRPr="00584465">
        <w:rPr>
          <w:rFonts w:cs="Arial"/>
          <w:noProof/>
          <w:szCs w:val="24"/>
        </w:rPr>
        <w:t>3.</w:t>
      </w:r>
      <w:r>
        <w:rPr>
          <w:rFonts w:cs="Arial"/>
          <w:noProof/>
          <w:szCs w:val="24"/>
        </w:rPr>
        <w:t xml:space="preserve"> </w:t>
      </w:r>
      <w:hyperlink r:id="rId18" w:history="1">
        <w:r w:rsidRPr="00584465">
          <w:rPr>
            <w:rStyle w:val="Hyperlink"/>
            <w:rFonts w:cs="Arial"/>
            <w:noProof/>
            <w:szCs w:val="24"/>
          </w:rPr>
          <w:t>www.nice.org.uk/guidance/qualitystandards/QualityStandardsLibrary.jsp</w:t>
        </w:r>
      </w:hyperlink>
      <w:r w:rsidRPr="00584465">
        <w:rPr>
          <w:rFonts w:cs="Arial"/>
          <w:noProof/>
          <w:szCs w:val="24"/>
        </w:rPr>
        <w:t xml:space="preserve"> accessed 17 December 2012.</w:t>
      </w:r>
    </w:p>
    <w:p w:rsidR="007A1C4A" w:rsidRDefault="007A1C4A" w:rsidP="00C950C4">
      <w:pPr>
        <w:spacing w:before="240" w:after="120" w:line="264" w:lineRule="auto"/>
        <w:ind w:left="360" w:hanging="360"/>
        <w:rPr>
          <w:rFonts w:cs="Arial"/>
          <w:b/>
          <w:sz w:val="28"/>
          <w:szCs w:val="28"/>
        </w:rPr>
      </w:pPr>
      <w:r w:rsidRPr="00584465">
        <w:rPr>
          <w:rFonts w:cs="Arial"/>
          <w:noProof/>
          <w:szCs w:val="24"/>
        </w:rPr>
        <w:t>4.</w:t>
      </w:r>
      <w:r>
        <w:rPr>
          <w:rFonts w:cs="Arial"/>
          <w:noProof/>
          <w:szCs w:val="24"/>
        </w:rPr>
        <w:tab/>
      </w:r>
      <w:hyperlink r:id="rId19" w:history="1">
        <w:r w:rsidRPr="00584465">
          <w:rPr>
            <w:rStyle w:val="Hyperlink"/>
            <w:rFonts w:cs="Arial"/>
            <w:noProof/>
            <w:szCs w:val="24"/>
          </w:rPr>
          <w:t>www.nice.org.uk/guidance/qualitystandards/qualitystandards.jsp?p=off</w:t>
        </w:r>
      </w:hyperlink>
      <w:r w:rsidRPr="00584465">
        <w:rPr>
          <w:rFonts w:cs="Arial"/>
          <w:noProof/>
          <w:szCs w:val="24"/>
        </w:rPr>
        <w:t xml:space="preserve"> accessed </w:t>
      </w:r>
      <w:r w:rsidRPr="00E97CB2">
        <w:rPr>
          <w:rStyle w:val="Hyperlink"/>
        </w:rPr>
        <w:t>17</w:t>
      </w:r>
      <w:r w:rsidRPr="00584465">
        <w:rPr>
          <w:rFonts w:cs="Arial"/>
          <w:noProof/>
          <w:szCs w:val="24"/>
        </w:rPr>
        <w:t xml:space="preserve"> December 2012.</w:t>
      </w:r>
    </w:p>
    <w:p w:rsidR="007A1C4A" w:rsidRDefault="007A1C4A" w:rsidP="00C950C4">
      <w:pPr>
        <w:spacing w:before="240" w:after="120" w:line="264" w:lineRule="auto"/>
        <w:ind w:left="360" w:hanging="360"/>
        <w:rPr>
          <w:rFonts w:cs="Arial"/>
          <w:b/>
          <w:sz w:val="28"/>
          <w:szCs w:val="28"/>
        </w:rPr>
      </w:pPr>
      <w:r w:rsidRPr="00584465">
        <w:rPr>
          <w:rFonts w:cs="Arial"/>
          <w:noProof/>
          <w:szCs w:val="24"/>
        </w:rPr>
        <w:t>5.</w:t>
      </w:r>
      <w:r>
        <w:rPr>
          <w:rFonts w:cs="Arial"/>
          <w:noProof/>
          <w:szCs w:val="24"/>
        </w:rPr>
        <w:tab/>
      </w:r>
      <w:r w:rsidRPr="00584465">
        <w:rPr>
          <w:rFonts w:cs="Arial"/>
          <w:noProof/>
          <w:szCs w:val="24"/>
        </w:rPr>
        <w:t>Cashin C. Major Developments in Results-Based Financing (RBF) in OECD Countries: United Kingdom: Quality and Outcomes Framework (QOF). The World Bank, 2011.</w:t>
      </w:r>
    </w:p>
    <w:p w:rsidR="007A1C4A" w:rsidRDefault="007A1C4A" w:rsidP="00C950C4">
      <w:pPr>
        <w:spacing w:before="240" w:after="120" w:line="264" w:lineRule="auto"/>
        <w:ind w:left="360" w:hanging="360"/>
        <w:rPr>
          <w:rFonts w:cs="Arial"/>
          <w:b/>
          <w:sz w:val="28"/>
          <w:szCs w:val="28"/>
        </w:rPr>
      </w:pPr>
      <w:r w:rsidRPr="00584465">
        <w:rPr>
          <w:rFonts w:cs="Arial"/>
          <w:noProof/>
          <w:szCs w:val="24"/>
        </w:rPr>
        <w:t>6.</w:t>
      </w:r>
      <w:r>
        <w:rPr>
          <w:rFonts w:cs="Arial"/>
          <w:noProof/>
          <w:szCs w:val="24"/>
        </w:rPr>
        <w:tab/>
      </w:r>
      <w:r w:rsidRPr="00584465">
        <w:rPr>
          <w:rFonts w:cs="Arial"/>
          <w:noProof/>
          <w:szCs w:val="24"/>
        </w:rPr>
        <w:t>McDonald R, Allen T, Zaidi S, Sutton M, Todd S, Fichera E, et al. A Qualitative and Quantitative Evaluation of the Introduction of Best Practice Tariffs. University of Nottingham, 2012.</w:t>
      </w:r>
    </w:p>
    <w:p w:rsidR="007A1C4A" w:rsidRPr="00C950C4" w:rsidRDefault="007A1C4A" w:rsidP="00C950C4">
      <w:pPr>
        <w:spacing w:before="240" w:after="120" w:line="264" w:lineRule="auto"/>
        <w:ind w:left="360" w:hanging="360"/>
        <w:rPr>
          <w:rFonts w:cs="Arial"/>
          <w:b/>
          <w:sz w:val="28"/>
          <w:szCs w:val="28"/>
        </w:rPr>
      </w:pPr>
      <w:r w:rsidRPr="00584465">
        <w:rPr>
          <w:rFonts w:cs="Arial"/>
          <w:noProof/>
          <w:szCs w:val="24"/>
        </w:rPr>
        <w:lastRenderedPageBreak/>
        <w:t>7.</w:t>
      </w:r>
      <w:r>
        <w:rPr>
          <w:rFonts w:cs="Arial"/>
          <w:noProof/>
          <w:szCs w:val="24"/>
        </w:rPr>
        <w:tab/>
      </w:r>
      <w:r w:rsidRPr="00584465">
        <w:rPr>
          <w:rFonts w:cs="Arial"/>
          <w:noProof/>
          <w:szCs w:val="24"/>
        </w:rPr>
        <w:t xml:space="preserve">Epstein AM. Will Pay for Performance Improve Quality of Care? The Answer Is in the Details. </w:t>
      </w:r>
      <w:r w:rsidRPr="00584465">
        <w:rPr>
          <w:rFonts w:cs="Arial"/>
          <w:i/>
          <w:noProof/>
          <w:szCs w:val="24"/>
        </w:rPr>
        <w:t>New England Journal of Medicine</w:t>
      </w:r>
      <w:r w:rsidRPr="00584465">
        <w:rPr>
          <w:rFonts w:cs="Arial"/>
          <w:noProof/>
          <w:szCs w:val="24"/>
        </w:rPr>
        <w:t xml:space="preserve"> 2012;367(19):1852-1853.</w:t>
      </w:r>
    </w:p>
    <w:p w:rsidR="007A1C4A" w:rsidRPr="00584465" w:rsidRDefault="007A1C4A" w:rsidP="001438C9">
      <w:pPr>
        <w:keepNext/>
        <w:keepLines/>
        <w:spacing w:before="120" w:after="120"/>
        <w:ind w:left="426" w:hanging="426"/>
        <w:rPr>
          <w:rFonts w:cs="Arial"/>
          <w:noProof/>
          <w:szCs w:val="24"/>
        </w:rPr>
      </w:pPr>
      <w:r w:rsidRPr="00584465">
        <w:rPr>
          <w:rFonts w:cs="Arial"/>
          <w:noProof/>
          <w:szCs w:val="24"/>
        </w:rPr>
        <w:t>8.</w:t>
      </w:r>
      <w:r>
        <w:rPr>
          <w:rFonts w:cs="Arial"/>
          <w:noProof/>
          <w:szCs w:val="24"/>
        </w:rPr>
        <w:tab/>
      </w:r>
      <w:r w:rsidRPr="00584465">
        <w:rPr>
          <w:rFonts w:cs="Arial"/>
          <w:noProof/>
          <w:szCs w:val="24"/>
        </w:rPr>
        <w:t xml:space="preserve">Sutton M, Nikolova S, Boaden R, Lester H, McDonald R, Roland M. Reduced Mortality with Hospital Pay for Performance in England. </w:t>
      </w:r>
      <w:r w:rsidRPr="00584465">
        <w:rPr>
          <w:rFonts w:cs="Arial"/>
          <w:i/>
          <w:noProof/>
          <w:szCs w:val="24"/>
        </w:rPr>
        <w:t>New England Journal of Medicine</w:t>
      </w:r>
      <w:r w:rsidRPr="00584465">
        <w:rPr>
          <w:rFonts w:cs="Arial"/>
          <w:noProof/>
          <w:szCs w:val="24"/>
        </w:rPr>
        <w:t xml:space="preserve"> 2012;367(19):1821-1828.</w:t>
      </w:r>
    </w:p>
    <w:p w:rsidR="007A1C4A" w:rsidRPr="00584465" w:rsidRDefault="007A1C4A" w:rsidP="001438C9">
      <w:pPr>
        <w:keepNext/>
        <w:keepLines/>
        <w:spacing w:before="120" w:after="120"/>
        <w:ind w:left="426" w:hanging="426"/>
        <w:rPr>
          <w:rFonts w:cs="Arial"/>
          <w:noProof/>
          <w:szCs w:val="24"/>
        </w:rPr>
      </w:pPr>
      <w:r w:rsidRPr="00584465">
        <w:rPr>
          <w:rFonts w:cs="Arial"/>
          <w:noProof/>
          <w:szCs w:val="24"/>
        </w:rPr>
        <w:t>9.</w:t>
      </w:r>
      <w:r>
        <w:rPr>
          <w:rFonts w:cs="Arial"/>
          <w:noProof/>
          <w:szCs w:val="24"/>
        </w:rPr>
        <w:tab/>
      </w:r>
      <w:r w:rsidRPr="00584465">
        <w:rPr>
          <w:rFonts w:cs="Arial"/>
          <w:noProof/>
          <w:szCs w:val="24"/>
        </w:rPr>
        <w:t>National Patient Safety Agency. Never Events Annual Report 2009/10. NPSA, 2010.</w:t>
      </w:r>
    </w:p>
    <w:p w:rsidR="007A1C4A" w:rsidRPr="00C950C4" w:rsidRDefault="007A1C4A" w:rsidP="00C950C4">
      <w:pPr>
        <w:spacing w:before="120" w:after="120"/>
        <w:ind w:left="360" w:hanging="360"/>
        <w:rPr>
          <w:rFonts w:cs="Arial"/>
        </w:rPr>
      </w:pPr>
      <w:r w:rsidRPr="00584465">
        <w:rPr>
          <w:rFonts w:cs="Arial"/>
          <w:noProof/>
          <w:szCs w:val="24"/>
        </w:rPr>
        <w:t>10.</w:t>
      </w:r>
      <w:r>
        <w:rPr>
          <w:rFonts w:cs="Arial"/>
          <w:noProof/>
          <w:szCs w:val="24"/>
        </w:rPr>
        <w:tab/>
      </w:r>
      <w:r w:rsidRPr="00584465">
        <w:rPr>
          <w:rFonts w:cs="Arial"/>
          <w:noProof/>
          <w:szCs w:val="24"/>
        </w:rPr>
        <w:t>Department of Health. Never events policy framework. London, 2012</w:t>
      </w:r>
      <w:r>
        <w:rPr>
          <w:rFonts w:cs="Arial"/>
          <w:noProof/>
          <w:szCs w:val="24"/>
        </w:rPr>
        <w:t xml:space="preserve"> </w:t>
      </w:r>
      <w:hyperlink r:id="rId20" w:history="1">
        <w:r w:rsidRPr="00210C7B">
          <w:rPr>
            <w:rStyle w:val="Hyperlink"/>
            <w:rFonts w:cs="Arial"/>
          </w:rPr>
          <w:t>www.dh.gov.uk/prod_consum_dh/groups/dh_digitalassets/@dh/@en/documents/digitalasset/dh_132352.pdf</w:t>
        </w:r>
      </w:hyperlink>
    </w:p>
    <w:p w:rsidR="007A1C4A" w:rsidRPr="000A5C91" w:rsidRDefault="007A1C4A" w:rsidP="001438C9">
      <w:pPr>
        <w:pStyle w:val="Heading2"/>
        <w:keepLines/>
        <w:spacing w:before="120" w:after="120"/>
        <w:rPr>
          <w:i w:val="0"/>
          <w:iCs w:val="0"/>
        </w:rPr>
      </w:pPr>
      <w:r w:rsidRPr="00584465">
        <w:rPr>
          <w:rFonts w:cs="Arial"/>
          <w:szCs w:val="24"/>
        </w:rPr>
        <w:fldChar w:fldCharType="end"/>
      </w:r>
      <w:r w:rsidRPr="00D010B1">
        <w:rPr>
          <w:b w:val="0"/>
          <w:color w:val="1F497D"/>
        </w:rPr>
        <w:br w:type="page"/>
      </w:r>
      <w:bookmarkStart w:id="39" w:name="_Toc372115661"/>
      <w:r>
        <w:rPr>
          <w:i w:val="0"/>
        </w:rPr>
        <w:lastRenderedPageBreak/>
        <w:t>4.4</w:t>
      </w:r>
      <w:r w:rsidRPr="000A5C91">
        <w:rPr>
          <w:i w:val="0"/>
        </w:rPr>
        <w:tab/>
        <w:t>Funding and quality mechanisms: German health care system</w:t>
      </w:r>
      <w:bookmarkEnd w:id="39"/>
    </w:p>
    <w:p w:rsidR="007A1C4A" w:rsidRPr="00584465" w:rsidRDefault="007A1C4A" w:rsidP="00ED54FD">
      <w:pPr>
        <w:numPr>
          <w:ilvl w:val="2"/>
          <w:numId w:val="23"/>
        </w:numPr>
        <w:tabs>
          <w:tab w:val="clear" w:pos="1080"/>
          <w:tab w:val="num" w:pos="720"/>
        </w:tabs>
        <w:spacing w:before="240" w:after="120" w:line="264" w:lineRule="auto"/>
        <w:ind w:left="720"/>
        <w:rPr>
          <w:rFonts w:cs="Arial"/>
          <w:b/>
          <w:sz w:val="28"/>
          <w:szCs w:val="28"/>
        </w:rPr>
      </w:pPr>
      <w:r w:rsidRPr="00584465">
        <w:rPr>
          <w:rFonts w:cs="Arial"/>
          <w:b/>
          <w:sz w:val="28"/>
          <w:szCs w:val="28"/>
        </w:rPr>
        <w:t>Background</w:t>
      </w:r>
    </w:p>
    <w:p w:rsidR="007A1C4A" w:rsidRPr="00584465" w:rsidRDefault="007A1C4A" w:rsidP="007A524D">
      <w:pPr>
        <w:spacing w:before="120" w:after="120" w:line="264" w:lineRule="auto"/>
        <w:rPr>
          <w:rFonts w:cs="Arial"/>
          <w:b/>
          <w:szCs w:val="24"/>
        </w:rPr>
      </w:pPr>
      <w:r w:rsidRPr="00584465">
        <w:rPr>
          <w:rFonts w:cs="Arial"/>
          <w:szCs w:val="24"/>
        </w:rPr>
        <w:t>Germany is a federal parliamentary representative republic comprising 16 States. The population is approximately 82M and healthcare spend is about 11% GDP (3</w:t>
      </w:r>
      <w:r w:rsidRPr="00584465">
        <w:rPr>
          <w:rFonts w:cs="Arial"/>
          <w:szCs w:val="24"/>
          <w:vertAlign w:val="superscript"/>
        </w:rPr>
        <w:t>rd</w:t>
      </w:r>
      <w:r w:rsidRPr="00584465">
        <w:rPr>
          <w:rFonts w:cs="Arial"/>
          <w:szCs w:val="24"/>
        </w:rPr>
        <w:t xml:space="preserve"> in OECD).</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r w:rsidRPr="00584465">
        <w:rPr>
          <w:rFonts w:cs="Arial"/>
          <w:szCs w:val="24"/>
        </w:rPr>
        <w:t xml:space="preserve"> There are 3.6 physicians per 1</w:t>
      </w:r>
      <w:r>
        <w:rPr>
          <w:rFonts w:cs="Arial"/>
          <w:szCs w:val="24"/>
        </w:rPr>
        <w:t>,</w:t>
      </w:r>
      <w:r w:rsidRPr="00584465">
        <w:rPr>
          <w:rFonts w:cs="Arial"/>
          <w:szCs w:val="24"/>
        </w:rPr>
        <w:t>000 inhabitants.</w:t>
      </w:r>
      <w:r w:rsidRPr="00584465">
        <w:rPr>
          <w:rFonts w:cs="Arial"/>
          <w:szCs w:val="24"/>
        </w:rPr>
        <w:fldChar w:fldCharType="begin"/>
      </w:r>
      <w:r w:rsidRPr="00584465">
        <w:rPr>
          <w:rFonts w:cs="Arial"/>
          <w:szCs w:val="24"/>
        </w:rPr>
        <w:instrText xml:space="preserve"> ADDIN EN.CITE &lt;EndNote&gt;&lt;Cite&gt;&lt;Author&gt;Szecsenyi&lt;/Author&gt;&lt;Year&gt;2012&lt;/Year&gt;&lt;RecNum&gt;13350&lt;/RecNum&gt;&lt;record&gt;&lt;rec-number&gt;13350&lt;/rec-number&gt;&lt;foreign-keys&gt;&lt;key app="EN" db-id="5r0eapxzsestz4er5zaxe5zqz99fvpawedp5"&gt;13350&lt;/key&gt;&lt;/foreign-keys&gt;&lt;ref-type name="Journal Article"&gt;17&lt;/ref-type&gt;&lt;contributors&gt;&lt;authors&gt;&lt;author&gt;Szecsenyi, Joachim&lt;/author&gt;&lt;author&gt;Broge, Bjoern&lt;/author&gt;&lt;author&gt;Eckhardt, Joerg&lt;/author&gt;&lt;author&gt;Heller, Guenther&lt;/author&gt;&lt;author&gt;Kaufmann-Kolle, Petra&lt;/author&gt;&lt;author&gt;Wensing, Michel&lt;/author&gt;&lt;/authors&gt;&lt;/contributors&gt;&lt;titles&gt;&lt;title&gt;Tearing down walls: opening the border between hospital and ambulatory care for quality improvement in Germany&lt;/title&gt;&lt;secondary-title&gt;International Journal for Quality in Health Care&lt;/secondary-title&gt;&lt;/titles&gt;&lt;periodical&gt;&lt;full-title&gt;International Journal for Quality in Health Care&lt;/full-title&gt;&lt;/periodical&gt;&lt;pages&gt;101-104&lt;/pages&gt;&lt;volume&gt;24&lt;/volume&gt;&lt;number&gt;2&lt;/number&gt;&lt;dates&gt;&lt;year&gt;2012&lt;/year&gt;&lt;pub-dates&gt;&lt;date&gt;April 1, 2012&lt;/date&gt;&lt;/pub-dates&gt;&lt;/dates&gt;&lt;urls&gt;&lt;related-urls&gt;&lt;url&gt;http://intqhc.oxfordjournals.org/content/24/2/101.abstract&lt;/url&gt;&lt;/related-urls&gt;&lt;/urls&gt;&lt;electronic-resource-num&gt;10.1093/intqhc/mzr086&lt;/electronic-resource-num&gt;&lt;/record&gt;&lt;/Cite&gt;&lt;/EndNote&gt;</w:instrText>
      </w:r>
      <w:r w:rsidRPr="00584465">
        <w:rPr>
          <w:rFonts w:cs="Arial"/>
          <w:szCs w:val="24"/>
        </w:rPr>
        <w:fldChar w:fldCharType="separate"/>
      </w:r>
      <w:r w:rsidRPr="00584465">
        <w:rPr>
          <w:rFonts w:cs="Arial"/>
          <w:noProof/>
          <w:szCs w:val="24"/>
          <w:vertAlign w:val="superscript"/>
        </w:rPr>
        <w:t>2</w:t>
      </w:r>
      <w:r w:rsidRPr="00584465">
        <w:rPr>
          <w:rFonts w:cs="Arial"/>
          <w:szCs w:val="24"/>
        </w:rPr>
        <w:fldChar w:fldCharType="end"/>
      </w:r>
      <w:r w:rsidRPr="00584465">
        <w:rPr>
          <w:rFonts w:cs="Arial"/>
          <w:szCs w:val="24"/>
        </w:rPr>
        <w:t xml:space="preserve"> This ratio is 2.6 in the UK, 2.4 in the USA, and 3 in Australia.</w:t>
      </w:r>
    </w:p>
    <w:p w:rsidR="007A1C4A" w:rsidRPr="004C666A" w:rsidRDefault="007A1C4A" w:rsidP="007A524D">
      <w:pPr>
        <w:spacing w:before="240" w:after="120" w:line="264" w:lineRule="auto"/>
        <w:rPr>
          <w:rFonts w:cs="Arial"/>
          <w:b/>
          <w:szCs w:val="24"/>
        </w:rPr>
      </w:pPr>
      <w:r w:rsidRPr="004C666A">
        <w:rPr>
          <w:rFonts w:cs="Arial"/>
          <w:b/>
          <w:szCs w:val="24"/>
        </w:rPr>
        <w:t>4.</w:t>
      </w:r>
      <w:r>
        <w:rPr>
          <w:rFonts w:cs="Arial"/>
          <w:b/>
          <w:szCs w:val="24"/>
        </w:rPr>
        <w:t>4.</w:t>
      </w:r>
      <w:r w:rsidRPr="004C666A">
        <w:rPr>
          <w:rFonts w:cs="Arial"/>
          <w:b/>
          <w:szCs w:val="24"/>
        </w:rPr>
        <w:t>1.1  Health</w:t>
      </w:r>
      <w:r>
        <w:rPr>
          <w:rFonts w:cs="Arial"/>
          <w:b/>
          <w:szCs w:val="24"/>
        </w:rPr>
        <w:t xml:space="preserve"> </w:t>
      </w:r>
      <w:r w:rsidRPr="004C666A">
        <w:rPr>
          <w:rFonts w:cs="Arial"/>
          <w:b/>
          <w:szCs w:val="24"/>
        </w:rPr>
        <w:t>care coverage &amp; financing</w:t>
      </w:r>
    </w:p>
    <w:p w:rsidR="007A1C4A" w:rsidRPr="00C950C4" w:rsidRDefault="007A1C4A" w:rsidP="007A524D">
      <w:pPr>
        <w:spacing w:before="120" w:after="120" w:line="264" w:lineRule="auto"/>
        <w:rPr>
          <w:rFonts w:cs="Arial"/>
          <w:szCs w:val="24"/>
        </w:rPr>
      </w:pPr>
      <w:r w:rsidRPr="00584465">
        <w:rPr>
          <w:rFonts w:cs="Arial"/>
          <w:szCs w:val="24"/>
        </w:rPr>
        <w:t>Germany has one of the oldest universal healthcare systems dating back to Bismarck’s s</w:t>
      </w:r>
      <w:r>
        <w:rPr>
          <w:rFonts w:cs="Arial"/>
          <w:szCs w:val="24"/>
        </w:rPr>
        <w:t xml:space="preserve">ocial legislation of the 1880s. </w:t>
      </w:r>
      <w:r w:rsidRPr="00584465">
        <w:rPr>
          <w:rFonts w:cs="Arial"/>
          <w:szCs w:val="24"/>
        </w:rPr>
        <w:t xml:space="preserve">The central pillar is compulsory statutory health insurance (SHI) for all citizens and permanent residents. This is provided by approximately 143 competing not-for-profit ‘sickness funds’ and financed through a compulsory levy on wages. 85% of the population is insured through this scheme, 10% by voluntary private health insurance (PHI), and the remainder under special provisions. </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Fund&lt;/publisher&gt;&lt;urls&gt;&lt;/urls&gt;&lt;/record&gt;&lt;/Cite&gt;&lt;Cite&gt;&lt;Author&gt;Geissler A&lt;/Author&gt;&lt;Year&gt;2011&lt;/Year&gt;&lt;RecNum&gt;13351&lt;/RecNum&gt;&lt;record&gt;&lt;rec-number&gt;13351&lt;/rec-number&gt;&lt;foreign-keys&gt;&lt;key app="EN" db-id="5r0eapxzsestz4er5zaxe5zqz99fvpawedp5"&gt;13351&lt;/key&gt;&lt;/foreign-keys&gt;&lt;ref-type name="Book Section"&gt;5&lt;/ref-type&gt;&lt;contributors&gt;&lt;authors&gt;&lt;author&gt;Geissler A,&lt;/author&gt;&lt;author&gt;Scheller-Kreinsen D,&lt;/author&gt;&lt;author&gt;Quentin W,&lt;/author&gt;&lt;author&gt;Busse R,&lt;/author&gt;&lt;/authors&gt;&lt;secondary-authors&gt;&lt;author&gt;Busse R,&lt;/author&gt;&lt;author&gt;Geissler A,&lt;/author&gt;&lt;author&gt;Quentin W,&lt;/author&gt;&lt;author&gt;Wiley M,&lt;/author&gt;&lt;/secondary-authors&gt;&lt;/contributors&gt;&lt;titles&gt;&lt;title&gt;Germany: Understanding G-DRGs&lt;/title&gt;&lt;secondary-title&gt;Diagnosis Related Groups in Europe: Moving towards transparency, efficiency and quality in hospitals&lt;/secondary-title&gt;&lt;/titles&gt;&lt;dates&gt;&lt;year&gt;2011&lt;/year&gt;&lt;/dates&gt;&lt;pub-location&gt;Berkshire UK&lt;/pub-location&gt;&lt;publisher&gt;Open University Press&lt;/publisher&gt;&lt;urls&gt;&lt;/urls&gt;&lt;/record&gt;&lt;/Cite&gt;&lt;/EndNote&gt;</w:instrText>
      </w:r>
      <w:r w:rsidRPr="00584465">
        <w:rPr>
          <w:rFonts w:cs="Arial"/>
          <w:szCs w:val="24"/>
        </w:rPr>
        <w:fldChar w:fldCharType="separate"/>
      </w:r>
      <w:r w:rsidRPr="00584465">
        <w:rPr>
          <w:rFonts w:cs="Arial"/>
          <w:noProof/>
          <w:szCs w:val="24"/>
          <w:vertAlign w:val="superscript"/>
        </w:rPr>
        <w:t>1,3</w:t>
      </w:r>
      <w:r w:rsidRPr="00584465">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 xml:space="preserve">Modest cost sharing arrangements for SHI services were introduced in 2004 (e.g. </w:t>
      </w:r>
      <w:r>
        <w:rPr>
          <w:rFonts w:cs="Arial"/>
          <w:szCs w:val="24"/>
        </w:rPr>
        <w:t>€</w:t>
      </w:r>
      <w:r w:rsidRPr="00584465">
        <w:rPr>
          <w:rFonts w:cs="Arial"/>
          <w:szCs w:val="24"/>
        </w:rPr>
        <w:t>10 per inpatient day). Total cost sharing is capped at 2% of household income p</w:t>
      </w:r>
      <w:r>
        <w:rPr>
          <w:rFonts w:cs="Arial"/>
          <w:szCs w:val="24"/>
        </w:rPr>
        <w:t>er annum</w:t>
      </w:r>
      <w:r w:rsidRPr="00584465">
        <w:rPr>
          <w:rFonts w:cs="Arial"/>
          <w:szCs w:val="24"/>
        </w:rPr>
        <w:t>. Children under 18 are exempt.</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p>
    <w:p w:rsidR="007A1C4A" w:rsidRPr="00584465" w:rsidRDefault="007A1C4A" w:rsidP="00ED54FD">
      <w:pPr>
        <w:numPr>
          <w:ilvl w:val="2"/>
          <w:numId w:val="23"/>
        </w:numPr>
        <w:tabs>
          <w:tab w:val="clear" w:pos="1080"/>
          <w:tab w:val="num" w:pos="720"/>
        </w:tabs>
        <w:spacing w:before="240" w:after="120" w:line="264" w:lineRule="auto"/>
        <w:ind w:left="720"/>
        <w:rPr>
          <w:rFonts w:cs="Arial"/>
          <w:b/>
          <w:sz w:val="28"/>
          <w:szCs w:val="28"/>
        </w:rPr>
      </w:pPr>
      <w:r w:rsidRPr="00584465">
        <w:rPr>
          <w:rFonts w:cs="Arial"/>
          <w:b/>
          <w:sz w:val="28"/>
          <w:szCs w:val="28"/>
        </w:rPr>
        <w:t>Hospitals</w:t>
      </w:r>
    </w:p>
    <w:p w:rsidR="007A1C4A" w:rsidRPr="00584465" w:rsidRDefault="007A1C4A" w:rsidP="007A524D">
      <w:pPr>
        <w:spacing w:before="120" w:after="120" w:line="264" w:lineRule="auto"/>
        <w:rPr>
          <w:rFonts w:cs="Arial"/>
          <w:szCs w:val="24"/>
        </w:rPr>
      </w:pPr>
      <w:r w:rsidRPr="00584465">
        <w:rPr>
          <w:rFonts w:cs="Arial"/>
          <w:szCs w:val="24"/>
        </w:rPr>
        <w:t xml:space="preserve">Half of all hospital beds are in public hospitals. The remainder is provided by not-for-profit private hospitals (~35%) and for-profit private facilities. Most clinicians in all hospital types are salaried. </w:t>
      </w:r>
      <w:r w:rsidRPr="00584465">
        <w:rPr>
          <w:rFonts w:cs="Arial"/>
          <w:szCs w:val="24"/>
        </w:rPr>
        <w:fldChar w:fldCharType="begin"/>
      </w:r>
      <w:r w:rsidRPr="00584465">
        <w:rPr>
          <w:rFonts w:cs="Arial"/>
          <w:szCs w:val="24"/>
        </w:rPr>
        <w:instrText xml:space="preserve"> ADDIN EN.CITE &lt;EndNote&gt;&lt;Cite&gt;&lt;Author&gt;Geissler A&lt;/Author&gt;&lt;Year&gt;2011&lt;/Year&gt;&lt;RecNum&gt;13351&lt;/RecNum&gt;&lt;record&gt;&lt;rec-number&gt;13351&lt;/rec-number&gt;&lt;foreign-keys&gt;&lt;key app="EN" db-id="5r0eapxzsestz4er5zaxe5zqz99fvpawedp5"&gt;13351&lt;/key&gt;&lt;/foreign-keys&gt;&lt;ref-type name="Book Section"&gt;5&lt;/ref-type&gt;&lt;contributors&gt;&lt;authors&gt;&lt;author&gt;Geissler A,&lt;/author&gt;&lt;author&gt;Scheller-Kreinsen D,&lt;/author&gt;&lt;author&gt;Quentin W,&lt;/author&gt;&lt;author&gt;Busse R,&lt;/author&gt;&lt;/authors&gt;&lt;secondary-authors&gt;&lt;author&gt;Busse R,&lt;/author&gt;&lt;author&gt;Geissler A,&lt;/author&gt;&lt;author&gt;Quentin W,&lt;/author&gt;&lt;author&gt;Wiley M,&lt;/author&gt;&lt;/secondary-authors&gt;&lt;/contributors&gt;&lt;titles&gt;&lt;title&gt;Germany: Understanding G-DRGs&lt;/title&gt;&lt;secondary-title&gt;Diagnosis Related Groups in Europe: Moving towards transparency, efficiency and quality in hospitals&lt;/secondary-title&gt;&lt;/titles&gt;&lt;dates&gt;&lt;year&gt;2011&lt;/year&gt;&lt;/dates&gt;&lt;pub-location&gt;Berkshire UK&lt;/pub-location&gt;&lt;publisher&gt;Open University Press&lt;/publisher&gt;&lt;urls&gt;&lt;/urls&gt;&lt;/record&gt;&lt;/Cite&gt;&lt;/EndNote&gt;</w:instrText>
      </w:r>
      <w:r w:rsidRPr="00584465">
        <w:rPr>
          <w:rFonts w:cs="Arial"/>
          <w:szCs w:val="24"/>
        </w:rPr>
        <w:fldChar w:fldCharType="separate"/>
      </w:r>
      <w:r w:rsidRPr="00584465">
        <w:rPr>
          <w:rFonts w:cs="Arial"/>
          <w:noProof/>
          <w:szCs w:val="24"/>
          <w:vertAlign w:val="superscript"/>
        </w:rPr>
        <w:t>3</w:t>
      </w:r>
      <w:r w:rsidRPr="00584465">
        <w:rPr>
          <w:rFonts w:cs="Arial"/>
          <w:szCs w:val="24"/>
        </w:rPr>
        <w:fldChar w:fldCharType="end"/>
      </w:r>
    </w:p>
    <w:p w:rsidR="007A1C4A" w:rsidRPr="004C666A" w:rsidRDefault="007A1C4A" w:rsidP="007A524D">
      <w:pPr>
        <w:spacing w:before="120" w:after="120" w:line="264" w:lineRule="auto"/>
        <w:rPr>
          <w:rFonts w:cs="Arial"/>
          <w:b/>
          <w:szCs w:val="24"/>
        </w:rPr>
      </w:pPr>
      <w:r w:rsidRPr="004C666A">
        <w:rPr>
          <w:rFonts w:cs="Arial"/>
          <w:b/>
          <w:szCs w:val="24"/>
        </w:rPr>
        <w:t>4.</w:t>
      </w:r>
      <w:r>
        <w:rPr>
          <w:rFonts w:cs="Arial"/>
          <w:b/>
          <w:szCs w:val="24"/>
        </w:rPr>
        <w:t>4</w:t>
      </w:r>
      <w:r w:rsidRPr="004C666A">
        <w:rPr>
          <w:rFonts w:cs="Arial"/>
          <w:b/>
          <w:szCs w:val="24"/>
        </w:rPr>
        <w:t>.2.1  Hospital funding</w:t>
      </w:r>
    </w:p>
    <w:p w:rsidR="007A1C4A" w:rsidRPr="00584465" w:rsidRDefault="007A1C4A" w:rsidP="007A524D">
      <w:pPr>
        <w:spacing w:before="120" w:after="120" w:line="264" w:lineRule="auto"/>
        <w:rPr>
          <w:rFonts w:cs="Arial"/>
          <w:szCs w:val="24"/>
        </w:rPr>
      </w:pPr>
      <w:r w:rsidRPr="00584465">
        <w:rPr>
          <w:rFonts w:cs="Arial"/>
          <w:szCs w:val="24"/>
        </w:rPr>
        <w:t>Funding is split between infrastructure and operating costs. Infrastructure is funded by the state government. Operating costs are financed by sickness funds through</w:t>
      </w:r>
      <w:r w:rsidRPr="00584465">
        <w:rPr>
          <w:rFonts w:cs="Arial"/>
          <w:b/>
          <w:szCs w:val="24"/>
        </w:rPr>
        <w:t xml:space="preserve"> </w:t>
      </w:r>
      <w:r w:rsidRPr="00584465">
        <w:rPr>
          <w:rFonts w:cs="Arial"/>
          <w:szCs w:val="24"/>
        </w:rPr>
        <w:t>a per-episode model based on the German DRG classification system (ICD-10-GM</w:t>
      </w:r>
      <w:r>
        <w:rPr>
          <w:rFonts w:cs="Arial"/>
          <w:szCs w:val="24"/>
        </w:rPr>
        <w:t xml:space="preserve"> and G-DRG</w:t>
      </w:r>
      <w:r w:rsidRPr="00584465">
        <w:rPr>
          <w:rFonts w:cs="Arial"/>
          <w:szCs w:val="24"/>
        </w:rPr>
        <w:t xml:space="preserve">). The G-DRG system was </w:t>
      </w:r>
      <w:r>
        <w:rPr>
          <w:rFonts w:cs="Arial"/>
          <w:szCs w:val="24"/>
        </w:rPr>
        <w:t>developed</w:t>
      </w:r>
      <w:r w:rsidRPr="00584465">
        <w:rPr>
          <w:rFonts w:cs="Arial"/>
          <w:szCs w:val="24"/>
        </w:rPr>
        <w:t xml:space="preserve"> in 2003 and based on the AR-DRG(v4.1). It is revised annually. Pre-2003 funding was a mix of block- and per-diem reimbursement. The rationale for introducing the current model was similar to that of ABF in Australia</w:t>
      </w:r>
      <w:r w:rsidRPr="00584465">
        <w:rPr>
          <w:rFonts w:cs="Arial"/>
          <w:szCs w:val="24"/>
        </w:rPr>
        <w:fldChar w:fldCharType="begin"/>
      </w:r>
      <w:r w:rsidRPr="00584465">
        <w:rPr>
          <w:rFonts w:cs="Arial"/>
          <w:szCs w:val="24"/>
        </w:rPr>
        <w:instrText xml:space="preserve"> ADDIN EN.CITE &lt;EndNote&gt;&lt;Cite&gt;&lt;Author&gt;Geissler A&lt;/Author&gt;&lt;Year&gt;2011&lt;/Year&gt;&lt;RecNum&gt;13351&lt;/RecNum&gt;&lt;record&gt;&lt;rec-number&gt;13351&lt;/rec-number&gt;&lt;foreign-keys&gt;&lt;key app="EN" db-id="5r0eapxzsestz4er5zaxe5zqz99fvpawedp5"&gt;13351&lt;/key&gt;&lt;/foreign-keys&gt;&lt;ref-type name="Book Section"&gt;5&lt;/ref-type&gt;&lt;contributors&gt;&lt;authors&gt;&lt;author&gt;Geissler A,&lt;/author&gt;&lt;author&gt;Scheller-Kreinsen D,&lt;/author&gt;&lt;author&gt;Quentin W,&lt;/author&gt;&lt;author&gt;Busse R,&lt;/author&gt;&lt;/authors&gt;&lt;secondary-authors&gt;&lt;author&gt;Busse R,&lt;/author&gt;&lt;author&gt;Geissler A,&lt;/author&gt;&lt;author&gt;Quentin W,&lt;/author&gt;&lt;author&gt;Wiley M,&lt;/author&gt;&lt;/secondary-authors&gt;&lt;/contributors&gt;&lt;titles&gt;&lt;title&gt;Germany: Understanding G-DRGs&lt;/title&gt;&lt;secondary-title&gt;Diagnosis Related Groups in Europe: Moving towards transparency, efficiency and quality in hospitals&lt;/secondary-title&gt;&lt;/titles&gt;&lt;dates&gt;&lt;year&gt;2011&lt;/year&gt;&lt;/dates&gt;&lt;pub-location&gt;Berkshire UK&lt;/pub-location&gt;&lt;publisher&gt;Open University Press&lt;/publisher&gt;&lt;urls&gt;&lt;/urls&gt;&lt;/record&gt;&lt;/Cite&gt;&lt;/EndNote&gt;</w:instrText>
      </w:r>
      <w:r w:rsidRPr="00584465">
        <w:rPr>
          <w:rFonts w:cs="Arial"/>
          <w:szCs w:val="24"/>
        </w:rPr>
        <w:fldChar w:fldCharType="separate"/>
      </w:r>
      <w:r w:rsidRPr="00584465">
        <w:rPr>
          <w:rFonts w:cs="Arial"/>
          <w:noProof/>
          <w:szCs w:val="24"/>
          <w:vertAlign w:val="superscript"/>
        </w:rPr>
        <w:t>3</w:t>
      </w:r>
      <w:r w:rsidRPr="00584465">
        <w:rPr>
          <w:rFonts w:cs="Arial"/>
          <w:szCs w:val="24"/>
        </w:rPr>
        <w:fldChar w:fldCharType="end"/>
      </w:r>
      <w:r>
        <w:rPr>
          <w:rFonts w:cs="Arial"/>
          <w:szCs w:val="24"/>
        </w:rPr>
        <w:t xml:space="preserve">. </w:t>
      </w:r>
      <w:r w:rsidRPr="00584465">
        <w:rPr>
          <w:rFonts w:cs="Arial"/>
          <w:szCs w:val="24"/>
        </w:rPr>
        <w:t xml:space="preserve">Notably: </w:t>
      </w:r>
    </w:p>
    <w:p w:rsidR="007A1C4A" w:rsidRPr="00584465" w:rsidRDefault="007A1C4A" w:rsidP="007A524D">
      <w:pPr>
        <w:numPr>
          <w:ilvl w:val="0"/>
          <w:numId w:val="8"/>
        </w:numPr>
        <w:spacing w:before="120" w:after="120" w:line="264" w:lineRule="auto"/>
        <w:rPr>
          <w:rFonts w:cs="Arial"/>
          <w:szCs w:val="24"/>
        </w:rPr>
      </w:pPr>
      <w:r w:rsidRPr="00584465">
        <w:rPr>
          <w:rFonts w:cs="Arial"/>
          <w:szCs w:val="24"/>
        </w:rPr>
        <w:t xml:space="preserve">Average costs are used to determine prices (with trimming and </w:t>
      </w:r>
      <w:r>
        <w:rPr>
          <w:rFonts w:cs="Arial"/>
          <w:szCs w:val="24"/>
        </w:rPr>
        <w:t>cleansing</w:t>
      </w:r>
      <w:r w:rsidRPr="00584465">
        <w:rPr>
          <w:rFonts w:cs="Arial"/>
          <w:szCs w:val="24"/>
        </w:rPr>
        <w:t xml:space="preserve"> of data). </w:t>
      </w:r>
    </w:p>
    <w:p w:rsidR="007A1C4A" w:rsidRPr="00584465" w:rsidRDefault="007A1C4A" w:rsidP="007A524D">
      <w:pPr>
        <w:numPr>
          <w:ilvl w:val="0"/>
          <w:numId w:val="8"/>
        </w:numPr>
        <w:spacing w:before="120" w:after="120" w:line="264" w:lineRule="auto"/>
        <w:rPr>
          <w:rFonts w:cs="Arial"/>
          <w:szCs w:val="24"/>
        </w:rPr>
      </w:pPr>
      <w:r w:rsidRPr="00584465">
        <w:rPr>
          <w:rFonts w:cs="Arial"/>
          <w:szCs w:val="24"/>
        </w:rPr>
        <w:t>Funding is purely based on casemix and does not account for hospital characteristics.</w:t>
      </w:r>
    </w:p>
    <w:p w:rsidR="007A1C4A" w:rsidRPr="00584465" w:rsidRDefault="007A1C4A" w:rsidP="007A524D">
      <w:pPr>
        <w:numPr>
          <w:ilvl w:val="0"/>
          <w:numId w:val="8"/>
        </w:numPr>
        <w:spacing w:before="120" w:after="120" w:line="264" w:lineRule="auto"/>
        <w:rPr>
          <w:rFonts w:cs="Arial"/>
          <w:szCs w:val="24"/>
        </w:rPr>
      </w:pPr>
      <w:r w:rsidRPr="00584465">
        <w:rPr>
          <w:rFonts w:cs="Arial"/>
          <w:szCs w:val="24"/>
        </w:rPr>
        <w:t xml:space="preserve">Psychiatric and rehabilitation patients are excluded (a separate payment system is planned for 2013). </w:t>
      </w:r>
    </w:p>
    <w:p w:rsidR="007A1C4A" w:rsidRPr="00584465" w:rsidRDefault="007A1C4A" w:rsidP="007A524D">
      <w:pPr>
        <w:numPr>
          <w:ilvl w:val="0"/>
          <w:numId w:val="8"/>
        </w:numPr>
        <w:spacing w:before="120" w:after="120" w:line="264" w:lineRule="auto"/>
        <w:rPr>
          <w:rFonts w:cs="Arial"/>
          <w:szCs w:val="24"/>
        </w:rPr>
      </w:pPr>
      <w:r w:rsidRPr="00584465">
        <w:rPr>
          <w:rFonts w:cs="Arial"/>
          <w:szCs w:val="24"/>
        </w:rPr>
        <w:t xml:space="preserve">An annual volume cap is agreed between the hospital and sickness funds. When the cap is exceeded, a lower DRG reimbursement rate becomes effective. </w:t>
      </w:r>
    </w:p>
    <w:p w:rsidR="007A1C4A" w:rsidRPr="00584465" w:rsidRDefault="007A1C4A" w:rsidP="007A524D">
      <w:pPr>
        <w:numPr>
          <w:ilvl w:val="0"/>
          <w:numId w:val="8"/>
        </w:numPr>
        <w:spacing w:before="120" w:after="120" w:line="264" w:lineRule="auto"/>
        <w:rPr>
          <w:rFonts w:cs="Arial"/>
          <w:b/>
          <w:szCs w:val="24"/>
        </w:rPr>
      </w:pPr>
      <w:r w:rsidRPr="00584465">
        <w:rPr>
          <w:rFonts w:cs="Arial"/>
          <w:szCs w:val="24"/>
        </w:rPr>
        <w:lastRenderedPageBreak/>
        <w:t>An improvement in quality of coding is reported since DRGs used for payment.</w:t>
      </w:r>
    </w:p>
    <w:p w:rsidR="007A1C4A" w:rsidRPr="00584465" w:rsidRDefault="007A1C4A" w:rsidP="007A524D">
      <w:pPr>
        <w:spacing w:before="240" w:after="120" w:line="264" w:lineRule="auto"/>
        <w:rPr>
          <w:rFonts w:cs="Arial"/>
          <w:b/>
          <w:sz w:val="28"/>
          <w:szCs w:val="28"/>
        </w:rPr>
      </w:pPr>
      <w:r>
        <w:rPr>
          <w:rFonts w:cs="Arial"/>
          <w:b/>
          <w:sz w:val="28"/>
          <w:szCs w:val="28"/>
        </w:rPr>
        <w:t>4.4.3</w:t>
      </w:r>
      <w:r>
        <w:rPr>
          <w:rFonts w:cs="Arial"/>
          <w:b/>
          <w:sz w:val="28"/>
          <w:szCs w:val="28"/>
        </w:rPr>
        <w:tab/>
      </w:r>
      <w:r w:rsidRPr="00584465">
        <w:rPr>
          <w:rFonts w:cs="Arial"/>
          <w:b/>
          <w:sz w:val="28"/>
          <w:szCs w:val="28"/>
        </w:rPr>
        <w:t xml:space="preserve">Quality </w:t>
      </w:r>
    </w:p>
    <w:p w:rsidR="007A1C4A" w:rsidRDefault="007A1C4A" w:rsidP="007A524D">
      <w:pPr>
        <w:spacing w:before="120" w:after="120" w:line="264" w:lineRule="auto"/>
        <w:rPr>
          <w:rFonts w:cs="Arial"/>
          <w:szCs w:val="24"/>
        </w:rPr>
      </w:pPr>
      <w:r w:rsidRPr="00F76F9D">
        <w:rPr>
          <w:rFonts w:cs="Arial"/>
          <w:szCs w:val="24"/>
        </w:rPr>
        <w:t xml:space="preserve">With the exception of non-payment for readmission (see section 4.5.3.1b) and financial penalties for not submitting data to the quality assurance program (see section 4.5.3.2a), there are no financial incentives integrated, or attached, to the national hospital and healthcare funding system.  There are, however, regional schemes where financial incentives are employed (see 4.5.3.2h).  </w:t>
      </w:r>
    </w:p>
    <w:p w:rsidR="007A1C4A" w:rsidRPr="00584465" w:rsidRDefault="007A1C4A" w:rsidP="007A524D">
      <w:pPr>
        <w:spacing w:before="120" w:after="120" w:line="264" w:lineRule="auto"/>
        <w:rPr>
          <w:rFonts w:cs="Arial"/>
          <w:szCs w:val="24"/>
        </w:rPr>
      </w:pPr>
      <w:r w:rsidRPr="00F76F9D">
        <w:rPr>
          <w:rFonts w:cs="Arial"/>
          <w:szCs w:val="24"/>
        </w:rPr>
        <w:t>The next sections outline</w:t>
      </w:r>
      <w:r>
        <w:rPr>
          <w:rFonts w:cs="Arial"/>
          <w:szCs w:val="24"/>
        </w:rPr>
        <w:t>s the</w:t>
      </w:r>
      <w:r w:rsidRPr="00F76F9D">
        <w:rPr>
          <w:rFonts w:cs="Arial"/>
          <w:szCs w:val="24"/>
        </w:rPr>
        <w:t xml:space="preserve"> built-in quality mechanisms as well as extrinsic mechanisms.</w:t>
      </w:r>
      <w:r w:rsidRPr="00584465">
        <w:rPr>
          <w:rFonts w:cs="Arial"/>
          <w:szCs w:val="24"/>
        </w:rPr>
        <w:t xml:space="preserve"> </w:t>
      </w:r>
    </w:p>
    <w:p w:rsidR="007A1C4A" w:rsidRPr="00992A1F" w:rsidRDefault="007A1C4A" w:rsidP="007A524D">
      <w:pPr>
        <w:tabs>
          <w:tab w:val="left" w:pos="993"/>
        </w:tabs>
        <w:spacing w:before="240" w:after="120" w:line="264" w:lineRule="auto"/>
        <w:rPr>
          <w:rFonts w:cs="Arial"/>
          <w:b/>
          <w:szCs w:val="24"/>
        </w:rPr>
      </w:pPr>
      <w:r>
        <w:rPr>
          <w:rFonts w:cs="Arial"/>
          <w:b/>
          <w:szCs w:val="24"/>
        </w:rPr>
        <w:t>4.4.3.1</w:t>
      </w:r>
      <w:r>
        <w:rPr>
          <w:rFonts w:cs="Arial"/>
          <w:b/>
          <w:szCs w:val="24"/>
        </w:rPr>
        <w:tab/>
      </w:r>
      <w:r w:rsidRPr="00992A1F">
        <w:rPr>
          <w:rFonts w:cs="Arial"/>
          <w:b/>
          <w:szCs w:val="24"/>
        </w:rPr>
        <w:t xml:space="preserve">Built-in quality mechanisms </w:t>
      </w:r>
    </w:p>
    <w:p w:rsidR="007A1C4A" w:rsidRPr="00584465" w:rsidRDefault="007A1C4A" w:rsidP="007A524D">
      <w:pPr>
        <w:spacing w:before="120" w:after="120" w:line="264" w:lineRule="auto"/>
        <w:rPr>
          <w:rFonts w:cs="Arial"/>
          <w:b/>
          <w:szCs w:val="24"/>
        </w:rPr>
      </w:pPr>
      <w:r w:rsidRPr="00584465">
        <w:rPr>
          <w:rFonts w:cs="Arial"/>
          <w:szCs w:val="24"/>
        </w:rPr>
        <w:t xml:space="preserve">Structural mechanisms </w:t>
      </w:r>
      <w:r>
        <w:rPr>
          <w:rFonts w:cs="Arial"/>
          <w:szCs w:val="24"/>
        </w:rPr>
        <w:t>have been</w:t>
      </w:r>
      <w:r w:rsidRPr="00584465">
        <w:rPr>
          <w:rFonts w:cs="Arial"/>
          <w:szCs w:val="24"/>
        </w:rPr>
        <w:t xml:space="preserve"> </w:t>
      </w:r>
      <w:r>
        <w:rPr>
          <w:rFonts w:cs="Arial"/>
          <w:szCs w:val="24"/>
        </w:rPr>
        <w:t>established to regularly check</w:t>
      </w:r>
      <w:r w:rsidRPr="00584465">
        <w:rPr>
          <w:rFonts w:cs="Arial"/>
          <w:szCs w:val="24"/>
        </w:rPr>
        <w:t xml:space="preserve"> quality </w:t>
      </w:r>
      <w:r>
        <w:rPr>
          <w:rFonts w:cs="Arial"/>
          <w:szCs w:val="24"/>
        </w:rPr>
        <w:t>and promote</w:t>
      </w:r>
      <w:r w:rsidRPr="00584465">
        <w:rPr>
          <w:rFonts w:cs="Arial"/>
          <w:szCs w:val="24"/>
        </w:rPr>
        <w:t xml:space="preserve"> efficiency. These can be summarised as follows: </w:t>
      </w:r>
    </w:p>
    <w:p w:rsidR="007A1C4A" w:rsidRPr="00177D2B" w:rsidRDefault="007A1C4A" w:rsidP="00ED54FD">
      <w:pPr>
        <w:numPr>
          <w:ilvl w:val="0"/>
          <w:numId w:val="14"/>
        </w:numPr>
        <w:spacing w:before="240" w:after="120" w:line="264" w:lineRule="auto"/>
        <w:ind w:left="0" w:firstLine="0"/>
        <w:rPr>
          <w:rFonts w:cs="Arial"/>
          <w:i/>
          <w:szCs w:val="24"/>
          <w:u w:val="single"/>
        </w:rPr>
      </w:pPr>
      <w:r w:rsidRPr="00177D2B">
        <w:rPr>
          <w:rFonts w:cs="Arial"/>
          <w:i/>
          <w:szCs w:val="24"/>
          <w:u w:val="single"/>
        </w:rPr>
        <w:t xml:space="preserve">Adverse selection of patients </w:t>
      </w:r>
    </w:p>
    <w:p w:rsidR="007A1C4A" w:rsidRPr="00584465" w:rsidRDefault="007A1C4A" w:rsidP="00177D2B">
      <w:pPr>
        <w:spacing w:before="120" w:after="120" w:line="264" w:lineRule="auto"/>
        <w:rPr>
          <w:rFonts w:cs="Arial"/>
          <w:szCs w:val="24"/>
        </w:rPr>
      </w:pPr>
      <w:r w:rsidRPr="00584465">
        <w:rPr>
          <w:rFonts w:cs="Arial"/>
          <w:szCs w:val="24"/>
        </w:rPr>
        <w:t xml:space="preserve">Price weights are updated annually. Cost weights differ making it difficult, in the long run, to predict margins and adjust capacities accordingly. </w:t>
      </w:r>
      <w:r w:rsidRPr="00584465">
        <w:rPr>
          <w:rFonts w:cs="Arial"/>
          <w:szCs w:val="24"/>
        </w:rPr>
        <w:fldChar w:fldCharType="begin"/>
      </w:r>
      <w:r w:rsidRPr="00584465">
        <w:rPr>
          <w:rFonts w:cs="Arial"/>
          <w:szCs w:val="24"/>
        </w:rPr>
        <w:instrText xml:space="preserve"> ADDIN EN.CITE &lt;EndNote&gt;&lt;Cite&gt;&lt;Author&gt;Geissler A&lt;/Author&gt;&lt;Year&gt;2011&lt;/Year&gt;&lt;RecNum&gt;13351&lt;/RecNum&gt;&lt;record&gt;&lt;rec-number&gt;13351&lt;/rec-number&gt;&lt;foreign-keys&gt;&lt;key app="EN" db-id="5r0eapxzsestz4er5zaxe5zqz99fvpawedp5"&gt;13351&lt;/key&gt;&lt;/foreign-keys&gt;&lt;ref-type name="Book Section"&gt;5&lt;/ref-type&gt;&lt;contributors&gt;&lt;authors&gt;&lt;author&gt;Geissler A,&lt;/author&gt;&lt;author&gt;Scheller-Kreinsen D,&lt;/author&gt;&lt;author&gt;Quentin W,&lt;/author&gt;&lt;author&gt;Busse R,&lt;/author&gt;&lt;/authors&gt;&lt;secondary-authors&gt;&lt;author&gt;Busse R,&lt;/author&gt;&lt;author&gt;Geissler A,&lt;/author&gt;&lt;author&gt;Quentin W,&lt;/author&gt;&lt;author&gt;Wiley M,&lt;/author&gt;&lt;/secondary-authors&gt;&lt;/contributors&gt;&lt;titles&gt;&lt;title&gt;Germany: Understanding G-DRGs&lt;/title&gt;&lt;secondary-title&gt;Diagnosis Related Groups in Europe: Moving towards transparency, efficiency and quality in hospitals&lt;/secondary-title&gt;&lt;/titles&gt;&lt;dates&gt;&lt;year&gt;2011&lt;/year&gt;&lt;/dates&gt;&lt;pub-location&gt;Berkshire UK&lt;/pub-location&gt;&lt;publisher&gt;Open University Press&lt;/publisher&gt;&lt;urls&gt;&lt;/urls&gt;&lt;/record&gt;&lt;/Cite&gt;&lt;/EndNote&gt;</w:instrText>
      </w:r>
      <w:r w:rsidRPr="00584465">
        <w:rPr>
          <w:rFonts w:cs="Arial"/>
          <w:szCs w:val="24"/>
        </w:rPr>
        <w:fldChar w:fldCharType="separate"/>
      </w:r>
      <w:r w:rsidRPr="00584465">
        <w:rPr>
          <w:rFonts w:cs="Arial"/>
          <w:noProof/>
          <w:szCs w:val="24"/>
          <w:vertAlign w:val="superscript"/>
        </w:rPr>
        <w:t>3</w:t>
      </w:r>
      <w:r w:rsidRPr="00584465">
        <w:rPr>
          <w:rFonts w:cs="Arial"/>
          <w:szCs w:val="24"/>
        </w:rPr>
        <w:fldChar w:fldCharType="end"/>
      </w:r>
    </w:p>
    <w:p w:rsidR="007A1C4A" w:rsidRPr="00177D2B" w:rsidRDefault="007A1C4A" w:rsidP="00ED54FD">
      <w:pPr>
        <w:numPr>
          <w:ilvl w:val="0"/>
          <w:numId w:val="14"/>
        </w:numPr>
        <w:spacing w:before="240" w:after="120" w:line="264" w:lineRule="auto"/>
        <w:ind w:left="0" w:firstLine="0"/>
        <w:rPr>
          <w:rFonts w:cs="Arial"/>
          <w:szCs w:val="24"/>
          <w:u w:val="single"/>
        </w:rPr>
      </w:pPr>
      <w:r w:rsidRPr="00177D2B">
        <w:rPr>
          <w:rFonts w:cs="Arial"/>
          <w:i/>
          <w:szCs w:val="24"/>
          <w:u w:val="single"/>
        </w:rPr>
        <w:t>Inappropriate discharge</w:t>
      </w:r>
      <w:r w:rsidRPr="00177D2B">
        <w:rPr>
          <w:rFonts w:cs="Arial"/>
          <w:szCs w:val="24"/>
          <w:u w:val="single"/>
        </w:rPr>
        <w:t xml:space="preserve"> </w:t>
      </w:r>
    </w:p>
    <w:p w:rsidR="007A1C4A" w:rsidRPr="00584465" w:rsidRDefault="007A1C4A" w:rsidP="00177D2B">
      <w:pPr>
        <w:spacing w:before="120" w:after="120" w:line="264" w:lineRule="auto"/>
        <w:rPr>
          <w:rFonts w:cs="Arial"/>
          <w:szCs w:val="24"/>
        </w:rPr>
      </w:pPr>
      <w:r w:rsidRPr="00584465">
        <w:rPr>
          <w:rFonts w:cs="Arial"/>
          <w:szCs w:val="24"/>
        </w:rPr>
        <w:t>Readmission for the same diagnosis within 30 days receives no additional funding.</w:t>
      </w:r>
      <w:r w:rsidRPr="00584465">
        <w:rPr>
          <w:rFonts w:cs="Arial"/>
          <w:szCs w:val="24"/>
        </w:rPr>
        <w:fldChar w:fldCharType="begin"/>
      </w:r>
      <w:r w:rsidRPr="00584465">
        <w:rPr>
          <w:rFonts w:cs="Arial"/>
          <w:szCs w:val="24"/>
        </w:rPr>
        <w:instrText xml:space="preserve"> ADDIN EN.CITE &lt;EndNote&gt;&lt;Cite&gt;&lt;Author&gt;Geissler A&lt;/Author&gt;&lt;Year&gt;2011&lt;/Year&gt;&lt;RecNum&gt;13351&lt;/RecNum&gt;&lt;record&gt;&lt;rec-number&gt;13351&lt;/rec-number&gt;&lt;foreign-keys&gt;&lt;key app="EN" db-id="5r0eapxzsestz4er5zaxe5zqz99fvpawedp5"&gt;13351&lt;/key&gt;&lt;/foreign-keys&gt;&lt;ref-type name="Book Section"&gt;5&lt;/ref-type&gt;&lt;contributors&gt;&lt;authors&gt;&lt;author&gt;Geissler A,&lt;/author&gt;&lt;author&gt;Scheller-Kreinsen D,&lt;/author&gt;&lt;author&gt;Quentin W,&lt;/author&gt;&lt;author&gt;Busse R,&lt;/author&gt;&lt;/authors&gt;&lt;secondary-authors&gt;&lt;author&gt;Busse R,&lt;/author&gt;&lt;author&gt;Geissler A,&lt;/author&gt;&lt;author&gt;Quentin W,&lt;/author&gt;&lt;author&gt;Wiley M,&lt;/author&gt;&lt;/secondary-authors&gt;&lt;/contributors&gt;&lt;titles&gt;&lt;title&gt;Germany: Understanding G-DRGs&lt;/title&gt;&lt;secondary-title&gt;Diagnosis Related Groups in Europe: Moving towards transparency, efficiency and quality in hospitals&lt;/secondary-title&gt;&lt;/titles&gt;&lt;dates&gt;&lt;year&gt;2011&lt;/year&gt;&lt;/dates&gt;&lt;pub-location&gt;Berkshire UK&lt;/pub-location&gt;&lt;publisher&gt;Open University Press&lt;/publisher&gt;&lt;urls&gt;&lt;/urls&gt;&lt;/record&gt;&lt;/Cite&gt;&lt;/EndNote&gt;</w:instrText>
      </w:r>
      <w:r w:rsidRPr="00584465">
        <w:rPr>
          <w:rFonts w:cs="Arial"/>
          <w:szCs w:val="24"/>
        </w:rPr>
        <w:fldChar w:fldCharType="separate"/>
      </w:r>
      <w:r w:rsidRPr="00584465">
        <w:rPr>
          <w:rFonts w:cs="Arial"/>
          <w:noProof/>
          <w:szCs w:val="24"/>
          <w:vertAlign w:val="superscript"/>
        </w:rPr>
        <w:t>3</w:t>
      </w:r>
      <w:r w:rsidRPr="00584465">
        <w:rPr>
          <w:rFonts w:cs="Arial"/>
          <w:szCs w:val="24"/>
        </w:rPr>
        <w:fldChar w:fldCharType="end"/>
      </w:r>
    </w:p>
    <w:p w:rsidR="007A1C4A" w:rsidRPr="00177D2B" w:rsidRDefault="007A1C4A" w:rsidP="00ED54FD">
      <w:pPr>
        <w:numPr>
          <w:ilvl w:val="0"/>
          <w:numId w:val="14"/>
        </w:numPr>
        <w:spacing w:before="240" w:after="120" w:line="264" w:lineRule="auto"/>
        <w:ind w:left="0" w:firstLine="0"/>
        <w:rPr>
          <w:rFonts w:cs="Arial"/>
          <w:szCs w:val="24"/>
          <w:u w:val="single"/>
        </w:rPr>
      </w:pPr>
      <w:r w:rsidRPr="00177D2B">
        <w:rPr>
          <w:rFonts w:cs="Arial"/>
          <w:i/>
          <w:szCs w:val="24"/>
          <w:u w:val="single"/>
        </w:rPr>
        <w:t xml:space="preserve">Up-coding and data integrity </w:t>
      </w:r>
    </w:p>
    <w:p w:rsidR="007A1C4A" w:rsidRDefault="007A1C4A" w:rsidP="00177D2B">
      <w:pPr>
        <w:spacing w:before="120" w:after="120" w:line="264" w:lineRule="auto"/>
        <w:rPr>
          <w:rFonts w:cs="Arial"/>
          <w:szCs w:val="24"/>
        </w:rPr>
      </w:pPr>
      <w:r>
        <w:rPr>
          <w:rFonts w:cs="Arial"/>
          <w:szCs w:val="24"/>
        </w:rPr>
        <w:t>T</w:t>
      </w:r>
      <w:r w:rsidRPr="00584465">
        <w:rPr>
          <w:rFonts w:cs="Arial"/>
          <w:szCs w:val="24"/>
        </w:rPr>
        <w:t>he sickness funds audit approximately 10% of all hospital cases. Financial penalties apply to breaches</w:t>
      </w:r>
      <w:r>
        <w:rPr>
          <w:rFonts w:cs="Arial"/>
          <w:szCs w:val="24"/>
        </w:rPr>
        <w:t xml:space="preserve"> with regards to up-coding and integrity of data</w:t>
      </w:r>
      <w:r w:rsidRPr="00584465">
        <w:rPr>
          <w:rFonts w:cs="Arial"/>
          <w:szCs w:val="24"/>
        </w:rPr>
        <w:t>.</w:t>
      </w:r>
      <w:r w:rsidRPr="00584465">
        <w:rPr>
          <w:rFonts w:cs="Arial"/>
          <w:szCs w:val="24"/>
        </w:rPr>
        <w:fldChar w:fldCharType="begin"/>
      </w:r>
      <w:r w:rsidRPr="00584465">
        <w:rPr>
          <w:rFonts w:cs="Arial"/>
          <w:szCs w:val="24"/>
        </w:rPr>
        <w:instrText xml:space="preserve"> ADDIN EN.CITE &lt;EndNote&gt;&lt;Cite&gt;&lt;Author&gt;Geissler A&lt;/Author&gt;&lt;Year&gt;2011&lt;/Year&gt;&lt;RecNum&gt;13351&lt;/RecNum&gt;&lt;record&gt;&lt;rec-number&gt;13351&lt;/rec-number&gt;&lt;foreign-keys&gt;&lt;key app="EN" db-id="5r0eapxzsestz4er5zaxe5zqz99fvpawedp5"&gt;13351&lt;/key&gt;&lt;/foreign-keys&gt;&lt;ref-type name="Book Section"&gt;5&lt;/ref-type&gt;&lt;contributors&gt;&lt;authors&gt;&lt;author&gt;Geissler A,&lt;/author&gt;&lt;author&gt;Scheller-Kreinsen D,&lt;/author&gt;&lt;author&gt;Quentin W,&lt;/author&gt;&lt;author&gt;Busse R,&lt;/author&gt;&lt;/authors&gt;&lt;secondary-authors&gt;&lt;author&gt;Busse R,&lt;/author&gt;&lt;author&gt;Geissler A,&lt;/author&gt;&lt;author&gt;Quentin W,&lt;/author&gt;&lt;author&gt;Wiley M,&lt;/author&gt;&lt;/secondary-authors&gt;&lt;/contributors&gt;&lt;titles&gt;&lt;title&gt;Germany: Understanding G-DRGs&lt;/title&gt;&lt;secondary-title&gt;Diagnosis Related Groups in Europe: Moving towards transparency, efficiency and quality in hospitals&lt;/secondary-title&gt;&lt;/titles&gt;&lt;dates&gt;&lt;year&gt;2011&lt;/year&gt;&lt;/dates&gt;&lt;pub-location&gt;Berkshire UK&lt;/pub-location&gt;&lt;publisher&gt;Open University Press&lt;/publisher&gt;&lt;urls&gt;&lt;/urls&gt;&lt;/record&gt;&lt;/Cite&gt;&lt;/EndNote&gt;</w:instrText>
      </w:r>
      <w:r w:rsidRPr="00584465">
        <w:rPr>
          <w:rFonts w:cs="Arial"/>
          <w:szCs w:val="24"/>
        </w:rPr>
        <w:fldChar w:fldCharType="separate"/>
      </w:r>
      <w:r w:rsidRPr="00584465">
        <w:rPr>
          <w:rFonts w:cs="Arial"/>
          <w:noProof/>
          <w:szCs w:val="24"/>
          <w:vertAlign w:val="superscript"/>
        </w:rPr>
        <w:t>3</w:t>
      </w:r>
      <w:r w:rsidRPr="00584465">
        <w:rPr>
          <w:rFonts w:cs="Arial"/>
          <w:szCs w:val="24"/>
        </w:rPr>
        <w:fldChar w:fldCharType="end"/>
      </w:r>
    </w:p>
    <w:p w:rsidR="007A1C4A" w:rsidRPr="00992A1F" w:rsidRDefault="007A1C4A" w:rsidP="00ED54FD">
      <w:pPr>
        <w:numPr>
          <w:ilvl w:val="3"/>
          <w:numId w:val="24"/>
        </w:numPr>
        <w:tabs>
          <w:tab w:val="left" w:pos="993"/>
        </w:tabs>
        <w:spacing w:before="240" w:after="120" w:line="264" w:lineRule="auto"/>
        <w:rPr>
          <w:rFonts w:cs="Arial"/>
          <w:b/>
          <w:szCs w:val="24"/>
        </w:rPr>
      </w:pPr>
      <w:r w:rsidRPr="00992A1F">
        <w:rPr>
          <w:rFonts w:cs="Arial"/>
          <w:b/>
          <w:szCs w:val="24"/>
        </w:rPr>
        <w:t>Extrinsic mechanisms</w:t>
      </w:r>
    </w:p>
    <w:p w:rsidR="007A1C4A" w:rsidRPr="00177D2B" w:rsidRDefault="007A1C4A" w:rsidP="00ED54FD">
      <w:pPr>
        <w:numPr>
          <w:ilvl w:val="0"/>
          <w:numId w:val="15"/>
        </w:numPr>
        <w:spacing w:before="240" w:after="120" w:line="264" w:lineRule="auto"/>
        <w:ind w:left="0" w:firstLine="0"/>
        <w:rPr>
          <w:rFonts w:cs="Arial"/>
          <w:i/>
          <w:szCs w:val="24"/>
          <w:u w:val="single"/>
        </w:rPr>
      </w:pPr>
      <w:r w:rsidRPr="00177D2B">
        <w:rPr>
          <w:rFonts w:cs="Arial"/>
          <w:i/>
          <w:szCs w:val="24"/>
          <w:u w:val="single"/>
        </w:rPr>
        <w:t xml:space="preserve">Quality assurance program </w:t>
      </w:r>
    </w:p>
    <w:p w:rsidR="007A1C4A" w:rsidRPr="00584465" w:rsidRDefault="007A1C4A" w:rsidP="007A524D">
      <w:pPr>
        <w:spacing w:before="120" w:after="120" w:line="264" w:lineRule="auto"/>
        <w:rPr>
          <w:rFonts w:cs="Arial"/>
          <w:b/>
          <w:szCs w:val="24"/>
        </w:rPr>
      </w:pPr>
      <w:r w:rsidRPr="00F76F9D">
        <w:rPr>
          <w:rFonts w:cs="Arial"/>
          <w:szCs w:val="24"/>
        </w:rPr>
        <w:t xml:space="preserve">The German </w:t>
      </w:r>
      <w:r w:rsidRPr="00F76F9D">
        <w:rPr>
          <w:rFonts w:cs="Arial"/>
          <w:i/>
          <w:szCs w:val="24"/>
        </w:rPr>
        <w:t xml:space="preserve">Bundesgeschaftstelle Qualitatssicherung </w:t>
      </w:r>
      <w:r w:rsidRPr="00F76F9D">
        <w:rPr>
          <w:rFonts w:cs="Arial"/>
          <w:szCs w:val="24"/>
        </w:rPr>
        <w:t xml:space="preserve">(BQS) </w:t>
      </w:r>
      <w:r w:rsidRPr="00F76F9D">
        <w:rPr>
          <w:rFonts w:cs="Arial"/>
          <w:i/>
          <w:szCs w:val="24"/>
        </w:rPr>
        <w:t xml:space="preserve">Insitut fur Qualitat &amp; Patientensicherheit, </w:t>
      </w:r>
      <w:r w:rsidRPr="00F76F9D">
        <w:rPr>
          <w:rFonts w:cs="Arial"/>
          <w:szCs w:val="24"/>
        </w:rPr>
        <w:t>or the ‘National Institute for Quality and Patient Safety in Health Care’ is a statutory body responsible for the development of clinical performance improvement in Germany. The BQS collects data on 194 indicators, which (i) predominantly make up procedures and not diagnoses, and (ii) are mostly process-based. Indicators are generated manually are considered burdensome by some participants.</w:t>
      </w:r>
      <w:r w:rsidRPr="00F76F9D">
        <w:rPr>
          <w:rFonts w:cs="Arial"/>
          <w:szCs w:val="24"/>
        </w:rPr>
        <w:fldChar w:fldCharType="begin"/>
      </w:r>
      <w:r w:rsidRPr="00F76F9D">
        <w:rPr>
          <w:rFonts w:cs="Arial"/>
          <w:szCs w:val="24"/>
        </w:rPr>
        <w:instrText xml:space="preserve"> ADDIN EN.CITE &lt;EndNote&gt;&lt;Cite&gt;&lt;Author&gt;Busse&lt;/Author&gt;&lt;Year&gt;2009&lt;/Year&gt;&lt;RecNum&gt;13385&lt;/RecNum&gt;&lt;record&gt;&lt;rec-number&gt;13385&lt;/rec-number&gt;&lt;foreign-keys&gt;&lt;key app="EN" db-id="5r0eapxzsestz4er5zaxe5zqz99fvpawedp5"&gt;13385&lt;/key&gt;&lt;/foreign-keys&gt;&lt;ref-type name="Journal Article"&gt;17&lt;/ref-type&gt;&lt;contributors&gt;&lt;authors&gt;&lt;author&gt;Busse, Reinhard&lt;/author&gt;&lt;author&gt;Nimptsch, Ulrike&lt;/author&gt;&lt;author&gt;Mansky, Thomas&lt;/author&gt;&lt;/authors&gt;&lt;/contributors&gt;&lt;titles&gt;&lt;title&gt;Measuring, Monitoring, And Managing Quality In Germany’s Hospitals&lt;/title&gt;&lt;secondary-title&gt;Health Affairs&lt;/secondary-title&gt;&lt;/titles&gt;&lt;periodical&gt;&lt;full-title&gt;Health Affairs&lt;/full-title&gt;&lt;/periodical&gt;&lt;pages&gt;w294-w304&lt;/pages&gt;&lt;volume&gt;28&lt;/volume&gt;&lt;number&gt;2&lt;/number&gt;&lt;dates&gt;&lt;year&gt;2009&lt;/year&gt;&lt;pub-dates&gt;&lt;date&gt;March/April 2009&lt;/date&gt;&lt;/pub-dates&gt;&lt;/dates&gt;&lt;urls&gt;&lt;related-urls&gt;&lt;url&gt;http://content.healthaffairs.org/content/28/2/w294.abstract&lt;/url&gt;&lt;/related-urls&gt;&lt;/urls&gt;&lt;electronic-resource-num&gt;10.1377/hlthaff.28.2.w294&lt;/electronic-resource-num&gt;&lt;/record&gt;&lt;/Cite&gt;&lt;/EndNote&gt;</w:instrText>
      </w:r>
      <w:r w:rsidRPr="00F76F9D">
        <w:rPr>
          <w:rFonts w:cs="Arial"/>
          <w:szCs w:val="24"/>
        </w:rPr>
        <w:fldChar w:fldCharType="separate"/>
      </w:r>
      <w:r w:rsidRPr="00F76F9D">
        <w:rPr>
          <w:rFonts w:cs="Arial"/>
          <w:noProof/>
          <w:szCs w:val="24"/>
          <w:vertAlign w:val="superscript"/>
        </w:rPr>
        <w:t>4</w:t>
      </w:r>
      <w:r w:rsidRPr="00F76F9D">
        <w:rPr>
          <w:rFonts w:cs="Arial"/>
          <w:szCs w:val="24"/>
        </w:rPr>
        <w:fldChar w:fldCharType="end"/>
      </w:r>
      <w:r w:rsidRPr="00F76F9D">
        <w:rPr>
          <w:rFonts w:cs="Arial"/>
          <w:b/>
          <w:szCs w:val="24"/>
        </w:rPr>
        <w:t xml:space="preserve"> </w:t>
      </w:r>
      <w:r w:rsidRPr="00F76F9D">
        <w:rPr>
          <w:rFonts w:cs="Arial"/>
          <w:szCs w:val="24"/>
        </w:rPr>
        <w:t>This program is mandatory for approximately 2,000 acute hospitals. Failure to report at least 80% of required cases incurs a penalty of €150 per missing case.</w:t>
      </w:r>
      <w:r w:rsidRPr="00F76F9D">
        <w:rPr>
          <w:rFonts w:cs="Arial"/>
          <w:szCs w:val="24"/>
        </w:rPr>
        <w:fldChar w:fldCharType="begin"/>
      </w:r>
      <w:r w:rsidRPr="00F76F9D">
        <w:rPr>
          <w:rFonts w:cs="Arial"/>
          <w:szCs w:val="24"/>
        </w:rPr>
        <w:instrText xml:space="preserve"> ADDIN EN.CITE &lt;EndNote&gt;&lt;Cite&gt;&lt;Author&gt;Busse&lt;/Author&gt;&lt;Year&gt;2009&lt;/Year&gt;&lt;RecNum&gt;13385&lt;/RecNum&gt;&lt;record&gt;&lt;rec-number&gt;13385&lt;/rec-number&gt;&lt;foreign-keys&gt;&lt;key app="EN" db-id="5r0eapxzsestz4er5zaxe5zqz99fvpawedp5"&gt;13385&lt;/key&gt;&lt;/foreign-keys&gt;&lt;ref-type name="Journal Article"&gt;17&lt;/ref-type&gt;&lt;contributors&gt;&lt;authors&gt;&lt;author&gt;Busse, Reinhard&lt;/author&gt;&lt;author&gt;Nimptsch, Ulrike&lt;/author&gt;&lt;author&gt;Mansky, Thomas&lt;/author&gt;&lt;/authors&gt;&lt;/contributors&gt;&lt;titles&gt;&lt;title&gt;Measuring, Monitoring, And Managing Quality In Germany’s Hospitals&lt;/title&gt;&lt;secondary-title&gt;Health Affairs&lt;/secondary-title&gt;&lt;/titles&gt;&lt;periodical&gt;&lt;full-title&gt;Health Affairs&lt;/full-title&gt;&lt;/periodical&gt;&lt;pages&gt;w294-w304&lt;/pages&gt;&lt;volume&gt;28&lt;/volume&gt;&lt;number&gt;2&lt;/number&gt;&lt;dates&gt;&lt;year&gt;2009&lt;/year&gt;&lt;pub-dates&gt;&lt;date&gt;March/April 2009&lt;/date&gt;&lt;/pub-dates&gt;&lt;/dates&gt;&lt;urls&gt;&lt;related-urls&gt;&lt;url&gt;http://content.healthaffairs.org/content/28/2/w294.abstract&lt;/url&gt;&lt;/related-urls&gt;&lt;/urls&gt;&lt;electronic-resource-num&gt;10.1377/hlthaff.28.2.w294&lt;/electronic-resource-num&gt;&lt;/record&gt;&lt;/Cite&gt;&lt;/EndNote&gt;</w:instrText>
      </w:r>
      <w:r w:rsidRPr="00F76F9D">
        <w:rPr>
          <w:rFonts w:cs="Arial"/>
          <w:szCs w:val="24"/>
        </w:rPr>
        <w:fldChar w:fldCharType="separate"/>
      </w:r>
      <w:r w:rsidRPr="00F76F9D">
        <w:rPr>
          <w:rFonts w:cs="Arial"/>
          <w:noProof/>
          <w:szCs w:val="24"/>
          <w:vertAlign w:val="superscript"/>
        </w:rPr>
        <w:t>4</w:t>
      </w:r>
      <w:r w:rsidRPr="00F76F9D">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 xml:space="preserve">Data </w:t>
      </w:r>
      <w:r>
        <w:rPr>
          <w:rFonts w:cs="Arial"/>
          <w:szCs w:val="24"/>
        </w:rPr>
        <w:t>is</w:t>
      </w:r>
      <w:r w:rsidRPr="00584465">
        <w:rPr>
          <w:rFonts w:cs="Arial"/>
          <w:szCs w:val="24"/>
        </w:rPr>
        <w:t xml:space="preserve"> compiled and analysed, and the findings fed back to the hospitals. Underperforming hospitals are required to explain the result</w:t>
      </w:r>
      <w:r>
        <w:rPr>
          <w:rFonts w:cs="Arial"/>
          <w:szCs w:val="24"/>
        </w:rPr>
        <w:t>s</w:t>
      </w:r>
      <w:r w:rsidRPr="00584465">
        <w:rPr>
          <w:rFonts w:cs="Arial"/>
          <w:szCs w:val="24"/>
        </w:rPr>
        <w:t xml:space="preserve"> and take </w:t>
      </w:r>
      <w:r w:rsidRPr="00584465">
        <w:rPr>
          <w:rFonts w:cs="Arial"/>
          <w:szCs w:val="24"/>
        </w:rPr>
        <w:lastRenderedPageBreak/>
        <w:t xml:space="preserve">appropriate action through a ‘structured dialogue’. Aggregate de-identified data </w:t>
      </w:r>
      <w:r>
        <w:rPr>
          <w:rFonts w:cs="Arial"/>
          <w:szCs w:val="24"/>
        </w:rPr>
        <w:t>is</w:t>
      </w:r>
      <w:r w:rsidRPr="00584465">
        <w:rPr>
          <w:rFonts w:cs="Arial"/>
          <w:szCs w:val="24"/>
        </w:rPr>
        <w:t xml:space="preserve"> published annually.</w:t>
      </w:r>
      <w:r w:rsidRPr="00584465">
        <w:rPr>
          <w:rFonts w:cs="Arial"/>
          <w:szCs w:val="24"/>
        </w:rPr>
        <w:fldChar w:fldCharType="begin"/>
      </w:r>
      <w:r w:rsidRPr="00584465">
        <w:rPr>
          <w:rFonts w:cs="Arial"/>
          <w:szCs w:val="24"/>
        </w:rPr>
        <w:instrText xml:space="preserve"> ADDIN EN.CITE &lt;EndNote&gt;&lt;Cite&gt;&lt;Author&gt;Busse&lt;/Author&gt;&lt;Year&gt;2009&lt;/Year&gt;&lt;RecNum&gt;13385&lt;/RecNum&gt;&lt;record&gt;&lt;rec-number&gt;13385&lt;/rec-number&gt;&lt;foreign-keys&gt;&lt;key app="EN" db-id="5r0eapxzsestz4er5zaxe5zqz99fvpawedp5"&gt;13385&lt;/key&gt;&lt;/foreign-keys&gt;&lt;ref-type name="Journal Article"&gt;17&lt;/ref-type&gt;&lt;contributors&gt;&lt;authors&gt;&lt;author&gt;Busse, Reinhard&lt;/author&gt;&lt;author&gt;Nimptsch, Ulrike&lt;/author&gt;&lt;author&gt;Mansky, Thomas&lt;/author&gt;&lt;/authors&gt;&lt;/contributors&gt;&lt;titles&gt;&lt;title&gt;Measuring, Monitoring, And Managing Quality In Germany’s Hospitals&lt;/title&gt;&lt;secondary-title&gt;Health Affairs&lt;/secondary-title&gt;&lt;/titles&gt;&lt;periodical&gt;&lt;full-title&gt;Health Affairs&lt;/full-title&gt;&lt;/periodical&gt;&lt;pages&gt;w294-w304&lt;/pages&gt;&lt;volume&gt;28&lt;/volume&gt;&lt;number&gt;2&lt;/number&gt;&lt;dates&gt;&lt;year&gt;2009&lt;/year&gt;&lt;pub-dates&gt;&lt;date&gt;March/April 2009&lt;/date&gt;&lt;/pub-dates&gt;&lt;/dates&gt;&lt;urls&gt;&lt;related-urls&gt;&lt;url&gt;http://content.healthaffairs.org/content/28/2/w294.abstract&lt;/url&gt;&lt;/related-urls&gt;&lt;/urls&gt;&lt;electronic-resource-num&gt;10.1377/hlthaff.28.2.w294&lt;/electronic-resource-num&gt;&lt;/record&gt;&lt;/Ci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1,4</w:t>
      </w:r>
      <w:r w:rsidRPr="00584465">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Since 2009, this program has been expanded to include primary, ambulatory and outpatient care. There are plans to incorporate patient surveys.</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p>
    <w:p w:rsidR="007A1C4A" w:rsidRPr="00177D2B" w:rsidRDefault="007A1C4A" w:rsidP="00ED54FD">
      <w:pPr>
        <w:numPr>
          <w:ilvl w:val="0"/>
          <w:numId w:val="15"/>
        </w:numPr>
        <w:spacing w:before="240" w:after="120" w:line="264" w:lineRule="auto"/>
        <w:ind w:left="0" w:firstLine="0"/>
        <w:rPr>
          <w:rFonts w:cs="Arial"/>
          <w:i/>
          <w:szCs w:val="24"/>
          <w:u w:val="single"/>
        </w:rPr>
      </w:pPr>
      <w:r w:rsidRPr="00177D2B">
        <w:rPr>
          <w:rFonts w:cs="Arial"/>
          <w:i/>
          <w:szCs w:val="24"/>
          <w:u w:val="single"/>
        </w:rPr>
        <w:t>2</w:t>
      </w:r>
      <w:r w:rsidRPr="00177D2B">
        <w:rPr>
          <w:rFonts w:cs="Arial"/>
          <w:i/>
          <w:szCs w:val="24"/>
          <w:u w:val="single"/>
          <w:vertAlign w:val="superscript"/>
        </w:rPr>
        <w:t>nd</w:t>
      </w:r>
      <w:r w:rsidRPr="00177D2B">
        <w:rPr>
          <w:rFonts w:cs="Arial"/>
          <w:i/>
          <w:szCs w:val="24"/>
          <w:u w:val="single"/>
        </w:rPr>
        <w:t xml:space="preserve"> generation indicators (not universal)</w:t>
      </w:r>
    </w:p>
    <w:p w:rsidR="007A1C4A" w:rsidRPr="00584465" w:rsidRDefault="007A1C4A" w:rsidP="007A524D">
      <w:pPr>
        <w:spacing w:before="120" w:after="120" w:line="264" w:lineRule="auto"/>
        <w:rPr>
          <w:rFonts w:cs="Arial"/>
          <w:szCs w:val="24"/>
        </w:rPr>
      </w:pPr>
      <w:r w:rsidRPr="00F76F9D">
        <w:rPr>
          <w:rFonts w:cs="Arial"/>
          <w:szCs w:val="24"/>
        </w:rPr>
        <w:t>The linking</w:t>
      </w:r>
      <w:r>
        <w:rPr>
          <w:rFonts w:cs="Arial"/>
          <w:szCs w:val="24"/>
        </w:rPr>
        <w:t xml:space="preserve"> of G-DRGs to reimbursement produces </w:t>
      </w:r>
      <w:r w:rsidRPr="00F76F9D">
        <w:rPr>
          <w:rFonts w:cs="Arial"/>
          <w:szCs w:val="24"/>
        </w:rPr>
        <w:t>high quality administrative data. A private hospital group (HELIOS) has independently generated quality and volume indicators derived from these data. The 142 indicators cover 30 diseases, and include inpatient mortality. Some other hospitals have adopted this approach voluntarily. Hospitals underperforming against benchmarks undergo a case auditing process which is coordinated by experienced clinicians.</w:t>
      </w:r>
      <w:r w:rsidRPr="00584465">
        <w:rPr>
          <w:rFonts w:cs="Arial"/>
          <w:szCs w:val="24"/>
        </w:rPr>
        <w:t xml:space="preserve"> </w:t>
      </w:r>
    </w:p>
    <w:p w:rsidR="007A1C4A" w:rsidRPr="00584465" w:rsidRDefault="007A1C4A" w:rsidP="007A524D">
      <w:pPr>
        <w:spacing w:before="120" w:after="120" w:line="264" w:lineRule="auto"/>
        <w:rPr>
          <w:rFonts w:cs="Arial"/>
          <w:szCs w:val="24"/>
        </w:rPr>
      </w:pPr>
      <w:r w:rsidRPr="00584465">
        <w:rPr>
          <w:rFonts w:cs="Arial"/>
          <w:szCs w:val="24"/>
        </w:rPr>
        <w:t xml:space="preserve">This approach has the pros and cons of using administrative data. Evaluation </w:t>
      </w:r>
      <w:r>
        <w:rPr>
          <w:rFonts w:cs="Arial"/>
          <w:szCs w:val="24"/>
        </w:rPr>
        <w:t xml:space="preserve">of this program </w:t>
      </w:r>
      <w:r w:rsidRPr="00584465">
        <w:rPr>
          <w:rFonts w:cs="Arial"/>
          <w:szCs w:val="24"/>
        </w:rPr>
        <w:t>indicates a greater reduction in mortality compared to the corresponding Medicare</w:t>
      </w:r>
      <w:r>
        <w:rPr>
          <w:rFonts w:cs="Arial"/>
          <w:szCs w:val="24"/>
        </w:rPr>
        <w:t xml:space="preserve"> </w:t>
      </w:r>
      <w:r w:rsidRPr="00584465">
        <w:rPr>
          <w:rFonts w:cs="Arial"/>
          <w:szCs w:val="24"/>
        </w:rPr>
        <w:t>/</w:t>
      </w:r>
      <w:r>
        <w:rPr>
          <w:rFonts w:cs="Arial"/>
          <w:szCs w:val="24"/>
        </w:rPr>
        <w:t xml:space="preserve"> </w:t>
      </w:r>
      <w:r w:rsidRPr="00584465">
        <w:rPr>
          <w:rFonts w:cs="Arial"/>
          <w:szCs w:val="24"/>
        </w:rPr>
        <w:t>Medicaid program in the US.</w:t>
      </w:r>
      <w:r w:rsidRPr="00584465">
        <w:rPr>
          <w:rFonts w:cs="Arial"/>
          <w:szCs w:val="24"/>
        </w:rPr>
        <w:fldChar w:fldCharType="begin"/>
      </w:r>
      <w:r w:rsidRPr="00584465">
        <w:rPr>
          <w:rFonts w:cs="Arial"/>
          <w:szCs w:val="24"/>
        </w:rPr>
        <w:instrText xml:space="preserve"> ADDIN EN.CITE &lt;EndNote&gt;&lt;Cite&gt;&lt;Author&gt;Busse&lt;/Author&gt;&lt;Year&gt;2009&lt;/Year&gt;&lt;RecNum&gt;13385&lt;/RecNum&gt;&lt;record&gt;&lt;rec-number&gt;13385&lt;/rec-number&gt;&lt;foreign-keys&gt;&lt;key app="EN" db-id="5r0eapxzsestz4er5zaxe5zqz99fvpawedp5"&gt;13385&lt;/key&gt;&lt;/foreign-keys&gt;&lt;ref-type name="Journal Article"&gt;17&lt;/ref-type&gt;&lt;contributors&gt;&lt;authors&gt;&lt;author&gt;Busse, Reinhard&lt;/author&gt;&lt;author&gt;Nimptsch, Ulrike&lt;/author&gt;&lt;author&gt;Mansky, Thomas&lt;/author&gt;&lt;/authors&gt;&lt;/contributors&gt;&lt;titles&gt;&lt;title&gt;Measuring, Monitoring, And Managing Quality In Germany’s Hospitals&lt;/title&gt;&lt;secondary-title&gt;Health Affairs&lt;/secondary-title&gt;&lt;/titles&gt;&lt;periodical&gt;&lt;full-title&gt;Health Affairs&lt;/full-title&gt;&lt;/periodical&gt;&lt;pages&gt;w294-w304&lt;/pages&gt;&lt;volume&gt;28&lt;/volume&gt;&lt;number&gt;2&lt;/number&gt;&lt;dates&gt;&lt;year&gt;2009&lt;/year&gt;&lt;pub-dates&gt;&lt;date&gt;March/April 2009&lt;/date&gt;&lt;/pub-dates&gt;&lt;/dates&gt;&lt;urls&gt;&lt;related-urls&gt;&lt;url&gt;http://content.healthaffairs.org/content/28/2/w294.abstract&lt;/url&gt;&lt;/related-urls&gt;&lt;/urls&gt;&lt;electronic-resource-num&gt;10.1377/hlthaff.28.2.w294&lt;/electronic-resource-num&gt;&lt;/record&gt;&lt;/Cite&gt;&lt;/EndNote&gt;</w:instrText>
      </w:r>
      <w:r w:rsidRPr="00584465">
        <w:rPr>
          <w:rFonts w:cs="Arial"/>
          <w:szCs w:val="24"/>
        </w:rPr>
        <w:fldChar w:fldCharType="separate"/>
      </w:r>
      <w:r w:rsidRPr="00584465">
        <w:rPr>
          <w:rFonts w:cs="Arial"/>
          <w:noProof/>
          <w:szCs w:val="24"/>
          <w:vertAlign w:val="superscript"/>
        </w:rPr>
        <w:t>4</w:t>
      </w:r>
      <w:r w:rsidRPr="00584465">
        <w:rPr>
          <w:rFonts w:cs="Arial"/>
          <w:szCs w:val="24"/>
        </w:rPr>
        <w:fldChar w:fldCharType="end"/>
      </w:r>
    </w:p>
    <w:p w:rsidR="007A1C4A" w:rsidRPr="00177D2B" w:rsidRDefault="007A1C4A" w:rsidP="00ED54FD">
      <w:pPr>
        <w:numPr>
          <w:ilvl w:val="0"/>
          <w:numId w:val="15"/>
        </w:numPr>
        <w:spacing w:before="240" w:after="120" w:line="264" w:lineRule="auto"/>
        <w:ind w:left="0" w:firstLine="0"/>
        <w:rPr>
          <w:rFonts w:cs="Arial"/>
          <w:i/>
          <w:szCs w:val="24"/>
          <w:u w:val="single"/>
        </w:rPr>
      </w:pPr>
      <w:r w:rsidRPr="00177D2B">
        <w:rPr>
          <w:rFonts w:cs="Arial"/>
          <w:i/>
          <w:szCs w:val="24"/>
          <w:u w:val="single"/>
        </w:rPr>
        <w:t>‘3</w:t>
      </w:r>
      <w:r w:rsidRPr="00177D2B">
        <w:rPr>
          <w:rFonts w:cs="Arial"/>
          <w:i/>
          <w:szCs w:val="24"/>
          <w:u w:val="single"/>
          <w:vertAlign w:val="superscript"/>
        </w:rPr>
        <w:t>rd</w:t>
      </w:r>
      <w:r w:rsidRPr="00177D2B">
        <w:rPr>
          <w:rFonts w:cs="Arial"/>
          <w:i/>
          <w:szCs w:val="24"/>
          <w:u w:val="single"/>
        </w:rPr>
        <w:t xml:space="preserve"> generation’ indicators (not universal) </w:t>
      </w:r>
    </w:p>
    <w:p w:rsidR="007A1C4A" w:rsidRPr="00584465" w:rsidRDefault="007A1C4A" w:rsidP="00177D2B">
      <w:pPr>
        <w:spacing w:before="120" w:after="120" w:line="264" w:lineRule="auto"/>
        <w:rPr>
          <w:rFonts w:cs="Arial"/>
          <w:szCs w:val="24"/>
        </w:rPr>
      </w:pPr>
      <w:r w:rsidRPr="00584465">
        <w:rPr>
          <w:rFonts w:cs="Arial"/>
          <w:szCs w:val="24"/>
        </w:rPr>
        <w:t xml:space="preserve">An extension of the </w:t>
      </w:r>
      <w:r>
        <w:rPr>
          <w:rFonts w:cs="Arial"/>
          <w:szCs w:val="24"/>
        </w:rPr>
        <w:t xml:space="preserve">G-DRG </w:t>
      </w:r>
      <w:r w:rsidRPr="00584465">
        <w:rPr>
          <w:rFonts w:cs="Arial"/>
          <w:szCs w:val="24"/>
        </w:rPr>
        <w:t>based indicator system links administrative data with information held by sickness funds. The advantage is that this offers a more granular and extensive perspective of quality beyond an inpatient episode. For instance primary, hospital and outpatient care can be combined, or a start event can be linked to subsequent healthcare or mortality events (e.g. readmission for VTE following a THR at another hospital). There are also clear advantages for tracking quality in management of chronic illness.</w:t>
      </w:r>
      <w:r w:rsidRPr="00584465">
        <w:rPr>
          <w:rFonts w:cs="Arial"/>
          <w:szCs w:val="24"/>
        </w:rPr>
        <w:fldChar w:fldCharType="begin"/>
      </w:r>
      <w:r w:rsidRPr="00584465">
        <w:rPr>
          <w:rFonts w:cs="Arial"/>
          <w:szCs w:val="24"/>
        </w:rPr>
        <w:instrText xml:space="preserve"> ADDIN EN.CITE &lt;EndNote&gt;&lt;Cite&gt;&lt;Author&gt;Busse&lt;/Author&gt;&lt;Year&gt;2009&lt;/Year&gt;&lt;RecNum&gt;13385&lt;/RecNum&gt;&lt;record&gt;&lt;rec-number&gt;13385&lt;/rec-number&gt;&lt;foreign-keys&gt;&lt;key app="EN" db-id="5r0eapxzsestz4er5zaxe5zqz99fvpawedp5"&gt;13385&lt;/key&gt;&lt;/foreign-keys&gt;&lt;ref-type name="Journal Article"&gt;17&lt;/ref-type&gt;&lt;contributors&gt;&lt;authors&gt;&lt;author&gt;Busse, Reinhard&lt;/author&gt;&lt;author&gt;Nimptsch, Ulrike&lt;/author&gt;&lt;author&gt;Mansky, Thomas&lt;/author&gt;&lt;/authors&gt;&lt;/contributors&gt;&lt;titles&gt;&lt;title&gt;Measuring, Monitoring, And Managing Quality In Germany’s Hospitals&lt;/title&gt;&lt;secondary-title&gt;Health Affairs&lt;/secondary-title&gt;&lt;/titles&gt;&lt;periodical&gt;&lt;full-title&gt;Health Affairs&lt;/full-title&gt;&lt;/periodical&gt;&lt;pages&gt;w294-w304&lt;/pages&gt;&lt;volume&gt;28&lt;/volume&gt;&lt;number&gt;2&lt;/number&gt;&lt;dates&gt;&lt;year&gt;2009&lt;/year&gt;&lt;pub-dates&gt;&lt;date&gt;March/April 2009&lt;/date&gt;&lt;/pub-dates&gt;&lt;/dates&gt;&lt;urls&gt;&lt;related-urls&gt;&lt;url&gt;http://content.healthaffairs.org/content/28/2/w294.abstract&lt;/url&gt;&lt;/related-urls&gt;&lt;/urls&gt;&lt;electronic-resource-num&gt;10.1377/hlthaff.28.2.w294&lt;/electronic-resource-num&gt;&lt;/record&gt;&lt;/Cite&gt;&lt;/EndNote&gt;</w:instrText>
      </w:r>
      <w:r w:rsidRPr="00584465">
        <w:rPr>
          <w:rFonts w:cs="Arial"/>
          <w:szCs w:val="24"/>
        </w:rPr>
        <w:fldChar w:fldCharType="separate"/>
      </w:r>
      <w:r w:rsidRPr="00584465">
        <w:rPr>
          <w:rFonts w:cs="Arial"/>
          <w:noProof/>
          <w:szCs w:val="24"/>
          <w:vertAlign w:val="superscript"/>
        </w:rPr>
        <w:t>4</w:t>
      </w:r>
      <w:r w:rsidRPr="00584465">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 xml:space="preserve">The system is being jointly developed by HELIOS, the AOK (Germany’s largest sickness fund) and a federal research institute using AOK data. </w:t>
      </w:r>
    </w:p>
    <w:p w:rsidR="007A1C4A" w:rsidRPr="00177D2B" w:rsidRDefault="007A1C4A" w:rsidP="00ED54FD">
      <w:pPr>
        <w:numPr>
          <w:ilvl w:val="0"/>
          <w:numId w:val="15"/>
        </w:numPr>
        <w:spacing w:before="240" w:after="120" w:line="264" w:lineRule="auto"/>
        <w:ind w:left="0" w:firstLine="0"/>
        <w:rPr>
          <w:rFonts w:cs="Arial"/>
          <w:i/>
          <w:szCs w:val="24"/>
          <w:u w:val="single"/>
        </w:rPr>
      </w:pPr>
      <w:r w:rsidRPr="00177D2B">
        <w:rPr>
          <w:rFonts w:cs="Arial"/>
          <w:i/>
          <w:szCs w:val="24"/>
          <w:u w:val="single"/>
        </w:rPr>
        <w:t xml:space="preserve">Bi-annual quality reports </w:t>
      </w:r>
    </w:p>
    <w:p w:rsidR="007A1C4A" w:rsidRPr="00584465" w:rsidRDefault="007A1C4A" w:rsidP="00177D2B">
      <w:pPr>
        <w:spacing w:before="120" w:after="120" w:line="264" w:lineRule="auto"/>
        <w:rPr>
          <w:rFonts w:cs="Arial"/>
          <w:szCs w:val="24"/>
        </w:rPr>
      </w:pPr>
      <w:r w:rsidRPr="00584465">
        <w:rPr>
          <w:rFonts w:cs="Arial"/>
          <w:szCs w:val="24"/>
        </w:rPr>
        <w:t>Since 2005, hospitals have been obliged to submit biennial quality reports following a mandated</w:t>
      </w:r>
      <w:r>
        <w:rPr>
          <w:rFonts w:cs="Arial"/>
          <w:szCs w:val="24"/>
        </w:rPr>
        <w:t xml:space="preserve"> structure. These generally do not</w:t>
      </w:r>
      <w:r w:rsidRPr="00584465">
        <w:rPr>
          <w:rFonts w:cs="Arial"/>
          <w:szCs w:val="24"/>
        </w:rPr>
        <w:t xml:space="preserve"> include outcomes but 27 indicators from the quality assurance program </w:t>
      </w:r>
      <w:r>
        <w:rPr>
          <w:rFonts w:cs="Arial"/>
          <w:szCs w:val="24"/>
        </w:rPr>
        <w:t>are required</w:t>
      </w:r>
      <w:r w:rsidRPr="00584465">
        <w:rPr>
          <w:rFonts w:cs="Arial"/>
          <w:szCs w:val="24"/>
        </w:rPr>
        <w:t xml:space="preserve"> to be included. The reports are made available publicly online.</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Fund&lt;/publisher&gt;&lt;urls&gt;&lt;/urls&gt;&lt;/record&gt;&lt;/Cite&gt;&lt;Cite&gt;&lt;Author&gt;Busse&lt;/Author&gt;&lt;Year&gt;2009&lt;/Year&gt;&lt;RecNum&gt;13385&lt;/RecNum&gt;&lt;record&gt;&lt;rec-number&gt;13385&lt;/rec-number&gt;&lt;foreign-keys&gt;&lt;key app="EN" db-id="5r0eapxzsestz4er5zaxe5zqz99fvpawedp5"&gt;13385&lt;/key&gt;&lt;/foreign-keys&gt;&lt;ref-type name="Journal Article"&gt;17&lt;/ref-type&gt;&lt;contributors&gt;&lt;authors&gt;&lt;author&gt;Busse, Reinhard&lt;/author&gt;&lt;author&gt;Nimptsch, Ulrike&lt;/author&gt;&lt;author&gt;Mansky, Thomas&lt;/author&gt;&lt;/authors&gt;&lt;/contributors&gt;&lt;titles&gt;&lt;title&gt;Measuring, Monitoring, And Managing Quality In Germany’s Hospitals&lt;/title&gt;&lt;secondary-title&gt;Health Affairs&lt;/secondary-title&gt;&lt;/titles&gt;&lt;periodical&gt;&lt;full-title&gt;Health Affairs&lt;/full-title&gt;&lt;/periodical&gt;&lt;pages&gt;w294-w304&lt;/pages&gt;&lt;volume&gt;28&lt;/volume&gt;&lt;number&gt;2&lt;/number&gt;&lt;dates&gt;&lt;year&gt;2009&lt;/year&gt;&lt;pub-dates&gt;&lt;date&gt;March/April 2009&lt;/date&gt;&lt;/pub-dates&gt;&lt;/dates&gt;&lt;urls&gt;&lt;related-urls&gt;&lt;url&gt;http://content.healthaffairs.org/content/28/2/w294.abstract&lt;/url&gt;&lt;/related-urls&gt;&lt;/urls&gt;&lt;electronic-resource-num&gt;10.1377/hlthaff.28.2.w294&lt;/electronic-resource-num&gt;&lt;/record&gt;&lt;/Cite&gt;&lt;/EndNote&gt;</w:instrText>
      </w:r>
      <w:r w:rsidRPr="00584465">
        <w:rPr>
          <w:rFonts w:cs="Arial"/>
          <w:szCs w:val="24"/>
        </w:rPr>
        <w:fldChar w:fldCharType="separate"/>
      </w:r>
      <w:r w:rsidRPr="00584465">
        <w:rPr>
          <w:rFonts w:cs="Arial"/>
          <w:noProof/>
          <w:szCs w:val="24"/>
          <w:vertAlign w:val="superscript"/>
        </w:rPr>
        <w:t>1,4</w:t>
      </w:r>
      <w:r w:rsidRPr="00584465">
        <w:rPr>
          <w:rFonts w:cs="Arial"/>
          <w:szCs w:val="24"/>
        </w:rPr>
        <w:fldChar w:fldCharType="end"/>
      </w:r>
    </w:p>
    <w:p w:rsidR="007A1C4A" w:rsidRPr="00177D2B" w:rsidRDefault="007A1C4A" w:rsidP="00ED54FD">
      <w:pPr>
        <w:numPr>
          <w:ilvl w:val="0"/>
          <w:numId w:val="15"/>
        </w:numPr>
        <w:spacing w:before="240" w:after="120" w:line="264" w:lineRule="auto"/>
        <w:ind w:left="0" w:firstLine="0"/>
        <w:rPr>
          <w:rFonts w:cs="Arial"/>
          <w:szCs w:val="24"/>
          <w:u w:val="single"/>
        </w:rPr>
      </w:pPr>
      <w:r w:rsidRPr="00177D2B">
        <w:rPr>
          <w:rFonts w:cs="Arial"/>
          <w:i/>
          <w:szCs w:val="24"/>
          <w:u w:val="single"/>
        </w:rPr>
        <w:t>Quality management systems</w:t>
      </w:r>
      <w:r w:rsidRPr="00177D2B">
        <w:rPr>
          <w:rFonts w:cs="Arial"/>
          <w:szCs w:val="24"/>
          <w:u w:val="single"/>
        </w:rPr>
        <w:t xml:space="preserve"> </w:t>
      </w:r>
    </w:p>
    <w:p w:rsidR="007A1C4A" w:rsidRPr="00584465" w:rsidRDefault="007A1C4A" w:rsidP="00177D2B">
      <w:pPr>
        <w:spacing w:before="120" w:after="120" w:line="264" w:lineRule="auto"/>
        <w:rPr>
          <w:rFonts w:cs="Arial"/>
          <w:szCs w:val="24"/>
        </w:rPr>
      </w:pPr>
      <w:r w:rsidRPr="00584465">
        <w:rPr>
          <w:rFonts w:cs="Arial"/>
          <w:szCs w:val="24"/>
        </w:rPr>
        <w:t>Hospitals are obligated to choose between a range of accreditation-type clinical governance systems.</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p>
    <w:p w:rsidR="007A1C4A" w:rsidRPr="00177D2B" w:rsidRDefault="007A1C4A" w:rsidP="00ED54FD">
      <w:pPr>
        <w:numPr>
          <w:ilvl w:val="0"/>
          <w:numId w:val="15"/>
        </w:numPr>
        <w:spacing w:before="240" w:after="120" w:line="264" w:lineRule="auto"/>
        <w:ind w:left="0" w:firstLine="0"/>
        <w:rPr>
          <w:rFonts w:cs="Arial"/>
          <w:szCs w:val="24"/>
          <w:u w:val="single"/>
        </w:rPr>
      </w:pPr>
      <w:r w:rsidRPr="00177D2B">
        <w:rPr>
          <w:rFonts w:cs="Arial"/>
          <w:i/>
          <w:szCs w:val="24"/>
          <w:u w:val="single"/>
        </w:rPr>
        <w:t>Minimum volume thresholds</w:t>
      </w:r>
      <w:r w:rsidRPr="00177D2B">
        <w:rPr>
          <w:rFonts w:cs="Arial"/>
          <w:szCs w:val="24"/>
          <w:u w:val="single"/>
        </w:rPr>
        <w:t xml:space="preserve"> </w:t>
      </w:r>
    </w:p>
    <w:p w:rsidR="007A1C4A" w:rsidRPr="00584465" w:rsidRDefault="007A1C4A" w:rsidP="00177D2B">
      <w:pPr>
        <w:spacing w:before="120" w:after="120" w:line="264" w:lineRule="auto"/>
        <w:rPr>
          <w:rFonts w:cs="Arial"/>
          <w:szCs w:val="24"/>
        </w:rPr>
      </w:pPr>
      <w:r w:rsidRPr="00584465">
        <w:rPr>
          <w:rFonts w:cs="Arial"/>
          <w:szCs w:val="24"/>
        </w:rPr>
        <w:t xml:space="preserve">There are annual minimum volume thresholds set for certain elective procedures (kidney, liver, stem cell transplantation, complex oesophageal, and pancreatic interventions). A hospital loses the right to perform that </w:t>
      </w:r>
      <w:r w:rsidRPr="00584465">
        <w:rPr>
          <w:rFonts w:cs="Arial"/>
          <w:szCs w:val="24"/>
        </w:rPr>
        <w:lastRenderedPageBreak/>
        <w:t>procedure if the threshold is not exceeded. These affect about a quarter of German acute hospitals and a small percentage of cases (&lt;1%).</w:t>
      </w:r>
      <w:r w:rsidRPr="00584465">
        <w:rPr>
          <w:rFonts w:cs="Arial"/>
          <w:szCs w:val="24"/>
        </w:rPr>
        <w:fldChar w:fldCharType="begin"/>
      </w:r>
      <w:r w:rsidRPr="00584465">
        <w:rPr>
          <w:rFonts w:cs="Arial"/>
          <w:szCs w:val="24"/>
        </w:rPr>
        <w:instrText xml:space="preserve"> ADDIN EN.CITE &lt;EndNote&gt;&lt;Cite&gt;&lt;Author&gt;de Cruppé W&lt;/Author&gt;&lt;Year&gt;2007&lt;/Year&gt;&lt;RecNum&gt;13371&lt;/RecNum&gt;&lt;record&gt;&lt;rec-number&gt;13371&lt;/rec-number&gt;&lt;foreign-keys&gt;&lt;key app="EN" db-id="5r0eapxzsestz4er5zaxe5zqz99fvpawedp5"&gt;13371&lt;/key&gt;&lt;/foreign-keys&gt;&lt;ref-type name="Journal Article"&gt;17&lt;/ref-type&gt;&lt;contributors&gt;&lt;authors&gt;&lt;author&gt;de Cruppé W,&lt;/author&gt;&lt;author&gt;Ohmann C,&lt;/author&gt;&lt;author&gt;Blum K,&lt;/author&gt;&lt;author&gt;Geraedts M,&lt;/author&gt;&lt;/authors&gt;&lt;/contributors&gt;&lt;auth-address&gt;Professorship for Public Health, University Hospital of the Heinrich-Heine University D&amp;amp;#xFC;sseldorf, Moorenstrasse 5, 40225 D&amp;amp;#xFC;sseldorf, Germany&lt;/auth-address&gt;&lt;titles&gt;&lt;title&gt;Evaluating compulsory minimum volume standards in Germany: how many hospitals were compliant in 2004?&lt;/title&gt;&lt;secondary-title&gt;BMC Health Services Research&lt;/secondary-title&gt;&lt;/titles&gt;&lt;periodical&gt;&lt;full-title&gt;BMC Health Services Research&lt;/full-title&gt;&lt;/periodical&gt;&lt;pages&gt;165-165&lt;/pages&gt;&lt;volume&gt;7&lt;/volume&gt;&lt;number&gt;1&lt;/number&gt;&lt;dates&gt;&lt;year&gt;2007&lt;/year&gt;&lt;/dates&gt;&lt;isbn&gt;1472-6963&lt;/isbn&gt;&lt;urls&gt;&lt;related-urls&gt;&lt;url&gt;http://dx.doi.org/10.1186/1472-6963-7-165&lt;/url&gt;&lt;/related-urls&gt;&lt;/urls&gt;&lt;electronic-resource-num&gt;10.1186/1472-6963-7-165&lt;/electronic-resource-num&gt;&lt;remote-database-name&gt;Readcube&lt;/remote-database-name&gt;&lt;/record&gt;&lt;/Cite&gt;&lt;/EndNote&gt;</w:instrText>
      </w:r>
      <w:r w:rsidRPr="00584465">
        <w:rPr>
          <w:rFonts w:cs="Arial"/>
          <w:szCs w:val="24"/>
        </w:rPr>
        <w:fldChar w:fldCharType="separate"/>
      </w:r>
      <w:r w:rsidRPr="00584465">
        <w:rPr>
          <w:rFonts w:cs="Arial"/>
          <w:noProof/>
          <w:szCs w:val="24"/>
          <w:vertAlign w:val="superscript"/>
        </w:rPr>
        <w:t>5</w:t>
      </w:r>
      <w:r w:rsidRPr="00584465">
        <w:rPr>
          <w:rFonts w:cs="Arial"/>
          <w:szCs w:val="24"/>
        </w:rPr>
        <w:fldChar w:fldCharType="end"/>
      </w:r>
    </w:p>
    <w:p w:rsidR="007A1C4A" w:rsidRPr="00177D2B" w:rsidRDefault="007A1C4A" w:rsidP="00ED54FD">
      <w:pPr>
        <w:keepNext/>
        <w:keepLines/>
        <w:numPr>
          <w:ilvl w:val="0"/>
          <w:numId w:val="15"/>
        </w:numPr>
        <w:spacing w:before="240" w:after="120" w:line="264" w:lineRule="auto"/>
        <w:ind w:left="0" w:firstLine="0"/>
        <w:rPr>
          <w:rFonts w:cs="Arial"/>
          <w:i/>
          <w:szCs w:val="24"/>
          <w:u w:val="single"/>
        </w:rPr>
      </w:pPr>
      <w:r w:rsidRPr="00177D2B">
        <w:rPr>
          <w:rFonts w:cs="Arial"/>
          <w:i/>
          <w:szCs w:val="24"/>
          <w:u w:val="single"/>
        </w:rPr>
        <w:t xml:space="preserve">Registries </w:t>
      </w:r>
    </w:p>
    <w:p w:rsidR="007A1C4A" w:rsidRPr="00584465" w:rsidRDefault="007A1C4A" w:rsidP="00177D2B">
      <w:pPr>
        <w:keepNext/>
        <w:keepLines/>
        <w:spacing w:before="120" w:after="120" w:line="264" w:lineRule="auto"/>
        <w:rPr>
          <w:rFonts w:cs="Arial"/>
          <w:szCs w:val="24"/>
        </w:rPr>
      </w:pPr>
      <w:r w:rsidRPr="00584465">
        <w:rPr>
          <w:rFonts w:cs="Arial"/>
          <w:szCs w:val="24"/>
        </w:rPr>
        <w:t>In August 2012, as part of the National Cancer Plan, the federal government introduced a draft bill that proposes the implement</w:t>
      </w:r>
      <w:r>
        <w:rPr>
          <w:rFonts w:cs="Arial"/>
          <w:szCs w:val="24"/>
        </w:rPr>
        <w:t>ation of a nationwide standardis</w:t>
      </w:r>
      <w:r w:rsidRPr="00584465">
        <w:rPr>
          <w:rFonts w:cs="Arial"/>
          <w:szCs w:val="24"/>
        </w:rPr>
        <w:t>ed cancer registry in 2018 to imp</w:t>
      </w:r>
      <w:r>
        <w:rPr>
          <w:rFonts w:cs="Arial"/>
          <w:szCs w:val="24"/>
        </w:rPr>
        <w:t>rove the quality of cancer care. E</w:t>
      </w:r>
      <w:r w:rsidRPr="00584465">
        <w:rPr>
          <w:rFonts w:cs="Arial"/>
          <w:szCs w:val="24"/>
        </w:rPr>
        <w:t>very hospital will be obliged to document the incidence, treatment, and course of the disease.</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p>
    <w:p w:rsidR="007A1C4A" w:rsidRPr="00177D2B" w:rsidRDefault="007A1C4A" w:rsidP="00ED54FD">
      <w:pPr>
        <w:numPr>
          <w:ilvl w:val="0"/>
          <w:numId w:val="15"/>
        </w:numPr>
        <w:spacing w:before="240" w:after="120" w:line="264" w:lineRule="auto"/>
        <w:ind w:left="0" w:firstLine="0"/>
        <w:rPr>
          <w:rFonts w:cs="Arial"/>
          <w:szCs w:val="24"/>
          <w:u w:val="single"/>
        </w:rPr>
      </w:pPr>
      <w:r w:rsidRPr="00177D2B">
        <w:rPr>
          <w:rFonts w:cs="Arial"/>
          <w:i/>
          <w:szCs w:val="24"/>
          <w:u w:val="single"/>
        </w:rPr>
        <w:t>Regional pay-for-performance schemes (not universal)</w:t>
      </w:r>
      <w:r w:rsidRPr="00177D2B">
        <w:rPr>
          <w:rFonts w:cs="Arial"/>
          <w:szCs w:val="24"/>
          <w:u w:val="single"/>
        </w:rPr>
        <w:t xml:space="preserve"> </w:t>
      </w:r>
    </w:p>
    <w:p w:rsidR="007A1C4A" w:rsidRPr="00992A1F" w:rsidRDefault="007A1C4A" w:rsidP="00177D2B">
      <w:pPr>
        <w:spacing w:before="120" w:after="120" w:line="264" w:lineRule="auto"/>
        <w:rPr>
          <w:rFonts w:cs="Arial"/>
          <w:szCs w:val="24"/>
        </w:rPr>
      </w:pPr>
      <w:r w:rsidRPr="00584465">
        <w:rPr>
          <w:rFonts w:cs="Arial"/>
          <w:szCs w:val="24"/>
        </w:rPr>
        <w:t xml:space="preserve">There exist regional </w:t>
      </w:r>
      <w:r w:rsidRPr="00992A1F">
        <w:rPr>
          <w:rFonts w:cs="Arial"/>
          <w:szCs w:val="24"/>
        </w:rPr>
        <w:t xml:space="preserve">schemes throughout Germany that attach financial incentives to quality and performance. Some of these are linked a specific sickness fund or hospital group. These schemes are structured in various ways including: </w:t>
      </w:r>
      <w:r w:rsidRPr="00992A1F">
        <w:rPr>
          <w:rFonts w:cs="Arial"/>
          <w:szCs w:val="24"/>
        </w:rPr>
        <w:fldChar w:fldCharType="begin"/>
      </w:r>
      <w:r w:rsidRPr="00992A1F">
        <w:rPr>
          <w:rFonts w:cs="Arial"/>
          <w:szCs w:val="24"/>
        </w:rPr>
        <w:instrText xml:space="preserve"> ADDIN EN.CITE &lt;EndNote&gt;&lt;Cite&gt;&lt;Author&gt;Veit C&lt;/Author&gt;&lt;Year&gt;2012&lt;/Year&gt;&lt;RecNum&gt;13394&lt;/RecNum&gt;&lt;record&gt;&lt;rec-number&gt;13394&lt;/rec-number&gt;&lt;foreign-keys&gt;&lt;key app="EN" db-id="5r0eapxzsestz4er5zaxe5zqz99fvpawedp5"&gt;13394&lt;/key&gt;&lt;/foreign-keys&gt;&lt;ref-type name="Report"&gt;27&lt;/ref-type&gt;&lt;contributors&gt;&lt;authors&gt;&lt;author&gt;Veit C,&lt;/author&gt;&lt;author&gt;Hertle D,&lt;/author&gt;&lt;author&gt;Bungard S,&lt;/author&gt;&lt;author&gt;Trummer A,&lt;/author&gt;&lt;author&gt;Ganske V,&lt;/author&gt;&lt;author&gt;Meyer-Hoffmann B,&lt;/author&gt;&lt;/authors&gt;&lt;/contributors&gt;&lt;titles&gt;&lt;title&gt;Pay-for-Performance im Gesundheitswesen: Sachstandsbericht zu Evidenz und Realisierung sowie Darlegung der Grundlagen fur eine kunftige Weiterentwicklung [P4P in health care: Review of the evidence and basis for future development]&lt;/title&gt;&lt;/titles&gt;&lt;dates&gt;&lt;year&gt;2012&lt;/year&gt;&lt;/dates&gt;&lt;pub-location&gt;Dusseldorf&lt;/pub-location&gt;&lt;publisher&gt;BQS Institut fur Qualitat &amp;amp; Patientensicherheit [BQS Institute for Quality and Patient Safety]&lt;/publisher&gt;&lt;urls&gt;&lt;/urls&gt;&lt;/record&gt;&lt;/Cite&gt;&lt;/EndNote&gt;</w:instrText>
      </w:r>
      <w:r w:rsidRPr="00992A1F">
        <w:rPr>
          <w:rFonts w:cs="Arial"/>
          <w:szCs w:val="24"/>
        </w:rPr>
        <w:fldChar w:fldCharType="separate"/>
      </w:r>
      <w:r w:rsidRPr="00992A1F">
        <w:rPr>
          <w:rFonts w:cs="Arial"/>
          <w:noProof/>
          <w:szCs w:val="24"/>
          <w:vertAlign w:val="superscript"/>
        </w:rPr>
        <w:t>6</w:t>
      </w:r>
      <w:r w:rsidRPr="00992A1F">
        <w:rPr>
          <w:rFonts w:cs="Arial"/>
          <w:szCs w:val="24"/>
        </w:rPr>
        <w:fldChar w:fldCharType="end"/>
      </w:r>
      <w:r w:rsidRPr="00992A1F">
        <w:rPr>
          <w:rFonts w:cs="Arial"/>
          <w:szCs w:val="24"/>
        </w:rPr>
        <w:t xml:space="preserve"> </w:t>
      </w:r>
    </w:p>
    <w:p w:rsidR="007A1C4A" w:rsidRPr="00992A1F" w:rsidRDefault="007A1C4A" w:rsidP="007A524D">
      <w:pPr>
        <w:numPr>
          <w:ilvl w:val="0"/>
          <w:numId w:val="11"/>
        </w:numPr>
        <w:spacing w:before="120" w:after="120" w:line="264" w:lineRule="auto"/>
        <w:rPr>
          <w:rFonts w:cs="Arial"/>
          <w:szCs w:val="24"/>
        </w:rPr>
      </w:pPr>
      <w:r w:rsidRPr="00992A1F">
        <w:rPr>
          <w:rFonts w:cs="Arial"/>
          <w:i/>
          <w:szCs w:val="24"/>
        </w:rPr>
        <w:t>pay-for-results</w:t>
      </w:r>
      <w:r w:rsidRPr="00992A1F">
        <w:rPr>
          <w:rFonts w:cs="Arial"/>
          <w:szCs w:val="24"/>
        </w:rPr>
        <w:t xml:space="preserve">: </w:t>
      </w:r>
      <w:r>
        <w:rPr>
          <w:rFonts w:cs="Arial"/>
          <w:szCs w:val="24"/>
        </w:rPr>
        <w:t>for example,</w:t>
      </w:r>
      <w:r w:rsidRPr="00992A1F">
        <w:rPr>
          <w:rFonts w:cs="Arial"/>
          <w:szCs w:val="24"/>
        </w:rPr>
        <w:t xml:space="preserve"> in an initiative to designed to improve care for low back pain, providers are paid a bonus if patients re-enter the work force within a specified time, and a penalty if time off work extends beyond a certain time frame. </w:t>
      </w:r>
    </w:p>
    <w:p w:rsidR="007A1C4A" w:rsidRPr="00992A1F" w:rsidRDefault="007A1C4A" w:rsidP="007A524D">
      <w:pPr>
        <w:numPr>
          <w:ilvl w:val="0"/>
          <w:numId w:val="11"/>
        </w:numPr>
        <w:spacing w:before="120" w:after="120" w:line="264" w:lineRule="auto"/>
        <w:rPr>
          <w:rFonts w:cs="Arial"/>
          <w:szCs w:val="24"/>
        </w:rPr>
      </w:pPr>
      <w:r w:rsidRPr="00992A1F">
        <w:rPr>
          <w:rFonts w:cs="Arial"/>
          <w:i/>
          <w:szCs w:val="24"/>
        </w:rPr>
        <w:t>pay-for-competence</w:t>
      </w:r>
      <w:r w:rsidRPr="00992A1F">
        <w:rPr>
          <w:rFonts w:cs="Arial"/>
          <w:szCs w:val="24"/>
        </w:rPr>
        <w:t xml:space="preserve"> (also referr</w:t>
      </w:r>
      <w:r>
        <w:rPr>
          <w:rFonts w:cs="Arial"/>
          <w:szCs w:val="24"/>
        </w:rPr>
        <w:t>ed to as ‘pay-for-structure’): a</w:t>
      </w:r>
      <w:r w:rsidRPr="00992A1F">
        <w:rPr>
          <w:rFonts w:cs="Arial"/>
          <w:szCs w:val="24"/>
        </w:rPr>
        <w:t xml:space="preserve"> financial bonus for having quality structures in place (e.g. satisfying accreditation-type criteria); bonus delivered through additional payment or a higher remuneration rate.</w:t>
      </w:r>
    </w:p>
    <w:p w:rsidR="007A1C4A" w:rsidRPr="00992A1F" w:rsidRDefault="007A1C4A" w:rsidP="007A524D">
      <w:pPr>
        <w:numPr>
          <w:ilvl w:val="0"/>
          <w:numId w:val="11"/>
        </w:numPr>
        <w:spacing w:before="120" w:after="120" w:line="264" w:lineRule="auto"/>
        <w:rPr>
          <w:rFonts w:cs="Arial"/>
          <w:szCs w:val="24"/>
        </w:rPr>
      </w:pPr>
      <w:r w:rsidRPr="00992A1F">
        <w:rPr>
          <w:rFonts w:cs="Arial"/>
          <w:szCs w:val="24"/>
        </w:rPr>
        <w:t>pay-for-transparency: a financial bonus</w:t>
      </w:r>
      <w:r>
        <w:rPr>
          <w:rFonts w:cs="Arial"/>
          <w:szCs w:val="24"/>
        </w:rPr>
        <w:t xml:space="preserve"> </w:t>
      </w:r>
      <w:r w:rsidRPr="00992A1F">
        <w:rPr>
          <w:rFonts w:cs="Arial"/>
          <w:szCs w:val="24"/>
        </w:rPr>
        <w:t>/</w:t>
      </w:r>
      <w:r>
        <w:rPr>
          <w:rFonts w:cs="Arial"/>
          <w:szCs w:val="24"/>
        </w:rPr>
        <w:t xml:space="preserve"> </w:t>
      </w:r>
      <w:r w:rsidRPr="00992A1F">
        <w:rPr>
          <w:rFonts w:cs="Arial"/>
          <w:szCs w:val="24"/>
        </w:rPr>
        <w:t>penalty for satisfying documentation requirements and processes</w:t>
      </w:r>
      <w:r>
        <w:rPr>
          <w:rFonts w:cs="Arial"/>
          <w:szCs w:val="24"/>
        </w:rPr>
        <w:t>.</w:t>
      </w:r>
      <w:r w:rsidRPr="00992A1F">
        <w:rPr>
          <w:rFonts w:cs="Arial"/>
          <w:szCs w:val="24"/>
        </w:rPr>
        <w:t xml:space="preserve"> </w:t>
      </w:r>
    </w:p>
    <w:p w:rsidR="007A1C4A" w:rsidRPr="00992A1F" w:rsidRDefault="007A1C4A" w:rsidP="007A524D">
      <w:pPr>
        <w:numPr>
          <w:ilvl w:val="0"/>
          <w:numId w:val="11"/>
        </w:numPr>
        <w:spacing w:before="120" w:after="120" w:line="264" w:lineRule="auto"/>
        <w:rPr>
          <w:rFonts w:cs="Arial"/>
          <w:szCs w:val="24"/>
        </w:rPr>
      </w:pPr>
      <w:r w:rsidRPr="00992A1F">
        <w:rPr>
          <w:rFonts w:cs="Arial"/>
          <w:i/>
          <w:szCs w:val="24"/>
        </w:rPr>
        <w:t>gain sharing:</w:t>
      </w:r>
      <w:r w:rsidRPr="00992A1F">
        <w:rPr>
          <w:rFonts w:cs="Arial"/>
          <w:szCs w:val="24"/>
        </w:rPr>
        <w:t xml:space="preserve"> in programs where multiple, disparate providers need to coordinate care for a patient, bonuses and penalties are distributed based on agreed rules via formally established ‘networks’. </w:t>
      </w:r>
    </w:p>
    <w:p w:rsidR="007A1C4A" w:rsidRPr="00992A1F" w:rsidRDefault="007A1C4A" w:rsidP="007A524D">
      <w:pPr>
        <w:spacing w:before="240" w:after="120" w:line="264" w:lineRule="auto"/>
        <w:rPr>
          <w:rFonts w:cs="Arial"/>
          <w:b/>
          <w:sz w:val="28"/>
          <w:szCs w:val="28"/>
        </w:rPr>
      </w:pPr>
      <w:r>
        <w:rPr>
          <w:rFonts w:cs="Arial"/>
          <w:b/>
          <w:sz w:val="28"/>
          <w:szCs w:val="28"/>
        </w:rPr>
        <w:t>4.4.4</w:t>
      </w:r>
      <w:r>
        <w:rPr>
          <w:rFonts w:cs="Arial"/>
          <w:b/>
          <w:sz w:val="28"/>
          <w:szCs w:val="28"/>
        </w:rPr>
        <w:tab/>
        <w:t>German e</w:t>
      </w:r>
      <w:r w:rsidRPr="00992A1F">
        <w:rPr>
          <w:rFonts w:cs="Arial"/>
          <w:b/>
          <w:sz w:val="28"/>
          <w:szCs w:val="28"/>
        </w:rPr>
        <w:t>xamination of P4P</w:t>
      </w:r>
    </w:p>
    <w:p w:rsidR="007A1C4A" w:rsidRPr="00992A1F" w:rsidRDefault="007A1C4A" w:rsidP="007A524D">
      <w:pPr>
        <w:spacing w:before="120" w:after="120" w:line="264" w:lineRule="auto"/>
        <w:rPr>
          <w:rFonts w:cs="Arial"/>
          <w:noProof/>
          <w:szCs w:val="24"/>
        </w:rPr>
      </w:pPr>
      <w:r w:rsidRPr="00992A1F">
        <w:rPr>
          <w:rFonts w:cs="Arial"/>
          <w:szCs w:val="24"/>
        </w:rPr>
        <w:t>In August 2012 the BQS released a report titled ‘</w:t>
      </w:r>
      <w:r w:rsidRPr="00992A1F">
        <w:rPr>
          <w:rFonts w:cs="Arial"/>
          <w:noProof/>
          <w:szCs w:val="24"/>
        </w:rPr>
        <w:t>Pay-for-performance (P4P) in health care: Review of the evidence and basis for future development’.</w:t>
      </w:r>
      <w:r w:rsidRPr="00992A1F">
        <w:rPr>
          <w:rFonts w:cs="Arial"/>
          <w:noProof/>
          <w:szCs w:val="24"/>
        </w:rPr>
        <w:fldChar w:fldCharType="begin"/>
      </w:r>
      <w:r w:rsidRPr="00992A1F">
        <w:rPr>
          <w:rFonts w:cs="Arial"/>
          <w:noProof/>
          <w:szCs w:val="24"/>
        </w:rPr>
        <w:instrText xml:space="preserve"> ADDIN EN.CITE &lt;EndNote&gt;&lt;Cite&gt;&lt;Author&gt;Veit C&lt;/Author&gt;&lt;Year&gt;2012&lt;/Year&gt;&lt;RecNum&gt;13394&lt;/RecNum&gt;&lt;record&gt;&lt;rec-number&gt;13394&lt;/rec-number&gt;&lt;foreign-keys&gt;&lt;key app="EN" db-id="5r0eapxzsestz4er5zaxe5zqz99fvpawedp5"&gt;13394&lt;/key&gt;&lt;/foreign-keys&gt;&lt;ref-type name="Report"&gt;27&lt;/ref-type&gt;&lt;contributors&gt;&lt;authors&gt;&lt;author&gt;Veit C,&lt;/author&gt;&lt;author&gt;Hertle D,&lt;/author&gt;&lt;author&gt;Bungard S,&lt;/author&gt;&lt;author&gt;Trummer A,&lt;/author&gt;&lt;author&gt;Ganske V,&lt;/author&gt;&lt;author&gt;Meyer-Hoffmann B,&lt;/author&gt;&lt;/authors&gt;&lt;/contributors&gt;&lt;titles&gt;&lt;title&gt;Pay-for-Performance im Gesundheitswesen: Sachstandsbericht zu Evidenz und Realisierung sowie Darlegung der Grundlagen fur eine kunftige Weiterentwicklung [P4P in health care: Review of the evidence and basis for future development]&lt;/title&gt;&lt;/titles&gt;&lt;dates&gt;&lt;year&gt;2012&lt;/year&gt;&lt;/dates&gt;&lt;pub-location&gt;Dusseldorf&lt;/pub-location&gt;&lt;publisher&gt;BQS Institut fur Qualitat &amp;amp; Patientensicherheit [BQS Institute for Quality and Patient Safety]&lt;/publisher&gt;&lt;urls&gt;&lt;/urls&gt;&lt;/record&gt;&lt;/Cite&gt;&lt;/EndNote&gt;</w:instrText>
      </w:r>
      <w:r w:rsidRPr="00992A1F">
        <w:rPr>
          <w:rFonts w:cs="Arial"/>
          <w:noProof/>
          <w:szCs w:val="24"/>
        </w:rPr>
        <w:fldChar w:fldCharType="separate"/>
      </w:r>
      <w:r w:rsidRPr="00992A1F">
        <w:rPr>
          <w:rFonts w:cs="Arial"/>
          <w:noProof/>
          <w:szCs w:val="24"/>
          <w:vertAlign w:val="superscript"/>
        </w:rPr>
        <w:t>6</w:t>
      </w:r>
      <w:r w:rsidRPr="00992A1F">
        <w:rPr>
          <w:rFonts w:cs="Arial"/>
          <w:noProof/>
          <w:szCs w:val="24"/>
        </w:rPr>
        <w:fldChar w:fldCharType="end"/>
      </w:r>
      <w:r w:rsidRPr="00992A1F">
        <w:rPr>
          <w:rFonts w:cs="Arial"/>
          <w:noProof/>
          <w:szCs w:val="24"/>
        </w:rPr>
        <w:t xml:space="preserve"> The 300-page report provides an overview of the current ‘stat</w:t>
      </w:r>
      <w:r>
        <w:rPr>
          <w:rFonts w:cs="Arial"/>
          <w:noProof/>
          <w:szCs w:val="24"/>
        </w:rPr>
        <w:t>e</w:t>
      </w:r>
      <w:r w:rsidRPr="00992A1F">
        <w:rPr>
          <w:rFonts w:cs="Arial"/>
          <w:noProof/>
          <w:szCs w:val="24"/>
        </w:rPr>
        <w:t xml:space="preserve"> of play’ with </w:t>
      </w:r>
      <w:r>
        <w:rPr>
          <w:rFonts w:cs="Arial"/>
          <w:noProof/>
          <w:szCs w:val="24"/>
        </w:rPr>
        <w:t>regard to P4P, including a comp</w:t>
      </w:r>
      <w:r w:rsidRPr="00992A1F">
        <w:rPr>
          <w:rFonts w:cs="Arial"/>
          <w:noProof/>
          <w:szCs w:val="24"/>
        </w:rPr>
        <w:t>rehensive review of the literature and of practical experience, and discussion of instruments and concepts for potential implementation.</w:t>
      </w:r>
    </w:p>
    <w:p w:rsidR="007A1C4A" w:rsidRPr="00992A1F" w:rsidRDefault="007A1C4A" w:rsidP="007A524D">
      <w:pPr>
        <w:spacing w:before="120" w:after="120" w:line="264" w:lineRule="auto"/>
        <w:rPr>
          <w:rFonts w:cs="Arial"/>
          <w:noProof/>
          <w:szCs w:val="24"/>
        </w:rPr>
      </w:pPr>
      <w:r w:rsidRPr="00992A1F">
        <w:rPr>
          <w:rFonts w:cs="Arial"/>
          <w:noProof/>
          <w:szCs w:val="24"/>
        </w:rPr>
        <w:t>The similarities between the the findings and discussion in the report, and those of the literature review recently completed by the University of Wollongong (UoW) are striking. The report notes that despite P4P having been embraced enthusiatically in the Anglo-sphere, there is a relative paucity of sound evidence to support its effectiveness and efficacy</w:t>
      </w:r>
      <w:r>
        <w:rPr>
          <w:rFonts w:cs="Arial"/>
          <w:noProof/>
          <w:szCs w:val="24"/>
        </w:rPr>
        <w:t>. T</w:t>
      </w:r>
      <w:r w:rsidRPr="00992A1F">
        <w:rPr>
          <w:rFonts w:cs="Arial"/>
          <w:noProof/>
          <w:szCs w:val="24"/>
        </w:rPr>
        <w:t>he litera</w:t>
      </w:r>
      <w:r>
        <w:rPr>
          <w:rFonts w:cs="Arial"/>
          <w:noProof/>
          <w:szCs w:val="24"/>
        </w:rPr>
        <w:t>ture cited in the report aligne with that of the UoW review</w:t>
      </w:r>
      <w:r w:rsidRPr="00992A1F">
        <w:rPr>
          <w:rFonts w:cs="Arial"/>
          <w:noProof/>
          <w:szCs w:val="24"/>
        </w:rPr>
        <w:t>.</w:t>
      </w:r>
    </w:p>
    <w:p w:rsidR="007A1C4A" w:rsidRPr="00992A1F" w:rsidRDefault="007A1C4A" w:rsidP="00BD3A58">
      <w:pPr>
        <w:spacing w:before="120" w:after="120" w:line="264" w:lineRule="auto"/>
        <w:rPr>
          <w:rFonts w:cs="Arial"/>
          <w:noProof/>
          <w:szCs w:val="24"/>
        </w:rPr>
      </w:pPr>
      <w:r w:rsidRPr="00F76F9D">
        <w:rPr>
          <w:rFonts w:cs="Arial"/>
          <w:noProof/>
          <w:szCs w:val="24"/>
        </w:rPr>
        <w:lastRenderedPageBreak/>
        <w:t>The presence of other means to ‘steer’ individual and system behaviour is noted, especially the role of (a) benchmarking, (b) timely feedback of results to cl</w:t>
      </w:r>
      <w:r>
        <w:rPr>
          <w:rFonts w:cs="Arial"/>
          <w:noProof/>
          <w:szCs w:val="24"/>
        </w:rPr>
        <w:t>i</w:t>
      </w:r>
      <w:r w:rsidRPr="00F76F9D">
        <w:rPr>
          <w:rFonts w:cs="Arial"/>
          <w:noProof/>
          <w:szCs w:val="24"/>
        </w:rPr>
        <w:t>nicians and management, and (c) public reporting. These are the pr</w:t>
      </w:r>
      <w:r>
        <w:rPr>
          <w:rFonts w:cs="Arial"/>
          <w:noProof/>
          <w:szCs w:val="24"/>
        </w:rPr>
        <w:t xml:space="preserve">eferred options of the authors who highlight </w:t>
      </w:r>
      <w:r w:rsidRPr="00F76F9D">
        <w:rPr>
          <w:rFonts w:cs="Arial"/>
          <w:noProof/>
          <w:szCs w:val="24"/>
        </w:rPr>
        <w:t>the possibility of their negation by excessive focus on financial levers, and the potential</w:t>
      </w:r>
      <w:r>
        <w:rPr>
          <w:rFonts w:cs="Arial"/>
          <w:noProof/>
          <w:szCs w:val="24"/>
        </w:rPr>
        <w:t xml:space="preserve"> for unintended consequneces</w:t>
      </w:r>
      <w:r w:rsidRPr="00F76F9D">
        <w:rPr>
          <w:rFonts w:cs="Arial"/>
          <w:noProof/>
          <w:szCs w:val="24"/>
        </w:rPr>
        <w:t>.</w:t>
      </w:r>
      <w:r w:rsidRPr="00992A1F">
        <w:rPr>
          <w:rFonts w:cs="Arial"/>
          <w:noProof/>
          <w:szCs w:val="24"/>
        </w:rPr>
        <w:t xml:space="preserve"> </w:t>
      </w:r>
    </w:p>
    <w:p w:rsidR="007A1C4A" w:rsidRPr="00992A1F" w:rsidRDefault="007A1C4A" w:rsidP="007A524D">
      <w:pPr>
        <w:spacing w:before="120" w:after="120" w:line="264" w:lineRule="auto"/>
        <w:rPr>
          <w:rFonts w:cs="Arial"/>
          <w:noProof/>
          <w:szCs w:val="24"/>
        </w:rPr>
      </w:pPr>
      <w:r w:rsidRPr="00992A1F">
        <w:rPr>
          <w:rFonts w:cs="Arial"/>
          <w:noProof/>
          <w:szCs w:val="24"/>
        </w:rPr>
        <w:t>The report acknowledges the difficulty in applying P4P schemes to the management of chronic illenss, especially those requiring</w:t>
      </w:r>
      <w:r>
        <w:rPr>
          <w:rFonts w:cs="Arial"/>
          <w:noProof/>
          <w:szCs w:val="24"/>
        </w:rPr>
        <w:t xml:space="preserve"> care that spans across various sectors</w:t>
      </w:r>
      <w:r w:rsidRPr="00992A1F">
        <w:rPr>
          <w:rFonts w:cs="Arial"/>
          <w:noProof/>
          <w:szCs w:val="24"/>
        </w:rPr>
        <w:t>, and of ensuring fairness and quality in their application. Difficulties with technical requirements such as a reliable risk adju</w:t>
      </w:r>
      <w:r>
        <w:rPr>
          <w:rFonts w:cs="Arial"/>
          <w:noProof/>
          <w:szCs w:val="24"/>
        </w:rPr>
        <w:t>s</w:t>
      </w:r>
      <w:r w:rsidRPr="00992A1F">
        <w:rPr>
          <w:rFonts w:cs="Arial"/>
          <w:noProof/>
          <w:szCs w:val="24"/>
        </w:rPr>
        <w:t>tment methodology, and issues with measurement (e.g. process vs. outcome) are discussed.</w:t>
      </w:r>
    </w:p>
    <w:p w:rsidR="007A1C4A" w:rsidRPr="00584465" w:rsidRDefault="007A1C4A" w:rsidP="007A524D">
      <w:pPr>
        <w:spacing w:before="120" w:after="120" w:line="264" w:lineRule="auto"/>
        <w:rPr>
          <w:rFonts w:cs="Arial"/>
          <w:szCs w:val="24"/>
        </w:rPr>
      </w:pPr>
      <w:r w:rsidRPr="00F76F9D">
        <w:rPr>
          <w:rFonts w:cs="Arial"/>
          <w:noProof/>
          <w:szCs w:val="24"/>
        </w:rPr>
        <w:t>In short, the report recognises the potential of P4P but (a) calls for more high-quality research on the topic, and (b) urges caution in its application, emphasising that it should be one of a suite of several mechanisms to drive quality imporovment in the German health system (</w:t>
      </w:r>
      <w:r>
        <w:rPr>
          <w:rFonts w:cs="Arial"/>
          <w:noProof/>
          <w:szCs w:val="24"/>
        </w:rPr>
        <w:t>i.e.</w:t>
      </w:r>
      <w:r w:rsidRPr="00F76F9D">
        <w:rPr>
          <w:rFonts w:cs="Arial"/>
          <w:noProof/>
          <w:szCs w:val="24"/>
        </w:rPr>
        <w:t xml:space="preserve"> it should be an intervention of ‘last resort’).</w:t>
      </w:r>
    </w:p>
    <w:p w:rsidR="007A1C4A" w:rsidRPr="00584465" w:rsidRDefault="007A1C4A" w:rsidP="007A524D">
      <w:pPr>
        <w:spacing w:before="240" w:after="120" w:line="264" w:lineRule="auto"/>
        <w:rPr>
          <w:rFonts w:cs="Arial"/>
          <w:b/>
          <w:sz w:val="28"/>
          <w:szCs w:val="28"/>
        </w:rPr>
      </w:pPr>
      <w:r>
        <w:rPr>
          <w:rFonts w:cs="Arial"/>
          <w:b/>
          <w:sz w:val="28"/>
          <w:szCs w:val="28"/>
        </w:rPr>
        <w:t>4.4.5</w:t>
      </w:r>
      <w:r>
        <w:rPr>
          <w:rFonts w:cs="Arial"/>
          <w:b/>
          <w:sz w:val="28"/>
          <w:szCs w:val="28"/>
        </w:rPr>
        <w:tab/>
      </w:r>
      <w:r w:rsidRPr="00584465">
        <w:rPr>
          <w:rFonts w:cs="Arial"/>
          <w:b/>
          <w:sz w:val="28"/>
          <w:szCs w:val="28"/>
        </w:rPr>
        <w:t xml:space="preserve">Integration with primary and ambulatory care </w:t>
      </w:r>
    </w:p>
    <w:p w:rsidR="007A1C4A" w:rsidRPr="00584465" w:rsidRDefault="007A1C4A" w:rsidP="007A524D">
      <w:pPr>
        <w:pStyle w:val="Pa12"/>
        <w:spacing w:before="120" w:after="120" w:line="264" w:lineRule="auto"/>
        <w:rPr>
          <w:rFonts w:ascii="Arial" w:hAnsi="Arial" w:cs="Arial"/>
        </w:rPr>
      </w:pPr>
      <w:r w:rsidRPr="00584465">
        <w:rPr>
          <w:rFonts w:ascii="Arial" w:hAnsi="Arial" w:cs="Arial"/>
        </w:rPr>
        <w:t>It has been suggested that health care delivery in Germany is fragmented and ‘sectorised’, focusing on acute illness or single diseases instead of managing more complex or chronic conditions, or managing the health of determined populations.</w:t>
      </w:r>
      <w:r w:rsidRPr="00584465">
        <w:rPr>
          <w:rFonts w:ascii="Arial" w:hAnsi="Arial" w:cs="Arial"/>
        </w:rPr>
        <w:fldChar w:fldCharType="begin"/>
      </w:r>
      <w:r w:rsidRPr="00584465">
        <w:rPr>
          <w:rFonts w:ascii="Arial" w:hAnsi="Arial" w:cs="Arial"/>
        </w:rPr>
        <w:instrText xml:space="preserve"> ADDIN EN.CITE &lt;EndNote&gt;&lt;Cite&gt;&lt;Author&gt;Schlette&lt;/Author&gt;&lt;Year&gt;2009&lt;/Year&gt;&lt;RecNum&gt;13382&lt;/RecNum&gt;&lt;record&gt;&lt;rec-number&gt;13382&lt;/rec-number&gt;&lt;foreign-keys&gt;&lt;key app="EN" db-id="5r0eapxzsestz4er5zaxe5zqz99fvpawedp5"&gt;13382&lt;/key&gt;&lt;/foreign-keys&gt;&lt;ref-type name="Journal Article"&gt;17&lt;/ref-type&gt;&lt;contributors&gt;&lt;authors&gt;&lt;author&gt;Schlette, S.&lt;/author&gt;&lt;author&gt;Lisac, M.&lt;/author&gt;&lt;author&gt;Blum, K.&lt;/author&gt;&lt;/authors&gt;&lt;/contributors&gt;&lt;auth-address&gt;Bertelsmann Stiftung, Carl-Bertelsmann-Str. 256, 33311 Gutersloh, Germany.&lt;/auth-address&gt;&lt;titles&gt;&lt;title&gt;Integrated primary care in Germany: the road ahead&lt;/title&gt;&lt;secondary-title&gt;Int J Integr Care&lt;/secondary-title&gt;&lt;/titles&gt;&lt;periodical&gt;&lt;full-title&gt;Int J Integr Care&lt;/full-title&gt;&lt;/periodical&gt;&lt;pages&gt;e14&lt;/pages&gt;&lt;volume&gt;9&lt;/volume&gt;&lt;edition&gt;2009/06/11&lt;/edition&gt;&lt;dates&gt;&lt;year&gt;2009&lt;/year&gt;&lt;/dates&gt;&lt;isbn&gt;1568-4156 (Electronic)&lt;/isbn&gt;&lt;accession-num&gt;19513180&lt;/accession-num&gt;&lt;urls&gt;&lt;related-urls&gt;&lt;url&gt;http://www.ncbi.nlm.nih.gov/entrez/query.fcgi?cmd=Retrieve&amp;amp;db=PubMed&amp;amp;dopt=Citation&amp;amp;list_uids=19513180&lt;/url&gt;&lt;/related-urls&gt;&lt;/urls&gt;&lt;custom2&gt;2691944&lt;/custom2&gt;&lt;language&gt;eng&lt;/language&gt;&lt;/record&gt;&lt;/Cite&gt;&lt;/EndNote&gt;</w:instrText>
      </w:r>
      <w:r w:rsidRPr="00584465">
        <w:rPr>
          <w:rFonts w:ascii="Arial" w:hAnsi="Arial" w:cs="Arial"/>
        </w:rPr>
        <w:fldChar w:fldCharType="separate"/>
      </w:r>
      <w:r w:rsidRPr="00584465">
        <w:rPr>
          <w:rFonts w:ascii="Arial" w:hAnsi="Arial" w:cs="Arial"/>
          <w:noProof/>
          <w:vertAlign w:val="superscript"/>
        </w:rPr>
        <w:t>7</w:t>
      </w:r>
      <w:r w:rsidRPr="00584465">
        <w:rPr>
          <w:rFonts w:ascii="Arial" w:hAnsi="Arial" w:cs="Arial"/>
        </w:rPr>
        <w:fldChar w:fldCharType="end"/>
      </w:r>
      <w:r w:rsidRPr="00584465">
        <w:rPr>
          <w:rFonts w:ascii="Arial" w:hAnsi="Arial" w:cs="Arial"/>
        </w:rPr>
        <w:t xml:space="preserve"> Over the past decade the government has started to address efficiency concerns through the several measures. Two of these, Integrated Care Contracts and Disease Management Programs (DMPs), are outlined below.</w:t>
      </w:r>
    </w:p>
    <w:p w:rsidR="007A1C4A" w:rsidRPr="00992A1F" w:rsidRDefault="007A1C4A" w:rsidP="007A524D">
      <w:pPr>
        <w:tabs>
          <w:tab w:val="left" w:pos="993"/>
        </w:tabs>
        <w:spacing w:before="120" w:after="120" w:line="264" w:lineRule="auto"/>
        <w:rPr>
          <w:rFonts w:cs="Arial"/>
          <w:b/>
          <w:szCs w:val="24"/>
        </w:rPr>
      </w:pPr>
      <w:r>
        <w:rPr>
          <w:rFonts w:cs="Arial"/>
          <w:b/>
          <w:szCs w:val="24"/>
        </w:rPr>
        <w:t>4.4.5.1</w:t>
      </w:r>
      <w:r>
        <w:rPr>
          <w:rFonts w:cs="Arial"/>
          <w:b/>
          <w:szCs w:val="24"/>
        </w:rPr>
        <w:tab/>
      </w:r>
      <w:r w:rsidRPr="00992A1F">
        <w:rPr>
          <w:rFonts w:cs="Arial"/>
          <w:b/>
          <w:szCs w:val="24"/>
        </w:rPr>
        <w:t>Integrated care contracts</w:t>
      </w:r>
    </w:p>
    <w:p w:rsidR="007A1C4A" w:rsidRPr="00584465" w:rsidRDefault="007A1C4A" w:rsidP="007A524D">
      <w:pPr>
        <w:pStyle w:val="Pa12"/>
        <w:spacing w:before="120" w:after="120" w:line="264" w:lineRule="auto"/>
        <w:rPr>
          <w:rFonts w:ascii="Arial" w:hAnsi="Arial" w:cs="Arial"/>
        </w:rPr>
      </w:pPr>
      <w:r w:rsidRPr="00584465">
        <w:rPr>
          <w:rFonts w:ascii="Arial" w:hAnsi="Arial" w:cs="Arial"/>
        </w:rPr>
        <w:t xml:space="preserve">German physicians belong to a regional association of statutory health insurance doctors (membership is mandatory), which negotiates contracts with sickness funds. These associations negotiate collective contracts for ambulatory care with the funds that operate in their region. They receive a total budget from the health insurance funds based on historical data and distribute it among their physician members on a fee-for-service basis. </w:t>
      </w:r>
    </w:p>
    <w:p w:rsidR="007A1C4A" w:rsidRPr="00584465" w:rsidRDefault="007A1C4A" w:rsidP="007A524D">
      <w:pPr>
        <w:pStyle w:val="Pa12"/>
        <w:spacing w:before="120" w:after="120" w:line="264" w:lineRule="auto"/>
        <w:rPr>
          <w:rFonts w:ascii="Arial" w:hAnsi="Arial" w:cs="Arial"/>
        </w:rPr>
      </w:pPr>
      <w:r w:rsidRPr="00584465">
        <w:rPr>
          <w:rFonts w:ascii="Arial" w:hAnsi="Arial" w:cs="Arial"/>
        </w:rPr>
        <w:t xml:space="preserve">The </w:t>
      </w:r>
      <w:r w:rsidRPr="00584465">
        <w:rPr>
          <w:rFonts w:ascii="Arial" w:hAnsi="Arial" w:cs="Arial"/>
          <w:i/>
        </w:rPr>
        <w:t>Reform Act of Statutory Health Insurance 2000</w:t>
      </w:r>
      <w:r w:rsidRPr="00584465">
        <w:rPr>
          <w:rFonts w:ascii="Arial" w:hAnsi="Arial" w:cs="Arial"/>
        </w:rPr>
        <w:t xml:space="preserve"> introduced the possibility for physicians to selectively sign contracts with health insurance funds for integrated care schemes, gatekeeper models and disease management programs. Under integrated care contracts, care is provided in provider networks that can be managed by independent management organizations. Uptake was initially very slow but grew following the introduction of financial incentives for providers. Now about 4 million patients are treated under this form of integrated care.</w:t>
      </w:r>
      <w:r w:rsidRPr="00584465">
        <w:rPr>
          <w:rFonts w:ascii="Arial" w:hAnsi="Arial" w:cs="Arial"/>
        </w:rPr>
        <w:fldChar w:fldCharType="begin"/>
      </w:r>
      <w:r w:rsidRPr="00584465">
        <w:rPr>
          <w:rFonts w:ascii="Arial" w:hAnsi="Arial" w:cs="Arial"/>
        </w:rPr>
        <w:instrText xml:space="preserve"> ADDIN EN.CITE &lt;EndNote&gt;&lt;Cite&gt;&lt;Author&gt;Schlette&lt;/Author&gt;&lt;Year&gt;2009&lt;/Year&gt;&lt;RecNum&gt;13382&lt;/RecNum&gt;&lt;record&gt;&lt;rec-number&gt;13382&lt;/rec-number&gt;&lt;foreign-keys&gt;&lt;key app="EN" db-id="5r0eapxzsestz4er5zaxe5zqz99fvpawedp5"&gt;13382&lt;/key&gt;&lt;/foreign-keys&gt;&lt;ref-type name="Journal Article"&gt;17&lt;/ref-type&gt;&lt;contributors&gt;&lt;authors&gt;&lt;author&gt;Schlette, S.&lt;/author&gt;&lt;author&gt;Lisac, M.&lt;/author&gt;&lt;author&gt;Blum, K.&lt;/author&gt;&lt;/authors&gt;&lt;/contributors&gt;&lt;auth-address&gt;Bertelsmann Stiftung, Carl-Bertelsmann-Str. 256, 33311 Gutersloh, Germany.&lt;/auth-address&gt;&lt;titles&gt;&lt;title&gt;Integrated primary care in Germany: the road ahead&lt;/title&gt;&lt;secondary-title&gt;Int J Integr Care&lt;/secondary-title&gt;&lt;/titles&gt;&lt;periodical&gt;&lt;full-title&gt;Int J Integr Care&lt;/full-title&gt;&lt;/periodical&gt;&lt;pages&gt;e14&lt;/pages&gt;&lt;volume&gt;9&lt;/volume&gt;&lt;edition&gt;2009/06/11&lt;/edition&gt;&lt;dates&gt;&lt;year&gt;2009&lt;/year&gt;&lt;/dates&gt;&lt;isbn&gt;1568-4156 (Electronic)&lt;/isbn&gt;&lt;accession-num&gt;19513180&lt;/accession-num&gt;&lt;urls&gt;&lt;related-urls&gt;&lt;url&gt;http://www.ncbi.nlm.nih.gov/entrez/query.fcgi?cmd=Retrieve&amp;amp;db=PubMed&amp;amp;dopt=Citation&amp;amp;list_uids=19513180&lt;/url&gt;&lt;/related-urls&gt;&lt;/urls&gt;&lt;custom2&gt;2691944&lt;/custom2&gt;&lt;language&gt;eng&lt;/language&gt;&lt;/record&gt;&lt;/Cite&gt;&lt;/EndNote&gt;</w:instrText>
      </w:r>
      <w:r w:rsidRPr="00584465">
        <w:rPr>
          <w:rFonts w:ascii="Arial" w:hAnsi="Arial" w:cs="Arial"/>
        </w:rPr>
        <w:fldChar w:fldCharType="separate"/>
      </w:r>
      <w:r w:rsidRPr="00584465">
        <w:rPr>
          <w:rFonts w:ascii="Arial" w:hAnsi="Arial" w:cs="Arial"/>
          <w:noProof/>
          <w:vertAlign w:val="superscript"/>
        </w:rPr>
        <w:t>7</w:t>
      </w:r>
      <w:r w:rsidRPr="00584465">
        <w:rPr>
          <w:rFonts w:ascii="Arial" w:hAnsi="Arial" w:cs="Arial"/>
        </w:rPr>
        <w:fldChar w:fldCharType="end"/>
      </w:r>
      <w:r w:rsidRPr="00584465">
        <w:rPr>
          <w:rFonts w:ascii="Arial" w:hAnsi="Arial" w:cs="Arial"/>
        </w:rPr>
        <w:t xml:space="preserve"> </w:t>
      </w:r>
    </w:p>
    <w:p w:rsidR="007A1C4A" w:rsidRPr="00584465" w:rsidRDefault="007A1C4A" w:rsidP="007A524D">
      <w:pPr>
        <w:pStyle w:val="Pa12"/>
        <w:spacing w:before="120" w:after="120" w:line="264" w:lineRule="auto"/>
        <w:rPr>
          <w:rFonts w:ascii="Arial" w:hAnsi="Arial" w:cs="Arial"/>
        </w:rPr>
      </w:pPr>
      <w:r w:rsidRPr="00584465">
        <w:rPr>
          <w:rFonts w:ascii="Arial" w:hAnsi="Arial" w:cs="Arial"/>
        </w:rPr>
        <w:lastRenderedPageBreak/>
        <w:t xml:space="preserve">Since 2007 long-term care providers can be included in contracts, and non-medical professionals can become the main contractual partner to health insurance funds, a position formerly restricted to physicians. </w:t>
      </w:r>
    </w:p>
    <w:p w:rsidR="007A1C4A" w:rsidRPr="00584465" w:rsidRDefault="007A1C4A" w:rsidP="007A524D">
      <w:pPr>
        <w:pStyle w:val="Pa12"/>
        <w:spacing w:before="120" w:after="120" w:line="264" w:lineRule="auto"/>
        <w:rPr>
          <w:rFonts w:ascii="Arial" w:hAnsi="Arial" w:cs="Arial"/>
        </w:rPr>
      </w:pPr>
      <w:r w:rsidRPr="00584465">
        <w:rPr>
          <w:rFonts w:ascii="Arial" w:hAnsi="Arial" w:cs="Arial"/>
        </w:rPr>
        <w:t xml:space="preserve">Also, integrated care contracts now focus on population-oriented integrated care, a term not defined by the lawmaker to allow for creativity in designing integrated care models. It is usually understood as proactive, patient-centred health care for a defined population with providers taking responsibility for the coordination of care and for improving or maintaining the health status of the insured population putting a focus on health promotion or prevention. </w:t>
      </w:r>
    </w:p>
    <w:p w:rsidR="007A1C4A" w:rsidRPr="00584465" w:rsidRDefault="007A1C4A" w:rsidP="007A524D">
      <w:pPr>
        <w:pStyle w:val="Pa12"/>
        <w:spacing w:before="120" w:after="120" w:line="264" w:lineRule="auto"/>
        <w:rPr>
          <w:rFonts w:ascii="Arial" w:hAnsi="Arial" w:cs="Arial"/>
        </w:rPr>
      </w:pPr>
      <w:r w:rsidRPr="00584465">
        <w:rPr>
          <w:rFonts w:ascii="Arial" w:hAnsi="Arial" w:cs="Arial"/>
        </w:rPr>
        <w:t>So far disease- or procedure-oriented contracts continue to constitute the bulk of the integrated care contracts signed. Only a few companies are developing ambitious models of population-oriented integrated care.</w:t>
      </w:r>
      <w:r w:rsidRPr="00584465">
        <w:rPr>
          <w:rFonts w:ascii="Arial" w:hAnsi="Arial" w:cs="Arial"/>
        </w:rPr>
        <w:fldChar w:fldCharType="begin"/>
      </w:r>
      <w:r w:rsidRPr="00584465">
        <w:rPr>
          <w:rFonts w:ascii="Arial" w:hAnsi="Arial" w:cs="Arial"/>
        </w:rPr>
        <w:instrText xml:space="preserve"> ADDIN EN.CITE &lt;EndNote&gt;&lt;Cite&gt;&lt;Author&gt;Schlette&lt;/Author&gt;&lt;Year&gt;2009&lt;/Year&gt;&lt;RecNum&gt;13382&lt;/RecNum&gt;&lt;record&gt;&lt;rec-number&gt;13382&lt;/rec-number&gt;&lt;foreign-keys&gt;&lt;key app="EN" db-id="5r0eapxzsestz4er5zaxe5zqz99fvpawedp5"&gt;13382&lt;/key&gt;&lt;/foreign-keys&gt;&lt;ref-type name="Journal Article"&gt;17&lt;/ref-type&gt;&lt;contributors&gt;&lt;authors&gt;&lt;author&gt;Schlette, S.&lt;/author&gt;&lt;author&gt;Lisac, M.&lt;/author&gt;&lt;author&gt;Blum, K.&lt;/author&gt;&lt;/authors&gt;&lt;/contributors&gt;&lt;auth-address&gt;Bertelsmann Stiftung, Carl-Bertelsmann-Str. 256, 33311 Gutersloh, Germany.&lt;/auth-address&gt;&lt;titles&gt;&lt;title&gt;Integrated primary care in Germany: the road ahead&lt;/title&gt;&lt;secondary-title&gt;Int J Integr Care&lt;/secondary-title&gt;&lt;/titles&gt;&lt;periodical&gt;&lt;full-title&gt;Int J Integr Care&lt;/full-title&gt;&lt;/periodical&gt;&lt;pages&gt;e14&lt;/pages&gt;&lt;volume&gt;9&lt;/volume&gt;&lt;edition&gt;2009/06/11&lt;/edition&gt;&lt;dates&gt;&lt;year&gt;2009&lt;/year&gt;&lt;/dates&gt;&lt;isbn&gt;1568-4156 (Electronic)&lt;/isbn&gt;&lt;accession-num&gt;19513180&lt;/accession-num&gt;&lt;urls&gt;&lt;related-urls&gt;&lt;url&gt;http://www.ncbi.nlm.nih.gov/entrez/query.fcgi?cmd=Retrieve&amp;amp;db=PubMed&amp;amp;dopt=Citation&amp;amp;list_uids=19513180&lt;/url&gt;&lt;/related-urls&gt;&lt;/urls&gt;&lt;custom2&gt;2691944&lt;/custom2&gt;&lt;language&gt;eng&lt;/language&gt;&lt;/record&gt;&lt;/Cite&gt;&lt;/EndNote&gt;</w:instrText>
      </w:r>
      <w:r w:rsidRPr="00584465">
        <w:rPr>
          <w:rFonts w:ascii="Arial" w:hAnsi="Arial" w:cs="Arial"/>
        </w:rPr>
        <w:fldChar w:fldCharType="separate"/>
      </w:r>
      <w:r w:rsidRPr="00584465">
        <w:rPr>
          <w:rFonts w:ascii="Arial" w:hAnsi="Arial" w:cs="Arial"/>
          <w:noProof/>
          <w:vertAlign w:val="superscript"/>
        </w:rPr>
        <w:t>7</w:t>
      </w:r>
      <w:r w:rsidRPr="00584465">
        <w:rPr>
          <w:rFonts w:ascii="Arial" w:hAnsi="Arial" w:cs="Arial"/>
        </w:rPr>
        <w:fldChar w:fldCharType="end"/>
      </w:r>
    </w:p>
    <w:p w:rsidR="007A1C4A" w:rsidRPr="00992A1F" w:rsidRDefault="007A1C4A" w:rsidP="007A524D">
      <w:pPr>
        <w:tabs>
          <w:tab w:val="left" w:pos="993"/>
        </w:tabs>
        <w:spacing w:before="240" w:after="120" w:line="264" w:lineRule="auto"/>
        <w:rPr>
          <w:rFonts w:cs="Arial"/>
          <w:b/>
          <w:szCs w:val="24"/>
        </w:rPr>
      </w:pPr>
      <w:r>
        <w:rPr>
          <w:rFonts w:cs="Arial"/>
          <w:b/>
          <w:szCs w:val="24"/>
        </w:rPr>
        <w:t>4.4.5.2</w:t>
      </w:r>
      <w:r>
        <w:rPr>
          <w:rFonts w:cs="Arial"/>
          <w:b/>
          <w:szCs w:val="24"/>
        </w:rPr>
        <w:tab/>
      </w:r>
      <w:r w:rsidRPr="00992A1F">
        <w:rPr>
          <w:rFonts w:cs="Arial"/>
          <w:b/>
          <w:szCs w:val="24"/>
        </w:rPr>
        <w:t>Disease Management Programs (DMPs)</w:t>
      </w:r>
    </w:p>
    <w:p w:rsidR="007A1C4A" w:rsidRPr="00584465" w:rsidRDefault="007A1C4A" w:rsidP="007A524D">
      <w:pPr>
        <w:spacing w:before="120" w:after="120" w:line="264" w:lineRule="auto"/>
        <w:rPr>
          <w:rFonts w:cs="Arial"/>
          <w:szCs w:val="24"/>
        </w:rPr>
      </w:pPr>
      <w:r w:rsidRPr="00584465">
        <w:rPr>
          <w:rFonts w:cs="Arial"/>
          <w:szCs w:val="24"/>
        </w:rPr>
        <w:t>Legislation in 2002 introduced Disease Management Programs (DMPs) for chronic illnesses to</w:t>
      </w:r>
    </w:p>
    <w:p w:rsidR="007A1C4A" w:rsidRPr="00584465" w:rsidRDefault="007A1C4A" w:rsidP="007A524D">
      <w:pPr>
        <w:numPr>
          <w:ilvl w:val="0"/>
          <w:numId w:val="10"/>
        </w:numPr>
        <w:spacing w:before="120" w:after="120" w:line="264" w:lineRule="auto"/>
        <w:rPr>
          <w:rFonts w:cs="Arial"/>
          <w:szCs w:val="24"/>
        </w:rPr>
      </w:pPr>
      <w:r w:rsidRPr="00584465">
        <w:rPr>
          <w:rFonts w:cs="Arial"/>
          <w:szCs w:val="24"/>
        </w:rPr>
        <w:t>improve the provi</w:t>
      </w:r>
      <w:r w:rsidRPr="00584465">
        <w:rPr>
          <w:rFonts w:cs="Arial"/>
          <w:szCs w:val="24"/>
        </w:rPr>
        <w:softHyphen/>
        <w:t xml:space="preserve">sion of care for chronically ill patients and to improve care coordination between providers in the ambulatory sector </w:t>
      </w:r>
    </w:p>
    <w:p w:rsidR="007A1C4A" w:rsidRPr="00584465" w:rsidRDefault="007A1C4A" w:rsidP="007A524D">
      <w:pPr>
        <w:numPr>
          <w:ilvl w:val="0"/>
          <w:numId w:val="10"/>
        </w:numPr>
        <w:spacing w:before="120" w:after="120" w:line="264" w:lineRule="auto"/>
        <w:rPr>
          <w:rFonts w:cs="Arial"/>
          <w:szCs w:val="24"/>
        </w:rPr>
      </w:pPr>
      <w:r w:rsidRPr="00584465">
        <w:rPr>
          <w:rFonts w:cs="Arial"/>
          <w:szCs w:val="24"/>
        </w:rPr>
        <w:t>reduce the avoidance of chronically ill patients by sickness funds as the ‘risk equalization scheme’ introduced in 1996 did not account for these patients adequately.</w:t>
      </w:r>
      <w:r w:rsidRPr="00584465">
        <w:rPr>
          <w:rFonts w:cs="Arial"/>
          <w:szCs w:val="24"/>
        </w:rPr>
        <w:fldChar w:fldCharType="begin"/>
      </w:r>
      <w:r w:rsidRPr="00584465">
        <w:rPr>
          <w:rFonts w:cs="Arial"/>
          <w:szCs w:val="24"/>
        </w:rPr>
        <w:instrText xml:space="preserve"> ADDIN EN.CITE &lt;EndNote&gt;&lt;Cite&gt;&lt;Author&gt;Busse&lt;/Author&gt;&lt;Year&gt;2004&lt;/Year&gt;&lt;RecNum&gt;13374&lt;/RecNum&gt;&lt;record&gt;&lt;rec-number&gt;13374&lt;/rec-number&gt;&lt;foreign-keys&gt;&lt;key app="EN" db-id="5r0eapxzsestz4er5zaxe5zqz99fvpawedp5"&gt;13374&lt;/key&gt;&lt;/foreign-keys&gt;&lt;ref-type name="Journal Article"&gt;17&lt;/ref-type&gt;&lt;contributors&gt;&lt;authors&gt;&lt;author&gt;Busse, R.&lt;/author&gt;&lt;/authors&gt;&lt;/contributors&gt;&lt;auth-address&gt;Department Health Care Management, Berlin University of Technology. mig@tu-berlin.de&lt;/auth-address&gt;&lt;titles&gt;&lt;title&gt;Disease management programs in Germany&amp;apos;s statutory health insurance system&lt;/title&gt;&lt;secondary-title&gt;Health Aff (Millwood)&lt;/secondary-title&gt;&lt;/titles&gt;&lt;periodical&gt;&lt;full-title&gt;Health Aff (Millwood)&lt;/full-title&gt;&lt;/periodical&gt;&lt;pages&gt;56-67&lt;/pages&gt;&lt;volume&gt;23&lt;/volume&gt;&lt;number&gt;3&lt;/number&gt;&lt;edition&gt;2004/05/27&lt;/edition&gt;&lt;keywords&gt;&lt;keyword&gt;Chronic Disease&lt;/keyword&gt;&lt;keyword&gt;Delivery of Health Care/economics/organization &amp;amp; administration/standards&lt;/keyword&gt;&lt;keyword&gt;*Disease Management&lt;/keyword&gt;&lt;keyword&gt;Efficiency, Organizational&lt;/keyword&gt;&lt;keyword&gt;Germany&lt;/keyword&gt;&lt;keyword&gt;Humans&lt;/keyword&gt;&lt;keyword&gt;Insurance, Health/economics/*statistics &amp;amp; numerical data&lt;/keyword&gt;&lt;keyword&gt;Quality of Health Care&lt;/keyword&gt;&lt;keyword&gt;Reimbursement Mechanisms&lt;/keyword&gt;&lt;/keywords&gt;&lt;dates&gt;&lt;year&gt;2004&lt;/year&gt;&lt;pub-dates&gt;&lt;date&gt;May-Jun&lt;/date&gt;&lt;/pub-dates&gt;&lt;/dates&gt;&lt;isbn&gt;0278-2715 (Print)&amp;#xD;0278-2715 (Linking)&lt;/isbn&gt;&lt;accession-num&gt;15160803&lt;/accession-num&gt;&lt;urls&gt;&lt;related-urls&gt;&lt;url&gt;http://www.ncbi.nlm.nih.gov/entrez/query.fcgi?cmd=Retrieve&amp;amp;db=PubMed&amp;amp;dopt=Citation&amp;amp;list_uids=15160803&lt;/url&gt;&lt;/related-urls&gt;&lt;/urls&gt;&lt;language&gt;eng&lt;/language&gt;&lt;/record&gt;&lt;/Cite&gt;&lt;/EndNote&gt;</w:instrText>
      </w:r>
      <w:r w:rsidRPr="00584465">
        <w:rPr>
          <w:rFonts w:cs="Arial"/>
          <w:szCs w:val="24"/>
        </w:rPr>
        <w:fldChar w:fldCharType="separate"/>
      </w:r>
      <w:r w:rsidRPr="00584465">
        <w:rPr>
          <w:rFonts w:cs="Arial"/>
          <w:noProof/>
          <w:szCs w:val="24"/>
          <w:vertAlign w:val="superscript"/>
        </w:rPr>
        <w:t>8</w:t>
      </w:r>
      <w:r w:rsidRPr="00584465">
        <w:rPr>
          <w:rFonts w:cs="Arial"/>
          <w:szCs w:val="24"/>
        </w:rPr>
        <w:fldChar w:fldCharType="end"/>
      </w:r>
      <w:r w:rsidRPr="00584465">
        <w:rPr>
          <w:rFonts w:cs="Arial"/>
          <w:szCs w:val="24"/>
        </w:rPr>
        <w:t xml:space="preserve"> </w:t>
      </w:r>
    </w:p>
    <w:p w:rsidR="007A1C4A" w:rsidRPr="00584465" w:rsidRDefault="007A1C4A" w:rsidP="007A524D">
      <w:pPr>
        <w:spacing w:before="120" w:after="120" w:line="264" w:lineRule="auto"/>
        <w:rPr>
          <w:rFonts w:cs="Arial"/>
          <w:szCs w:val="24"/>
        </w:rPr>
      </w:pPr>
      <w:r w:rsidRPr="00584465">
        <w:rPr>
          <w:rFonts w:cs="Arial"/>
          <w:szCs w:val="24"/>
        </w:rPr>
        <w:t xml:space="preserve">DMPs currently exist for six major chronic conditions: diabetes type 1 and 2, coronary heart disease, breast cancer, asthma and chronic obstructive pulmonary disease. </w:t>
      </w:r>
    </w:p>
    <w:p w:rsidR="007A1C4A" w:rsidRPr="00584465" w:rsidRDefault="007A1C4A" w:rsidP="007A524D">
      <w:pPr>
        <w:spacing w:before="120" w:after="120" w:line="264" w:lineRule="auto"/>
        <w:rPr>
          <w:rFonts w:cs="Arial"/>
          <w:szCs w:val="24"/>
        </w:rPr>
      </w:pPr>
      <w:r w:rsidRPr="00584465">
        <w:rPr>
          <w:rFonts w:cs="Arial"/>
          <w:szCs w:val="24"/>
        </w:rPr>
        <w:t>There are six requirements for DMP accreditation by the German Federal Insurance Authority:</w:t>
      </w:r>
    </w:p>
    <w:p w:rsidR="007A1C4A" w:rsidRPr="00584465" w:rsidRDefault="007A1C4A" w:rsidP="007A524D">
      <w:pPr>
        <w:numPr>
          <w:ilvl w:val="0"/>
          <w:numId w:val="9"/>
        </w:numPr>
        <w:spacing w:before="120" w:after="120" w:line="264" w:lineRule="auto"/>
        <w:rPr>
          <w:rFonts w:cs="Arial"/>
          <w:szCs w:val="24"/>
        </w:rPr>
      </w:pPr>
      <w:r w:rsidRPr="00584465">
        <w:rPr>
          <w:rFonts w:cs="Arial"/>
          <w:szCs w:val="24"/>
        </w:rPr>
        <w:t>Treatment according to evidence-based guidelines with respect to the relevant sectors of care</w:t>
      </w:r>
    </w:p>
    <w:p w:rsidR="007A1C4A" w:rsidRPr="00584465" w:rsidRDefault="007A1C4A" w:rsidP="007A524D">
      <w:pPr>
        <w:numPr>
          <w:ilvl w:val="0"/>
          <w:numId w:val="9"/>
        </w:numPr>
        <w:spacing w:before="120" w:after="120" w:line="264" w:lineRule="auto"/>
        <w:rPr>
          <w:rFonts w:cs="Arial"/>
          <w:szCs w:val="24"/>
        </w:rPr>
      </w:pPr>
      <w:r w:rsidRPr="00584465">
        <w:rPr>
          <w:rFonts w:cs="Arial"/>
          <w:szCs w:val="24"/>
        </w:rPr>
        <w:t>Quality assurance measures</w:t>
      </w:r>
    </w:p>
    <w:p w:rsidR="007A1C4A" w:rsidRPr="00584465" w:rsidRDefault="007A1C4A" w:rsidP="007A524D">
      <w:pPr>
        <w:numPr>
          <w:ilvl w:val="0"/>
          <w:numId w:val="9"/>
        </w:numPr>
        <w:spacing w:before="120" w:after="120" w:line="264" w:lineRule="auto"/>
        <w:rPr>
          <w:rFonts w:cs="Arial"/>
          <w:szCs w:val="24"/>
        </w:rPr>
      </w:pPr>
      <w:r w:rsidRPr="00584465">
        <w:rPr>
          <w:rFonts w:cs="Arial"/>
          <w:szCs w:val="24"/>
        </w:rPr>
        <w:t>Required procedure for enrolment of insured, including duration of participation</w:t>
      </w:r>
    </w:p>
    <w:p w:rsidR="007A1C4A" w:rsidRPr="00584465" w:rsidRDefault="007A1C4A" w:rsidP="007A524D">
      <w:pPr>
        <w:numPr>
          <w:ilvl w:val="0"/>
          <w:numId w:val="9"/>
        </w:numPr>
        <w:spacing w:before="120" w:after="120" w:line="264" w:lineRule="auto"/>
        <w:rPr>
          <w:rFonts w:cs="Arial"/>
          <w:szCs w:val="24"/>
        </w:rPr>
      </w:pPr>
      <w:r w:rsidRPr="00584465">
        <w:rPr>
          <w:rFonts w:cs="Arial"/>
          <w:szCs w:val="24"/>
        </w:rPr>
        <w:t>Training and information for care providers and patients</w:t>
      </w:r>
    </w:p>
    <w:p w:rsidR="007A1C4A" w:rsidRPr="00584465" w:rsidRDefault="007A1C4A" w:rsidP="007A524D">
      <w:pPr>
        <w:numPr>
          <w:ilvl w:val="0"/>
          <w:numId w:val="9"/>
        </w:numPr>
        <w:spacing w:before="120" w:after="120" w:line="264" w:lineRule="auto"/>
        <w:rPr>
          <w:rFonts w:cs="Arial"/>
          <w:szCs w:val="24"/>
        </w:rPr>
      </w:pPr>
      <w:r w:rsidRPr="00584465">
        <w:rPr>
          <w:rFonts w:cs="Arial"/>
          <w:szCs w:val="24"/>
        </w:rPr>
        <w:t>Electronic documentation of diagnostic findings, applied therapies and outcomes</w:t>
      </w:r>
    </w:p>
    <w:p w:rsidR="007A1C4A" w:rsidRPr="00584465" w:rsidRDefault="007A1C4A" w:rsidP="007A524D">
      <w:pPr>
        <w:numPr>
          <w:ilvl w:val="0"/>
          <w:numId w:val="9"/>
        </w:numPr>
        <w:spacing w:before="120" w:after="120" w:line="264" w:lineRule="auto"/>
        <w:rPr>
          <w:rFonts w:cs="Arial"/>
          <w:szCs w:val="24"/>
        </w:rPr>
      </w:pPr>
      <w:r w:rsidRPr="00584465">
        <w:rPr>
          <w:rFonts w:cs="Arial"/>
          <w:szCs w:val="24"/>
        </w:rPr>
        <w:t>Evaluation of clinical outcomes and costs.</w:t>
      </w:r>
    </w:p>
    <w:p w:rsidR="007A1C4A" w:rsidRPr="00584465" w:rsidRDefault="007A1C4A" w:rsidP="007A524D">
      <w:pPr>
        <w:spacing w:before="120" w:after="120" w:line="264" w:lineRule="auto"/>
        <w:rPr>
          <w:rFonts w:cs="Arial"/>
          <w:szCs w:val="24"/>
        </w:rPr>
      </w:pPr>
      <w:r w:rsidRPr="00584465">
        <w:rPr>
          <w:rFonts w:cs="Arial"/>
          <w:szCs w:val="24"/>
        </w:rPr>
        <w:t>For patients and physicians DMP participation is voluntary but incentives exist for bot</w:t>
      </w:r>
      <w:r>
        <w:rPr>
          <w:rFonts w:cs="Arial"/>
          <w:szCs w:val="24"/>
        </w:rPr>
        <w:t xml:space="preserve">h: patients are exempt from outpatient fees and co-payments while </w:t>
      </w:r>
      <w:r w:rsidRPr="00584465">
        <w:rPr>
          <w:rFonts w:cs="Arial"/>
          <w:szCs w:val="24"/>
        </w:rPr>
        <w:t xml:space="preserve">physicians receive a lump sum payment for coordination and documentation activities. Usually, primary care physicians take on the role of coordinating care for DMP patients over time, referring them to specialists when necessary </w:t>
      </w:r>
      <w:r w:rsidRPr="00584465">
        <w:rPr>
          <w:rFonts w:cs="Arial"/>
          <w:szCs w:val="24"/>
        </w:rPr>
        <w:lastRenderedPageBreak/>
        <w:t>and documenting the care process. Physicians receive an extra payment for maintaining good documentation.</w:t>
      </w:r>
      <w:r w:rsidRPr="00584465">
        <w:rPr>
          <w:rFonts w:cs="Arial"/>
          <w:szCs w:val="24"/>
        </w:rPr>
        <w:fldChar w:fldCharType="begin"/>
      </w:r>
      <w:r w:rsidRPr="00584465">
        <w:rPr>
          <w:rFonts w:cs="Arial"/>
          <w:szCs w:val="24"/>
        </w:rPr>
        <w:instrText xml:space="preserve"> ADDIN EN.CITE &lt;EndNote&gt;&lt;Cite&gt;&lt;Author&gt;Thomson S&lt;/Author&gt;&lt;Year&gt;2012&lt;/Year&gt;&lt;RecNum&gt;13352&lt;/RecNum&gt;&lt;record&gt;&lt;rec-number&gt;13352&lt;/rec-number&gt;&lt;foreign-keys&gt;&lt;key app="EN" db-id="5r0eapxzsestz4er5zaxe5zqz99fvpawedp5"&gt;13352&lt;/key&gt;&lt;/foreign-keys&gt;&lt;ref-type name="Report"&gt;27&lt;/ref-type&gt;&lt;contributors&gt;&lt;authors&gt;&lt;author&gt;Thomson S, &lt;/author&gt;&lt;author&gt;Osborn R, &lt;/author&gt;&lt;author&gt;Squires D,&lt;/author&gt;&lt;author&gt;Jun M,&lt;/author&gt;&lt;/authors&gt;&lt;/contributors&gt;&lt;titles&gt;&lt;title&gt; International Profiles of Health Care Systems&lt;/title&gt;&lt;/titles&gt;&lt;dates&gt;&lt;year&gt;2012&lt;/year&gt;&lt;/dates&gt;&lt;publisher&gt;The Commonwealth Fund&lt;/publisher&gt;&lt;urls&gt;&lt;/urls&gt;&lt;/record&gt;&lt;/Cite&gt;&lt;/EndNote&gt;</w:instrText>
      </w:r>
      <w:r w:rsidRPr="00584465">
        <w:rPr>
          <w:rFonts w:cs="Arial"/>
          <w:szCs w:val="24"/>
        </w:rPr>
        <w:fldChar w:fldCharType="separate"/>
      </w:r>
      <w:r w:rsidRPr="00584465">
        <w:rPr>
          <w:rFonts w:cs="Arial"/>
          <w:noProof/>
          <w:szCs w:val="24"/>
          <w:vertAlign w:val="superscript"/>
        </w:rPr>
        <w:t>1</w:t>
      </w:r>
      <w:r w:rsidRPr="00584465">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Among diabetes type 2 patients, the largest patient group enrolled in DMPs, 90% have a primary care physician as their partner in the program.</w:t>
      </w:r>
      <w:r w:rsidRPr="00584465">
        <w:rPr>
          <w:rFonts w:cs="Arial"/>
          <w:szCs w:val="24"/>
        </w:rPr>
        <w:fldChar w:fldCharType="begin"/>
      </w:r>
      <w:r w:rsidRPr="00584465">
        <w:rPr>
          <w:rFonts w:cs="Arial"/>
          <w:szCs w:val="24"/>
        </w:rPr>
        <w:instrText xml:space="preserve"> ADDIN EN.CITE &lt;EndNote&gt;&lt;Cite&gt;&lt;Author&gt;Busse&lt;/Author&gt;&lt;Year&gt;2004&lt;/Year&gt;&lt;RecNum&gt;13374&lt;/RecNum&gt;&lt;record&gt;&lt;rec-number&gt;13374&lt;/rec-number&gt;&lt;foreign-keys&gt;&lt;key app="EN" db-id="5r0eapxzsestz4er5zaxe5zqz99fvpawedp5"&gt;13374&lt;/key&gt;&lt;/foreign-keys&gt;&lt;ref-type name="Journal Article"&gt;17&lt;/ref-type&gt;&lt;contributors&gt;&lt;authors&gt;&lt;author&gt;Busse, R.&lt;/author&gt;&lt;/authors&gt;&lt;/contributors&gt;&lt;auth-address&gt;Department Health Care Management, Berlin University of Technology. mig@tu-berlin.de&lt;/auth-address&gt;&lt;titles&gt;&lt;title&gt;Disease management programs in Germany&amp;apos;s statutory health insurance system&lt;/title&gt;&lt;secondary-title&gt;Health Aff (Millwood)&lt;/secondary-title&gt;&lt;/titles&gt;&lt;periodical&gt;&lt;full-title&gt;Health Aff (Millwood)&lt;/full-title&gt;&lt;/periodical&gt;&lt;pages&gt;56-67&lt;/pages&gt;&lt;volume&gt;23&lt;/volume&gt;&lt;number&gt;3&lt;/number&gt;&lt;edition&gt;2004/05/27&lt;/edition&gt;&lt;keywords&gt;&lt;keyword&gt;Chronic Disease&lt;/keyword&gt;&lt;keyword&gt;Delivery of Health Care/economics/organization &amp;amp; administration/standards&lt;/keyword&gt;&lt;keyword&gt;*Disease Management&lt;/keyword&gt;&lt;keyword&gt;Efficiency, Organizational&lt;/keyword&gt;&lt;keyword&gt;Germany&lt;/keyword&gt;&lt;keyword&gt;Humans&lt;/keyword&gt;&lt;keyword&gt;Insurance, Health/economics/*statistics &amp;amp; numerical data&lt;/keyword&gt;&lt;keyword&gt;Quality of Health Care&lt;/keyword&gt;&lt;keyword&gt;Reimbursement Mechanisms&lt;/keyword&gt;&lt;/keywords&gt;&lt;dates&gt;&lt;year&gt;2004&lt;/year&gt;&lt;pub-dates&gt;&lt;date&gt;May-Jun&lt;/date&gt;&lt;/pub-dates&gt;&lt;/dates&gt;&lt;isbn&gt;0278-2715 (Print)&amp;#xD;0278-2715 (Linking)&lt;/isbn&gt;&lt;accession-num&gt;15160803&lt;/accession-num&gt;&lt;urls&gt;&lt;related-urls&gt;&lt;url&gt;http://www.ncbi.nlm.nih.gov/entrez/query.fcgi?cmd=Retrieve&amp;amp;db=PubMed&amp;amp;dopt=Citation&amp;amp;list_uids=15160803&lt;/url&gt;&lt;/related-urls&gt;&lt;/urls&gt;&lt;language&gt;eng&lt;/language&gt;&lt;/record&gt;&lt;/Cite&gt;&lt;/EndNote&gt;</w:instrText>
      </w:r>
      <w:r w:rsidRPr="00584465">
        <w:rPr>
          <w:rFonts w:cs="Arial"/>
          <w:szCs w:val="24"/>
        </w:rPr>
        <w:fldChar w:fldCharType="separate"/>
      </w:r>
      <w:r w:rsidRPr="00584465">
        <w:rPr>
          <w:rFonts w:cs="Arial"/>
          <w:noProof/>
          <w:szCs w:val="24"/>
          <w:vertAlign w:val="superscript"/>
        </w:rPr>
        <w:t>8</w:t>
      </w:r>
      <w:r w:rsidRPr="00584465">
        <w:rPr>
          <w:rFonts w:cs="Arial"/>
          <w:szCs w:val="24"/>
        </w:rPr>
        <w:fldChar w:fldCharType="end"/>
      </w:r>
    </w:p>
    <w:p w:rsidR="007A1C4A" w:rsidRPr="00584465" w:rsidRDefault="007A1C4A" w:rsidP="007A524D">
      <w:pPr>
        <w:spacing w:before="120" w:after="120" w:line="264" w:lineRule="auto"/>
        <w:rPr>
          <w:rFonts w:cs="Arial"/>
          <w:szCs w:val="24"/>
        </w:rPr>
      </w:pPr>
      <w:r w:rsidRPr="00584465">
        <w:rPr>
          <w:rFonts w:cs="Arial"/>
          <w:szCs w:val="24"/>
        </w:rPr>
        <w:t xml:space="preserve">Some evidence is emerging that DMPs improve care process and clinical outcomes, particularly in diabetes management, although </w:t>
      </w:r>
      <w:r>
        <w:rPr>
          <w:rFonts w:cs="Arial"/>
          <w:szCs w:val="24"/>
        </w:rPr>
        <w:t>the evidence at this stage is inc</w:t>
      </w:r>
      <w:r w:rsidRPr="00584465">
        <w:rPr>
          <w:rFonts w:cs="Arial"/>
          <w:szCs w:val="24"/>
        </w:rPr>
        <w:t xml:space="preserve">onclusive. </w:t>
      </w:r>
      <w:r w:rsidRPr="00584465">
        <w:rPr>
          <w:rFonts w:cs="Arial"/>
          <w:szCs w:val="24"/>
        </w:rPr>
        <w:fldChar w:fldCharType="begin">
          <w:fldData xml:space="preserve">PEVuZE5vdGU+PENpdGU+PEF1dGhvcj5BT0sgQnVuZGVzdmVyYmFuZDwvQXV0aG9yPjxZZWFyPjIw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</w:fldData>
        </w:fldChar>
      </w:r>
      <w:r w:rsidRPr="00584465">
        <w:rPr>
          <w:rFonts w:cs="Arial"/>
          <w:szCs w:val="24"/>
        </w:rPr>
        <w:instrText xml:space="preserve"> ADDIN EN.CITE </w:instrText>
      </w:r>
      <w:r w:rsidRPr="00584465">
        <w:rPr>
          <w:rFonts w:cs="Arial"/>
          <w:szCs w:val="24"/>
        </w:rPr>
        <w:fldChar w:fldCharType="begin">
          <w:fldData xml:space="preserve">PEVuZE5vdGU+PENpdGU+PEF1dGhvcj5BT0sgQnVuZGVzdmVyYmFuZDwvQXV0aG9yPjxZZWFyPjIw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</w:fldData>
        </w:fldChar>
      </w:r>
      <w:r w:rsidRPr="00584465">
        <w:rPr>
          <w:rFonts w:cs="Arial"/>
          <w:szCs w:val="24"/>
        </w:rPr>
        <w:instrText xml:space="preserve"> ADDIN EN.CITE.DATA </w:instrText>
      </w:r>
      <w:r w:rsidRPr="00584465">
        <w:rPr>
          <w:rFonts w:cs="Arial"/>
          <w:szCs w:val="24"/>
        </w:rPr>
      </w:r>
      <w:r w:rsidRPr="00584465">
        <w:rPr>
          <w:rFonts w:cs="Arial"/>
          <w:szCs w:val="24"/>
        </w:rPr>
        <w:fldChar w:fldCharType="end"/>
      </w:r>
      <w:r w:rsidRPr="00584465">
        <w:rPr>
          <w:rFonts w:cs="Arial"/>
          <w:szCs w:val="24"/>
        </w:rPr>
      </w:r>
      <w:r w:rsidRPr="00584465">
        <w:rPr>
          <w:rFonts w:cs="Arial"/>
          <w:szCs w:val="24"/>
        </w:rPr>
        <w:fldChar w:fldCharType="separate"/>
      </w:r>
      <w:r w:rsidRPr="00584465">
        <w:rPr>
          <w:rFonts w:cs="Arial"/>
          <w:noProof/>
          <w:szCs w:val="24"/>
          <w:vertAlign w:val="superscript"/>
        </w:rPr>
        <w:t>6,9-10</w:t>
      </w:r>
      <w:r w:rsidRPr="00584465">
        <w:rPr>
          <w:rFonts w:cs="Arial"/>
          <w:szCs w:val="24"/>
        </w:rPr>
        <w:fldChar w:fldCharType="end"/>
      </w:r>
      <w:r w:rsidRPr="00584465">
        <w:rPr>
          <w:rFonts w:cs="Arial"/>
          <w:szCs w:val="24"/>
        </w:rPr>
        <w:t xml:space="preserve"> </w:t>
      </w:r>
    </w:p>
    <w:p w:rsidR="007A1C4A" w:rsidRPr="00584465" w:rsidRDefault="007A1C4A" w:rsidP="007A524D">
      <w:pPr>
        <w:spacing w:before="240" w:after="120" w:line="264" w:lineRule="auto"/>
        <w:rPr>
          <w:rFonts w:cs="Arial"/>
          <w:b/>
          <w:sz w:val="28"/>
          <w:szCs w:val="28"/>
        </w:rPr>
      </w:pPr>
      <w:r>
        <w:rPr>
          <w:rFonts w:cs="Arial"/>
          <w:b/>
          <w:sz w:val="28"/>
          <w:szCs w:val="28"/>
        </w:rPr>
        <w:t>4.4.6</w:t>
      </w:r>
      <w:r>
        <w:rPr>
          <w:rFonts w:cs="Arial"/>
          <w:b/>
          <w:sz w:val="28"/>
          <w:szCs w:val="28"/>
        </w:rPr>
        <w:tab/>
      </w:r>
      <w:r w:rsidRPr="00584465">
        <w:rPr>
          <w:rFonts w:cs="Arial"/>
          <w:b/>
          <w:sz w:val="28"/>
          <w:szCs w:val="28"/>
        </w:rPr>
        <w:t>References</w:t>
      </w:r>
    </w:p>
    <w:p w:rsidR="007A1C4A" w:rsidRPr="00584465" w:rsidRDefault="007A1C4A" w:rsidP="007A524D">
      <w:pPr>
        <w:spacing w:before="120" w:after="120" w:line="264" w:lineRule="auto"/>
        <w:ind w:left="180" w:hanging="180"/>
        <w:rPr>
          <w:rFonts w:cs="Arial"/>
          <w:noProof/>
          <w:szCs w:val="24"/>
        </w:rPr>
      </w:pPr>
      <w:r w:rsidRPr="00584465">
        <w:rPr>
          <w:rFonts w:cs="Arial"/>
          <w:noProof/>
          <w:szCs w:val="24"/>
        </w:rPr>
        <w:fldChar w:fldCharType="begin"/>
      </w:r>
      <w:r w:rsidRPr="00584465">
        <w:rPr>
          <w:rFonts w:cs="Arial"/>
          <w:noProof/>
          <w:szCs w:val="24"/>
        </w:rPr>
        <w:instrText xml:space="preserve"> ADDIN EN.REFLIST </w:instrText>
      </w:r>
      <w:r w:rsidRPr="00584465">
        <w:rPr>
          <w:rFonts w:cs="Arial"/>
          <w:noProof/>
          <w:szCs w:val="24"/>
        </w:rPr>
        <w:fldChar w:fldCharType="separate"/>
      </w:r>
      <w:r w:rsidRPr="00584465">
        <w:rPr>
          <w:rFonts w:cs="Arial"/>
          <w:noProof/>
          <w:szCs w:val="24"/>
        </w:rPr>
        <w:t>1.Thomson S, Osborn R, Squires D, Jun M. International Profiles of Health Care Systems. The Commonwealth Fund, 2012.</w:t>
      </w:r>
    </w:p>
    <w:p w:rsidR="007A1C4A" w:rsidRPr="00584465" w:rsidRDefault="007A1C4A" w:rsidP="007A524D">
      <w:pPr>
        <w:spacing w:before="120" w:after="120" w:line="264" w:lineRule="auto"/>
        <w:ind w:left="180" w:hanging="180"/>
        <w:rPr>
          <w:rFonts w:cs="Arial"/>
          <w:noProof/>
          <w:szCs w:val="24"/>
        </w:rPr>
      </w:pPr>
      <w:r w:rsidRPr="00584465">
        <w:rPr>
          <w:rFonts w:cs="Arial"/>
          <w:noProof/>
          <w:szCs w:val="24"/>
        </w:rPr>
        <w:t>2.Szecsenyi J, Broge B, Eckhardt J, Heller G, Kaufmann-Kolle P, Wensing M. Tearing down walls: opening the border between hospital and ambulatory care for quality improvement in Germany. International Journal for Quality in Health Care 2012;24(2):101-104.</w:t>
      </w:r>
    </w:p>
    <w:p w:rsidR="007A1C4A" w:rsidRPr="00584465" w:rsidRDefault="007A1C4A" w:rsidP="007A524D">
      <w:pPr>
        <w:spacing w:before="120" w:after="120" w:line="264" w:lineRule="auto"/>
        <w:ind w:left="180" w:hanging="180"/>
        <w:rPr>
          <w:rFonts w:cs="Arial"/>
          <w:noProof/>
          <w:szCs w:val="24"/>
        </w:rPr>
      </w:pPr>
      <w:r w:rsidRPr="00584465">
        <w:rPr>
          <w:rFonts w:cs="Arial"/>
          <w:noProof/>
          <w:szCs w:val="24"/>
        </w:rPr>
        <w:t>3.Geissler A, Scheller-Kreinsen D, Quentin W, Busse R. Germany: Understanding G-DRGs. In: Busse R, Geissler A, Quentin W, Wiley M, editors. Diagnosis Related Groups in Europe: Moving towards transparency, efficiency and quality in hospitals. Berkshire UK: Open University Press, 2011.</w:t>
      </w:r>
    </w:p>
    <w:p w:rsidR="007A1C4A" w:rsidRPr="00584465" w:rsidRDefault="007A1C4A" w:rsidP="007A524D">
      <w:pPr>
        <w:spacing w:before="120" w:after="120" w:line="264" w:lineRule="auto"/>
        <w:ind w:left="180" w:hanging="180"/>
        <w:rPr>
          <w:rFonts w:cs="Arial"/>
          <w:noProof/>
          <w:szCs w:val="24"/>
        </w:rPr>
      </w:pPr>
      <w:r w:rsidRPr="00584465">
        <w:rPr>
          <w:rFonts w:cs="Arial"/>
          <w:noProof/>
          <w:szCs w:val="24"/>
        </w:rPr>
        <w:t>4.Busse R, Nimptsch U, Mansky T. Measuring, Monitoring, And Managing Quality In Germany’s Hospitals. Health Affairs 2009;28(2):w294-w304.</w:t>
      </w:r>
    </w:p>
    <w:p w:rsidR="007A1C4A" w:rsidRPr="0080663D" w:rsidRDefault="007A1C4A" w:rsidP="007A524D">
      <w:pPr>
        <w:spacing w:before="120" w:after="120" w:line="264" w:lineRule="auto"/>
        <w:ind w:left="180" w:hanging="180"/>
        <w:rPr>
          <w:rFonts w:cs="Arial"/>
          <w:noProof/>
          <w:szCs w:val="24"/>
          <w:lang w:val="de-DE"/>
        </w:rPr>
      </w:pPr>
      <w:r w:rsidRPr="00584465">
        <w:rPr>
          <w:rFonts w:cs="Arial"/>
          <w:noProof/>
          <w:szCs w:val="24"/>
        </w:rPr>
        <w:t xml:space="preserve">5.de Cruppé W, Ohmann C, Blum K, Geraedts M. Evaluating compulsory minimum volume standards in Germany: how many hospitals were compliant in 2004? </w:t>
      </w:r>
      <w:r w:rsidRPr="0080663D">
        <w:rPr>
          <w:rFonts w:cs="Arial"/>
          <w:noProof/>
          <w:szCs w:val="24"/>
          <w:lang w:val="de-DE"/>
        </w:rPr>
        <w:t>BMC Health Services Research 2007;7(1):165-165.</w:t>
      </w:r>
    </w:p>
    <w:p w:rsidR="007A1C4A" w:rsidRPr="00584465" w:rsidRDefault="007A1C4A" w:rsidP="007A524D">
      <w:pPr>
        <w:spacing w:before="120" w:after="120" w:line="264" w:lineRule="auto"/>
        <w:ind w:left="180" w:hanging="180"/>
        <w:rPr>
          <w:rFonts w:cs="Arial"/>
          <w:noProof/>
          <w:szCs w:val="24"/>
        </w:rPr>
      </w:pPr>
      <w:r w:rsidRPr="0080663D">
        <w:rPr>
          <w:rFonts w:cs="Arial"/>
          <w:noProof/>
          <w:szCs w:val="24"/>
          <w:lang w:val="de-DE"/>
        </w:rPr>
        <w:t xml:space="preserve">6.Veit C, Hertle D, Bungard S, Trummer A, Ganske V, Meyer-Hoffmann B. Pay-for-Performance im Gesundheitswesen: Sachstandsbericht zu Evidenz und Realisierung sowie Darlegung der Grundlagen fur eine kunftige Weiterentwicklung [P4P in health care: Review of the evidence and basis for future development]. </w:t>
      </w:r>
      <w:r w:rsidRPr="00584465">
        <w:rPr>
          <w:rFonts w:cs="Arial"/>
          <w:noProof/>
          <w:szCs w:val="24"/>
        </w:rPr>
        <w:t>Dusseldorf. BQS Institut fur Qualitat &amp; Patientensicherheit [BQS Institute for Quality and Patient Safety], 2012.</w:t>
      </w:r>
    </w:p>
    <w:p w:rsidR="007A1C4A" w:rsidRPr="00584465" w:rsidRDefault="007A1C4A" w:rsidP="007A524D">
      <w:pPr>
        <w:spacing w:before="120" w:after="120" w:line="264" w:lineRule="auto"/>
        <w:ind w:left="180" w:hanging="180"/>
        <w:rPr>
          <w:rFonts w:cs="Arial"/>
          <w:noProof/>
          <w:szCs w:val="24"/>
        </w:rPr>
      </w:pPr>
      <w:r w:rsidRPr="00584465">
        <w:rPr>
          <w:rFonts w:cs="Arial"/>
          <w:noProof/>
          <w:szCs w:val="24"/>
        </w:rPr>
        <w:t>7.Schlette S, Lisac M, Blum K. Integrated primary care in Germany: the road ahead. Int J Integr Care 2009;9:e14.</w:t>
      </w:r>
    </w:p>
    <w:p w:rsidR="007A1C4A" w:rsidRPr="00584465" w:rsidRDefault="007A1C4A" w:rsidP="007A524D">
      <w:pPr>
        <w:spacing w:before="120" w:after="120" w:line="264" w:lineRule="auto"/>
        <w:ind w:left="180" w:hanging="180"/>
        <w:rPr>
          <w:rFonts w:cs="Arial"/>
          <w:noProof/>
          <w:szCs w:val="24"/>
        </w:rPr>
      </w:pPr>
      <w:r w:rsidRPr="00584465">
        <w:rPr>
          <w:rFonts w:cs="Arial"/>
          <w:noProof/>
          <w:szCs w:val="24"/>
        </w:rPr>
        <w:t>8.Busse R. Disease management programs in Germany's statutory health insurance system. Health Aff (Millwood) 2004;23(3):56-67.</w:t>
      </w:r>
    </w:p>
    <w:p w:rsidR="007A1C4A" w:rsidRPr="0080663D" w:rsidRDefault="007A1C4A" w:rsidP="007A524D">
      <w:pPr>
        <w:spacing w:before="120" w:after="120" w:line="264" w:lineRule="auto"/>
        <w:ind w:left="180" w:hanging="180"/>
        <w:rPr>
          <w:rFonts w:cs="Arial"/>
          <w:noProof/>
          <w:szCs w:val="24"/>
          <w:lang w:val="de-DE"/>
        </w:rPr>
      </w:pPr>
      <w:r w:rsidRPr="00584465">
        <w:rPr>
          <w:rFonts w:cs="Arial"/>
          <w:noProof/>
          <w:szCs w:val="24"/>
        </w:rPr>
        <w:t xml:space="preserve">9.AOK Bundesverband. Ergebnisse der gesetzlichen Evaluation der AOK-Programme für Patienten mit Koronaren Herzkrankheiten (Auswertungen der Zwischenberichte) [Interim report on evaluation results for local health care funds’ DMPs for patients suffering from coronary heart disease]. </w:t>
      </w:r>
      <w:r w:rsidRPr="0080663D">
        <w:rPr>
          <w:rFonts w:cs="Arial"/>
          <w:noProof/>
          <w:szCs w:val="24"/>
          <w:lang w:val="de-DE"/>
        </w:rPr>
        <w:t>Berlin. AOK, 2008.</w:t>
      </w:r>
    </w:p>
    <w:p w:rsidR="007A1C4A" w:rsidRPr="00584465" w:rsidRDefault="007A1C4A" w:rsidP="007A524D">
      <w:pPr>
        <w:spacing w:before="120" w:after="120" w:line="264" w:lineRule="auto"/>
        <w:ind w:left="180" w:hanging="180"/>
        <w:rPr>
          <w:rFonts w:cs="Arial"/>
          <w:noProof/>
          <w:szCs w:val="24"/>
        </w:rPr>
      </w:pPr>
      <w:r w:rsidRPr="0080663D">
        <w:rPr>
          <w:rFonts w:cs="Arial"/>
          <w:noProof/>
          <w:szCs w:val="24"/>
          <w:lang w:val="de-DE"/>
        </w:rPr>
        <w:lastRenderedPageBreak/>
        <w:t xml:space="preserve">10.Elkeles T, Kirschner W, Graf C, Kellermann-Mühlhoff P. Versorgungsunterschiede zwischen DMP und Nicht-DMP aus Sicht der Versicherten. Ergebnisse einer vergleichenden Versichertenbefragung von Typ 2-Diabetikern der BARMER. [Representative comparative survey of BEK insured diabetes patients]. </w:t>
      </w:r>
      <w:r w:rsidRPr="00584465">
        <w:rPr>
          <w:rFonts w:cs="Arial"/>
          <w:noProof/>
          <w:szCs w:val="24"/>
        </w:rPr>
        <w:t>Gesundheits- und Sozialpolitik [Politics of Health and Society] 2008;82(1):10-18.</w:t>
      </w:r>
    </w:p>
    <w:p w:rsidR="007A1C4A" w:rsidRDefault="007A1C4A" w:rsidP="007A524D">
      <w:pPr>
        <w:spacing w:before="120" w:after="120" w:line="264" w:lineRule="auto"/>
        <w:ind w:left="180" w:hanging="180"/>
        <w:rPr>
          <w:rFonts w:cs="Arial"/>
          <w:noProof/>
          <w:szCs w:val="24"/>
        </w:rPr>
      </w:pPr>
      <w:r w:rsidRPr="00584465">
        <w:rPr>
          <w:rFonts w:cs="Arial"/>
          <w:noProof/>
          <w:szCs w:val="24"/>
        </w:rPr>
        <w:fldChar w:fldCharType="end"/>
      </w:r>
    </w:p>
    <w:p w:rsidR="007A1C4A" w:rsidRPr="005F3B5D" w:rsidRDefault="007A1C4A" w:rsidP="007A524D">
      <w:pPr>
        <w:spacing w:before="120" w:after="120" w:line="264" w:lineRule="auto"/>
        <w:ind w:left="180" w:hanging="180"/>
        <w:rPr>
          <w:rFonts w:cs="Arial"/>
          <w:sz w:val="21"/>
          <w:szCs w:val="21"/>
        </w:rPr>
      </w:pPr>
    </w:p>
    <w:p w:rsidR="007A1C4A" w:rsidRPr="000A5C91" w:rsidRDefault="007A1C4A" w:rsidP="00F55B5A">
      <w:pPr>
        <w:pStyle w:val="Heading2"/>
        <w:rPr>
          <w:i w:val="0"/>
        </w:rPr>
      </w:pPr>
      <w:r>
        <w:rPr>
          <w:i w:val="0"/>
        </w:rPr>
        <w:br w:type="page"/>
      </w:r>
      <w:bookmarkStart w:id="40" w:name="_Toc372115662"/>
      <w:r>
        <w:rPr>
          <w:i w:val="0"/>
        </w:rPr>
        <w:lastRenderedPageBreak/>
        <w:t>4.5</w:t>
      </w:r>
      <w:r w:rsidRPr="000A5C91">
        <w:rPr>
          <w:i w:val="0"/>
        </w:rPr>
        <w:tab/>
        <w:t>Funding and quality mechanisms: Kaiser Permanente (US) health care system</w:t>
      </w:r>
      <w:bookmarkEnd w:id="40"/>
    </w:p>
    <w:p w:rsidR="007A1C4A" w:rsidRPr="00584465" w:rsidRDefault="007A1C4A" w:rsidP="00ED54FD">
      <w:pPr>
        <w:numPr>
          <w:ilvl w:val="2"/>
          <w:numId w:val="25"/>
        </w:numPr>
        <w:tabs>
          <w:tab w:val="clear" w:pos="1080"/>
          <w:tab w:val="num" w:pos="720"/>
        </w:tabs>
        <w:spacing w:before="240" w:after="120" w:line="264" w:lineRule="auto"/>
        <w:ind w:left="720" w:right="-153"/>
        <w:rPr>
          <w:rFonts w:cs="Arial"/>
          <w:b/>
          <w:sz w:val="28"/>
          <w:szCs w:val="28"/>
        </w:rPr>
      </w:pPr>
      <w:r w:rsidRPr="00584465">
        <w:rPr>
          <w:rFonts w:cs="Arial"/>
          <w:b/>
          <w:sz w:val="28"/>
          <w:szCs w:val="28"/>
        </w:rPr>
        <w:t>Background</w:t>
      </w:r>
    </w:p>
    <w:p w:rsidR="007A1C4A" w:rsidRPr="00584465" w:rsidRDefault="007A1C4A" w:rsidP="00645891">
      <w:pPr>
        <w:pStyle w:val="NormalWeb"/>
        <w:shd w:val="clear" w:color="auto" w:fill="FFFFFF"/>
        <w:spacing w:before="120" w:beforeAutospacing="0" w:after="120" w:afterAutospacing="0" w:line="264" w:lineRule="auto"/>
        <w:rPr>
          <w:rFonts w:ascii="Arial" w:eastAsia="MS Mincho" w:hAnsi="Arial" w:cs="Arial"/>
          <w:color w:val="auto"/>
          <w:sz w:val="24"/>
          <w:szCs w:val="24"/>
          <w:lang w:eastAsia="ja-JP"/>
        </w:rPr>
      </w:pPr>
      <w:r w:rsidRPr="00584465">
        <w:rPr>
          <w:rFonts w:ascii="Arial" w:eastAsia="MS Mincho" w:hAnsi="Arial" w:cs="Arial"/>
          <w:color w:val="auto"/>
          <w:sz w:val="24"/>
          <w:szCs w:val="24"/>
          <w:lang w:eastAsia="ja-JP"/>
        </w:rPr>
        <w:t>Kaiser Permanente (KP) has its origin in southern California in the depression years from 1933 to 1938 when most people could not afford healthcare. Prepayment to a group of physicians in integrated clinic and hospital facilities proved to be a remarkably effective system for providing comprehensive care to workers on a compl</w:t>
      </w:r>
      <w:r>
        <w:rPr>
          <w:rFonts w:ascii="Arial" w:eastAsia="MS Mincho" w:hAnsi="Arial" w:cs="Arial"/>
          <w:color w:val="auto"/>
          <w:sz w:val="24"/>
          <w:szCs w:val="24"/>
          <w:lang w:eastAsia="ja-JP"/>
        </w:rPr>
        <w:t>etely self-sustaining basis. This</w:t>
      </w:r>
      <w:r w:rsidRPr="00584465">
        <w:rPr>
          <w:rFonts w:ascii="Arial" w:eastAsia="MS Mincho" w:hAnsi="Arial" w:cs="Arial"/>
          <w:color w:val="auto"/>
          <w:sz w:val="24"/>
          <w:szCs w:val="24"/>
          <w:lang w:eastAsia="ja-JP"/>
        </w:rPr>
        <w:t xml:space="preserve"> model provid</w:t>
      </w:r>
      <w:r>
        <w:rPr>
          <w:rFonts w:ascii="Arial" w:eastAsia="MS Mincho" w:hAnsi="Arial" w:cs="Arial"/>
          <w:color w:val="auto"/>
          <w:sz w:val="24"/>
          <w:szCs w:val="24"/>
          <w:lang w:eastAsia="ja-JP"/>
        </w:rPr>
        <w:t>ed</w:t>
      </w:r>
      <w:r w:rsidRPr="00584465">
        <w:rPr>
          <w:rFonts w:ascii="Arial" w:eastAsia="MS Mincho" w:hAnsi="Arial" w:cs="Arial"/>
          <w:color w:val="auto"/>
          <w:sz w:val="24"/>
          <w:szCs w:val="24"/>
          <w:lang w:eastAsia="ja-JP"/>
        </w:rPr>
        <w:t xml:space="preserve"> an alternative to the traditional medical care delivery system as it eliminated the fee for service, substituting prepayment, and it organised medical care resources into a coordinated group practice in integrated clinic and hospital facilities.</w:t>
      </w:r>
    </w:p>
    <w:p w:rsidR="007A1C4A" w:rsidRPr="00584465" w:rsidRDefault="007A1C4A" w:rsidP="00645891">
      <w:pPr>
        <w:spacing w:before="120" w:after="120" w:line="264" w:lineRule="auto"/>
        <w:ind w:right="-154"/>
        <w:rPr>
          <w:rFonts w:cs="Arial"/>
          <w:szCs w:val="24"/>
        </w:rPr>
      </w:pPr>
      <w:r w:rsidRPr="00584465">
        <w:rPr>
          <w:rFonts w:cs="Arial"/>
          <w:szCs w:val="24"/>
        </w:rPr>
        <w:t xml:space="preserve">KP is an integrated managed care consortium, based in Oakland, California, United States, founded in 1945 by industrialist Henry J. Kaiser and physician Sidney Garfield. </w:t>
      </w:r>
      <w:r>
        <w:rPr>
          <w:rFonts w:cs="Arial"/>
          <w:szCs w:val="24"/>
        </w:rPr>
        <w:t>KP</w:t>
      </w:r>
      <w:r w:rsidRPr="00584465">
        <w:rPr>
          <w:rFonts w:cs="Arial"/>
          <w:szCs w:val="24"/>
        </w:rPr>
        <w:t xml:space="preserve"> is made up of three distinct groups of entities:</w:t>
      </w:r>
      <w:r>
        <w:rPr>
          <w:rFonts w:cs="Arial"/>
          <w:szCs w:val="24"/>
        </w:rPr>
        <w:fldChar w:fldCharType="begin"/>
      </w:r>
      <w:r>
        <w:rPr>
          <w:rFonts w:cs="Arial"/>
          <w:szCs w:val="24"/>
        </w:rPr>
        <w:instrText xml:space="preserve"> ADDIN EN.CITE &lt;EndNote&gt;&lt;Cite&gt;&lt;Author&gt;Permanente&lt;/Author&gt;&lt;RecNum&gt;13395&lt;/RecNum&gt;&lt;record&gt;&lt;rec-number&gt;13395&lt;/rec-number&gt;&lt;foreign-keys&gt;&lt;key app="EN" db-id="5r0eapxzsestz4er5zaxe5zqz99fvpawedp5"&gt;13395&lt;/key&gt;&lt;/foreign-keys&gt;&lt;ref-type name="Web Page"&gt;12&lt;/ref-type&gt;&lt;contributors&gt;&lt;authors&gt;&lt;author&gt;Kaiser Permanente&lt;/author&gt;&lt;/authors&gt;&lt;/contributors&gt;&lt;titles&gt;&lt;title&gt;Kaiser Permanente: prepaid integrated delivery system&lt;/title&gt;&lt;/titles&gt;&lt;volume&gt;2013&lt;/volume&gt;&lt;number&gt;3 January&lt;/number&gt;&lt;dates&gt;&lt;/dates&gt;&lt;urls&gt;&lt;related-urls&gt;&lt;url&gt;http://xnet.kp.org/kpinternational/docs/The%20KP%20Model.pdf&lt;/url&gt;&lt;/related-urls&gt;&lt;/urls&gt;&lt;/record&gt;&lt;/Cite&gt;&lt;/EndNote&gt;</w:instrText>
      </w:r>
      <w:r>
        <w:rPr>
          <w:rFonts w:cs="Arial"/>
          <w:szCs w:val="24"/>
        </w:rPr>
        <w:fldChar w:fldCharType="separate"/>
      </w:r>
      <w:r w:rsidRPr="003E7871">
        <w:rPr>
          <w:rFonts w:cs="Arial"/>
          <w:noProof/>
          <w:szCs w:val="24"/>
          <w:vertAlign w:val="superscript"/>
        </w:rPr>
        <w:t>1</w:t>
      </w:r>
      <w:r>
        <w:rPr>
          <w:rFonts w:cs="Arial"/>
          <w:szCs w:val="24"/>
        </w:rPr>
        <w:fldChar w:fldCharType="end"/>
      </w:r>
    </w:p>
    <w:p w:rsidR="007A1C4A" w:rsidRPr="00584465" w:rsidRDefault="007A1C4A" w:rsidP="00645891">
      <w:pPr>
        <w:numPr>
          <w:ilvl w:val="0"/>
          <w:numId w:val="6"/>
        </w:numPr>
        <w:spacing w:before="120" w:after="120" w:line="264" w:lineRule="auto"/>
        <w:ind w:right="-154"/>
        <w:rPr>
          <w:rFonts w:cs="Arial"/>
          <w:color w:val="000000"/>
          <w:szCs w:val="24"/>
        </w:rPr>
      </w:pPr>
      <w:r w:rsidRPr="00584465">
        <w:rPr>
          <w:rFonts w:cs="Arial"/>
          <w:color w:val="000000"/>
          <w:szCs w:val="24"/>
        </w:rPr>
        <w:t>Kaiser Foundation Hospitals</w:t>
      </w:r>
      <w:r>
        <w:rPr>
          <w:rFonts w:cs="Arial"/>
          <w:color w:val="000000"/>
          <w:szCs w:val="24"/>
        </w:rPr>
        <w:t xml:space="preserve"> and their subsidiaries which </w:t>
      </w:r>
      <w:r w:rsidRPr="00584465">
        <w:rPr>
          <w:rFonts w:cs="Arial"/>
          <w:color w:val="000000"/>
          <w:szCs w:val="24"/>
        </w:rPr>
        <w:t xml:space="preserve">includes not-for-profit </w:t>
      </w:r>
      <w:r w:rsidRPr="00EC301C">
        <w:rPr>
          <w:rFonts w:cs="Arial"/>
          <w:szCs w:val="24"/>
        </w:rPr>
        <w:t>corporations</w:t>
      </w:r>
      <w:r w:rsidRPr="00584465">
        <w:rPr>
          <w:rFonts w:cs="Arial"/>
          <w:color w:val="000000"/>
          <w:szCs w:val="24"/>
        </w:rPr>
        <w:t xml:space="preserve"> that own and operate or contract for hospital facilities and services for the care of Kaiser Foundation Health Plan members.</w:t>
      </w:r>
    </w:p>
    <w:p w:rsidR="007A1C4A" w:rsidRPr="00584465" w:rsidRDefault="007A1C4A" w:rsidP="00645891">
      <w:pPr>
        <w:numPr>
          <w:ilvl w:val="0"/>
          <w:numId w:val="6"/>
        </w:numPr>
        <w:spacing w:before="120" w:after="120" w:line="264" w:lineRule="auto"/>
        <w:ind w:right="-154"/>
        <w:rPr>
          <w:rFonts w:cs="Arial"/>
          <w:color w:val="000000"/>
          <w:szCs w:val="24"/>
        </w:rPr>
      </w:pPr>
      <w:r w:rsidRPr="00584465">
        <w:rPr>
          <w:rFonts w:cs="Arial"/>
          <w:color w:val="000000"/>
          <w:szCs w:val="24"/>
        </w:rPr>
        <w:t>Kaiser Foundation Health Plan Inc</w:t>
      </w:r>
      <w:r>
        <w:rPr>
          <w:rFonts w:cs="Arial"/>
          <w:color w:val="000000"/>
          <w:szCs w:val="24"/>
        </w:rPr>
        <w:t xml:space="preserve"> which </w:t>
      </w:r>
      <w:r w:rsidRPr="00584465">
        <w:rPr>
          <w:rFonts w:cs="Arial"/>
          <w:color w:val="000000"/>
          <w:szCs w:val="24"/>
        </w:rPr>
        <w:t>includes not-for-profit regional health plans that contract with members (individuals and groups) for prepaid (capitated) comprehensive health care services.</w:t>
      </w:r>
    </w:p>
    <w:p w:rsidR="007A1C4A" w:rsidRPr="00584465" w:rsidRDefault="007A1C4A" w:rsidP="00645891">
      <w:pPr>
        <w:numPr>
          <w:ilvl w:val="0"/>
          <w:numId w:val="6"/>
        </w:numPr>
        <w:spacing w:before="120" w:after="120" w:line="264" w:lineRule="auto"/>
        <w:ind w:right="-154"/>
        <w:rPr>
          <w:rFonts w:cs="Arial"/>
          <w:color w:val="000000"/>
          <w:szCs w:val="24"/>
        </w:rPr>
      </w:pPr>
      <w:r w:rsidRPr="00584465">
        <w:rPr>
          <w:rFonts w:cs="Arial"/>
          <w:color w:val="000000"/>
          <w:szCs w:val="24"/>
        </w:rPr>
        <w:t>Permanente Medical Groups which are self-governed, multispecialty medical groups in each KP region that contract exclusively with Kaiser Foundation Health Plan and Hospitals to provide medical services to members.</w:t>
      </w:r>
    </w:p>
    <w:p w:rsidR="007A1C4A" w:rsidRPr="00584465" w:rsidRDefault="007A1C4A" w:rsidP="00645891">
      <w:pPr>
        <w:autoSpaceDE w:val="0"/>
        <w:autoSpaceDN w:val="0"/>
        <w:adjustRightInd w:val="0"/>
        <w:spacing w:before="120" w:after="120" w:line="264" w:lineRule="auto"/>
        <w:rPr>
          <w:rFonts w:cs="Arial"/>
          <w:szCs w:val="24"/>
        </w:rPr>
      </w:pPr>
      <w:r w:rsidRPr="00584465">
        <w:rPr>
          <w:rFonts w:cs="Arial"/>
          <w:szCs w:val="24"/>
        </w:rPr>
        <w:t>K</w:t>
      </w:r>
      <w:r>
        <w:rPr>
          <w:rFonts w:cs="Arial"/>
          <w:szCs w:val="24"/>
        </w:rPr>
        <w:t>P</w:t>
      </w:r>
      <w:r w:rsidRPr="00584465">
        <w:rPr>
          <w:rFonts w:cs="Arial"/>
          <w:szCs w:val="24"/>
        </w:rPr>
        <w:t xml:space="preserve"> has 8.9 million health plan members, 172,997 employees, 16,658 physicians, 37 hospitals, and 611 medical offices and other outpatient facilities. In 2011, K</w:t>
      </w:r>
      <w:r>
        <w:rPr>
          <w:rFonts w:cs="Arial"/>
          <w:szCs w:val="24"/>
        </w:rPr>
        <w:t>P</w:t>
      </w:r>
      <w:r w:rsidRPr="00584465">
        <w:rPr>
          <w:rFonts w:cs="Arial"/>
          <w:szCs w:val="24"/>
        </w:rPr>
        <w:t xml:space="preserve"> reported $2.0</w:t>
      </w:r>
      <w:r>
        <w:rPr>
          <w:rFonts w:cs="Arial"/>
          <w:szCs w:val="24"/>
        </w:rPr>
        <w:t>USD</w:t>
      </w:r>
      <w:r w:rsidRPr="00584465">
        <w:rPr>
          <w:rFonts w:cs="Arial"/>
          <w:szCs w:val="24"/>
        </w:rPr>
        <w:t xml:space="preserve"> billion in net income on $47.9</w:t>
      </w:r>
      <w:r>
        <w:rPr>
          <w:rFonts w:cs="Arial"/>
          <w:szCs w:val="24"/>
        </w:rPr>
        <w:t>USD</w:t>
      </w:r>
      <w:r w:rsidRPr="00584465">
        <w:rPr>
          <w:rFonts w:cs="Arial"/>
          <w:szCs w:val="24"/>
        </w:rPr>
        <w:t xml:space="preserve"> billion in operating revenue.</w:t>
      </w:r>
      <w:r>
        <w:rPr>
          <w:rFonts w:cs="Arial"/>
          <w:szCs w:val="24"/>
        </w:rPr>
        <w:fldChar w:fldCharType="begin"/>
      </w:r>
      <w:r>
        <w:rPr>
          <w:rFonts w:cs="Arial"/>
          <w:szCs w:val="24"/>
        </w:rPr>
        <w:instrText xml:space="preserve"> ADDIN EN.CITE &lt;EndNote&gt;&lt;Cite&gt;&lt;Author&gt;Kaiser Permanente&lt;/Author&gt;&lt;Year&gt;2011&lt;/Year&gt;&lt;RecNum&gt;13396&lt;/RecNum&gt;&lt;record&gt;&lt;rec-number&gt;13396&lt;/rec-number&gt;&lt;foreign-keys&gt;&lt;key app="EN" db-id="5r0eapxzsestz4er5zaxe5zqz99fvpawedp5"&gt;13396&lt;/key&gt;&lt;/foreign-keys&gt;&lt;ref-type name="Report"&gt;27&lt;/ref-type&gt;&lt;contributors&gt;&lt;authors&gt;&lt;author&gt;Kaiser Permanente,&lt;/author&gt;&lt;/authors&gt;&lt;/contributors&gt;&lt;titles&gt;&lt;title&gt;Annual Report&lt;/title&gt;&lt;/titles&gt;&lt;dates&gt;&lt;year&gt;2011&lt;/year&gt;&lt;/dates&gt;&lt;urls&gt;&lt;/urls&gt;&lt;/record&gt;&lt;/Cite&gt;&lt;/EndNote&gt;</w:instrText>
      </w:r>
      <w:r>
        <w:rPr>
          <w:rFonts w:cs="Arial"/>
          <w:szCs w:val="24"/>
        </w:rPr>
        <w:fldChar w:fldCharType="separate"/>
      </w:r>
      <w:r w:rsidRPr="003E7871">
        <w:rPr>
          <w:rFonts w:cs="Arial"/>
          <w:noProof/>
          <w:szCs w:val="24"/>
          <w:vertAlign w:val="superscript"/>
        </w:rPr>
        <w:t>2</w:t>
      </w:r>
      <w:r>
        <w:rPr>
          <w:rFonts w:cs="Arial"/>
          <w:szCs w:val="24"/>
        </w:rPr>
        <w:fldChar w:fldCharType="end"/>
      </w:r>
    </w:p>
    <w:p w:rsidR="007A1C4A" w:rsidRPr="00584465" w:rsidRDefault="007A1C4A" w:rsidP="00ED54FD">
      <w:pPr>
        <w:numPr>
          <w:ilvl w:val="2"/>
          <w:numId w:val="25"/>
        </w:numPr>
        <w:tabs>
          <w:tab w:val="clear" w:pos="1080"/>
          <w:tab w:val="num" w:pos="720"/>
        </w:tabs>
        <w:spacing w:before="240" w:after="120" w:line="264" w:lineRule="auto"/>
        <w:ind w:left="720" w:right="-153"/>
        <w:rPr>
          <w:rFonts w:cs="Arial"/>
          <w:b/>
          <w:sz w:val="28"/>
          <w:szCs w:val="28"/>
        </w:rPr>
      </w:pPr>
      <w:r w:rsidRPr="00584465">
        <w:rPr>
          <w:rFonts w:cs="Arial"/>
          <w:b/>
          <w:sz w:val="28"/>
          <w:szCs w:val="28"/>
        </w:rPr>
        <w:t>Quality</w:t>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t>KP’s vertically integrated system means the organisation is able to closely coordinates primary, secondary, and hospital care</w:t>
      </w:r>
      <w:r>
        <w:rPr>
          <w:rFonts w:cs="Arial"/>
          <w:szCs w:val="24"/>
          <w:lang w:eastAsia="en-AU"/>
        </w:rPr>
        <w:t>;</w:t>
      </w:r>
      <w:r w:rsidRPr="00584465">
        <w:rPr>
          <w:rFonts w:cs="Arial"/>
          <w:szCs w:val="24"/>
          <w:lang w:eastAsia="en-AU"/>
        </w:rPr>
        <w:t xml:space="preserve"> placing a strong emphasis o</w:t>
      </w:r>
      <w:r>
        <w:rPr>
          <w:rFonts w:cs="Arial"/>
          <w:szCs w:val="24"/>
          <w:lang w:eastAsia="en-AU"/>
        </w:rPr>
        <w:t>n prevention and extensively utilising</w:t>
      </w:r>
      <w:r w:rsidRPr="00584465">
        <w:rPr>
          <w:rFonts w:cs="Arial"/>
          <w:szCs w:val="24"/>
          <w:lang w:eastAsia="en-AU"/>
        </w:rPr>
        <w:t xml:space="preserve"> care pathways and electronic medical records. For instance, K</w:t>
      </w:r>
      <w:r>
        <w:rPr>
          <w:rFonts w:cs="Arial"/>
          <w:szCs w:val="24"/>
          <w:lang w:eastAsia="en-AU"/>
        </w:rPr>
        <w:t>P</w:t>
      </w:r>
      <w:r w:rsidRPr="00584465">
        <w:rPr>
          <w:rFonts w:cs="Arial"/>
          <w:szCs w:val="24"/>
          <w:lang w:eastAsia="en-AU"/>
        </w:rPr>
        <w:t xml:space="preserve"> has a system for notification and outreach to women who are due for a mammogram, as well as procedures for providing patients who experience a heart event everything from emotional support to medication to prevent a recurrence within 24 hours of discharge from the hospital.</w:t>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lastRenderedPageBreak/>
        <w:t>Teamwork and coordination between clinicians is a key feature of K</w:t>
      </w:r>
      <w:r>
        <w:rPr>
          <w:rFonts w:cs="Arial"/>
          <w:szCs w:val="24"/>
          <w:lang w:eastAsia="en-AU"/>
        </w:rPr>
        <w:t>P</w:t>
      </w:r>
      <w:r w:rsidRPr="00584465">
        <w:rPr>
          <w:rFonts w:cs="Arial"/>
          <w:szCs w:val="24"/>
          <w:lang w:eastAsia="en-AU"/>
        </w:rPr>
        <w:t>’s system, facilitated in part by the organisation’s investment in health information technology.</w:t>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t>KP has built information technology platforms that allow the exchange of information between practitioners and patients. The information is also used to develop clinical guidelines</w:t>
      </w:r>
      <w:r>
        <w:rPr>
          <w:rFonts w:cs="Arial"/>
          <w:szCs w:val="24"/>
          <w:lang w:eastAsia="en-AU"/>
        </w:rPr>
        <w:t>,</w:t>
      </w:r>
      <w:r w:rsidRPr="00584465">
        <w:rPr>
          <w:rFonts w:cs="Arial"/>
          <w:szCs w:val="24"/>
          <w:lang w:eastAsia="en-AU"/>
        </w:rPr>
        <w:t xml:space="preserve"> using measurement to hold clinicians accountable</w:t>
      </w:r>
      <w:r>
        <w:rPr>
          <w:rFonts w:cs="Arial"/>
          <w:szCs w:val="24"/>
          <w:lang w:eastAsia="en-AU"/>
        </w:rPr>
        <w:t>,</w:t>
      </w:r>
      <w:r w:rsidRPr="00584465">
        <w:rPr>
          <w:rFonts w:cs="Arial"/>
          <w:szCs w:val="24"/>
          <w:lang w:eastAsia="en-AU"/>
        </w:rPr>
        <w:t xml:space="preserve"> to ensure that patients get the care clinical evidence suggests.</w:t>
      </w:r>
    </w:p>
    <w:p w:rsidR="007A1C4A" w:rsidRPr="00584465" w:rsidRDefault="007A1C4A" w:rsidP="00645891">
      <w:pPr>
        <w:spacing w:before="120" w:after="120" w:line="264" w:lineRule="auto"/>
        <w:ind w:right="-154"/>
        <w:rPr>
          <w:rFonts w:cs="Arial"/>
          <w:szCs w:val="24"/>
        </w:rPr>
      </w:pPr>
      <w:r w:rsidRPr="00584465">
        <w:rPr>
          <w:rFonts w:cs="Arial"/>
          <w:szCs w:val="24"/>
          <w:lang w:eastAsia="en-AU"/>
        </w:rPr>
        <w:t>Shared accountability is reflected in robust performance measurement infrastructure as well as the aligning of incentives with performance goals.</w:t>
      </w:r>
    </w:p>
    <w:p w:rsidR="007A1C4A" w:rsidRPr="00992A1F" w:rsidRDefault="007A1C4A" w:rsidP="00ED54FD">
      <w:pPr>
        <w:numPr>
          <w:ilvl w:val="3"/>
          <w:numId w:val="25"/>
        </w:numPr>
        <w:spacing w:before="240" w:after="120" w:line="264" w:lineRule="auto"/>
        <w:ind w:right="-154" w:hanging="1620"/>
        <w:rPr>
          <w:rFonts w:cs="Arial"/>
          <w:b/>
          <w:szCs w:val="24"/>
        </w:rPr>
      </w:pPr>
      <w:r w:rsidRPr="00992A1F">
        <w:rPr>
          <w:rFonts w:cs="Arial"/>
          <w:b/>
          <w:szCs w:val="24"/>
        </w:rPr>
        <w:t>Care pathways</w:t>
      </w:r>
    </w:p>
    <w:p w:rsidR="007A1C4A" w:rsidRDefault="007A1C4A" w:rsidP="00645891">
      <w:pPr>
        <w:spacing w:before="120" w:after="120" w:line="264" w:lineRule="auto"/>
        <w:rPr>
          <w:rFonts w:cs="Arial"/>
          <w:szCs w:val="24"/>
          <w:lang w:eastAsia="en-AU"/>
        </w:rPr>
      </w:pPr>
      <w:r w:rsidRPr="00584465">
        <w:rPr>
          <w:rFonts w:cs="Arial"/>
          <w:szCs w:val="24"/>
          <w:lang w:eastAsia="en-AU"/>
        </w:rPr>
        <w:t>Care pathways are developed by multidisciplinary teams using evidence-based medicine and clearly define roles, accountabilities and protocols. Pathways are supported by documentation templates, alerts, reminders and other clinical-decision support capabilities.</w:t>
      </w:r>
    </w:p>
    <w:p w:rsidR="007A1C4A" w:rsidRPr="00584465" w:rsidRDefault="007A1C4A" w:rsidP="00645891">
      <w:pPr>
        <w:spacing w:before="120" w:after="120" w:line="264" w:lineRule="auto"/>
        <w:rPr>
          <w:rFonts w:cs="Arial"/>
          <w:szCs w:val="24"/>
        </w:rPr>
      </w:pPr>
      <w:r>
        <w:rPr>
          <w:rFonts w:cs="Arial"/>
          <w:szCs w:val="24"/>
          <w:lang w:eastAsia="en-AU"/>
        </w:rPr>
        <w:t>Refer to 4.6.2.3(a) below with regards to monitoring and reporting undertaken by KP to support care pathways.</w:t>
      </w:r>
    </w:p>
    <w:p w:rsidR="007A1C4A" w:rsidRPr="00992A1F" w:rsidRDefault="007A1C4A" w:rsidP="00ED54FD">
      <w:pPr>
        <w:numPr>
          <w:ilvl w:val="3"/>
          <w:numId w:val="25"/>
        </w:numPr>
        <w:spacing w:before="240" w:after="120" w:line="264" w:lineRule="auto"/>
        <w:ind w:left="1276" w:right="-154" w:hanging="1276"/>
        <w:rPr>
          <w:rFonts w:cs="Arial"/>
          <w:b/>
          <w:szCs w:val="24"/>
        </w:rPr>
      </w:pPr>
      <w:r w:rsidRPr="00992A1F">
        <w:rPr>
          <w:rFonts w:cs="Arial"/>
          <w:b/>
          <w:szCs w:val="24"/>
        </w:rPr>
        <w:t>Disease registries</w:t>
      </w:r>
    </w:p>
    <w:p w:rsidR="007A1C4A" w:rsidRPr="00584465" w:rsidRDefault="007A1C4A" w:rsidP="00645891">
      <w:pPr>
        <w:spacing w:before="120" w:after="120" w:line="264" w:lineRule="auto"/>
        <w:rPr>
          <w:rFonts w:cs="Arial"/>
          <w:szCs w:val="24"/>
          <w:lang w:eastAsia="en-AU"/>
        </w:rPr>
      </w:pPr>
      <w:r w:rsidRPr="00584465">
        <w:rPr>
          <w:rFonts w:cs="Arial"/>
          <w:szCs w:val="24"/>
          <w:lang w:eastAsia="en-AU"/>
        </w:rPr>
        <w:t xml:space="preserve">KP has more than 50 clinical registries. Patient data, such as outcomes and co-morbidities, </w:t>
      </w:r>
      <w:r>
        <w:rPr>
          <w:rFonts w:cs="Arial"/>
          <w:szCs w:val="24"/>
          <w:lang w:eastAsia="en-AU"/>
        </w:rPr>
        <w:t>are</w:t>
      </w:r>
      <w:r w:rsidRPr="00584465">
        <w:rPr>
          <w:rFonts w:cs="Arial"/>
          <w:szCs w:val="24"/>
          <w:lang w:eastAsia="en-AU"/>
        </w:rPr>
        <w:t xml:space="preserve"> aggregated into disease registries which enable team members to determine how their patients are tracking in comparison with other KP patients, as well as how their patients’ outcomes </w:t>
      </w:r>
      <w:r>
        <w:rPr>
          <w:rFonts w:cs="Arial"/>
          <w:szCs w:val="24"/>
          <w:lang w:eastAsia="en-AU"/>
        </w:rPr>
        <w:t>compare</w:t>
      </w:r>
      <w:r w:rsidRPr="00584465">
        <w:rPr>
          <w:rFonts w:cs="Arial"/>
          <w:szCs w:val="24"/>
          <w:lang w:eastAsia="en-AU"/>
        </w:rPr>
        <w:t xml:space="preserve"> against national and international benchmarks.</w:t>
      </w:r>
    </w:p>
    <w:p w:rsidR="007A1C4A" w:rsidRPr="00584465" w:rsidRDefault="007A1C4A" w:rsidP="00645891">
      <w:pPr>
        <w:spacing w:before="120" w:after="120" w:line="264" w:lineRule="auto"/>
        <w:rPr>
          <w:rFonts w:cs="Arial"/>
          <w:szCs w:val="24"/>
          <w:lang w:eastAsia="en-AU"/>
        </w:rPr>
      </w:pPr>
      <w:r w:rsidRPr="00584465">
        <w:rPr>
          <w:rFonts w:cs="Arial"/>
          <w:szCs w:val="24"/>
          <w:lang w:eastAsia="en-AU"/>
        </w:rPr>
        <w:t>Clinical registries are also used to identify the best treatment approach for patients with specific combinations of co-morbidities.</w:t>
      </w:r>
    </w:p>
    <w:p w:rsidR="007A1C4A" w:rsidRPr="00992A1F" w:rsidRDefault="007A1C4A" w:rsidP="00ED54FD">
      <w:pPr>
        <w:numPr>
          <w:ilvl w:val="3"/>
          <w:numId w:val="25"/>
        </w:numPr>
        <w:spacing w:before="240" w:after="120" w:line="264" w:lineRule="auto"/>
        <w:ind w:left="1276" w:right="-154" w:hanging="1276"/>
        <w:rPr>
          <w:rFonts w:cs="Arial"/>
          <w:b/>
          <w:szCs w:val="24"/>
        </w:rPr>
      </w:pPr>
      <w:r w:rsidRPr="00992A1F">
        <w:rPr>
          <w:rFonts w:cs="Arial"/>
          <w:b/>
          <w:szCs w:val="24"/>
        </w:rPr>
        <w:t>Quality incentives</w:t>
      </w:r>
    </w:p>
    <w:p w:rsidR="007A1C4A" w:rsidRPr="00584465" w:rsidRDefault="007A1C4A" w:rsidP="00645891">
      <w:pPr>
        <w:spacing w:before="120" w:after="120" w:line="264" w:lineRule="auto"/>
        <w:rPr>
          <w:rFonts w:cs="Arial"/>
          <w:color w:val="000000"/>
          <w:szCs w:val="24"/>
        </w:rPr>
      </w:pPr>
      <w:r w:rsidRPr="00584465">
        <w:rPr>
          <w:rFonts w:cs="Arial"/>
          <w:szCs w:val="24"/>
          <w:lang w:eastAsia="en-AU"/>
        </w:rPr>
        <w:t>KP uses two types of incentives to encourage physicians to adhere to care pathways: public reporting and financial incentives.</w:t>
      </w:r>
    </w:p>
    <w:p w:rsidR="007A1C4A" w:rsidRPr="00EC301C" w:rsidRDefault="007A1C4A" w:rsidP="00645891">
      <w:pPr>
        <w:spacing w:before="120" w:after="120" w:line="264" w:lineRule="auto"/>
        <w:rPr>
          <w:rFonts w:cs="Arial"/>
          <w:i/>
          <w:szCs w:val="24"/>
          <w:u w:val="single"/>
          <w:lang w:eastAsia="en-AU"/>
        </w:rPr>
      </w:pPr>
      <w:r w:rsidRPr="00EC301C">
        <w:rPr>
          <w:rFonts w:cs="Arial"/>
          <w:i/>
          <w:szCs w:val="24"/>
          <w:u w:val="single"/>
          <w:lang w:eastAsia="en-AU"/>
        </w:rPr>
        <w:t>a. Public reporting</w:t>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t xml:space="preserve">KP considers the strongest </w:t>
      </w:r>
      <w:r>
        <w:rPr>
          <w:rFonts w:cs="Arial"/>
          <w:szCs w:val="24"/>
          <w:lang w:eastAsia="en-AU"/>
        </w:rPr>
        <w:t xml:space="preserve">quality </w:t>
      </w:r>
      <w:r w:rsidRPr="00584465">
        <w:rPr>
          <w:rFonts w:cs="Arial"/>
          <w:szCs w:val="24"/>
          <w:lang w:eastAsia="en-AU"/>
        </w:rPr>
        <w:t>incentive is the performance data they share with the physicians.</w:t>
      </w:r>
      <w:r>
        <w:rPr>
          <w:rFonts w:cs="Arial"/>
          <w:szCs w:val="24"/>
          <w:lang w:eastAsia="en-AU"/>
        </w:rPr>
        <w:fldChar w:fldCharType="begin"/>
      </w:r>
      <w:r>
        <w:rPr>
          <w:rFonts w:cs="Arial"/>
          <w:szCs w:val="24"/>
          <w:lang w:eastAsia="en-AU"/>
        </w:rPr>
        <w:instrText xml:space="preserve"> ADDIN EN.CITE &lt;EndNote&gt;&lt;Cite&gt;&lt;Year&gt;2009&lt;/Year&gt;&lt;RecNum&gt;13397&lt;/RecNum&gt;&lt;record&gt;&lt;rec-number&gt;13397&lt;/rec-number&gt;&lt;foreign-keys&gt;&lt;key app="EN" db-id="5r0eapxzsestz4er5zaxe5zqz99fvpawedp5"&gt;13397&lt;/key&gt;&lt;/foreign-keys&gt;&lt;ref-type name="Newspaper Article"&gt;23&lt;/ref-type&gt;&lt;contributors&gt;&lt;/contributors&gt;&lt;titles&gt;&lt;title&gt;What health systems can learn from Kaiser Permanente: an interview with Hal Wolf&lt;/title&gt;&lt;secondary-title&gt;Health International&lt;/secondary-title&gt;&lt;/titles&gt;&lt;volume&gt;No. 8&lt;/volume&gt;&lt;dates&gt;&lt;year&gt;2009&lt;/year&gt;&lt;/dates&gt;&lt;urls&gt;&lt;/urls&gt;&lt;/record&gt;&lt;/Cite&gt;&lt;/EndNote&gt;</w:instrText>
      </w:r>
      <w:r>
        <w:rPr>
          <w:rFonts w:cs="Arial"/>
          <w:szCs w:val="24"/>
          <w:lang w:eastAsia="en-AU"/>
        </w:rPr>
        <w:fldChar w:fldCharType="separate"/>
      </w:r>
      <w:r w:rsidRPr="003E7871">
        <w:rPr>
          <w:rFonts w:cs="Arial"/>
          <w:noProof/>
          <w:szCs w:val="24"/>
          <w:vertAlign w:val="superscript"/>
          <w:lang w:eastAsia="en-AU"/>
        </w:rPr>
        <w:t>3</w:t>
      </w:r>
      <w:r>
        <w:rPr>
          <w:rFonts w:cs="Arial"/>
          <w:szCs w:val="24"/>
          <w:lang w:eastAsia="en-AU"/>
        </w:rPr>
        <w:fldChar w:fldCharType="end"/>
      </w:r>
      <w:r w:rsidRPr="00584465">
        <w:rPr>
          <w:rFonts w:cs="Arial"/>
          <w:szCs w:val="24"/>
          <w:lang w:eastAsia="en-AU"/>
        </w:rPr>
        <w:t xml:space="preserve"> Performance data allow</w:t>
      </w:r>
      <w:r>
        <w:rPr>
          <w:rFonts w:cs="Arial"/>
          <w:szCs w:val="24"/>
          <w:lang w:eastAsia="en-AU"/>
        </w:rPr>
        <w:t xml:space="preserve">s clinicians </w:t>
      </w:r>
      <w:r w:rsidRPr="00584465">
        <w:rPr>
          <w:rFonts w:cs="Arial"/>
          <w:szCs w:val="24"/>
          <w:lang w:eastAsia="en-AU"/>
        </w:rPr>
        <w:t xml:space="preserve">to </w:t>
      </w:r>
      <w:r>
        <w:rPr>
          <w:rFonts w:cs="Arial"/>
          <w:szCs w:val="24"/>
          <w:lang w:eastAsia="en-AU"/>
        </w:rPr>
        <w:t>directly examine</w:t>
      </w:r>
      <w:r w:rsidRPr="00584465">
        <w:rPr>
          <w:rFonts w:cs="Arial"/>
          <w:szCs w:val="24"/>
          <w:lang w:eastAsia="en-AU"/>
        </w:rPr>
        <w:t xml:space="preserve"> the results of their actions and to identify ways in which they can further improve patient care.</w:t>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t>KP has implemented a process by which physicians agree on the targets they want to achieve and the metrics that will be monitored. This process is periodically repeated to ensure that the treatment approaches remain up to date.</w:t>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t xml:space="preserve">Performance data is supported by a strong IT system. When a patient registers at a Kaiser hospital or physician office, </w:t>
      </w:r>
      <w:r>
        <w:rPr>
          <w:rFonts w:cs="Arial"/>
          <w:szCs w:val="24"/>
          <w:lang w:eastAsia="en-AU"/>
        </w:rPr>
        <w:t>‘</w:t>
      </w:r>
      <w:r w:rsidRPr="00584465">
        <w:rPr>
          <w:rFonts w:cs="Arial"/>
          <w:szCs w:val="24"/>
          <w:lang w:eastAsia="en-AU"/>
        </w:rPr>
        <w:t>care recommendations</w:t>
      </w:r>
      <w:r>
        <w:rPr>
          <w:rFonts w:cs="Arial"/>
          <w:szCs w:val="24"/>
          <w:lang w:eastAsia="en-AU"/>
        </w:rPr>
        <w:t>’</w:t>
      </w:r>
      <w:r w:rsidRPr="00584465">
        <w:rPr>
          <w:rFonts w:cs="Arial"/>
          <w:szCs w:val="24"/>
          <w:lang w:eastAsia="en-AU"/>
        </w:rPr>
        <w:t xml:space="preserve"> for the patient, such as a notification that the patient has not picked up prescriptions, are </w:t>
      </w:r>
      <w:r w:rsidRPr="00584465">
        <w:rPr>
          <w:rFonts w:cs="Arial"/>
          <w:szCs w:val="24"/>
          <w:lang w:eastAsia="en-AU"/>
        </w:rPr>
        <w:lastRenderedPageBreak/>
        <w:t>displayed on the screen. The system also automatically gives physicians and staff specific quality indicators, such as what percentage of cardiovascular or diabetic patients are not at the target level for lipid control.</w:t>
      </w:r>
      <w:r>
        <w:rPr>
          <w:rFonts w:cs="Arial"/>
          <w:szCs w:val="24"/>
          <w:lang w:eastAsia="en-AU"/>
        </w:rPr>
        <w:fldChar w:fldCharType="begin"/>
      </w:r>
      <w:r>
        <w:rPr>
          <w:rFonts w:cs="Arial"/>
          <w:szCs w:val="24"/>
          <w:lang w:eastAsia="en-AU"/>
        </w:rPr>
        <w:instrText xml:space="preserve"> ADDIN EN.CITE &lt;EndNote&gt;&lt;Cite&gt;&lt;Year&gt;2012&lt;/Year&gt;&lt;RecNum&gt;13398&lt;/RecNum&gt;&lt;record&gt;&lt;rec-number&gt;13398&lt;/rec-number&gt;&lt;foreign-keys&gt;&lt;key app="EN" db-id="5r0eapxzsestz4er5zaxe5zqz99fvpawedp5"&gt;13398&lt;/key&gt;&lt;/foreign-keys&gt;&lt;ref-type name="Web Page"&gt;12&lt;/ref-type&gt;&lt;contributors&gt;&lt;/contributors&gt;&lt;titles&gt;&lt;title&gt;Kaiser: transparency key to optimizing data, culture&lt;/title&gt;&lt;/titles&gt;&lt;number&gt;9 January 2013&lt;/number&gt;&lt;dates&gt;&lt;year&gt;2012&lt;/year&gt;&lt;/dates&gt;&lt;urls&gt;&lt;related-urls&gt;&lt;url&gt;www.healthdatamanagement.com/issues/20_9/kaiser-data-analytics-hospital-physician-44913-1.html&lt;/url&gt;&lt;/related-urls&gt;&lt;/urls&gt;&lt;/record&gt;&lt;/Cite&gt;&lt;/EndNote&gt;</w:instrText>
      </w:r>
      <w:r>
        <w:rPr>
          <w:rFonts w:cs="Arial"/>
          <w:szCs w:val="24"/>
          <w:lang w:eastAsia="en-AU"/>
        </w:rPr>
        <w:fldChar w:fldCharType="separate"/>
      </w:r>
      <w:r w:rsidRPr="003E7871">
        <w:rPr>
          <w:rFonts w:cs="Arial"/>
          <w:noProof/>
          <w:szCs w:val="24"/>
          <w:vertAlign w:val="superscript"/>
          <w:lang w:eastAsia="en-AU"/>
        </w:rPr>
        <w:t>4</w:t>
      </w:r>
      <w:r>
        <w:rPr>
          <w:rFonts w:cs="Arial"/>
          <w:szCs w:val="24"/>
          <w:lang w:eastAsia="en-AU"/>
        </w:rPr>
        <w:fldChar w:fldCharType="end"/>
      </w:r>
    </w:p>
    <w:p w:rsidR="007A1C4A" w:rsidRPr="00584465" w:rsidRDefault="007A1C4A" w:rsidP="00645891">
      <w:pPr>
        <w:spacing w:before="120" w:after="120" w:line="264" w:lineRule="auto"/>
        <w:ind w:right="-154"/>
        <w:rPr>
          <w:rFonts w:cs="Arial"/>
          <w:szCs w:val="24"/>
          <w:lang w:eastAsia="en-AU"/>
        </w:rPr>
      </w:pPr>
      <w:r w:rsidRPr="00584465">
        <w:rPr>
          <w:rFonts w:cs="Arial"/>
          <w:szCs w:val="24"/>
          <w:lang w:eastAsia="en-AU"/>
        </w:rPr>
        <w:t>Other tools such as "backsweep" reports identify when recommended care (the agreed care pathway) is not provided, tags it back to the specific physician and assistant, and asks that follow-up with the patient be done. A "re-sweep" report 30 days later is also performed to make sure the care was provided whilst a "forward sweep" report makes it easier to tack on preventive care to an upcoming appointment.</w:t>
      </w:r>
    </w:p>
    <w:p w:rsidR="007A1C4A" w:rsidRPr="00EC301C" w:rsidRDefault="007A1C4A" w:rsidP="00645891">
      <w:pPr>
        <w:spacing w:before="120" w:after="120" w:line="264" w:lineRule="auto"/>
        <w:rPr>
          <w:rFonts w:cs="Arial"/>
          <w:i/>
          <w:szCs w:val="24"/>
          <w:u w:val="single"/>
          <w:lang w:eastAsia="en-AU"/>
        </w:rPr>
      </w:pPr>
      <w:r w:rsidRPr="00EC301C">
        <w:rPr>
          <w:rFonts w:cs="Arial"/>
          <w:i/>
          <w:szCs w:val="24"/>
          <w:u w:val="single"/>
          <w:lang w:eastAsia="en-AU"/>
        </w:rPr>
        <w:t>b. Financial incentives</w:t>
      </w:r>
    </w:p>
    <w:p w:rsidR="007A1C4A" w:rsidRDefault="007A1C4A" w:rsidP="00645891">
      <w:pPr>
        <w:spacing w:before="120" w:after="120" w:line="264" w:lineRule="auto"/>
        <w:ind w:right="-154"/>
        <w:rPr>
          <w:rFonts w:cs="Arial"/>
          <w:szCs w:val="24"/>
          <w:lang w:eastAsia="en-AU"/>
        </w:rPr>
      </w:pPr>
      <w:r w:rsidRPr="00584465">
        <w:rPr>
          <w:rFonts w:cs="Arial"/>
          <w:szCs w:val="24"/>
          <w:lang w:eastAsia="en-AU"/>
        </w:rPr>
        <w:t>Permanente physicians are paid market-competitive salaries (based on specialty), so there is no financial incentive for either under- or overtreatment. From its capitation payment, the medical group funds an incentive pool with rewards based on meeting quality and service goals at each organisational level: group, medical centre, department, and individual physician. Physicians are eligible to earn an annual performance incentive payment of up to 5% of salary (on average) based on measures of quality, service and patient satisfaction, workload, and group contribution.</w:t>
      </w:r>
      <w:r>
        <w:rPr>
          <w:rFonts w:cs="Arial"/>
          <w:szCs w:val="24"/>
          <w:lang w:eastAsia="en-AU"/>
        </w:rPr>
        <w:fldChar w:fldCharType="begin"/>
      </w:r>
      <w:r>
        <w:rPr>
          <w:rFonts w:cs="Arial"/>
          <w:szCs w:val="24"/>
          <w:lang w:eastAsia="en-AU"/>
        </w:rPr>
        <w:instrText xml:space="preserve"> ADDIN EN.CITE &lt;EndNote&gt;&lt;Cite&gt;&lt;Author&gt;McCarthy D&lt;/Author&gt;&lt;Year&gt;2009&lt;/Year&gt;&lt;RecNum&gt;13399&lt;/RecNum&gt;&lt;record&gt;&lt;rec-number&gt;13399&lt;/rec-number&gt;&lt;foreign-keys&gt;&lt;key app="EN" db-id="5r0eapxzsestz4er5zaxe5zqz99fvpawedp5"&gt;13399&lt;/key&gt;&lt;/foreign-keys&gt;&lt;ref-type name="Report"&gt;27&lt;/ref-type&gt;&lt;contributors&gt;&lt;authors&gt;&lt;author&gt;McCarthy D,&lt;/author&gt;&lt;author&gt;Mueller K,&lt;/author&gt;&lt;author&gt;Wrenn J,&lt;/author&gt;&lt;/authors&gt;&lt;/contributors&gt;&lt;titles&gt;&lt;title&gt;Kaiser Permanente: Bridging the Quality Divide with Integrated Practice, Group Accountability, and Health Information Technology&lt;/title&gt;&lt;secondary-title&gt;Case Study&lt;/secondary-title&gt;&lt;/titles&gt;&lt;volume&gt;17&lt;/volume&gt;&lt;dates&gt;&lt;year&gt;2009&lt;/year&gt;&lt;/dates&gt;&lt;publisher&gt;The Commonwealth Fund&lt;/publisher&gt;&lt;urls&gt;&lt;related-urls&gt;&lt;url&gt;www.commonwealthfund.org/~/media/Files/Publications/Case%20Study/2009/Jun/1278_McCarthy_Kaiser_case_study_624_update.pdf&lt;/url&gt;&lt;/related-urls&gt;&lt;/urls&gt;&lt;/record&gt;&lt;/Cite&gt;&lt;/EndNote&gt;</w:instrText>
      </w:r>
      <w:r>
        <w:rPr>
          <w:rFonts w:cs="Arial"/>
          <w:szCs w:val="24"/>
          <w:lang w:eastAsia="en-AU"/>
        </w:rPr>
        <w:fldChar w:fldCharType="separate"/>
      </w:r>
      <w:r w:rsidRPr="004A1417">
        <w:rPr>
          <w:rFonts w:cs="Arial"/>
          <w:noProof/>
          <w:szCs w:val="24"/>
          <w:vertAlign w:val="superscript"/>
          <w:lang w:eastAsia="en-AU"/>
        </w:rPr>
        <w:t>5</w:t>
      </w:r>
      <w:r>
        <w:rPr>
          <w:rFonts w:cs="Arial"/>
          <w:szCs w:val="24"/>
          <w:lang w:eastAsia="en-AU"/>
        </w:rPr>
        <w:fldChar w:fldCharType="end"/>
      </w:r>
    </w:p>
    <w:p w:rsidR="007A1C4A" w:rsidRPr="00584465" w:rsidRDefault="007A1C4A" w:rsidP="00645891">
      <w:pPr>
        <w:spacing w:before="120" w:after="120" w:line="264" w:lineRule="auto"/>
        <w:ind w:right="-154"/>
        <w:rPr>
          <w:rFonts w:cs="Arial"/>
          <w:szCs w:val="24"/>
          <w:lang w:eastAsia="en-AU"/>
        </w:rPr>
      </w:pPr>
    </w:p>
    <w:p w:rsidR="007A1C4A" w:rsidRDefault="007A1C4A" w:rsidP="00F76F9D">
      <w:pPr>
        <w:spacing w:before="240" w:after="120" w:line="264" w:lineRule="auto"/>
        <w:rPr>
          <w:b/>
          <w:sz w:val="28"/>
          <w:szCs w:val="28"/>
        </w:rPr>
      </w:pPr>
      <w:r>
        <w:rPr>
          <w:b/>
          <w:sz w:val="28"/>
          <w:szCs w:val="28"/>
        </w:rPr>
        <w:t>4.5.3</w:t>
      </w:r>
      <w:r>
        <w:rPr>
          <w:b/>
          <w:sz w:val="28"/>
          <w:szCs w:val="28"/>
        </w:rPr>
        <w:tab/>
        <w:t>References</w:t>
      </w:r>
    </w:p>
    <w:p w:rsidR="007A1C4A" w:rsidRPr="000E69F3" w:rsidRDefault="007A1C4A" w:rsidP="00F76F9D">
      <w:pPr>
        <w:tabs>
          <w:tab w:val="left" w:pos="426"/>
        </w:tabs>
        <w:spacing w:before="120" w:after="120" w:line="264" w:lineRule="auto"/>
        <w:ind w:left="425" w:hanging="425"/>
        <w:rPr>
          <w:rFonts w:cs="Arial"/>
          <w:noProof/>
        </w:rPr>
      </w:pPr>
      <w:r>
        <w:fldChar w:fldCharType="begin"/>
      </w:r>
      <w:r>
        <w:instrText xml:space="preserve"> ADDIN EN.REFLIST </w:instrText>
      </w:r>
      <w:r>
        <w:fldChar w:fldCharType="separate"/>
      </w:r>
      <w:r w:rsidRPr="000E69F3">
        <w:rPr>
          <w:rFonts w:cs="Arial"/>
          <w:noProof/>
        </w:rPr>
        <w:t>1.</w:t>
      </w:r>
      <w:r>
        <w:rPr>
          <w:rFonts w:cs="Arial"/>
          <w:noProof/>
        </w:rPr>
        <w:tab/>
      </w:r>
      <w:r w:rsidRPr="000E69F3">
        <w:rPr>
          <w:rFonts w:cs="Arial"/>
          <w:noProof/>
        </w:rPr>
        <w:t xml:space="preserve">Kaiser Permanente: prepaid integrated delivery system. (Accessed 3 January, 2013, at </w:t>
      </w:r>
      <w:hyperlink r:id="rId21" w:history="1">
        <w:r w:rsidRPr="000E69F3">
          <w:rPr>
            <w:rStyle w:val="Hyperlink"/>
            <w:rFonts w:cs="Arial"/>
            <w:noProof/>
          </w:rPr>
          <w:t>http://xnet.kp.org/kpinternational/docs/The%20KP%20Model.pdf.</w:t>
        </w:r>
      </w:hyperlink>
      <w:r w:rsidRPr="000E69F3">
        <w:rPr>
          <w:rFonts w:cs="Arial"/>
          <w:noProof/>
        </w:rPr>
        <w:t>)</w:t>
      </w:r>
    </w:p>
    <w:p w:rsidR="007A1C4A" w:rsidRPr="000E69F3" w:rsidRDefault="007A1C4A" w:rsidP="00F76F9D">
      <w:pPr>
        <w:tabs>
          <w:tab w:val="left" w:pos="426"/>
        </w:tabs>
        <w:spacing w:before="120" w:after="120" w:line="264" w:lineRule="auto"/>
        <w:ind w:left="425" w:hanging="425"/>
        <w:rPr>
          <w:rFonts w:cs="Arial"/>
          <w:noProof/>
        </w:rPr>
      </w:pPr>
      <w:r w:rsidRPr="000E69F3">
        <w:rPr>
          <w:rFonts w:cs="Arial"/>
          <w:noProof/>
        </w:rPr>
        <w:t>2.</w:t>
      </w:r>
      <w:r>
        <w:rPr>
          <w:rFonts w:cs="Arial"/>
          <w:noProof/>
        </w:rPr>
        <w:tab/>
      </w:r>
      <w:r w:rsidRPr="000E69F3">
        <w:rPr>
          <w:rFonts w:cs="Arial"/>
          <w:noProof/>
        </w:rPr>
        <w:t>Kaiser Permanente. Annual Report, 2011.</w:t>
      </w:r>
    </w:p>
    <w:p w:rsidR="007A1C4A" w:rsidRPr="000E69F3" w:rsidRDefault="007A1C4A" w:rsidP="00F76F9D">
      <w:pPr>
        <w:tabs>
          <w:tab w:val="left" w:pos="426"/>
        </w:tabs>
        <w:spacing w:before="120" w:after="120" w:line="264" w:lineRule="auto"/>
        <w:ind w:left="425" w:hanging="425"/>
        <w:rPr>
          <w:rFonts w:cs="Arial"/>
          <w:noProof/>
        </w:rPr>
      </w:pPr>
      <w:r w:rsidRPr="000E69F3">
        <w:rPr>
          <w:rFonts w:cs="Arial"/>
          <w:noProof/>
        </w:rPr>
        <w:t>3.</w:t>
      </w:r>
      <w:r>
        <w:rPr>
          <w:rFonts w:cs="Arial"/>
          <w:noProof/>
        </w:rPr>
        <w:tab/>
      </w:r>
      <w:r w:rsidRPr="000E69F3">
        <w:rPr>
          <w:rFonts w:cs="Arial"/>
          <w:noProof/>
        </w:rPr>
        <w:t xml:space="preserve">What health systems can learn from Kaiser Permanente: an interview with Hal Wolf. </w:t>
      </w:r>
      <w:r w:rsidRPr="000E69F3">
        <w:rPr>
          <w:rFonts w:cs="Arial"/>
          <w:i/>
          <w:noProof/>
        </w:rPr>
        <w:t>Health International</w:t>
      </w:r>
      <w:r w:rsidRPr="000E69F3">
        <w:rPr>
          <w:rFonts w:cs="Arial"/>
          <w:noProof/>
        </w:rPr>
        <w:t xml:space="preserve"> 2009.</w:t>
      </w:r>
    </w:p>
    <w:p w:rsidR="007A1C4A" w:rsidRPr="000E69F3" w:rsidRDefault="007A1C4A" w:rsidP="00F76F9D">
      <w:pPr>
        <w:tabs>
          <w:tab w:val="left" w:pos="426"/>
        </w:tabs>
        <w:spacing w:before="120" w:after="120" w:line="264" w:lineRule="auto"/>
        <w:ind w:left="425" w:hanging="425"/>
        <w:rPr>
          <w:rFonts w:cs="Arial"/>
          <w:noProof/>
        </w:rPr>
      </w:pPr>
      <w:r w:rsidRPr="000E69F3">
        <w:rPr>
          <w:rFonts w:cs="Arial"/>
          <w:noProof/>
        </w:rPr>
        <w:t>4.</w:t>
      </w:r>
      <w:r>
        <w:rPr>
          <w:rFonts w:cs="Arial"/>
          <w:noProof/>
        </w:rPr>
        <w:tab/>
      </w:r>
      <w:r w:rsidRPr="000E69F3">
        <w:rPr>
          <w:rFonts w:cs="Arial"/>
          <w:noProof/>
        </w:rPr>
        <w:t xml:space="preserve">Kaiser: transparency key to optimizing data, culture. 2012. (Accessed 9 January 2013, at </w:t>
      </w:r>
      <w:hyperlink r:id="rId22" w:history="1">
        <w:r w:rsidRPr="000E69F3">
          <w:rPr>
            <w:rStyle w:val="Hyperlink"/>
            <w:rFonts w:cs="Arial"/>
            <w:noProof/>
          </w:rPr>
          <w:t>www.healthdatamanagement.com/issues/20_9/kaiser-data-analytics-hospital-physician-44913-1.html.</w:t>
        </w:r>
      </w:hyperlink>
      <w:r w:rsidRPr="000E69F3">
        <w:rPr>
          <w:rFonts w:cs="Arial"/>
          <w:noProof/>
        </w:rPr>
        <w:t>)</w:t>
      </w:r>
    </w:p>
    <w:p w:rsidR="007A1C4A" w:rsidRPr="000E69F3" w:rsidRDefault="007A1C4A" w:rsidP="00F76F9D">
      <w:pPr>
        <w:tabs>
          <w:tab w:val="left" w:pos="426"/>
        </w:tabs>
        <w:spacing w:before="120" w:after="120" w:line="264" w:lineRule="auto"/>
        <w:ind w:left="425" w:hanging="425"/>
        <w:rPr>
          <w:rFonts w:cs="Arial"/>
          <w:noProof/>
        </w:rPr>
      </w:pPr>
      <w:r w:rsidRPr="000E69F3">
        <w:rPr>
          <w:rFonts w:cs="Arial"/>
          <w:noProof/>
        </w:rPr>
        <w:t>5.</w:t>
      </w:r>
      <w:r>
        <w:rPr>
          <w:rFonts w:cs="Arial"/>
          <w:noProof/>
        </w:rPr>
        <w:tab/>
      </w:r>
      <w:r w:rsidRPr="000E69F3">
        <w:rPr>
          <w:rFonts w:cs="Arial"/>
          <w:noProof/>
        </w:rPr>
        <w:t xml:space="preserve">McCarthy D, Mueller K, Wrenn J. Kaiser Permanente: Bridging the Quality Divide with Integrated Practice, Group Accountability, and Health Information Technology. </w:t>
      </w:r>
      <w:r w:rsidRPr="000E69F3">
        <w:rPr>
          <w:rFonts w:cs="Arial"/>
          <w:i/>
          <w:noProof/>
        </w:rPr>
        <w:t>Case Study</w:t>
      </w:r>
      <w:r w:rsidRPr="000E69F3">
        <w:rPr>
          <w:rFonts w:cs="Arial"/>
          <w:noProof/>
        </w:rPr>
        <w:t>. The Commonwealth Fund, 2009.</w:t>
      </w:r>
    </w:p>
    <w:p w:rsidR="007A1C4A" w:rsidRDefault="007A1C4A" w:rsidP="00645891">
      <w:pPr>
        <w:ind w:left="720" w:hanging="720"/>
        <w:rPr>
          <w:rFonts w:cs="Arial"/>
          <w:noProof/>
        </w:rPr>
      </w:pPr>
    </w:p>
    <w:p w:rsidR="007A1C4A" w:rsidRDefault="007A1C4A" w:rsidP="00A23D2A">
      <w:r>
        <w:fldChar w:fldCharType="end"/>
      </w:r>
    </w:p>
    <w:p w:rsidR="007A1C4A" w:rsidRPr="00E95FD4" w:rsidRDefault="007A1C4A" w:rsidP="00754132">
      <w:pPr>
        <w:pStyle w:val="Heading1"/>
        <w:numPr>
          <w:ilvl w:val="0"/>
          <w:numId w:val="16"/>
        </w:numPr>
        <w:spacing w:before="0"/>
        <w:rPr>
          <w:color w:val="008080"/>
          <w:lang w:eastAsia="en-AU"/>
        </w:rPr>
      </w:pPr>
      <w:r>
        <w:br w:type="page"/>
      </w:r>
      <w:bookmarkStart w:id="41" w:name="_Toc372115663"/>
      <w:bookmarkStart w:id="42" w:name="_Toc341695451"/>
      <w:r>
        <w:rPr>
          <w:color w:val="008080"/>
          <w:lang w:eastAsia="en-AU"/>
        </w:rPr>
        <w:lastRenderedPageBreak/>
        <w:t>Why financial incentives may not deliver the intended effects</w:t>
      </w:r>
      <w:r w:rsidRPr="00344CFD">
        <w:rPr>
          <w:color w:val="008080"/>
          <w:lang w:eastAsia="en-AU"/>
        </w:rPr>
        <w:t xml:space="preserve"> </w:t>
      </w:r>
      <w:r>
        <w:rPr>
          <w:color w:val="008080"/>
          <w:lang w:eastAsia="en-AU"/>
        </w:rPr>
        <w:t>in health care</w:t>
      </w:r>
      <w:bookmarkEnd w:id="41"/>
    </w:p>
    <w:p w:rsidR="007A1C4A" w:rsidRDefault="00A502B7" w:rsidP="00C124E0">
      <w:bookmarkStart w:id="43" w:name="_Toc346532178"/>
      <w:bookmarkStart w:id="44" w:name="_Toc346788371"/>
      <w:r>
        <w:pict>
          <v:shape id="_x0000_i1032" type="#_x0000_t75" style="width:400.8pt;height:7.15pt" o:hrpct="0" o:hr="t">
            <v:imagedata r:id="rId10" o:title=""/>
          </v:shape>
        </w:pict>
      </w:r>
      <w:bookmarkEnd w:id="42"/>
      <w:bookmarkEnd w:id="43"/>
      <w:bookmarkEnd w:id="44"/>
    </w:p>
    <w:p w:rsidR="007A1C4A" w:rsidRDefault="007A1C4A" w:rsidP="00754132">
      <w:pPr>
        <w:spacing w:before="120" w:after="120" w:line="264" w:lineRule="auto"/>
        <w:rPr>
          <w:rFonts w:cs="Arial"/>
        </w:rPr>
      </w:pPr>
      <w:r w:rsidRPr="00313A47">
        <w:rPr>
          <w:rFonts w:cs="Arial"/>
        </w:rPr>
        <w:t xml:space="preserve">The majority of studies evaluating the various incentive schemes in health care fail to produce conclusive evidence for their effectiveness in raising quality </w:t>
      </w:r>
      <w:r>
        <w:rPr>
          <w:rFonts w:cs="Arial"/>
        </w:rPr>
        <w:t xml:space="preserve">of care </w:t>
      </w:r>
      <w:r w:rsidRPr="00313A47">
        <w:rPr>
          <w:rFonts w:cs="Arial"/>
        </w:rPr>
        <w:t xml:space="preserve">and patient outcomes. </w:t>
      </w:r>
    </w:p>
    <w:p w:rsidR="007A1C4A" w:rsidRPr="00313A47" w:rsidRDefault="007A1C4A" w:rsidP="00754132">
      <w:pPr>
        <w:spacing w:before="120" w:after="120" w:line="264" w:lineRule="auto"/>
        <w:rPr>
          <w:rFonts w:cs="Arial"/>
        </w:rPr>
      </w:pPr>
      <w:r>
        <w:rPr>
          <w:rFonts w:cs="Arial"/>
        </w:rPr>
        <w:t>T</w:t>
      </w:r>
      <w:r w:rsidRPr="00313A47">
        <w:rPr>
          <w:rFonts w:cs="Arial"/>
        </w:rPr>
        <w:t>his may be</w:t>
      </w:r>
      <w:r>
        <w:rPr>
          <w:rFonts w:cs="Arial"/>
        </w:rPr>
        <w:t xml:space="preserve"> partly</w:t>
      </w:r>
      <w:r w:rsidRPr="00313A47">
        <w:rPr>
          <w:rFonts w:cs="Arial"/>
        </w:rPr>
        <w:t xml:space="preserve"> attributable to the design and execution of the evaluations, recognising the difficulty in scientifically evaluating the effect of an initiative across a complex, dynamic and changing system. However, it is prudent to ask the question of whether financial incentives have genuine potential for application in health care</w:t>
      </w:r>
      <w:r>
        <w:rPr>
          <w:rFonts w:cs="Arial"/>
        </w:rPr>
        <w:t xml:space="preserve"> and driving clinical behaviour</w:t>
      </w:r>
      <w:r w:rsidRPr="00313A47">
        <w:rPr>
          <w:rFonts w:cs="Arial"/>
        </w:rPr>
        <w:t xml:space="preserve">, or whether </w:t>
      </w:r>
      <w:r>
        <w:rPr>
          <w:rFonts w:cs="Arial"/>
        </w:rPr>
        <w:t>there are</w:t>
      </w:r>
      <w:r w:rsidRPr="00313A47">
        <w:rPr>
          <w:rFonts w:cs="Arial"/>
        </w:rPr>
        <w:t xml:space="preserve"> more effective </w:t>
      </w:r>
      <w:r>
        <w:rPr>
          <w:rFonts w:cs="Arial"/>
        </w:rPr>
        <w:t>approaches based on review of other industries</w:t>
      </w:r>
      <w:r w:rsidRPr="00313A47">
        <w:rPr>
          <w:rFonts w:cs="Arial"/>
        </w:rPr>
        <w:t xml:space="preserve">. </w:t>
      </w:r>
    </w:p>
    <w:p w:rsidR="007A1C4A" w:rsidRDefault="007A1C4A" w:rsidP="00754132">
      <w:pPr>
        <w:spacing w:before="120" w:after="120" w:line="264" w:lineRule="auto"/>
        <w:rPr>
          <w:rFonts w:cs="Arial"/>
        </w:rPr>
      </w:pPr>
      <w:r w:rsidRPr="00313A47">
        <w:rPr>
          <w:rFonts w:cs="Arial"/>
        </w:rPr>
        <w:t>This section briefly examines</w:t>
      </w:r>
      <w:r>
        <w:rPr>
          <w:rFonts w:cs="Arial"/>
        </w:rPr>
        <w:t>:</w:t>
      </w:r>
    </w:p>
    <w:p w:rsidR="007A1C4A" w:rsidRDefault="007A1C4A" w:rsidP="00754132">
      <w:pPr>
        <w:numPr>
          <w:ilvl w:val="0"/>
          <w:numId w:val="17"/>
        </w:numPr>
        <w:spacing w:before="120" w:after="120" w:line="264" w:lineRule="auto"/>
        <w:rPr>
          <w:rFonts w:cs="Arial"/>
        </w:rPr>
      </w:pPr>
      <w:r>
        <w:rPr>
          <w:rFonts w:cs="Arial"/>
        </w:rPr>
        <w:t>Learnings from other disciplines regarding P4P in health care, including</w:t>
      </w:r>
    </w:p>
    <w:p w:rsidR="007A1C4A" w:rsidRDefault="007A1C4A" w:rsidP="00754132">
      <w:pPr>
        <w:numPr>
          <w:ilvl w:val="1"/>
          <w:numId w:val="17"/>
        </w:numPr>
        <w:spacing w:before="120" w:after="120" w:line="264" w:lineRule="auto"/>
        <w:rPr>
          <w:rFonts w:cs="Arial"/>
        </w:rPr>
      </w:pPr>
      <w:r>
        <w:rPr>
          <w:rFonts w:cs="Arial"/>
        </w:rPr>
        <w:t>potential motivation of healthcare providers</w:t>
      </w:r>
    </w:p>
    <w:p w:rsidR="007A1C4A" w:rsidRDefault="007A1C4A" w:rsidP="00754132">
      <w:pPr>
        <w:numPr>
          <w:ilvl w:val="1"/>
          <w:numId w:val="17"/>
        </w:numPr>
        <w:spacing w:before="120" w:after="120" w:line="264" w:lineRule="auto"/>
        <w:rPr>
          <w:rFonts w:cs="Arial"/>
        </w:rPr>
      </w:pPr>
      <w:r>
        <w:rPr>
          <w:rFonts w:cs="Arial"/>
        </w:rPr>
        <w:t>innovation and adaptation to local context.</w:t>
      </w:r>
    </w:p>
    <w:p w:rsidR="007A1C4A" w:rsidRDefault="007A1C4A" w:rsidP="00754132">
      <w:pPr>
        <w:numPr>
          <w:ilvl w:val="0"/>
          <w:numId w:val="17"/>
        </w:numPr>
        <w:spacing w:before="120" w:after="120" w:line="264" w:lineRule="auto"/>
        <w:rPr>
          <w:rFonts w:cs="Arial"/>
        </w:rPr>
      </w:pPr>
      <w:r>
        <w:rPr>
          <w:rFonts w:cs="Arial"/>
        </w:rPr>
        <w:t>Key differences of ‘successful’ schemes identified in the P4P literature.</w:t>
      </w:r>
    </w:p>
    <w:p w:rsidR="007A1C4A" w:rsidRPr="00313A47" w:rsidRDefault="007A1C4A" w:rsidP="00754132">
      <w:pPr>
        <w:pStyle w:val="Heading2"/>
        <w:spacing w:after="120"/>
        <w:ind w:left="720" w:hanging="720"/>
        <w:rPr>
          <w:i w:val="0"/>
          <w:iCs w:val="0"/>
        </w:rPr>
      </w:pPr>
      <w:bookmarkStart w:id="45" w:name="_Toc341695452"/>
      <w:bookmarkStart w:id="46" w:name="_Toc372115664"/>
      <w:r w:rsidRPr="00313A47">
        <w:rPr>
          <w:i w:val="0"/>
          <w:iCs w:val="0"/>
        </w:rPr>
        <w:t>5</w:t>
      </w:r>
      <w:r>
        <w:rPr>
          <w:i w:val="0"/>
          <w:iCs w:val="0"/>
        </w:rPr>
        <w:t>.1</w:t>
      </w:r>
      <w:r w:rsidRPr="00313A47">
        <w:rPr>
          <w:i w:val="0"/>
          <w:iCs w:val="0"/>
        </w:rPr>
        <w:tab/>
      </w:r>
      <w:r>
        <w:rPr>
          <w:i w:val="0"/>
          <w:iCs w:val="0"/>
        </w:rPr>
        <w:t>Learnings</w:t>
      </w:r>
      <w:r w:rsidRPr="00313A47">
        <w:rPr>
          <w:i w:val="0"/>
          <w:iCs w:val="0"/>
        </w:rPr>
        <w:t xml:space="preserve"> from other academic disciplines and settings</w:t>
      </w:r>
      <w:bookmarkEnd w:id="45"/>
      <w:bookmarkEnd w:id="46"/>
    </w:p>
    <w:p w:rsidR="007A1C4A" w:rsidRPr="00313A47" w:rsidRDefault="007A1C4A" w:rsidP="00754132">
      <w:pPr>
        <w:spacing w:before="120" w:after="120" w:line="264" w:lineRule="auto"/>
        <w:rPr>
          <w:rFonts w:cs="Arial"/>
        </w:rPr>
      </w:pPr>
      <w:r w:rsidRPr="00313A47">
        <w:rPr>
          <w:rFonts w:cs="Arial"/>
        </w:rPr>
        <w:t xml:space="preserve">Evidence from </w:t>
      </w:r>
      <w:r>
        <w:rPr>
          <w:rFonts w:cs="Arial"/>
        </w:rPr>
        <w:t xml:space="preserve">disciplines such as </w:t>
      </w:r>
      <w:r w:rsidRPr="00313A47">
        <w:rPr>
          <w:rFonts w:cs="Arial"/>
        </w:rPr>
        <w:t>behavioural economics and psychology suggests that while financial incentives improve performance in menial, repetitive tasks, their effect in complex, cognitively challenging work is far from clear. In settings that include health ca</w:t>
      </w:r>
      <w:r>
        <w:rPr>
          <w:rFonts w:cs="Arial"/>
        </w:rPr>
        <w:t>re</w:t>
      </w:r>
      <w:r w:rsidRPr="00313A47">
        <w:rPr>
          <w:rFonts w:cs="Arial"/>
        </w:rPr>
        <w:t xml:space="preserve"> they </w:t>
      </w:r>
      <w:r>
        <w:rPr>
          <w:rFonts w:cs="Arial"/>
        </w:rPr>
        <w:t xml:space="preserve">can </w:t>
      </w:r>
      <w:r w:rsidRPr="00313A47">
        <w:rPr>
          <w:rFonts w:cs="Arial"/>
        </w:rPr>
        <w:t>exhibit a neutral, even detrimental effect.</w:t>
      </w:r>
      <w:r>
        <w:rPr>
          <w:rFonts w:cs="Arial"/>
          <w:vertAlign w:val="superscript"/>
        </w:rPr>
        <w:fldChar w:fldCharType="begin"/>
      </w:r>
      <w:r>
        <w:rPr>
          <w:rFonts w:cs="Arial"/>
          <w:vertAlign w:val="superscript"/>
        </w:rPr>
        <w:instrText xml:space="preserve"> ADDIN EN.CITE &lt;EndNote&gt;&lt;Cite&gt;&lt;Author&gt;Woolhandler&lt;/Author&gt;&lt;Year&gt;2012&lt;/Year&gt;&lt;RecNum&gt;12220&lt;/RecNum&gt;&lt;record&gt;&lt;rec-number&gt;12220&lt;/rec-number&gt;&lt;foreign-keys&gt;&lt;key app="EN" db-id="5r0eapxzsestz4er5zaxe5zqz99fvpawedp5"&gt;12220&lt;/key&gt;&lt;/foreign-keys&gt;&lt;ref-type name="Journal Article"&gt;17&lt;/ref-type&gt;&lt;contributors&gt;&lt;authors&gt;&lt;author&gt;Steffie Woolhandler&lt;/author&gt;&lt;author&gt;Dan Ariely&lt;/author&gt;&lt;author&gt;David U Himmelstein&lt;/author&gt;&lt;/authors&gt;&lt;/contributors&gt;&lt;titles&gt;&lt;title&gt;Why pay for performance may be incompatible with quality improvement&lt;/title&gt;&lt;secondary-title&gt;BMJ&lt;/secondary-title&gt;&lt;/titles&gt;&lt;periodical&gt;&lt;full-title&gt;BMJ&lt;/full-title&gt;&lt;/periodical&gt;&lt;volume&gt;345&lt;/volume&gt;&lt;dates&gt;&lt;year&gt;2012&lt;/year&gt;&lt;pub-dates&gt;&lt;date&gt;2012-08-14 23:32:37&lt;/date&gt;&lt;/pub-dates&gt;&lt;/dates&gt;&lt;urls&gt;&lt;pdf-urls&gt;&lt;url&gt;http://www.bmj.com/bmj/345/bmj.e5015.full.pdf&lt;/url&gt;&lt;/pdf-urls&gt;&lt;/urls&gt;&lt;electronic-resource-num&gt;10.1136/bmj.e5015&lt;/electronic-resource-num&gt;&lt;/record&gt;&lt;/Cite&gt;&lt;/EndNote&gt;</w:instrText>
      </w:r>
      <w:r>
        <w:rPr>
          <w:rFonts w:cs="Arial"/>
          <w:vertAlign w:val="superscript"/>
        </w:rPr>
        <w:fldChar w:fldCharType="separate"/>
      </w:r>
      <w:r w:rsidRPr="00F76F9D">
        <w:rPr>
          <w:rFonts w:cs="Arial"/>
          <w:noProof/>
          <w:vertAlign w:val="superscript"/>
        </w:rPr>
        <w:t>1</w:t>
      </w:r>
      <w:r>
        <w:rPr>
          <w:rFonts w:cs="Arial"/>
          <w:vertAlign w:val="superscript"/>
        </w:rPr>
        <w:fldChar w:fldCharType="end"/>
      </w:r>
      <w:r w:rsidRPr="00F76F9D">
        <w:rPr>
          <w:rFonts w:cs="Arial"/>
        </w:rPr>
        <w:t xml:space="preserve"> </w:t>
      </w:r>
    </w:p>
    <w:p w:rsidR="007A1C4A" w:rsidRPr="00313A47" w:rsidRDefault="007A1C4A" w:rsidP="00754132">
      <w:pPr>
        <w:spacing w:before="120" w:after="120" w:line="264" w:lineRule="auto"/>
        <w:rPr>
          <w:rFonts w:cs="Arial"/>
        </w:rPr>
      </w:pPr>
      <w:r w:rsidRPr="00313A47">
        <w:rPr>
          <w:rFonts w:cs="Arial"/>
        </w:rPr>
        <w:t>Some useful insights can be drawn from literature on how financial incentives interact with other motivators</w:t>
      </w:r>
      <w:r>
        <w:rPr>
          <w:rFonts w:cs="Arial"/>
        </w:rPr>
        <w:t>. Most of these address how financial rewards exhibit a tendency to ‘crowd out’ other potential behavioural motivators</w:t>
      </w:r>
      <w:r w:rsidRPr="00313A47">
        <w:rPr>
          <w:rFonts w:cs="Arial"/>
        </w:rPr>
        <w:t>:</w:t>
      </w:r>
      <w:r>
        <w:rPr>
          <w:rFonts w:cs="Arial"/>
        </w:rPr>
        <w:t xml:space="preserve"> </w:t>
      </w:r>
      <w:r>
        <w:rPr>
          <w:rFonts w:cs="Arial"/>
        </w:rPr>
        <w:fldChar w:fldCharType="begin">
          <w:fldData xml:space="preserve">PEVuZE5vdGU+PENpdGU+PEF1dGhvcj5EZWNpPC9BdXRob3I+PFllYXI+MTk5OTwvWWVhcj48UmVj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</w:fldData>
        </w:fldChar>
      </w:r>
      <w:r>
        <w:rPr>
          <w:rFonts w:cs="Arial"/>
        </w:rPr>
        <w:instrText xml:space="preserve"> ADDIN EN.CITE </w:instrText>
      </w:r>
      <w:r>
        <w:rPr>
          <w:rFonts w:cs="Arial"/>
        </w:rPr>
        <w:fldChar w:fldCharType="begin">
          <w:fldData xml:space="preserve">PEVuZE5vdGU+PENpdGU+PEF1dGhvcj5EZWNpPC9BdXRob3I+PFllYXI+MTk5OTwvWWVhcj48UmVj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sidRPr="00427556">
        <w:rPr>
          <w:rFonts w:cs="Arial"/>
          <w:noProof/>
          <w:vertAlign w:val="superscript"/>
        </w:rPr>
        <w:t>2-3</w:t>
      </w:r>
      <w:r>
        <w:rPr>
          <w:rFonts w:cs="Arial"/>
        </w:rPr>
        <w:fldChar w:fldCharType="end"/>
      </w:r>
    </w:p>
    <w:p w:rsidR="007A1C4A" w:rsidRPr="00F76F9D" w:rsidRDefault="007A1C4A" w:rsidP="00754132">
      <w:pPr>
        <w:numPr>
          <w:ilvl w:val="0"/>
          <w:numId w:val="6"/>
        </w:numPr>
        <w:spacing w:before="120" w:after="120" w:line="264" w:lineRule="auto"/>
        <w:ind w:right="-154"/>
        <w:rPr>
          <w:rFonts w:cs="Arial"/>
          <w:szCs w:val="24"/>
        </w:rPr>
      </w:pPr>
      <w:r w:rsidRPr="00313A47">
        <w:rPr>
          <w:rFonts w:cs="Arial"/>
        </w:rPr>
        <w:t xml:space="preserve">Tangible </w:t>
      </w:r>
      <w:r w:rsidRPr="00F76F9D">
        <w:rPr>
          <w:rFonts w:cs="Arial"/>
          <w:szCs w:val="24"/>
        </w:rPr>
        <w:t>rewards, particularly monetary ones, undermine motivation for tasks that are intrinsically interesting or rewarding (see 5.1.1).</w:t>
      </w:r>
    </w:p>
    <w:p w:rsidR="007A1C4A" w:rsidRPr="00F76F9D" w:rsidRDefault="007A1C4A" w:rsidP="00754132">
      <w:pPr>
        <w:numPr>
          <w:ilvl w:val="0"/>
          <w:numId w:val="6"/>
        </w:numPr>
        <w:spacing w:before="120" w:after="120" w:line="264" w:lineRule="auto"/>
        <w:ind w:right="-154"/>
        <w:rPr>
          <w:rFonts w:cs="Arial"/>
          <w:szCs w:val="24"/>
        </w:rPr>
      </w:pPr>
      <w:r w:rsidRPr="00F76F9D">
        <w:rPr>
          <w:rFonts w:cs="Arial"/>
          <w:szCs w:val="24"/>
        </w:rPr>
        <w:t>Symbolic rewards (e.g. recognition) do not crowd out intrinsic motivation, and may augment it.</w:t>
      </w:r>
    </w:p>
    <w:p w:rsidR="007A1C4A" w:rsidRPr="00F76F9D" w:rsidRDefault="007A1C4A" w:rsidP="00754132">
      <w:pPr>
        <w:numPr>
          <w:ilvl w:val="0"/>
          <w:numId w:val="6"/>
        </w:numPr>
        <w:spacing w:before="120" w:after="120" w:line="264" w:lineRule="auto"/>
        <w:ind w:right="-154"/>
        <w:rPr>
          <w:rFonts w:cs="Arial"/>
          <w:szCs w:val="24"/>
        </w:rPr>
      </w:pPr>
      <w:r w:rsidRPr="00F76F9D">
        <w:rPr>
          <w:rFonts w:cs="Arial"/>
          <w:szCs w:val="24"/>
        </w:rPr>
        <w:t>The negative effects of monetary rewards are strongest for complex cognitive tasks.</w:t>
      </w:r>
    </w:p>
    <w:p w:rsidR="007A1C4A" w:rsidRPr="00F76F9D" w:rsidRDefault="007A1C4A" w:rsidP="00754132">
      <w:pPr>
        <w:numPr>
          <w:ilvl w:val="0"/>
          <w:numId w:val="6"/>
        </w:numPr>
        <w:spacing w:before="120" w:after="120" w:line="264" w:lineRule="auto"/>
        <w:ind w:right="-154"/>
        <w:rPr>
          <w:rFonts w:cs="Arial"/>
          <w:szCs w:val="24"/>
        </w:rPr>
      </w:pPr>
      <w:r w:rsidRPr="00F76F9D">
        <w:rPr>
          <w:rFonts w:cs="Arial"/>
          <w:szCs w:val="24"/>
        </w:rPr>
        <w:t>Crowding out effects tend to reduce reciprocity and augment selfish behaviors.</w:t>
      </w:r>
    </w:p>
    <w:p w:rsidR="007A1C4A" w:rsidRPr="00F76F9D" w:rsidRDefault="007A1C4A" w:rsidP="00754132">
      <w:pPr>
        <w:numPr>
          <w:ilvl w:val="0"/>
          <w:numId w:val="6"/>
        </w:numPr>
        <w:spacing w:before="120" w:after="120" w:line="264" w:lineRule="auto"/>
        <w:ind w:right="-154"/>
        <w:rPr>
          <w:rFonts w:cs="Arial"/>
          <w:szCs w:val="24"/>
        </w:rPr>
      </w:pPr>
      <w:r w:rsidRPr="00F76F9D">
        <w:rPr>
          <w:rFonts w:cs="Arial"/>
          <w:szCs w:val="24"/>
        </w:rPr>
        <w:t>Crowding out may spread (both to other tasks and to co-workers), decreasing intrinsic motivation for work not directly incentivized by the monetary rewards.</w:t>
      </w:r>
    </w:p>
    <w:p w:rsidR="007A1C4A" w:rsidRPr="00313A47" w:rsidRDefault="007A1C4A" w:rsidP="00754132">
      <w:pPr>
        <w:numPr>
          <w:ilvl w:val="0"/>
          <w:numId w:val="6"/>
        </w:numPr>
        <w:spacing w:before="120" w:after="120" w:line="264" w:lineRule="auto"/>
        <w:ind w:right="-154"/>
        <w:rPr>
          <w:rFonts w:cs="Arial"/>
        </w:rPr>
      </w:pPr>
      <w:r w:rsidRPr="00F76F9D">
        <w:rPr>
          <w:rFonts w:cs="Arial"/>
          <w:szCs w:val="24"/>
        </w:rPr>
        <w:lastRenderedPageBreak/>
        <w:t>Crowding-out is strongest when external rewards are large; perceived as controlling; contingent</w:t>
      </w:r>
      <w:r w:rsidRPr="00313A47">
        <w:rPr>
          <w:rFonts w:cs="Arial"/>
        </w:rPr>
        <w:t xml:space="preserve"> on very specific task performance; or associated with surveillance, deadlines or threats.</w:t>
      </w:r>
    </w:p>
    <w:p w:rsidR="007A1C4A" w:rsidRDefault="007A1C4A" w:rsidP="006A4822">
      <w:pPr>
        <w:spacing w:before="120" w:after="120" w:line="264" w:lineRule="auto"/>
        <w:rPr>
          <w:rFonts w:cs="Arial"/>
        </w:rPr>
      </w:pPr>
      <w:r>
        <w:rPr>
          <w:rFonts w:cs="Arial"/>
        </w:rPr>
        <w:t>E</w:t>
      </w:r>
      <w:r w:rsidRPr="00313A47">
        <w:rPr>
          <w:rFonts w:cs="Arial"/>
        </w:rPr>
        <w:t>vidence from the education setting in the US does not support financial incentives as positively influencing professional performance. Schemes to improve high school teaching and students’ academic results in the US have been unsuccessful. In some instances student achievement even declined following application of incentives.</w:t>
      </w:r>
      <w:r>
        <w:rPr>
          <w:rFonts w:cs="Arial"/>
        </w:rPr>
        <w:fldChar w:fldCharType="begin"/>
      </w:r>
      <w:r>
        <w:rPr>
          <w:rFonts w:cs="Arial"/>
        </w:rPr>
        <w:instrText xml:space="preserve"> ADDIN EN.CITE &lt;EndNote&gt;&lt;Cite&gt;&lt;Author&gt;Springer MG&lt;/Author&gt;&lt;Year&gt;2010&lt;/Year&gt;&lt;RecNum&gt;12681&lt;/RecNum&gt;&lt;record&gt;&lt;rec-number&gt;12681&lt;/rec-number&gt;&lt;foreign-keys&gt;&lt;key app="EN" db-id="5r0eapxzsestz4er5zaxe5zqz99fvpawedp5"&gt;12681&lt;/key&gt;&lt;/foreign-keys&gt;&lt;ref-type name="Report"&gt;27&lt;/ref-type&gt;&lt;contributors&gt;&lt;authors&gt;&lt;author&gt;Springer MG,&lt;/author&gt;&lt;author&gt;Ballou D,&lt;/author&gt;&lt;author&gt;Hamilton L,&lt;/author&gt;&lt;author&gt;Le V,&lt;/author&gt;&lt;author&gt;Lockwood JR,&lt;/author&gt;&lt;author&gt;McCaffrey D,&lt;/author&gt;&lt;author&gt;Pepper M,&lt;/author&gt;&lt;author&gt;Stecher B,&lt;/author&gt;&lt;/authors&gt;&lt;/contributors&gt;&lt;titles&gt;&lt;title&gt;Teacher Pay for Performance: Experimental Evidence from the Project on Incentives in Teaching&lt;/title&gt;&lt;/titles&gt;&lt;dates&gt;&lt;year&gt;2010&lt;/year&gt;&lt;/dates&gt;&lt;pub-location&gt;Nashville, TN&lt;/pub-location&gt;&lt;publisher&gt;National Center on Performance Incentives at Vanderbilt University&lt;/publisher&gt;&lt;urls&gt;&lt;/urls&gt;&lt;/record&gt;&lt;/Cite&gt;&lt;Cite&gt;&lt;Author&gt;Fryer RG&lt;/Author&gt;&lt;Year&gt;2011&lt;/Year&gt;&lt;RecNum&gt;12680&lt;/RecNum&gt;&lt;record&gt;&lt;rec-number&gt;12680&lt;/rec-number&gt;&lt;foreign-keys&gt;&lt;key app="EN" db-id="5r0eapxzsestz4er5zaxe5zqz99fvpawedp5"&gt;12680&lt;/key&gt;&lt;/foreign-keys&gt;&lt;ref-type name="Report"&gt;27&lt;/ref-type&gt;&lt;contributors&gt;&lt;authors&gt;&lt;author&gt;Fryer RG,&lt;/author&gt;&lt;/authors&gt;&lt;/contributors&gt;&lt;titles&gt;&lt;title&gt;Teacher Incentives and Student Achievement: Evidence from New York City Public Schools&lt;/title&gt;&lt;/titles&gt;&lt;volume&gt;NBER Working Paper No. 16850&lt;/volume&gt;&lt;dates&gt;&lt;year&gt;2011&lt;/year&gt;&lt;/dates&gt;&lt;pub-location&gt;Cambridge MA&lt;/pub-location&gt;&lt;publisher&gt;National Bureau of Ecoomic Research&lt;/publisher&gt;&lt;urls&gt;&lt;/urls&gt;&lt;/record&gt;&lt;/Cite&gt;&lt;/EndNote&gt;</w:instrText>
      </w:r>
      <w:r>
        <w:rPr>
          <w:rFonts w:cs="Arial"/>
        </w:rPr>
        <w:fldChar w:fldCharType="separate"/>
      </w:r>
      <w:r w:rsidRPr="00427556">
        <w:rPr>
          <w:rFonts w:cs="Arial"/>
          <w:noProof/>
          <w:vertAlign w:val="superscript"/>
        </w:rPr>
        <w:t>4-5</w:t>
      </w:r>
      <w:r>
        <w:rPr>
          <w:rFonts w:cs="Arial"/>
        </w:rPr>
        <w:fldChar w:fldCharType="end"/>
      </w:r>
    </w:p>
    <w:p w:rsidR="007A1C4A" w:rsidRDefault="007A1C4A" w:rsidP="00754132">
      <w:pPr>
        <w:spacing w:before="120" w:after="120" w:line="264" w:lineRule="auto"/>
        <w:rPr>
          <w:rFonts w:cs="Arial"/>
        </w:rPr>
      </w:pPr>
      <w:r>
        <w:rPr>
          <w:rFonts w:cs="Arial"/>
        </w:rPr>
        <w:t>In health care, a key additional factor</w:t>
      </w:r>
      <w:r w:rsidRPr="00313A47">
        <w:rPr>
          <w:rFonts w:cs="Arial"/>
        </w:rPr>
        <w:t xml:space="preserve"> is that </w:t>
      </w:r>
      <w:r>
        <w:rPr>
          <w:rFonts w:cs="Arial"/>
        </w:rPr>
        <w:t xml:space="preserve">it </w:t>
      </w:r>
      <w:r w:rsidRPr="00313A47">
        <w:rPr>
          <w:rFonts w:cs="Arial"/>
        </w:rPr>
        <w:t xml:space="preserve">is increasingly a ‘team sport’ where outcomes are ultimately dependent on a people and systems interacting in concert with one another. It is difficult to incentivise team work with bonus payments to individuals, which is why </w:t>
      </w:r>
      <w:r w:rsidRPr="00313A47">
        <w:rPr>
          <w:rFonts w:cs="Arial"/>
          <w:i/>
        </w:rPr>
        <w:t xml:space="preserve">how </w:t>
      </w:r>
      <w:r w:rsidRPr="00313A47">
        <w:rPr>
          <w:rFonts w:cs="Arial"/>
        </w:rPr>
        <w:t xml:space="preserve">incentives are distributed among those whose behaviour they are intended to influence is important (see Section </w:t>
      </w:r>
      <w:r>
        <w:rPr>
          <w:rFonts w:cs="Arial"/>
        </w:rPr>
        <w:t>5.2)</w:t>
      </w:r>
      <w:r w:rsidRPr="00313A47">
        <w:rPr>
          <w:rFonts w:cs="Arial"/>
        </w:rPr>
        <w:t>.</w:t>
      </w:r>
      <w:r w:rsidRPr="00313A47">
        <w:rPr>
          <w:rStyle w:val="FootnoteReference"/>
          <w:rFonts w:cs="Arial"/>
        </w:rPr>
        <w:footnoteReference w:id="5"/>
      </w:r>
      <w:r>
        <w:rPr>
          <w:rFonts w:cs="Arial"/>
        </w:rPr>
        <w:t xml:space="preserve"> </w:t>
      </w:r>
    </w:p>
    <w:p w:rsidR="007A1C4A" w:rsidRPr="00313A47" w:rsidRDefault="007A1C4A" w:rsidP="00754132">
      <w:pPr>
        <w:spacing w:before="120" w:after="120" w:line="264" w:lineRule="auto"/>
        <w:rPr>
          <w:rFonts w:cs="Arial"/>
        </w:rPr>
      </w:pPr>
      <w:r>
        <w:rPr>
          <w:rFonts w:cs="Arial"/>
        </w:rPr>
        <w:t>This may also explain why financial rewards tend to be more effective in healthcare settings when applied to tasks or objectives not contingent on collaboration (e.g. radiology reporting times; immunisation).</w:t>
      </w:r>
    </w:p>
    <w:p w:rsidR="007A1C4A" w:rsidRPr="004B419F" w:rsidRDefault="007A1C4A" w:rsidP="00754132">
      <w:pPr>
        <w:spacing w:before="240" w:after="120"/>
        <w:rPr>
          <w:b/>
        </w:rPr>
      </w:pPr>
      <w:bookmarkStart w:id="47" w:name="_Toc341695453"/>
      <w:bookmarkStart w:id="48" w:name="_Toc346532180"/>
      <w:r w:rsidRPr="004B419F">
        <w:rPr>
          <w:b/>
        </w:rPr>
        <w:t>5.1.1</w:t>
      </w:r>
      <w:r w:rsidRPr="004B419F">
        <w:rPr>
          <w:b/>
        </w:rPr>
        <w:tab/>
        <w:t>Provider motivation</w:t>
      </w:r>
      <w:bookmarkEnd w:id="47"/>
      <w:bookmarkEnd w:id="48"/>
    </w:p>
    <w:p w:rsidR="007A1C4A" w:rsidRDefault="007A1C4A" w:rsidP="00754132">
      <w:pPr>
        <w:spacing w:before="120" w:after="120" w:line="264" w:lineRule="auto"/>
        <w:rPr>
          <w:rFonts w:cs="Arial"/>
        </w:rPr>
      </w:pPr>
      <w:r w:rsidRPr="00313A47">
        <w:rPr>
          <w:rFonts w:cs="Arial"/>
        </w:rPr>
        <w:t xml:space="preserve">While the quality improvement literature has identified many causes of </w:t>
      </w:r>
      <w:r>
        <w:rPr>
          <w:rFonts w:cs="Arial"/>
        </w:rPr>
        <w:t xml:space="preserve">failures in healthcare quality </w:t>
      </w:r>
      <w:r w:rsidRPr="00313A47">
        <w:rPr>
          <w:rFonts w:cs="Arial"/>
        </w:rPr>
        <w:t>(poorly designed workflow and systems; undue commercial influence; knowledge gaps; reliance on inappropriate heuristics; poor communication and insufficient teamwork)</w:t>
      </w:r>
      <w:r>
        <w:rPr>
          <w:rFonts w:cs="Arial"/>
        </w:rPr>
        <w:t>,</w:t>
      </w:r>
      <w:r w:rsidRPr="00313A47">
        <w:rPr>
          <w:rFonts w:cs="Arial"/>
        </w:rPr>
        <w:t xml:space="preserve"> “not trying hard enough” is rarely cited. </w:t>
      </w:r>
    </w:p>
    <w:p w:rsidR="007A1C4A" w:rsidRPr="00313A47" w:rsidRDefault="007A1C4A" w:rsidP="00754132">
      <w:pPr>
        <w:spacing w:before="120" w:after="120" w:line="264" w:lineRule="auto"/>
        <w:rPr>
          <w:rFonts w:cs="Arial"/>
        </w:rPr>
      </w:pPr>
      <w:r w:rsidRPr="00313A47">
        <w:rPr>
          <w:rFonts w:cs="Arial"/>
        </w:rPr>
        <w:t xml:space="preserve">Yet </w:t>
      </w:r>
      <w:r>
        <w:rPr>
          <w:rFonts w:cs="Arial"/>
        </w:rPr>
        <w:t xml:space="preserve">the application </w:t>
      </w:r>
      <w:r w:rsidRPr="00313A47">
        <w:rPr>
          <w:rFonts w:cs="Arial"/>
        </w:rPr>
        <w:t>financial incentives</w:t>
      </w:r>
      <w:r>
        <w:rPr>
          <w:rFonts w:cs="Arial"/>
        </w:rPr>
        <w:t xml:space="preserve"> implies that a </w:t>
      </w:r>
      <w:r w:rsidRPr="00313A47">
        <w:rPr>
          <w:rFonts w:cs="Arial"/>
        </w:rPr>
        <w:t xml:space="preserve">lack of motivation </w:t>
      </w:r>
      <w:r>
        <w:rPr>
          <w:rFonts w:cs="Arial"/>
        </w:rPr>
        <w:t xml:space="preserve">is seen by policy makers </w:t>
      </w:r>
      <w:r w:rsidRPr="00313A47">
        <w:rPr>
          <w:rFonts w:cs="Arial"/>
        </w:rPr>
        <w:t>as a</w:t>
      </w:r>
      <w:r>
        <w:rPr>
          <w:rFonts w:cs="Arial"/>
        </w:rPr>
        <w:t xml:space="preserve"> key</w:t>
      </w:r>
      <w:r w:rsidRPr="00313A47">
        <w:rPr>
          <w:rFonts w:cs="Arial"/>
        </w:rPr>
        <w:t xml:space="preserve"> factor in poor quality care. </w:t>
      </w:r>
    </w:p>
    <w:p w:rsidR="007A1C4A" w:rsidRPr="00313A47" w:rsidRDefault="007A1C4A" w:rsidP="00754132">
      <w:pPr>
        <w:spacing w:before="120" w:after="120" w:line="264" w:lineRule="auto"/>
        <w:rPr>
          <w:rFonts w:cs="Arial"/>
        </w:rPr>
      </w:pPr>
      <w:r>
        <w:rPr>
          <w:rFonts w:cs="Arial"/>
        </w:rPr>
        <w:t>T</w:t>
      </w:r>
      <w:r w:rsidRPr="00427556">
        <w:rPr>
          <w:rFonts w:cs="Arial"/>
        </w:rPr>
        <w:t>his points to flaws in the economic assumptions underpinning financial incentive schemes</w:t>
      </w:r>
      <w:r>
        <w:rPr>
          <w:rFonts w:cs="Arial"/>
        </w:rPr>
        <w:t>, particularly the</w:t>
      </w:r>
      <w:r w:rsidRPr="00427556">
        <w:rPr>
          <w:rFonts w:cs="Arial"/>
        </w:rPr>
        <w:t xml:space="preserve"> wholesale application </w:t>
      </w:r>
      <w:r>
        <w:rPr>
          <w:rFonts w:cs="Arial"/>
        </w:rPr>
        <w:t xml:space="preserve">of these </w:t>
      </w:r>
      <w:r w:rsidRPr="00427556">
        <w:rPr>
          <w:rFonts w:cs="Arial"/>
        </w:rPr>
        <w:t>to all aspects of human endeavour. The orthodox view that monetary reward is either the only motivator</w:t>
      </w:r>
      <w:r>
        <w:rPr>
          <w:rFonts w:cs="Arial"/>
        </w:rPr>
        <w:t>,</w:t>
      </w:r>
      <w:r w:rsidRPr="00427556">
        <w:rPr>
          <w:rFonts w:cs="Arial"/>
        </w:rPr>
        <w:t xml:space="preserve"> or amplifies </w:t>
      </w:r>
      <w:r>
        <w:rPr>
          <w:rFonts w:cs="Arial"/>
        </w:rPr>
        <w:t xml:space="preserve">other, </w:t>
      </w:r>
      <w:r w:rsidRPr="00427556">
        <w:rPr>
          <w:rFonts w:cs="Arial"/>
        </w:rPr>
        <w:t>intrinsic motivators such as personal pride, professional norms and standards or altruism appears to be challenged by findings in health care and other similar domains. These arguments are not new.</w:t>
      </w:r>
      <w:r>
        <w:rPr>
          <w:rFonts w:cs="Arial"/>
        </w:rPr>
        <w:fldChar w:fldCharType="begin"/>
      </w:r>
      <w:r>
        <w:rPr>
          <w:rFonts w:cs="Arial"/>
        </w:rPr>
        <w:instrText xml:space="preserve"> ADDIN EN.CITE &lt;EndNote&gt;&lt;Cite&gt;&lt;Author&gt;Sen A&lt;/Author&gt;&lt;Year&gt;1977&lt;/Year&gt;&lt;RecNum&gt;12682&lt;/RecNum&gt;&lt;record&gt;&lt;rec-number&gt;12682&lt;/rec-number&gt;&lt;foreign-keys&gt;&lt;key app="EN" db-id="5r0eapxzsestz4er5zaxe5zqz99fvpawedp5"&gt;12682&lt;/key&gt;&lt;/foreign-keys&gt;&lt;ref-type name="Journal Article"&gt;17&lt;/ref-type&gt;&lt;contributors&gt;&lt;authors&gt;&lt;author&gt;Sen A,&lt;/author&gt;&lt;/authors&gt;&lt;/contributors&gt;&lt;titles&gt;&lt;title&gt;Rational Fools: A Critique of the Behavioral Foundations of Economic Theory&lt;/title&gt;&lt;secondary-title&gt;Philosophy &amp;amp; Public Affairs&lt;/secondary-title&gt;&lt;/titles&gt;&lt;periodical&gt;&lt;full-title&gt;Philosophy &amp;amp; Public Affairs&lt;/full-title&gt;&lt;/periodical&gt;&lt;pages&gt;317-344&lt;/pages&gt;&lt;volume&gt;6&lt;/volume&gt;&lt;number&gt;4&lt;/number&gt;&lt;dates&gt;&lt;year&gt;1977&lt;/year&gt;&lt;/dates&gt;&lt;urls&gt;&lt;/urls&gt;&lt;/record&gt;&lt;/Cite&gt;&lt;/EndNote&gt;</w:instrText>
      </w:r>
      <w:r>
        <w:rPr>
          <w:rFonts w:cs="Arial"/>
        </w:rPr>
        <w:fldChar w:fldCharType="separate"/>
      </w:r>
      <w:r w:rsidRPr="00427556">
        <w:rPr>
          <w:rFonts w:cs="Arial"/>
          <w:noProof/>
          <w:vertAlign w:val="superscript"/>
        </w:rPr>
        <w:t>6</w:t>
      </w:r>
      <w:r>
        <w:rPr>
          <w:rFonts w:cs="Arial"/>
        </w:rPr>
        <w:fldChar w:fldCharType="end"/>
      </w:r>
      <w:r w:rsidRPr="00313A47">
        <w:rPr>
          <w:rFonts w:cs="Arial"/>
        </w:rPr>
        <w:t xml:space="preserve"> </w:t>
      </w:r>
    </w:p>
    <w:p w:rsidR="007A1C4A" w:rsidRPr="00313A47" w:rsidRDefault="007A1C4A" w:rsidP="00754132">
      <w:pPr>
        <w:spacing w:before="120" w:after="120" w:line="264" w:lineRule="auto"/>
        <w:rPr>
          <w:rFonts w:cs="Arial"/>
        </w:rPr>
      </w:pPr>
      <w:r>
        <w:rPr>
          <w:rFonts w:cs="Arial"/>
        </w:rPr>
        <w:t>In reality, t</w:t>
      </w:r>
      <w:r w:rsidRPr="00313A47">
        <w:rPr>
          <w:rFonts w:cs="Arial"/>
        </w:rPr>
        <w:t xml:space="preserve">he behaviour of healthcare providers may be driven by a range of interacting </w:t>
      </w:r>
      <w:r>
        <w:rPr>
          <w:rFonts w:cs="Arial"/>
        </w:rPr>
        <w:t>factors</w:t>
      </w:r>
      <w:r w:rsidRPr="00313A47">
        <w:rPr>
          <w:rFonts w:cs="Arial"/>
        </w:rPr>
        <w:t xml:space="preserve"> including:</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Intrinsic rewards</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Competitiveness</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Professional norms and standards</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lastRenderedPageBreak/>
        <w:t>Reputation among peers and the community</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Remuneration</w:t>
      </w:r>
      <w:r>
        <w:rPr>
          <w:rFonts w:cs="Arial"/>
          <w:szCs w:val="24"/>
        </w:rPr>
        <w:t>.</w:t>
      </w:r>
    </w:p>
    <w:p w:rsidR="007A1C4A" w:rsidRDefault="007A1C4A" w:rsidP="00754132">
      <w:pPr>
        <w:spacing w:before="120" w:after="120" w:line="264" w:lineRule="auto"/>
        <w:rPr>
          <w:rFonts w:cs="Arial"/>
        </w:rPr>
      </w:pPr>
      <w:r w:rsidRPr="00F55406">
        <w:rPr>
          <w:rFonts w:cs="Arial"/>
        </w:rPr>
        <w:t xml:space="preserve">The range of </w:t>
      </w:r>
      <w:r>
        <w:rPr>
          <w:rFonts w:cs="Arial"/>
        </w:rPr>
        <w:t>influences on the functioning and performance of a healthcare system</w:t>
      </w:r>
      <w:r w:rsidRPr="00F55406">
        <w:rPr>
          <w:rFonts w:cs="Arial"/>
        </w:rPr>
        <w:t xml:space="preserve">, as well as how individuals and groups within this system interact, is illustrated in Figure 2 overleaf (adopted </w:t>
      </w:r>
      <w:r>
        <w:rPr>
          <w:rFonts w:cs="Arial"/>
        </w:rPr>
        <w:t>from Appleby et al, 2012</w:t>
      </w:r>
      <w:r w:rsidRPr="00F55406">
        <w:rPr>
          <w:rFonts w:cs="Arial"/>
        </w:rPr>
        <w:t>).</w:t>
      </w:r>
    </w:p>
    <w:p w:rsidR="007A1C4A" w:rsidRPr="00313A47" w:rsidRDefault="007A1C4A" w:rsidP="0078008A">
      <w:pPr>
        <w:spacing w:before="120" w:line="264" w:lineRule="auto"/>
        <w:rPr>
          <w:rFonts w:cs="Arial"/>
        </w:rPr>
      </w:pPr>
      <w:r>
        <w:rPr>
          <w:rFonts w:cs="Arial"/>
        </w:rPr>
        <w:t>The relative importance of these will vary between the healthcare professions and disciplines. However, m</w:t>
      </w:r>
      <w:r w:rsidRPr="00313A47">
        <w:rPr>
          <w:rFonts w:cs="Arial"/>
        </w:rPr>
        <w:t xml:space="preserve">anipulating greed as an engine for quality </w:t>
      </w:r>
      <w:r>
        <w:rPr>
          <w:rFonts w:cs="Arial"/>
        </w:rPr>
        <w:t>or</w:t>
      </w:r>
      <w:r w:rsidRPr="00313A47">
        <w:rPr>
          <w:rFonts w:cs="Arial"/>
        </w:rPr>
        <w:t xml:space="preserve"> other </w:t>
      </w:r>
      <w:r>
        <w:rPr>
          <w:rFonts w:cs="Arial"/>
        </w:rPr>
        <w:t xml:space="preserve">healthcare </w:t>
      </w:r>
      <w:r w:rsidRPr="00313A47">
        <w:rPr>
          <w:rFonts w:cs="Arial"/>
        </w:rPr>
        <w:t>policy objectives may be too simplistic and</w:t>
      </w:r>
      <w:r>
        <w:rPr>
          <w:rFonts w:cs="Arial"/>
        </w:rPr>
        <w:t>, as conveyed by various commentators,</w:t>
      </w:r>
      <w:r w:rsidRPr="00313A47">
        <w:rPr>
          <w:rFonts w:cs="Arial"/>
        </w:rPr>
        <w:t xml:space="preserve"> should be approached with caution. While financial incentives </w:t>
      </w:r>
      <w:r>
        <w:rPr>
          <w:rFonts w:cs="Arial"/>
        </w:rPr>
        <w:t xml:space="preserve">may </w:t>
      </w:r>
      <w:r w:rsidRPr="00313A47">
        <w:rPr>
          <w:rFonts w:cs="Arial"/>
        </w:rPr>
        <w:t xml:space="preserve">play a role, they should not supplant other behavioural </w:t>
      </w:r>
      <w:r>
        <w:rPr>
          <w:rFonts w:cs="Arial"/>
        </w:rPr>
        <w:t>incentives</w:t>
      </w:r>
      <w:r w:rsidRPr="00313A47">
        <w:rPr>
          <w:rFonts w:cs="Arial"/>
        </w:rPr>
        <w:t xml:space="preserve"> which may include:</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Timely feedback of performance data to stimulate improvement</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 xml:space="preserve">Providing information on performance in comparison with peers and benchmarks </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Encouraging and supporting opportunity for local innovation</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 xml:space="preserve">Providing granular information on how systems and processes can be improved in a local context </w:t>
      </w:r>
    </w:p>
    <w:p w:rsidR="007A1C4A" w:rsidRPr="00F76F9D" w:rsidRDefault="007A1C4A" w:rsidP="0078008A">
      <w:pPr>
        <w:numPr>
          <w:ilvl w:val="0"/>
          <w:numId w:val="6"/>
        </w:numPr>
        <w:spacing w:before="60" w:after="60" w:line="264" w:lineRule="auto"/>
        <w:ind w:right="-154"/>
        <w:rPr>
          <w:rFonts w:cs="Arial"/>
          <w:szCs w:val="24"/>
        </w:rPr>
      </w:pPr>
      <w:r w:rsidRPr="00F76F9D">
        <w:rPr>
          <w:rFonts w:cs="Arial"/>
          <w:szCs w:val="24"/>
        </w:rPr>
        <w:t>Harnessing other motivators such as collaboration, team work and collective achievement of results (see Section 5.2)</w:t>
      </w:r>
    </w:p>
    <w:p w:rsidR="007A1C4A" w:rsidRPr="004B419F" w:rsidRDefault="007A1C4A" w:rsidP="0078008A">
      <w:pPr>
        <w:spacing w:before="240" w:after="120"/>
        <w:rPr>
          <w:b/>
        </w:rPr>
      </w:pPr>
      <w:bookmarkStart w:id="49" w:name="_Toc341695454"/>
      <w:bookmarkStart w:id="50" w:name="_Toc346532181"/>
      <w:r w:rsidRPr="004B419F">
        <w:rPr>
          <w:b/>
        </w:rPr>
        <w:t>5.1.2</w:t>
      </w:r>
      <w:r w:rsidRPr="004B419F">
        <w:rPr>
          <w:b/>
        </w:rPr>
        <w:tab/>
        <w:t xml:space="preserve">Innovation local context </w:t>
      </w:r>
    </w:p>
    <w:p w:rsidR="007A1C4A" w:rsidRPr="00313A47" w:rsidRDefault="007A1C4A" w:rsidP="0078008A">
      <w:pPr>
        <w:spacing w:before="120" w:after="120" w:line="264" w:lineRule="auto"/>
        <w:rPr>
          <w:rFonts w:cs="Arial"/>
        </w:rPr>
      </w:pPr>
      <w:r w:rsidRPr="00313A47">
        <w:rPr>
          <w:rFonts w:cs="Arial"/>
        </w:rPr>
        <w:t xml:space="preserve">The findings of Appleby and colleagues stress the need for adaptability and local innovation. Harnessing local ingenuity and innovation is promoted by organisations such as the </w:t>
      </w:r>
      <w:r>
        <w:rPr>
          <w:rFonts w:cs="Arial"/>
        </w:rPr>
        <w:t>Institute for Healthcare Improvement (</w:t>
      </w:r>
      <w:r w:rsidRPr="00313A47">
        <w:rPr>
          <w:rFonts w:cs="Arial"/>
        </w:rPr>
        <w:t>IHI</w:t>
      </w:r>
      <w:r>
        <w:rPr>
          <w:rFonts w:cs="Arial"/>
        </w:rPr>
        <w:t>),</w:t>
      </w:r>
      <w:r w:rsidRPr="00313A47">
        <w:rPr>
          <w:rFonts w:cs="Arial"/>
        </w:rPr>
        <w:t xml:space="preserve"> and empirically supported in large system transformation.</w:t>
      </w:r>
      <w:r>
        <w:rPr>
          <w:rFonts w:cs="Arial"/>
        </w:rPr>
        <w:fldChar w:fldCharType="begin"/>
      </w:r>
      <w:r>
        <w:rPr>
          <w:rFonts w:cs="Arial"/>
        </w:rPr>
        <w:instrText xml:space="preserve"> ADDIN EN.CITE &lt;EndNote&gt;&lt;Cite&gt;&lt;Author&gt;Best A&lt;/Author&gt;&lt;Year&gt;2012&lt;/Year&gt;&lt;RecNum&gt;12224&lt;/RecNum&gt;&lt;record&gt;&lt;rec-number&gt;12224&lt;/rec-number&gt;&lt;foreign-keys&gt;&lt;key app="EN" db-id="5r0eapxzsestz4er5zaxe5zqz99fvpawedp5"&gt;12224&lt;/key&gt;&lt;/foreign-keys&gt;&lt;ref-type name="Journal Article"&gt;17&lt;/ref-type&gt;&lt;contributors&gt;&lt;authors&gt;&lt;author&gt;Best A,&lt;/author&gt;&lt;author&gt;Greenhalgh T,&lt;/author&gt;&lt;author&gt;Lewis S,&lt;/author&gt;&lt;author&gt;Saul JE,&lt;/author&gt;&lt;author&gt;Carroll S,&lt;/author&gt;&lt;author&gt;Bitz J &lt;/author&gt;&lt;/authors&gt;&lt;/contributors&gt;&lt;titles&gt;&lt;title&gt;Large-System Transformation in Health Care: A Realist Review&lt;/title&gt;&lt;secondary-title&gt;The Milbank Quarterly 2012&lt;/secondary-title&gt;&lt;/titles&gt;&lt;periodical&gt;&lt;full-title&gt;The Milbank Quarterly 2012&lt;/full-title&gt;&lt;/periodical&gt;&lt;pages&gt;421-456&lt;/pages&gt;&lt;volume&gt;90&lt;/volume&gt;&lt;number&gt;3&lt;/number&gt;&lt;dates&gt;&lt;year&gt;2012&lt;/year&gt;&lt;/dates&gt;&lt;urls&gt;&lt;/urls&gt;&lt;/record&gt;&lt;/Cite&gt;&lt;/EndNote&gt;</w:instrText>
      </w:r>
      <w:r>
        <w:rPr>
          <w:rFonts w:cs="Arial"/>
        </w:rPr>
        <w:fldChar w:fldCharType="separate"/>
      </w:r>
      <w:r w:rsidRPr="00313A47">
        <w:rPr>
          <w:rFonts w:cs="Arial"/>
          <w:noProof/>
          <w:vertAlign w:val="superscript"/>
        </w:rPr>
        <w:t>7</w:t>
      </w:r>
      <w:r>
        <w:rPr>
          <w:rFonts w:cs="Arial"/>
        </w:rPr>
        <w:fldChar w:fldCharType="end"/>
      </w:r>
      <w:r w:rsidRPr="00313A47">
        <w:rPr>
          <w:rFonts w:cs="Arial"/>
        </w:rPr>
        <w:t xml:space="preserve"> </w:t>
      </w:r>
    </w:p>
    <w:p w:rsidR="007A1C4A" w:rsidRDefault="007A1C4A" w:rsidP="0078008A">
      <w:pPr>
        <w:spacing w:before="120" w:after="120" w:line="264" w:lineRule="auto"/>
        <w:rPr>
          <w:rFonts w:cs="Arial"/>
        </w:rPr>
      </w:pPr>
      <w:r w:rsidRPr="00313A47">
        <w:rPr>
          <w:rFonts w:cs="Arial"/>
        </w:rPr>
        <w:t>An Australian example of local practice improvement resulting in both better patient outcome</w:t>
      </w:r>
      <w:r>
        <w:rPr>
          <w:rFonts w:cs="Arial"/>
        </w:rPr>
        <w:t>s and efficiency is provided in the box below</w:t>
      </w:r>
      <w:r w:rsidRPr="00313A47">
        <w:rPr>
          <w:rFonts w:cs="Arial"/>
        </w:rPr>
        <w:t>.</w:t>
      </w:r>
      <w:r>
        <w:rPr>
          <w:rFonts w:cs="Arial"/>
        </w:rPr>
        <w:t xml:space="preserve"> </w:t>
      </w:r>
    </w:p>
    <w:tbl>
      <w:tblPr>
        <w:tblW w:w="10080" w:type="dxa"/>
        <w:tblInd w:w="-612" w:type="dxa"/>
        <w:tblLook w:val="01E0" w:firstRow="1" w:lastRow="1" w:firstColumn="1" w:lastColumn="1" w:noHBand="0" w:noVBand="0"/>
      </w:tblPr>
      <w:tblGrid>
        <w:gridCol w:w="10080"/>
      </w:tblGrid>
      <w:tr w:rsidR="007A1C4A" w:rsidRPr="0078008A" w:rsidTr="00085D0F">
        <w:tc>
          <w:tcPr>
            <w:tcW w:w="10080" w:type="dxa"/>
            <w:shd w:val="clear" w:color="auto" w:fill="CCFFFF"/>
          </w:tcPr>
          <w:p w:rsidR="007A1C4A" w:rsidRPr="0078008A" w:rsidRDefault="007A1C4A" w:rsidP="00345107">
            <w:pPr>
              <w:spacing w:before="120" w:after="120" w:line="264" w:lineRule="auto"/>
              <w:rPr>
                <w:rFonts w:cs="Arial"/>
                <w:b/>
                <w:szCs w:val="24"/>
              </w:rPr>
            </w:pPr>
            <w:r w:rsidRPr="0078008A">
              <w:rPr>
                <w:rFonts w:cs="Arial"/>
                <w:b/>
                <w:szCs w:val="24"/>
              </w:rPr>
              <w:t xml:space="preserve">Door to balloon times at Sir Charles Gairdner Hospital (SCGH) </w:t>
            </w:r>
            <w:r w:rsidRPr="0078008A">
              <w:rPr>
                <w:rFonts w:cs="Arial"/>
                <w:b/>
                <w:szCs w:val="24"/>
              </w:rPr>
              <w:fldChar w:fldCharType="begin"/>
            </w:r>
            <w:r w:rsidRPr="0078008A">
              <w:rPr>
                <w:rFonts w:cs="Arial"/>
                <w:b/>
                <w:szCs w:val="24"/>
              </w:rPr>
              <w:instrText xml:space="preserve"> ADDIN EN.CITE &lt;EndNote&gt;&lt;Cite&gt;&lt;Author&gt;Willson AB&lt;/Author&gt;&lt;Year&gt;2010&lt;/Year&gt;&lt;RecNum&gt;12217&lt;/RecNum&gt;&lt;record&gt;&lt;rec-number&gt;12217&lt;/rec-number&gt;&lt;foreign-keys&gt;&lt;key app="EN" db-id="5r0eapxzsestz4er5zaxe5zqz99fvpawedp5"&gt;12217&lt;/key&gt;&lt;/foreign-keys&gt;&lt;ref-type name="Journal Article"&gt;17&lt;/ref-type&gt;&lt;contributors&gt;&lt;authors&gt;&lt;author&gt;Willson AB,&lt;/author&gt;&lt;author&gt;Mountain D,&lt;/author&gt;&lt;author&gt;et al,&lt;/author&gt;&lt;/authors&gt;&lt;/contributors&gt;&lt;titles&gt;&lt;title&gt;Door-to-balloon times are reduced in ST-elevation myocardial infarction by emergency physician activation of the cardiac catheterisation laboratory and immediate patient transfer&lt;/title&gt;&lt;secondary-title&gt;Medical Journal of Australia&lt;/secondary-title&gt;&lt;/titles&gt;&lt;periodical&gt;&lt;full-title&gt;Medical Journal of Australia&lt;/full-title&gt;&lt;/periodical&gt;&lt;pages&gt;207-212&lt;/pages&gt;&lt;volume&gt;193&lt;/volume&gt;&lt;number&gt;4&lt;/number&gt;&lt;dates&gt;&lt;year&gt;2010&lt;/year&gt;&lt;/dates&gt;&lt;urls&gt;&lt;/urls&gt;&lt;/record&gt;&lt;/Cite&gt;&lt;/EndNote&gt;</w:instrText>
            </w:r>
            <w:r w:rsidRPr="0078008A">
              <w:rPr>
                <w:rFonts w:cs="Arial"/>
                <w:b/>
                <w:szCs w:val="24"/>
              </w:rPr>
              <w:fldChar w:fldCharType="separate"/>
            </w:r>
            <w:r w:rsidRPr="0078008A">
              <w:rPr>
                <w:rFonts w:cs="Arial"/>
                <w:b/>
                <w:noProof/>
                <w:szCs w:val="24"/>
                <w:vertAlign w:val="superscript"/>
              </w:rPr>
              <w:t>8</w:t>
            </w:r>
            <w:r w:rsidRPr="0078008A">
              <w:rPr>
                <w:rFonts w:cs="Arial"/>
                <w:b/>
                <w:szCs w:val="24"/>
              </w:rPr>
              <w:fldChar w:fldCharType="end"/>
            </w:r>
          </w:p>
          <w:p w:rsidR="007A1C4A" w:rsidRPr="006349CE" w:rsidRDefault="007A1C4A" w:rsidP="0078008A">
            <w:pPr>
              <w:spacing w:before="60" w:after="60" w:line="264" w:lineRule="auto"/>
              <w:rPr>
                <w:rFonts w:cs="Arial"/>
                <w:color w:val="000000"/>
                <w:sz w:val="20"/>
              </w:rPr>
            </w:pPr>
            <w:r w:rsidRPr="006349CE">
              <w:rPr>
                <w:rFonts w:cs="Arial"/>
                <w:color w:val="000000"/>
                <w:sz w:val="20"/>
              </w:rPr>
              <w:t>Timely primary percutaneous coronary intervention (PCI) has proven mortality benefits over thrombolysis for treating ST-elevation myocardial infarction (STEMI). These benefits are time dependent with longer door-to-balloon (DTB) times associated with higher mortality. Guidelines recommend DTB times &lt; 90 minutes in 75% of cases presenting to institutions providing primary PCI. Australian registry data suggest these targets are rarely achieved.</w:t>
            </w:r>
          </w:p>
          <w:p w:rsidR="007A1C4A" w:rsidRPr="006349CE" w:rsidRDefault="007A1C4A" w:rsidP="0078008A">
            <w:pPr>
              <w:spacing w:before="60" w:after="60" w:line="264" w:lineRule="auto"/>
              <w:rPr>
                <w:rFonts w:cs="Arial"/>
                <w:color w:val="000000"/>
                <w:sz w:val="20"/>
              </w:rPr>
            </w:pPr>
            <w:r w:rsidRPr="006349CE">
              <w:rPr>
                <w:rFonts w:cs="Arial"/>
                <w:color w:val="000000"/>
                <w:sz w:val="20"/>
              </w:rPr>
              <w:t xml:space="preserve">A team at SCGH implemented an interdepartmental protocol of patient transfer from ED to the Cardiac Catheterisation Laboratory (CCL). Two important steps of the primary angioplasty pathway were improved: the decision-making process and transfer of the patient to the CCL. </w:t>
            </w:r>
          </w:p>
          <w:p w:rsidR="007A1C4A" w:rsidRPr="006349CE" w:rsidRDefault="007A1C4A" w:rsidP="0078008A">
            <w:pPr>
              <w:spacing w:before="60" w:after="60" w:line="264" w:lineRule="auto"/>
              <w:rPr>
                <w:rFonts w:cs="Arial"/>
                <w:color w:val="000000"/>
                <w:sz w:val="20"/>
              </w:rPr>
            </w:pPr>
            <w:r w:rsidRPr="006349CE">
              <w:rPr>
                <w:rFonts w:cs="Arial"/>
                <w:sz w:val="20"/>
              </w:rPr>
              <w:t xml:space="preserve">The change in the admission and transfer system through ED resulted in </w:t>
            </w:r>
            <w:r w:rsidRPr="006349CE">
              <w:rPr>
                <w:rFonts w:cs="Arial"/>
                <w:color w:val="000000"/>
                <w:sz w:val="20"/>
              </w:rPr>
              <w:t>immediate and sustained improvements with a highly significant 20-minute reduction in median DTB time and a marked increase in the proportion of patients with &lt; 90 minute DTB times. Secondary outcomes are likely to include reduced morbidity and complications, shortened NOS and earlier discharge.</w:t>
            </w:r>
          </w:p>
          <w:p w:rsidR="007A1C4A" w:rsidRPr="0078008A" w:rsidRDefault="007A1C4A" w:rsidP="0078008A">
            <w:pPr>
              <w:spacing w:before="60" w:after="60" w:line="264" w:lineRule="auto"/>
              <w:rPr>
                <w:rFonts w:cs="Arial"/>
                <w:color w:val="000000"/>
                <w:szCs w:val="24"/>
              </w:rPr>
            </w:pPr>
            <w:r w:rsidRPr="006349CE">
              <w:rPr>
                <w:rFonts w:cs="Arial"/>
                <w:color w:val="000000"/>
                <w:sz w:val="20"/>
              </w:rPr>
              <w:t>This illustrates an effective process redesign at clinical microsystem level to ensure consistent evidence-based care.</w:t>
            </w:r>
            <w:r w:rsidRPr="0078008A">
              <w:rPr>
                <w:rFonts w:cs="Arial"/>
                <w:color w:val="000000"/>
                <w:szCs w:val="24"/>
              </w:rPr>
              <w:t xml:space="preserve"> </w:t>
            </w:r>
            <w:r w:rsidRPr="0078008A">
              <w:rPr>
                <w:rFonts w:cs="Arial"/>
                <w:color w:val="000000"/>
                <w:szCs w:val="24"/>
              </w:rPr>
              <w:fldChar w:fldCharType="begin"/>
            </w:r>
            <w:r w:rsidRPr="0078008A">
              <w:rPr>
                <w:rFonts w:cs="Arial"/>
                <w:color w:val="000000"/>
                <w:szCs w:val="24"/>
              </w:rPr>
              <w:instrText xml:space="preserve"> ADDIN EN.CITE &lt;EndNote&gt;&lt;Cite&gt;&lt;Author&gt;Willson AB&lt;/Author&gt;&lt;Year&gt;2010&lt;/Year&gt;&lt;RecNum&gt;12217&lt;/RecNum&gt;&lt;record&gt;&lt;rec-number&gt;12217&lt;/rec-number&gt;&lt;foreign-keys&gt;&lt;key app="EN" db-id="5r0eapxzsestz4er5zaxe5zqz99fvpawedp5"&gt;12217&lt;/key&gt;&lt;/foreign-keys&gt;&lt;ref-type name="Journal Article"&gt;17&lt;/ref-type&gt;&lt;contributors&gt;&lt;authors&gt;&lt;author&gt;Willson AB,&lt;/author&gt;&lt;author&gt;Mountain D,&lt;/author&gt;&lt;author&gt;et al,&lt;/author&gt;&lt;/authors&gt;&lt;/contributors&gt;&lt;titles&gt;&lt;title&gt;Door-to-balloon times are reduced in ST-elevation myocardial infarction by emergency physician activation of the cardiac catheterisation laboratory and immediate patient transfer&lt;/title&gt;&lt;secondary-title&gt;Medical Journal of Australia&lt;/secondary-title&gt;&lt;/titles&gt;&lt;periodical&gt;&lt;full-title&gt;Medical Journal of Australia&lt;/full-title&gt;&lt;/periodical&gt;&lt;pages&gt;207-212&lt;/pages&gt;&lt;volume&gt;193&lt;/volume&gt;&lt;number&gt;4&lt;/number&gt;&lt;dates&gt;&lt;year&gt;2010&lt;/year&gt;&lt;/dates&gt;&lt;urls&gt;&lt;/urls&gt;&lt;/record&gt;&lt;/Cite&gt;&lt;/EndNote&gt;</w:instrText>
            </w:r>
            <w:r w:rsidRPr="0078008A">
              <w:rPr>
                <w:rFonts w:cs="Arial"/>
                <w:color w:val="000000"/>
                <w:szCs w:val="24"/>
              </w:rPr>
              <w:fldChar w:fldCharType="separate"/>
            </w:r>
            <w:r w:rsidRPr="0078008A">
              <w:rPr>
                <w:rFonts w:cs="Arial"/>
                <w:noProof/>
                <w:color w:val="000000"/>
                <w:szCs w:val="24"/>
                <w:vertAlign w:val="superscript"/>
              </w:rPr>
              <w:t>8</w:t>
            </w:r>
            <w:r w:rsidRPr="0078008A">
              <w:rPr>
                <w:rFonts w:cs="Arial"/>
                <w:color w:val="000000"/>
                <w:szCs w:val="24"/>
              </w:rPr>
              <w:fldChar w:fldCharType="end"/>
            </w:r>
          </w:p>
        </w:tc>
      </w:tr>
    </w:tbl>
    <w:p w:rsidR="007A1C4A" w:rsidRDefault="007A1C4A" w:rsidP="00754132">
      <w:pPr>
        <w:spacing w:before="240" w:after="120"/>
        <w:rPr>
          <w:b/>
        </w:rPr>
        <w:sectPr w:rsidR="007A1C4A" w:rsidSect="00DE0D1D">
          <w:footerReference w:type="default" r:id="rId23"/>
          <w:pgSz w:w="11906" w:h="16838"/>
          <w:pgMar w:top="1440" w:right="1800" w:bottom="1440" w:left="1800" w:header="708" w:footer="708" w:gutter="0"/>
          <w:cols w:space="708"/>
          <w:docGrid w:linePitch="360"/>
        </w:sectPr>
      </w:pPr>
    </w:p>
    <w:p w:rsidR="007A1C4A" w:rsidRDefault="00136D25" w:rsidP="00754132">
      <w:r>
        <w:rPr>
          <w:noProof/>
          <w:lang w:val="en-US"/>
        </w:rPr>
        <w:lastRenderedPageBreak/>
        <w:pict>
          <v:shape id="_x0000_s1059" type="#_x0000_t202" style="position:absolute;margin-left:-36pt;margin-top:-1in;width:675pt;height:27pt;z-index:35" filled="f" stroked="f">
            <v:fill opacity="0"/>
            <v:textbox style="mso-next-textbox:#_x0000_s1059">
              <w:txbxContent>
                <w:p w:rsidR="00E25107" w:rsidRPr="00D97C16" w:rsidRDefault="00E25107" w:rsidP="00754132">
                  <w:pPr>
                    <w:rPr>
                      <w:rFonts w:cs="Arial"/>
                      <w:sz w:val="22"/>
                      <w:szCs w:val="22"/>
                    </w:rPr>
                  </w:pPr>
                  <w:r>
                    <w:rPr>
                      <w:rFonts w:cs="Arial"/>
                      <w:b/>
                      <w:sz w:val="22"/>
                      <w:szCs w:val="22"/>
                    </w:rPr>
                    <w:t>Figure 2. Factors in health system performance and provider behaviour</w:t>
                  </w:r>
                </w:p>
              </w:txbxContent>
            </v:textbox>
          </v:shape>
        </w:pict>
      </w:r>
      <w:r>
        <w:rPr>
          <w:noProof/>
          <w:lang w:val="en-US"/>
        </w:rPr>
        <w:pict>
          <v:group id="_x0000_s1060" style="position:absolute;margin-left:-47.25pt;margin-top:-45pt;width:785.25pt;height:495pt;z-index:34" coordorigin="495,900" coordsize="15705,9900">
            <v:shape id="_x0000_s1061" type="#_x0000_t202" style="position:absolute;left:7215;top:4830;width:2340;height:900" strokecolor="green">
              <v:textbox style="mso-next-textbox:#_x0000_s1061">
                <w:txbxContent>
                  <w:p w:rsidR="00E25107" w:rsidRPr="00B66C81" w:rsidRDefault="00E25107" w:rsidP="00754132">
                    <w:pPr>
                      <w:jc w:val="center"/>
                      <w:rPr>
                        <w:rFonts w:cs="Arial"/>
                        <w:b/>
                        <w:color w:val="008000"/>
                        <w:sz w:val="28"/>
                        <w:szCs w:val="28"/>
                      </w:rPr>
                    </w:pPr>
                    <w:r w:rsidRPr="00B66C81">
                      <w:rPr>
                        <w:rFonts w:cs="Arial"/>
                        <w:b/>
                        <w:color w:val="008000"/>
                        <w:sz w:val="28"/>
                        <w:szCs w:val="28"/>
                      </w:rPr>
                      <w:t>High q</w:t>
                    </w:r>
                    <w:r>
                      <w:rPr>
                        <w:rFonts w:cs="Arial"/>
                        <w:b/>
                        <w:color w:val="008000"/>
                        <w:sz w:val="28"/>
                        <w:szCs w:val="28"/>
                      </w:rPr>
                      <w:t xml:space="preserve">uality hospital care  </w:t>
                    </w:r>
                  </w:p>
                </w:txbxContent>
              </v:textbox>
            </v:shape>
            <v:roundrect id="_x0000_s1062" style="position:absolute;left:1260;top:6300;width:2340;height:720" arcsize="10923f" fillcolor="#ff9" strokecolor="#9c0">
              <v:textbox style="mso-next-textbox:#_x0000_s1062">
                <w:txbxContent>
                  <w:p w:rsidR="00E25107" w:rsidRPr="007311D6" w:rsidRDefault="00E25107" w:rsidP="00754132">
                    <w:pPr>
                      <w:jc w:val="center"/>
                      <w:rPr>
                        <w:rFonts w:cs="Arial"/>
                        <w:sz w:val="20"/>
                      </w:rPr>
                    </w:pPr>
                    <w:r>
                      <w:rPr>
                        <w:rFonts w:cs="Arial"/>
                        <w:sz w:val="20"/>
                      </w:rPr>
                      <w:t>ABF &amp; pricing for quality</w:t>
                    </w:r>
                  </w:p>
                </w:txbxContent>
              </v:textbox>
            </v:roundrect>
            <v:roundrect id="_x0000_s1063" style="position:absolute;left:3960;top:1260;width:2340;height:720" arcsize="10923f" strokecolor="#9cf">
              <v:textbox style="mso-next-textbox:#_x0000_s1063">
                <w:txbxContent>
                  <w:p w:rsidR="00E25107" w:rsidRPr="007311D6" w:rsidRDefault="00E25107" w:rsidP="00754132">
                    <w:pPr>
                      <w:jc w:val="center"/>
                      <w:rPr>
                        <w:rFonts w:cs="Arial"/>
                        <w:sz w:val="20"/>
                      </w:rPr>
                    </w:pPr>
                    <w:r>
                      <w:rPr>
                        <w:rFonts w:cs="Arial"/>
                        <w:sz w:val="20"/>
                      </w:rPr>
                      <w:t>Performance Framework (PAF)</w:t>
                    </w:r>
                  </w:p>
                </w:txbxContent>
              </v:textbox>
            </v:roundrect>
            <v:roundrect id="_x0000_s1064" style="position:absolute;left:6480;top:900;width:2340;height:720" arcsize="10923f" strokecolor="#9cf">
              <v:textbox style="mso-next-textbox:#_x0000_s1064">
                <w:txbxContent>
                  <w:p w:rsidR="00E25107" w:rsidRPr="007311D6" w:rsidRDefault="00E25107" w:rsidP="00754132">
                    <w:pPr>
                      <w:jc w:val="center"/>
                      <w:rPr>
                        <w:rFonts w:cs="Arial"/>
                        <w:sz w:val="20"/>
                      </w:rPr>
                    </w:pPr>
                    <w:r>
                      <w:rPr>
                        <w:rFonts w:cs="Arial"/>
                        <w:sz w:val="20"/>
                      </w:rPr>
                      <w:t>NSQHS Standards &amp; Accreditation</w:t>
                    </w:r>
                  </w:p>
                </w:txbxContent>
              </v:textbox>
            </v:roundrect>
            <v:roundrect id="_x0000_s1065" style="position:absolute;left:495;top:4635;width:3780;height:1260" arcsize="10923f" strokecolor="#9c0">
              <v:textbox style="mso-next-textbox:#_x0000_s1065">
                <w:txbxContent>
                  <w:p w:rsidR="00E25107" w:rsidRDefault="00E25107" w:rsidP="00754132">
                    <w:pPr>
                      <w:rPr>
                        <w:rFonts w:cs="Arial"/>
                        <w:sz w:val="20"/>
                      </w:rPr>
                    </w:pPr>
                    <w:r>
                      <w:rPr>
                        <w:rFonts w:cs="Arial"/>
                        <w:sz w:val="20"/>
                      </w:rPr>
                      <w:t>Data &amp; information:</w:t>
                    </w:r>
                  </w:p>
                  <w:p w:rsidR="00E25107" w:rsidRPr="00C940F5" w:rsidRDefault="00E25107" w:rsidP="00754132">
                    <w:pPr>
                      <w:numPr>
                        <w:ilvl w:val="0"/>
                        <w:numId w:val="19"/>
                      </w:numPr>
                      <w:rPr>
                        <w:rFonts w:cs="Arial"/>
                        <w:sz w:val="20"/>
                      </w:rPr>
                    </w:pPr>
                    <w:r w:rsidRPr="00C940F5">
                      <w:rPr>
                        <w:rFonts w:cs="Arial"/>
                        <w:sz w:val="20"/>
                      </w:rPr>
                      <w:t>core hospital outcome indicators</w:t>
                    </w:r>
                  </w:p>
                  <w:p w:rsidR="00E25107" w:rsidRPr="00C940F5" w:rsidRDefault="00E25107" w:rsidP="00754132">
                    <w:pPr>
                      <w:numPr>
                        <w:ilvl w:val="0"/>
                        <w:numId w:val="19"/>
                      </w:numPr>
                      <w:rPr>
                        <w:rFonts w:cs="Arial"/>
                        <w:sz w:val="20"/>
                      </w:rPr>
                    </w:pPr>
                    <w:r w:rsidRPr="00C940F5">
                      <w:rPr>
                        <w:rFonts w:cs="Arial"/>
                        <w:sz w:val="20"/>
                      </w:rPr>
                      <w:t>registries</w:t>
                    </w:r>
                  </w:p>
                  <w:p w:rsidR="00E25107" w:rsidRPr="00C940F5" w:rsidRDefault="00E25107" w:rsidP="00754132">
                    <w:pPr>
                      <w:numPr>
                        <w:ilvl w:val="0"/>
                        <w:numId w:val="19"/>
                      </w:numPr>
                      <w:rPr>
                        <w:rFonts w:cs="Arial"/>
                        <w:sz w:val="20"/>
                      </w:rPr>
                    </w:pPr>
                    <w:r w:rsidRPr="00C940F5">
                      <w:rPr>
                        <w:rFonts w:cs="Arial"/>
                        <w:sz w:val="20"/>
                      </w:rPr>
                      <w:t>patient experience in hospitals</w:t>
                    </w:r>
                  </w:p>
                </w:txbxContent>
              </v:textbox>
            </v:roundrect>
            <v:roundrect id="_x0000_s1066" style="position:absolute;left:4500;top:8871;width:2340;height:720" arcsize="10923f" strokecolor="green">
              <v:textbox style="mso-next-textbox:#_x0000_s1066">
                <w:txbxContent>
                  <w:p w:rsidR="00E25107" w:rsidRPr="007311D6" w:rsidRDefault="00E25107" w:rsidP="00754132">
                    <w:pPr>
                      <w:jc w:val="center"/>
                      <w:rPr>
                        <w:rFonts w:cs="Arial"/>
                        <w:sz w:val="20"/>
                      </w:rPr>
                    </w:pPr>
                    <w:r>
                      <w:rPr>
                        <w:rFonts w:cs="Arial"/>
                        <w:sz w:val="20"/>
                      </w:rPr>
                      <w:t>Partnering with consumers</w:t>
                    </w:r>
                  </w:p>
                </w:txbxContent>
              </v:textbox>
            </v:roundrect>
            <v:roundrect id="_x0000_s1067" style="position:absolute;left:13320;top:5580;width:2880;height:720" arcsize="10923f" strokecolor="#c9f">
              <v:textbox style="mso-next-textbox:#_x0000_s1067">
                <w:txbxContent>
                  <w:p w:rsidR="00E25107" w:rsidRPr="007311D6" w:rsidRDefault="00E25107" w:rsidP="00754132">
                    <w:pPr>
                      <w:jc w:val="center"/>
                      <w:rPr>
                        <w:rFonts w:cs="Arial"/>
                        <w:sz w:val="20"/>
                      </w:rPr>
                    </w:pPr>
                    <w:r>
                      <w:rPr>
                        <w:rFonts w:cs="Arial"/>
                        <w:sz w:val="20"/>
                      </w:rPr>
                      <w:t>Workforce development &amp; education</w:t>
                    </w:r>
                  </w:p>
                </w:txbxContent>
              </v:textbox>
            </v:roundrect>
            <v:roundrect id="_x0000_s1068" style="position:absolute;left:13425;top:4575;width:2340;height:540" arcsize="10923f" strokecolor="#c9f">
              <v:textbox style="mso-next-textbox:#_x0000_s1068">
                <w:txbxContent>
                  <w:p w:rsidR="00E25107" w:rsidRPr="007311D6" w:rsidRDefault="00E25107" w:rsidP="00754132">
                    <w:pPr>
                      <w:jc w:val="center"/>
                      <w:rPr>
                        <w:rFonts w:cs="Arial"/>
                        <w:sz w:val="20"/>
                      </w:rPr>
                    </w:pPr>
                    <w:r>
                      <w:rPr>
                        <w:rFonts w:cs="Arial"/>
                        <w:sz w:val="20"/>
                      </w:rPr>
                      <w:t>Leadership</w:t>
                    </w:r>
                  </w:p>
                </w:txbxContent>
              </v:textbox>
            </v:roundrect>
            <v:roundrect id="_x0000_s1069" style="position:absolute;left:13140;top:6660;width:3060;height:720" arcsize="10923f" strokecolor="#c9f">
              <v:textbox style="mso-next-textbox:#_x0000_s1069">
                <w:txbxContent>
                  <w:p w:rsidR="00E25107" w:rsidRPr="007311D6" w:rsidRDefault="00E25107" w:rsidP="00754132">
                    <w:pPr>
                      <w:jc w:val="center"/>
                      <w:rPr>
                        <w:rFonts w:cs="Arial"/>
                        <w:sz w:val="20"/>
                      </w:rPr>
                    </w:pPr>
                    <w:r>
                      <w:rPr>
                        <w:rFonts w:cs="Arial"/>
                        <w:sz w:val="20"/>
                      </w:rPr>
                      <w:t>Organisational development &amp; collaboration</w:t>
                    </w:r>
                  </w:p>
                </w:txbxContent>
              </v:textbox>
            </v:roundrect>
            <v:roundrect id="_x0000_s1070" style="position:absolute;left:1440;top:2520;width:2340;height:720" arcsize="10923f" strokecolor="#9c0">
              <v:textbox style="mso-next-textbox:#_x0000_s1070">
                <w:txbxContent>
                  <w:p w:rsidR="00E25107" w:rsidRPr="007311D6" w:rsidRDefault="00E25107" w:rsidP="00754132">
                    <w:pPr>
                      <w:jc w:val="center"/>
                      <w:rPr>
                        <w:rFonts w:cs="Arial"/>
                        <w:sz w:val="20"/>
                      </w:rPr>
                    </w:pPr>
                    <w:r>
                      <w:rPr>
                        <w:rFonts w:cs="Arial"/>
                        <w:sz w:val="20"/>
                      </w:rPr>
                      <w:t>Intrinsic rewards &amp; reputation</w:t>
                    </w:r>
                  </w:p>
                </w:txbxContent>
              </v:textbox>
            </v:roundrect>
            <v:roundrect id="_x0000_s1071" style="position:absolute;left:1080;top:3645;width:2340;height:660" arcsize="10923f" strokecolor="#9c0">
              <v:textbox style="mso-next-textbox:#_x0000_s1071">
                <w:txbxContent>
                  <w:p w:rsidR="00E25107" w:rsidRPr="007311D6" w:rsidRDefault="00E25107" w:rsidP="00754132">
                    <w:pPr>
                      <w:jc w:val="center"/>
                      <w:rPr>
                        <w:rFonts w:cs="Arial"/>
                        <w:sz w:val="20"/>
                      </w:rPr>
                    </w:pPr>
                    <w:r>
                      <w:rPr>
                        <w:rFonts w:cs="Arial"/>
                        <w:sz w:val="20"/>
                      </w:rPr>
                      <w:t xml:space="preserve">Transparency; public reporting </w:t>
                    </w:r>
                  </w:p>
                </w:txbxContent>
              </v:textbox>
            </v:roundrect>
            <v:roundrect id="_x0000_s1072" style="position:absolute;left:13140;top:3420;width:2700;height:720" arcsize="10923f" strokecolor="#c9f">
              <v:textbox style="mso-next-textbox:#_x0000_s1072">
                <w:txbxContent>
                  <w:p w:rsidR="00E25107" w:rsidRPr="007311D6" w:rsidRDefault="00E25107" w:rsidP="00754132">
                    <w:pPr>
                      <w:jc w:val="center"/>
                      <w:rPr>
                        <w:rFonts w:cs="Arial"/>
                        <w:sz w:val="20"/>
                      </w:rPr>
                    </w:pPr>
                    <w:r>
                      <w:rPr>
                        <w:rFonts w:cs="Arial"/>
                        <w:sz w:val="20"/>
                      </w:rPr>
                      <w:t>Clinical care standards and guidelines</w:t>
                    </w:r>
                  </w:p>
                </w:txbxContent>
              </v:textbox>
            </v:roundrect>
            <v:roundrect id="_x0000_s1073" style="position:absolute;left:9000;top:900;width:2340;height:720" arcsize="10923f" strokecolor="#9cf">
              <v:textbox style="mso-next-textbox:#_x0000_s1073">
                <w:txbxContent>
                  <w:p w:rsidR="00E25107" w:rsidRPr="007311D6" w:rsidRDefault="00E25107" w:rsidP="00754132">
                    <w:pPr>
                      <w:jc w:val="center"/>
                      <w:rPr>
                        <w:rFonts w:cs="Arial"/>
                        <w:sz w:val="20"/>
                      </w:rPr>
                    </w:pPr>
                    <w:r>
                      <w:rPr>
                        <w:rFonts w:cs="Arial"/>
                        <w:sz w:val="20"/>
                      </w:rPr>
                      <w:t xml:space="preserve">National S&amp;Q Goals for Health Care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left:7020;top:2160;width:2880;height:1620" fillcolor="#9cf" stroked="f">
              <v:textbox style="mso-next-textbox:#_x0000_s1074">
                <w:txbxContent>
                  <w:p w:rsidR="00E25107" w:rsidRDefault="00E25107" w:rsidP="00754132">
                    <w:pPr>
                      <w:rPr>
                        <w:rFonts w:cs="Arial"/>
                        <w:sz w:val="20"/>
                      </w:rPr>
                    </w:pPr>
                  </w:p>
                  <w:p w:rsidR="00E25107" w:rsidRPr="001F2B88" w:rsidRDefault="00E25107" w:rsidP="00754132">
                    <w:pPr>
                      <w:jc w:val="center"/>
                      <w:rPr>
                        <w:rFonts w:cs="Arial"/>
                        <w:b/>
                        <w:sz w:val="20"/>
                      </w:rPr>
                    </w:pPr>
                    <w:r w:rsidRPr="001F2B88">
                      <w:rPr>
                        <w:rFonts w:cs="Arial"/>
                        <w:b/>
                        <w:sz w:val="20"/>
                      </w:rPr>
                      <w:t>Regulation</w:t>
                    </w:r>
                    <w:r>
                      <w:rPr>
                        <w:rFonts w:cs="Arial"/>
                        <w:b/>
                        <w:sz w:val="20"/>
                      </w:rPr>
                      <w:t xml:space="preserve"> &amp; governance</w:t>
                    </w:r>
                  </w:p>
                </w:txbxContent>
              </v:textbox>
            </v:shape>
            <v:shape id="_x0000_s1075" type="#_x0000_t67" style="position:absolute;left:4590;top:4410;width:2520;height:1620;rotation:270" fillcolor="#9c0" stroked="f">
              <v:textbox style="mso-next-textbox:#_x0000_s1075">
                <w:txbxContent>
                  <w:p w:rsidR="00E25107" w:rsidRDefault="00E25107" w:rsidP="00754132">
                    <w:pPr>
                      <w:rPr>
                        <w:rFonts w:cs="Arial"/>
                        <w:sz w:val="20"/>
                      </w:rPr>
                    </w:pPr>
                  </w:p>
                  <w:p w:rsidR="00E25107" w:rsidRPr="001F2B88" w:rsidRDefault="00E25107" w:rsidP="00754132">
                    <w:pPr>
                      <w:jc w:val="center"/>
                      <w:rPr>
                        <w:rFonts w:cs="Arial"/>
                        <w:b/>
                        <w:sz w:val="20"/>
                      </w:rPr>
                    </w:pPr>
                    <w:r>
                      <w:rPr>
                        <w:rFonts w:cs="Arial"/>
                        <w:b/>
                        <w:sz w:val="20"/>
                      </w:rPr>
                      <w:t>Incentives &amp; monitoring</w:t>
                    </w:r>
                  </w:p>
                </w:txbxContent>
              </v:textbox>
            </v:shape>
            <v:shape id="_x0000_s1076" type="#_x0000_t67" style="position:absolute;left:9810;top:4410;width:2520;height:1620;rotation:90" fillcolor="#c9f" stroked="f">
              <v:textbox style="mso-next-textbox:#_x0000_s1076">
                <w:txbxContent>
                  <w:p w:rsidR="00E25107" w:rsidRDefault="00E25107" w:rsidP="00754132">
                    <w:pPr>
                      <w:rPr>
                        <w:rFonts w:cs="Arial"/>
                        <w:sz w:val="20"/>
                      </w:rPr>
                    </w:pPr>
                  </w:p>
                  <w:p w:rsidR="00E25107" w:rsidRPr="001F2B88" w:rsidRDefault="00E25107" w:rsidP="00754132">
                    <w:pPr>
                      <w:jc w:val="center"/>
                      <w:rPr>
                        <w:rFonts w:cs="Arial"/>
                        <w:b/>
                        <w:sz w:val="20"/>
                      </w:rPr>
                    </w:pPr>
                    <w:r>
                      <w:rPr>
                        <w:rFonts w:cs="Arial"/>
                        <w:b/>
                        <w:sz w:val="20"/>
                      </w:rPr>
                      <w:t>Capacity &amp; capability</w:t>
                    </w:r>
                  </w:p>
                </w:txbxContent>
              </v:textbox>
            </v:shape>
            <v:shape id="_x0000_s1077" type="#_x0000_t67" style="position:absolute;left:7020;top:6660;width:2880;height:1620;rotation:180" fillcolor="#396" stroked="f">
              <v:textbox style="mso-next-textbox:#_x0000_s1077">
                <w:txbxContent>
                  <w:p w:rsidR="00E25107" w:rsidRDefault="00E25107" w:rsidP="00754132">
                    <w:pPr>
                      <w:rPr>
                        <w:rFonts w:cs="Arial"/>
                        <w:sz w:val="20"/>
                      </w:rPr>
                    </w:pPr>
                  </w:p>
                  <w:p w:rsidR="00E25107" w:rsidRPr="001F2B88" w:rsidRDefault="00E25107" w:rsidP="00754132">
                    <w:pPr>
                      <w:jc w:val="center"/>
                      <w:rPr>
                        <w:rFonts w:cs="Arial"/>
                        <w:b/>
                        <w:sz w:val="20"/>
                      </w:rPr>
                    </w:pPr>
                    <w:r>
                      <w:rPr>
                        <w:rFonts w:cs="Arial"/>
                        <w:b/>
                        <w:sz w:val="20"/>
                      </w:rPr>
                      <w:t xml:space="preserve"> Consumers &amp; demand </w:t>
                    </w:r>
                  </w:p>
                </w:txbxContent>
              </v:textbox>
            </v:shape>
            <v:roundrect id="_x0000_s1078" style="position:absolute;left:10080;top:8895;width:2340;height:720" arcsize="10923f" strokecolor="green">
              <v:textbox style="mso-next-textbox:#_x0000_s1078">
                <w:txbxContent>
                  <w:p w:rsidR="00E25107" w:rsidRPr="007311D6" w:rsidRDefault="00E25107" w:rsidP="00754132">
                    <w:pPr>
                      <w:jc w:val="center"/>
                      <w:rPr>
                        <w:rFonts w:cs="Arial"/>
                        <w:sz w:val="20"/>
                      </w:rPr>
                    </w:pPr>
                    <w:r>
                      <w:rPr>
                        <w:rFonts w:cs="Arial"/>
                        <w:sz w:val="20"/>
                      </w:rPr>
                      <w:t xml:space="preserve">Prevention and health management </w:t>
                    </w:r>
                  </w:p>
                </w:txbxContent>
              </v:textbox>
            </v:roundrect>
            <v:roundrect id="_x0000_s1079" style="position:absolute;left:7342;top:9082;width:2340;height:540" arcsize="10923f" strokecolor="green">
              <v:textbox style="mso-next-textbox:#_x0000_s1079">
                <w:txbxContent>
                  <w:p w:rsidR="00E25107" w:rsidRPr="007311D6" w:rsidRDefault="00E25107" w:rsidP="00754132">
                    <w:pPr>
                      <w:jc w:val="center"/>
                      <w:rPr>
                        <w:rFonts w:cs="Arial"/>
                        <w:sz w:val="20"/>
                      </w:rPr>
                    </w:pPr>
                    <w:r>
                      <w:rPr>
                        <w:rFonts w:cs="Arial"/>
                        <w:sz w:val="20"/>
                      </w:rPr>
                      <w:t>Health literacy</w:t>
                    </w:r>
                  </w:p>
                </w:txbxContent>
              </v:textbox>
            </v:roundrect>
            <v:roundrect id="_x0000_s1080" style="position:absolute;left:11520;top:7740;width:2520;height:720" arcsize="10923f" strokecolor="#969696">
              <v:stroke dashstyle="dash"/>
              <v:textbox style="mso-next-textbox:#_x0000_s1080">
                <w:txbxContent>
                  <w:p w:rsidR="00E25107" w:rsidRDefault="00E25107" w:rsidP="00754132">
                    <w:pPr>
                      <w:jc w:val="center"/>
                      <w:rPr>
                        <w:rFonts w:cs="Arial"/>
                        <w:sz w:val="20"/>
                      </w:rPr>
                    </w:pPr>
                    <w:r>
                      <w:rPr>
                        <w:rFonts w:cs="Arial"/>
                        <w:sz w:val="20"/>
                      </w:rPr>
                      <w:t xml:space="preserve">Primary care &amp; </w:t>
                    </w:r>
                  </w:p>
                  <w:p w:rsidR="00E25107" w:rsidRPr="007311D6" w:rsidRDefault="00E25107" w:rsidP="00754132">
                    <w:pPr>
                      <w:jc w:val="center"/>
                      <w:rPr>
                        <w:rFonts w:cs="Arial"/>
                        <w:sz w:val="20"/>
                      </w:rPr>
                    </w:pPr>
                    <w:r>
                      <w:rPr>
                        <w:rFonts w:cs="Arial"/>
                        <w:sz w:val="20"/>
                      </w:rPr>
                      <w:t>hospital avoidance</w:t>
                    </w:r>
                  </w:p>
                </w:txbxContent>
              </v:textbox>
            </v:roundrect>
            <v:roundrect id="_x0000_s1081" style="position:absolute;left:11520;top:9996;width:2340;height:720" arcsize="10923f" strokecolor="green">
              <v:stroke dashstyle="dash"/>
              <v:textbox style="mso-next-textbox:#_x0000_s1081">
                <w:txbxContent>
                  <w:p w:rsidR="00E25107" w:rsidRPr="007311D6" w:rsidRDefault="00E25107" w:rsidP="00754132">
                    <w:pPr>
                      <w:jc w:val="center"/>
                      <w:rPr>
                        <w:rFonts w:cs="Arial"/>
                        <w:sz w:val="20"/>
                      </w:rPr>
                    </w:pPr>
                    <w:r>
                      <w:rPr>
                        <w:rFonts w:cs="Arial"/>
                        <w:sz w:val="20"/>
                      </w:rPr>
                      <w:t xml:space="preserve">Social determinants of health </w:t>
                    </w:r>
                  </w:p>
                </w:txbxContent>
              </v:textbox>
            </v:roundrect>
            <v:shape id="_x0000_s1082" style="position:absolute;left:2700;top:1260;width:1080;height:1080;mso-position-horizontal:absolute;mso-position-vertical:absolute" coordsize="900,750" path="m,750c30,540,60,330,180,210,300,90,600,60,720,30v120,-30,150,,180,e" filled="f" strokecolor="#969696" strokeweight="3pt">
              <v:stroke startarrow="block" endarrow="block"/>
              <v:path arrowok="t"/>
            </v:shape>
            <v:shape id="_x0000_s1083" style="position:absolute;left:3150;top:8370;width:900;height:720;rotation:270;mso-position-horizontal:absolute;mso-position-vertical:absolute" coordsize="900,750" path="m,750c30,540,60,330,180,210,300,90,600,60,720,30v120,-30,150,,180,e" filled="f" strokecolor="#969696" strokeweight="3pt">
              <v:stroke startarrow="block" endarrow="block"/>
              <v:path arrowok="t"/>
            </v:shape>
            <v:shape id="_x0000_s1084" style="position:absolute;left:13660;top:7911;width:1080;height:1080;rotation:11395829fd;mso-position-horizontal:absolute;mso-position-vertical:absolute" coordsize="900,750" path="m,750c30,540,60,330,180,210,300,90,600,60,720,30v120,-30,150,,180,e" filled="f" strokecolor="#969696" strokeweight="3pt">
              <v:stroke startarrow="block" endarrow="block"/>
              <v:path arrowok="t"/>
            </v:shape>
            <v:shape id="_x0000_s1085" style="position:absolute;left:13334;top:1980;width:1260;height:900;rotation:6559046fd;mso-position-horizontal:absolute;mso-position-vertical:absolute" coordsize="900,750" path="m,750c30,540,60,330,180,210,300,90,600,60,720,30v120,-30,150,,180,e" filled="f" strokecolor="#969696" strokeweight="3pt">
              <v:stroke startarrow="block" endarrow="block"/>
              <v:path arrowok="t"/>
            </v:shape>
            <v:roundrect id="_x0000_s1086" style="position:absolute;left:1620;top:7560;width:2340;height:540" arcsize="10923f" fillcolor="#ff9" strokecolor="#9c0">
              <v:textbox style="mso-next-textbox:#_x0000_s1086">
                <w:txbxContent>
                  <w:p w:rsidR="00E25107" w:rsidRPr="007311D6" w:rsidRDefault="00E25107" w:rsidP="00754132">
                    <w:pPr>
                      <w:jc w:val="center"/>
                      <w:rPr>
                        <w:rFonts w:cs="Arial"/>
                        <w:sz w:val="20"/>
                      </w:rPr>
                    </w:pPr>
                    <w:r>
                      <w:rPr>
                        <w:rFonts w:cs="Arial"/>
                        <w:sz w:val="20"/>
                      </w:rPr>
                      <w:t>P4P, PbR, VBP *</w:t>
                    </w:r>
                  </w:p>
                </w:txbxContent>
              </v:textbox>
            </v:roundrect>
            <v:roundrect id="_x0000_s1087" style="position:absolute;left:11520;top:1620;width:1800;height:540" arcsize="10923f" strokecolor="#9cf">
              <v:textbox style="mso-next-textbox:#_x0000_s1087">
                <w:txbxContent>
                  <w:p w:rsidR="00E25107" w:rsidRPr="007311D6" w:rsidRDefault="00E25107" w:rsidP="00754132">
                    <w:pPr>
                      <w:jc w:val="center"/>
                      <w:rPr>
                        <w:rFonts w:cs="Arial"/>
                        <w:sz w:val="20"/>
                      </w:rPr>
                    </w:pPr>
                    <w:r>
                      <w:rPr>
                        <w:rFonts w:cs="Arial"/>
                        <w:sz w:val="20"/>
                      </w:rPr>
                      <w:t xml:space="preserve">Credentialling </w:t>
                    </w:r>
                  </w:p>
                </w:txbxContent>
              </v:textbox>
            </v:roundrect>
            <v:shape id="_x0000_s1088" type="#_x0000_t202" style="position:absolute;left:1800;top:9900;width:3240;height:900">
              <v:textbox style="mso-next-textbox:#_x0000_s1088">
                <w:txbxContent>
                  <w:p w:rsidR="00E25107" w:rsidRPr="00344CFD" w:rsidRDefault="00E25107" w:rsidP="00754132">
                    <w:pPr>
                      <w:rPr>
                        <w:rFonts w:cs="Arial"/>
                        <w:sz w:val="16"/>
                        <w:szCs w:val="16"/>
                      </w:rPr>
                    </w:pPr>
                    <w:r w:rsidRPr="00344CFD">
                      <w:rPr>
                        <w:rFonts w:cs="Arial"/>
                        <w:sz w:val="16"/>
                        <w:szCs w:val="16"/>
                      </w:rPr>
                      <w:t>* Financial incentives:</w:t>
                    </w:r>
                  </w:p>
                  <w:p w:rsidR="00E25107" w:rsidRPr="00085D0F" w:rsidRDefault="00E25107" w:rsidP="00754132">
                    <w:pPr>
                      <w:rPr>
                        <w:sz w:val="16"/>
                      </w:rPr>
                    </w:pPr>
                    <w:r w:rsidRPr="00344CFD">
                      <w:rPr>
                        <w:rFonts w:cs="Arial"/>
                        <w:sz w:val="16"/>
                        <w:szCs w:val="16"/>
                      </w:rPr>
                      <w:t xml:space="preserve">  </w:t>
                    </w:r>
                    <w:r w:rsidRPr="00085D0F">
                      <w:rPr>
                        <w:sz w:val="16"/>
                      </w:rPr>
                      <w:t xml:space="preserve"> P4P: pay for performance</w:t>
                    </w:r>
                  </w:p>
                  <w:p w:rsidR="00E25107" w:rsidRPr="00085D0F" w:rsidRDefault="00E25107" w:rsidP="00754132">
                    <w:pPr>
                      <w:rPr>
                        <w:sz w:val="16"/>
                      </w:rPr>
                    </w:pPr>
                    <w:r w:rsidRPr="00085D0F">
                      <w:rPr>
                        <w:sz w:val="16"/>
                      </w:rPr>
                      <w:t xml:space="preserve">   PbR: payment by results</w:t>
                    </w:r>
                  </w:p>
                  <w:p w:rsidR="00E25107" w:rsidRPr="00085D0F" w:rsidRDefault="00E25107" w:rsidP="00754132">
                    <w:pPr>
                      <w:rPr>
                        <w:sz w:val="16"/>
                      </w:rPr>
                    </w:pPr>
                    <w:r w:rsidRPr="00085D0F">
                      <w:rPr>
                        <w:sz w:val="16"/>
                      </w:rPr>
                      <w:t xml:space="preserve">   VBP: value-based purchasing</w:t>
                    </w:r>
                  </w:p>
                </w:txbxContent>
              </v:textbox>
            </v:shape>
          </v:group>
        </w:pict>
      </w:r>
    </w:p>
    <w:p w:rsidR="007A1C4A" w:rsidRDefault="007A1C4A" w:rsidP="00754132">
      <w:pPr>
        <w:spacing w:before="240" w:after="120"/>
        <w:rPr>
          <w:b/>
        </w:rPr>
        <w:sectPr w:rsidR="007A1C4A" w:rsidSect="00DE0D1D">
          <w:pgSz w:w="16838" w:h="11906" w:orient="landscape"/>
          <w:pgMar w:top="1800" w:right="1440" w:bottom="1800" w:left="1440" w:header="708" w:footer="708" w:gutter="0"/>
          <w:cols w:space="708"/>
          <w:docGrid w:linePitch="360"/>
        </w:sectPr>
      </w:pPr>
    </w:p>
    <w:p w:rsidR="007A1C4A" w:rsidRPr="00E04F18" w:rsidRDefault="007A1C4A" w:rsidP="00754132">
      <w:pPr>
        <w:pStyle w:val="Heading2"/>
        <w:ind w:left="720" w:hanging="720"/>
        <w:rPr>
          <w:i w:val="0"/>
          <w:iCs w:val="0"/>
        </w:rPr>
      </w:pPr>
      <w:bookmarkStart w:id="51" w:name="_Toc341695455"/>
      <w:bookmarkStart w:id="52" w:name="_Toc372115665"/>
      <w:bookmarkEnd w:id="49"/>
      <w:bookmarkEnd w:id="50"/>
      <w:r w:rsidRPr="00E04F18">
        <w:rPr>
          <w:i w:val="0"/>
          <w:iCs w:val="0"/>
        </w:rPr>
        <w:lastRenderedPageBreak/>
        <w:t>5.2</w:t>
      </w:r>
      <w:r w:rsidRPr="00E04F18">
        <w:rPr>
          <w:i w:val="0"/>
          <w:iCs w:val="0"/>
        </w:rPr>
        <w:tab/>
        <w:t>Key aspects of ‘successful’ schemes</w:t>
      </w:r>
      <w:bookmarkEnd w:id="51"/>
      <w:bookmarkEnd w:id="52"/>
    </w:p>
    <w:p w:rsidR="007A1C4A" w:rsidRDefault="007A1C4A" w:rsidP="00754132">
      <w:pPr>
        <w:spacing w:before="120" w:after="120" w:line="264" w:lineRule="auto"/>
        <w:rPr>
          <w:rFonts w:cs="Arial"/>
        </w:rPr>
      </w:pPr>
      <w:r>
        <w:rPr>
          <w:rFonts w:cs="Arial"/>
        </w:rPr>
        <w:t xml:space="preserve">There are some common traits of P4P schemes demonstrating a desirable effect. These include </w:t>
      </w:r>
      <w:r>
        <w:rPr>
          <w:rFonts w:cs="Arial"/>
          <w:i/>
        </w:rPr>
        <w:t>inter alia</w:t>
      </w:r>
      <w:r>
        <w:rPr>
          <w:rFonts w:cs="Arial"/>
        </w:rPr>
        <w:t>:</w:t>
      </w:r>
    </w:p>
    <w:p w:rsidR="007A1C4A" w:rsidRPr="008567C4" w:rsidRDefault="007A1C4A" w:rsidP="00754132">
      <w:pPr>
        <w:numPr>
          <w:ilvl w:val="0"/>
          <w:numId w:val="6"/>
        </w:numPr>
        <w:spacing w:before="120" w:after="120" w:line="264" w:lineRule="auto"/>
        <w:ind w:right="-154"/>
        <w:rPr>
          <w:rFonts w:cs="Arial"/>
          <w:szCs w:val="24"/>
        </w:rPr>
      </w:pPr>
      <w:r w:rsidRPr="008567C4">
        <w:rPr>
          <w:rFonts w:cs="Arial"/>
          <w:szCs w:val="24"/>
        </w:rPr>
        <w:t>engagement of key stakeholders in the design of schemes</w:t>
      </w:r>
    </w:p>
    <w:p w:rsidR="007A1C4A" w:rsidRPr="008567C4" w:rsidRDefault="007A1C4A" w:rsidP="00754132">
      <w:pPr>
        <w:numPr>
          <w:ilvl w:val="0"/>
          <w:numId w:val="6"/>
        </w:numPr>
        <w:spacing w:before="120" w:after="120" w:line="264" w:lineRule="auto"/>
        <w:ind w:right="-154"/>
        <w:rPr>
          <w:rFonts w:cs="Arial"/>
          <w:szCs w:val="24"/>
        </w:rPr>
      </w:pPr>
      <w:r w:rsidRPr="008567C4">
        <w:rPr>
          <w:rFonts w:cs="Arial"/>
          <w:szCs w:val="24"/>
        </w:rPr>
        <w:t>use of reliable data and metrics that are ‘accepted’ by the those whose behaviour is being influenced</w:t>
      </w:r>
    </w:p>
    <w:p w:rsidR="007A1C4A" w:rsidRPr="008567C4" w:rsidRDefault="007A1C4A" w:rsidP="00754132">
      <w:pPr>
        <w:numPr>
          <w:ilvl w:val="0"/>
          <w:numId w:val="6"/>
        </w:numPr>
        <w:spacing w:before="120" w:after="120" w:line="264" w:lineRule="auto"/>
        <w:ind w:right="-154"/>
        <w:rPr>
          <w:rFonts w:cs="Arial"/>
          <w:szCs w:val="24"/>
        </w:rPr>
      </w:pPr>
      <w:r w:rsidRPr="008567C4">
        <w:rPr>
          <w:rFonts w:cs="Arial"/>
          <w:szCs w:val="24"/>
        </w:rPr>
        <w:t>adaptation to local requirements and context</w:t>
      </w:r>
    </w:p>
    <w:p w:rsidR="007A1C4A" w:rsidRPr="008567C4" w:rsidRDefault="007A1C4A" w:rsidP="00754132">
      <w:pPr>
        <w:numPr>
          <w:ilvl w:val="0"/>
          <w:numId w:val="6"/>
        </w:numPr>
        <w:spacing w:before="120" w:after="120" w:line="264" w:lineRule="auto"/>
        <w:ind w:right="-154"/>
        <w:rPr>
          <w:rFonts w:cs="Arial"/>
          <w:szCs w:val="24"/>
        </w:rPr>
      </w:pPr>
      <w:r w:rsidRPr="008567C4">
        <w:rPr>
          <w:rFonts w:cs="Arial"/>
          <w:szCs w:val="24"/>
        </w:rPr>
        <w:t>the targeted activity not excessively dependent on collaboration and team work.</w:t>
      </w:r>
    </w:p>
    <w:p w:rsidR="007A1C4A" w:rsidRPr="00C1785E" w:rsidRDefault="007A1C4A" w:rsidP="00754132">
      <w:pPr>
        <w:spacing w:before="240" w:after="120" w:line="264" w:lineRule="auto"/>
        <w:rPr>
          <w:rFonts w:cs="Arial"/>
          <w:b/>
        </w:rPr>
      </w:pPr>
      <w:r>
        <w:rPr>
          <w:rFonts w:cs="Arial"/>
          <w:b/>
        </w:rPr>
        <w:t>5.2.1</w:t>
      </w:r>
      <w:r>
        <w:rPr>
          <w:rFonts w:cs="Arial"/>
          <w:b/>
        </w:rPr>
        <w:tab/>
        <w:t xml:space="preserve">Comparing the Advancing Quality (UK) with PHQID (US) schemes </w:t>
      </w:r>
    </w:p>
    <w:p w:rsidR="007A1C4A" w:rsidRPr="00313A47" w:rsidRDefault="007A1C4A" w:rsidP="00754132">
      <w:pPr>
        <w:spacing w:before="120" w:after="120" w:line="264" w:lineRule="auto"/>
        <w:rPr>
          <w:rFonts w:cs="Arial"/>
        </w:rPr>
      </w:pPr>
      <w:r>
        <w:rPr>
          <w:rFonts w:cs="Arial"/>
        </w:rPr>
        <w:t>Comparing the evaluation of</w:t>
      </w:r>
      <w:r w:rsidRPr="00313A47">
        <w:rPr>
          <w:rFonts w:cs="Arial"/>
        </w:rPr>
        <w:t xml:space="preserve"> </w:t>
      </w:r>
      <w:r>
        <w:rPr>
          <w:rFonts w:cs="Arial"/>
        </w:rPr>
        <w:t>the Premier Hospital Quality Improvement Demonstration (</w:t>
      </w:r>
      <w:r w:rsidRPr="00313A47">
        <w:rPr>
          <w:rFonts w:cs="Arial"/>
        </w:rPr>
        <w:t>PHQID</w:t>
      </w:r>
      <w:r>
        <w:rPr>
          <w:rFonts w:cs="Arial"/>
        </w:rPr>
        <w:t>) project with the</w:t>
      </w:r>
      <w:r w:rsidRPr="00313A47">
        <w:rPr>
          <w:rFonts w:cs="Arial"/>
        </w:rPr>
        <w:t xml:space="preserve"> ‘Ad</w:t>
      </w:r>
      <w:r>
        <w:rPr>
          <w:rFonts w:cs="Arial"/>
        </w:rPr>
        <w:t>vancing Quality’ (AQ) scheme provides some useful insights</w:t>
      </w:r>
      <w:r w:rsidRPr="00313A47">
        <w:rPr>
          <w:rFonts w:cs="Arial"/>
        </w:rPr>
        <w:t>. Both are fundamentally similar, and both function on a ‘tournament’ basis.</w:t>
      </w:r>
      <w:r>
        <w:rPr>
          <w:rStyle w:val="FootnoteReference"/>
          <w:rFonts w:cs="Arial"/>
        </w:rPr>
        <w:footnoteReference w:id="6"/>
      </w:r>
      <w:r>
        <w:rPr>
          <w:rFonts w:cs="Arial"/>
        </w:rPr>
        <w:t xml:space="preserve"> </w:t>
      </w:r>
      <w:r w:rsidRPr="00313A47">
        <w:rPr>
          <w:rFonts w:cs="Arial"/>
        </w:rPr>
        <w:t>PHQID evaluations have repeatedly failed to demonstrate outcome benefits</w:t>
      </w:r>
      <w:r>
        <w:rPr>
          <w:rFonts w:cs="Arial"/>
        </w:rPr>
        <w:fldChar w:fldCharType="begin">
          <w:fldData xml:space="preserve">PEVuZE5vdGU+PENpdGU+PEF1dGhvcj5KaGE8L0F1dGhvcj48WWVhcj4yMDEyPC9ZZWFyPjxSZWNO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</w:fldData>
        </w:fldChar>
      </w:r>
      <w:r>
        <w:rPr>
          <w:rFonts w:cs="Arial"/>
        </w:rPr>
        <w:instrText xml:space="preserve"> ADDIN EN.CITE </w:instrText>
      </w:r>
      <w:r>
        <w:rPr>
          <w:rFonts w:cs="Arial"/>
        </w:rPr>
        <w:fldChar w:fldCharType="begin">
          <w:fldData xml:space="preserve">PEVuZE5vdGU+PENpdGU+PEF1dGhvcj5KaGE8L0F1dGhvcj48WWVhcj4yMDEyPC9ZZWFyPjxSZWNO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sidRPr="002B66E2">
        <w:rPr>
          <w:rFonts w:cs="Arial"/>
          <w:noProof/>
          <w:vertAlign w:val="superscript"/>
        </w:rPr>
        <w:t>9-12</w:t>
      </w:r>
      <w:r>
        <w:rPr>
          <w:rFonts w:cs="Arial"/>
        </w:rPr>
        <w:fldChar w:fldCharType="end"/>
      </w:r>
      <w:r w:rsidRPr="00313A47">
        <w:rPr>
          <w:rFonts w:cs="Arial"/>
        </w:rPr>
        <w:t xml:space="preserve"> whereas positive results associated wi</w:t>
      </w:r>
      <w:r>
        <w:rPr>
          <w:rFonts w:cs="Arial"/>
        </w:rPr>
        <w:t>th the UK scheme are emerging</w:t>
      </w:r>
      <w:r w:rsidRPr="00313A47">
        <w:rPr>
          <w:rFonts w:cs="Arial"/>
        </w:rPr>
        <w:t>.</w:t>
      </w:r>
      <w:r>
        <w:rPr>
          <w:rFonts w:cs="Arial"/>
        </w:rPr>
        <w:fldChar w:fldCharType="begin"/>
      </w:r>
      <w:r>
        <w:rPr>
          <w:rFonts w:cs="Arial"/>
        </w:rPr>
        <w:instrText xml:space="preserve"> ADDIN EN.CITE &lt;EndNote&gt;&lt;Cite&gt;&lt;Author&gt;Sutton&lt;/Author&gt;&lt;Year&gt;2012&lt;/Year&gt;&lt;RecNum&gt;12228&lt;/RecNum&gt;&lt;record&gt;&lt;rec-number&gt;12228&lt;/rec-number&gt;&lt;foreign-keys&gt;&lt;key app="EN" db-id="5r0eapxzsestz4er5zaxe5zqz99fvpawedp5"&gt;12228&lt;/key&gt;&lt;/foreign-keys&gt;&lt;ref-type name="Journal Article"&gt;17&lt;/ref-type&gt;&lt;contributors&gt;&lt;authors&gt;&lt;author&gt;Sutton, Matt&lt;/author&gt;&lt;author&gt;Nikolova, Silviya&lt;/author&gt;&lt;author&gt;Boaden, Ruth&lt;/author&gt;&lt;author&gt;Lester, Helen&lt;/author&gt;&lt;author&gt;McDonald, Ruth&lt;/author&gt;&lt;author&gt;Roland, Martin&lt;/author&gt;&lt;/authors&gt;&lt;/contributors&gt;&lt;titles&gt;&lt;title&gt;Reduced Mortality with Hospital Pay for Performance in England&lt;/title&gt;&lt;secondary-title&gt;New England Journal of Medicine&lt;/secondary-title&gt;&lt;/titles&gt;&lt;periodical&gt;&lt;full-title&gt;New England Journal of Medicine&lt;/full-title&gt;&lt;/periodical&gt;&lt;pages&gt;1821-1828&lt;/pages&gt;&lt;volume&gt;367&lt;/volume&gt;&lt;number&gt;19&lt;/number&gt;&lt;dates&gt;&lt;year&gt;2012&lt;/year&gt;&lt;/dates&gt;&lt;urls&gt;&lt;related-urls&gt;&lt;url&gt;http://www.nejm.org/doi/full/10.1056/NEJMsa1114951&lt;/url&gt;&lt;/related-urls&gt;&lt;/urls&gt;&lt;electronic-resource-num&gt;doi:10.1056/NEJMsa1114951&lt;/electronic-resource-num&gt;&lt;/record&gt;&lt;/Cite&gt;&lt;Cite&gt;&lt;Author&gt;Appleby J&lt;/Author&gt;&lt;Year&gt;2012&lt;/Year&gt;&lt;RecNum&gt;12218&lt;/RecNum&gt;&lt;record&gt;&lt;rec-number&gt;12218&lt;/rec-number&gt;&lt;foreign-keys&gt;&lt;key app="EN" db-id="5r0eapxzsestz4er5zaxe5zqz99fvpawedp5"&gt;12218&lt;/key&gt;&lt;/foreign-keys&gt;&lt;ref-type name="Report"&gt;27&lt;/ref-type&gt;&lt;contributors&gt;&lt;authors&gt;&lt;author&gt;Appleby J,&lt;/author&gt;&lt;author&gt;Harrison T,&lt;/author&gt;&lt;author&gt;Hawkins L,&lt;/author&gt;&lt;author&gt;Dixon A,&lt;/author&gt;&lt;/authors&gt;&lt;/contributors&gt;&lt;titles&gt;&lt;title&gt;Payment by results: how can payment systems help to deliver better care?&lt;/title&gt;&lt;/titles&gt;&lt;dates&gt;&lt;year&gt;2012&lt;/year&gt;&lt;/dates&gt;&lt;pub-location&gt;London&lt;/pub-location&gt;&lt;publisher&gt;The King&amp;apos;s Fund&lt;/publisher&gt;&lt;urls&gt;&lt;/urls&gt;&lt;/record&gt;&lt;/Cite&gt;&lt;/EndNote&gt;</w:instrText>
      </w:r>
      <w:r>
        <w:rPr>
          <w:rFonts w:cs="Arial"/>
        </w:rPr>
        <w:fldChar w:fldCharType="separate"/>
      </w:r>
      <w:r w:rsidRPr="002B66E2">
        <w:rPr>
          <w:rFonts w:cs="Arial"/>
          <w:noProof/>
          <w:vertAlign w:val="superscript"/>
        </w:rPr>
        <w:t>13-14</w:t>
      </w:r>
      <w:r>
        <w:rPr>
          <w:rFonts w:cs="Arial"/>
        </w:rPr>
        <w:fldChar w:fldCharType="end"/>
      </w:r>
    </w:p>
    <w:p w:rsidR="007A1C4A" w:rsidRPr="00313A47" w:rsidRDefault="007A1C4A" w:rsidP="00754132">
      <w:pPr>
        <w:spacing w:before="120" w:after="120" w:line="264" w:lineRule="auto"/>
        <w:rPr>
          <w:rFonts w:cs="Arial"/>
        </w:rPr>
      </w:pPr>
      <w:r>
        <w:rPr>
          <w:rFonts w:cs="Arial"/>
        </w:rPr>
        <w:t xml:space="preserve">What are the key differences? </w:t>
      </w:r>
      <w:r w:rsidRPr="00313A47">
        <w:rPr>
          <w:rFonts w:cs="Arial"/>
        </w:rPr>
        <w:t xml:space="preserve">Firstly, the incentives in AQ are larger and distributed among a wider spread of high performing hospitals. </w:t>
      </w:r>
      <w:r>
        <w:rPr>
          <w:rFonts w:cs="Arial"/>
        </w:rPr>
        <w:t xml:space="preserve">Whether this is the key is debatable as there is no clear consensus in the literature. </w:t>
      </w:r>
    </w:p>
    <w:p w:rsidR="007A1C4A" w:rsidRPr="00313A47" w:rsidRDefault="007A1C4A" w:rsidP="00754132">
      <w:pPr>
        <w:spacing w:before="120" w:after="120" w:line="264" w:lineRule="auto"/>
        <w:rPr>
          <w:rFonts w:cs="Arial"/>
        </w:rPr>
      </w:pPr>
      <w:r>
        <w:rPr>
          <w:rFonts w:cs="Arial"/>
        </w:rPr>
        <w:t>Second is</w:t>
      </w:r>
      <w:r w:rsidRPr="00313A47">
        <w:rPr>
          <w:rFonts w:cs="Arial"/>
        </w:rPr>
        <w:t xml:space="preserve"> </w:t>
      </w:r>
      <w:r>
        <w:rPr>
          <w:rFonts w:cs="Arial"/>
        </w:rPr>
        <w:t>the way</w:t>
      </w:r>
      <w:r w:rsidRPr="00313A47">
        <w:rPr>
          <w:rFonts w:cs="Arial"/>
        </w:rPr>
        <w:t xml:space="preserve"> in which </w:t>
      </w:r>
      <w:r>
        <w:rPr>
          <w:rFonts w:cs="Arial"/>
        </w:rPr>
        <w:t>participants</w:t>
      </w:r>
      <w:r w:rsidRPr="00313A47">
        <w:rPr>
          <w:rFonts w:cs="Arial"/>
        </w:rPr>
        <w:t xml:space="preserve"> </w:t>
      </w:r>
      <w:r>
        <w:rPr>
          <w:rFonts w:cs="Arial"/>
        </w:rPr>
        <w:t>implemented and applied the schemes</w:t>
      </w:r>
      <w:r w:rsidRPr="00313A47">
        <w:rPr>
          <w:rFonts w:cs="Arial"/>
        </w:rPr>
        <w:t xml:space="preserve">. </w:t>
      </w:r>
      <w:r>
        <w:rPr>
          <w:rFonts w:cs="Arial"/>
        </w:rPr>
        <w:t xml:space="preserve">From the outset, </w:t>
      </w:r>
      <w:r w:rsidRPr="00313A47">
        <w:rPr>
          <w:rFonts w:cs="Arial"/>
        </w:rPr>
        <w:t>CEOs</w:t>
      </w:r>
      <w:r>
        <w:rPr>
          <w:rFonts w:cs="Arial"/>
        </w:rPr>
        <w:t xml:space="preserve"> of AQ participating hospitals </w:t>
      </w:r>
      <w:r w:rsidRPr="00313A47">
        <w:rPr>
          <w:rFonts w:cs="Arial"/>
        </w:rPr>
        <w:t xml:space="preserve">agreed that bonuses would not be taken as personal income but “would be allocated internally to clinical teams whose performance had earned the bonus” </w:t>
      </w:r>
      <w:r>
        <w:rPr>
          <w:rFonts w:cs="Arial"/>
        </w:rPr>
        <w:fldChar w:fldCharType="begin"/>
      </w:r>
      <w:r>
        <w:rPr>
          <w:rFonts w:cs="Arial"/>
        </w:rPr>
        <w:instrText xml:space="preserve"> ADDIN EN.CITE &lt;EndNote&gt;&lt;Cite&gt;&lt;Author&gt;Sutton&lt;/Author&gt;&lt;Year&gt;2012&lt;/Year&gt;&lt;RecNum&gt;12228&lt;/RecNum&gt;&lt;record&gt;&lt;rec-number&gt;12228&lt;/rec-number&gt;&lt;foreign-keys&gt;&lt;key app="EN" db-id="5r0eapxzsestz4er5zaxe5zqz99fvpawedp5"&gt;12228&lt;/key&gt;&lt;/foreign-keys&gt;&lt;ref-type name="Journal Article"&gt;17&lt;/ref-type&gt;&lt;contributors&gt;&lt;authors&gt;&lt;author&gt;Sutton, Matt&lt;/author&gt;&lt;author&gt;Nikolova, Silviya&lt;/author&gt;&lt;author&gt;Boaden, Ruth&lt;/author&gt;&lt;author&gt;Lester, Helen&lt;/author&gt;&lt;author&gt;McDonald, Ruth&lt;/author&gt;&lt;author&gt;Roland, Martin&lt;/author&gt;&lt;/authors&gt;&lt;/contributors&gt;&lt;titles&gt;&lt;title&gt;Reduced Mortality with Hospital Pay for Performance in England&lt;/title&gt;&lt;secondary-title&gt;New England Journal of Medicine&lt;/secondary-title&gt;&lt;/titles&gt;&lt;periodical&gt;&lt;full-title&gt;New England Journal of Medicine&lt;/full-title&gt;&lt;/periodical&gt;&lt;pages&gt;1821-1828&lt;/pages&gt;&lt;volume&gt;367&lt;/volume&gt;&lt;number&gt;19&lt;/number&gt;&lt;dates&gt;&lt;year&gt;2012&lt;/year&gt;&lt;/dates&gt;&lt;urls&gt;&lt;related-urls&gt;&lt;url&gt;http://www.nejm.org/doi/full/10.1056/NEJMsa1114951&lt;/url&gt;&lt;/related-urls&gt;&lt;/urls&gt;&lt;electronic-resource-num&gt;doi:10.1056/NEJMsa1114951&lt;/electronic-resource-num&gt;&lt;/record&gt;&lt;/Cite&gt;&lt;/EndNote&gt;</w:instrText>
      </w:r>
      <w:r>
        <w:rPr>
          <w:rFonts w:cs="Arial"/>
        </w:rPr>
        <w:fldChar w:fldCharType="separate"/>
      </w:r>
      <w:r w:rsidRPr="002B66E2">
        <w:rPr>
          <w:rFonts w:cs="Arial"/>
          <w:noProof/>
          <w:vertAlign w:val="superscript"/>
        </w:rPr>
        <w:t>13</w:t>
      </w:r>
      <w:r>
        <w:rPr>
          <w:rFonts w:cs="Arial"/>
        </w:rPr>
        <w:fldChar w:fldCharType="end"/>
      </w:r>
      <w:r w:rsidRPr="00936EEF">
        <w:rPr>
          <w:rFonts w:cs="Arial"/>
          <w:vertAlign w:val="superscript"/>
        </w:rPr>
        <w:t>(p1822)</w:t>
      </w:r>
      <w:r w:rsidRPr="00313A47">
        <w:rPr>
          <w:rFonts w:cs="Arial"/>
        </w:rPr>
        <w:t xml:space="preserve">. The bonuses were </w:t>
      </w:r>
      <w:r>
        <w:rPr>
          <w:rFonts w:cs="Arial"/>
        </w:rPr>
        <w:t>re-</w:t>
      </w:r>
      <w:r w:rsidRPr="00313A47">
        <w:rPr>
          <w:rFonts w:cs="Arial"/>
        </w:rPr>
        <w:t>invested in quality improvement activity such as:</w:t>
      </w:r>
    </w:p>
    <w:p w:rsidR="007A1C4A" w:rsidRPr="008567C4" w:rsidRDefault="007A1C4A" w:rsidP="00754132">
      <w:pPr>
        <w:numPr>
          <w:ilvl w:val="0"/>
          <w:numId w:val="6"/>
        </w:numPr>
        <w:spacing w:before="120" w:after="120" w:line="264" w:lineRule="auto"/>
        <w:ind w:right="-154"/>
        <w:rPr>
          <w:rFonts w:cs="Arial"/>
          <w:szCs w:val="24"/>
        </w:rPr>
      </w:pPr>
      <w:r w:rsidRPr="008567C4">
        <w:rPr>
          <w:rFonts w:cs="Arial"/>
          <w:szCs w:val="24"/>
        </w:rPr>
        <w:t>Employment of specialist nurses</w:t>
      </w:r>
    </w:p>
    <w:p w:rsidR="007A1C4A" w:rsidRDefault="007A1C4A" w:rsidP="00754132">
      <w:pPr>
        <w:numPr>
          <w:ilvl w:val="0"/>
          <w:numId w:val="6"/>
        </w:numPr>
        <w:spacing w:before="120" w:after="120" w:line="264" w:lineRule="auto"/>
        <w:ind w:right="-154"/>
        <w:rPr>
          <w:rFonts w:cs="Arial"/>
        </w:rPr>
      </w:pPr>
      <w:r w:rsidRPr="008567C4">
        <w:rPr>
          <w:rFonts w:cs="Arial"/>
          <w:szCs w:val="24"/>
        </w:rPr>
        <w:t>Development of new or improved data collection systems for regular feedback to clinical personnel</w:t>
      </w:r>
      <w:r w:rsidRPr="00313A47">
        <w:rPr>
          <w:rFonts w:cs="Arial"/>
        </w:rPr>
        <w:t xml:space="preserve"> about local performance </w:t>
      </w:r>
    </w:p>
    <w:p w:rsidR="007A1C4A" w:rsidRDefault="007A1C4A" w:rsidP="00754132">
      <w:pPr>
        <w:spacing w:before="120" w:after="120" w:line="264" w:lineRule="auto"/>
        <w:rPr>
          <w:rFonts w:cs="Arial"/>
        </w:rPr>
      </w:pPr>
      <w:r w:rsidRPr="00313A47">
        <w:rPr>
          <w:rFonts w:cs="Arial"/>
        </w:rPr>
        <w:t xml:space="preserve">Moreover, despite the competitive nature of the scheme, staff from all participating hospitals </w:t>
      </w:r>
      <w:r>
        <w:rPr>
          <w:rFonts w:cs="Arial"/>
        </w:rPr>
        <w:t xml:space="preserve">in northern England </w:t>
      </w:r>
      <w:r w:rsidRPr="00313A47">
        <w:rPr>
          <w:rFonts w:cs="Arial"/>
        </w:rPr>
        <w:t>regularly met face-to-face to discuss issues and share learnings.</w:t>
      </w:r>
      <w:r>
        <w:rPr>
          <w:rFonts w:cs="Arial"/>
        </w:rPr>
        <w:fldChar w:fldCharType="begin"/>
      </w:r>
      <w:r>
        <w:rPr>
          <w:rFonts w:cs="Arial"/>
        </w:rPr>
        <w:instrText xml:space="preserve"> ADDIN EN.CITE &lt;EndNote&gt;&lt;Cite&gt;&lt;Author&gt;Sutton&lt;/Author&gt;&lt;Year&gt;2012&lt;/Year&gt;&lt;RecNum&gt;12228&lt;/RecNum&gt;&lt;record&gt;&lt;rec-number&gt;12228&lt;/rec-number&gt;&lt;foreign-keys&gt;&lt;key app="EN" db-id="5r0eapxzsestz4er5zaxe5zqz99fvpawedp5"&gt;12228&lt;/key&gt;&lt;/foreign-keys&gt;&lt;ref-type name="Journal Article"&gt;17&lt;/ref-type&gt;&lt;contributors&gt;&lt;authors&gt;&lt;author&gt;Sutton, Matt&lt;/author&gt;&lt;author&gt;Nikolova, Silviya&lt;/author&gt;&lt;author&gt;Boaden, Ruth&lt;/author&gt;&lt;author&gt;Lester, Helen&lt;/author&gt;&lt;author&gt;McDonald, Ruth&lt;/author&gt;&lt;author&gt;Roland, Martin&lt;/author&gt;&lt;/authors&gt;&lt;/contributors&gt;&lt;titles&gt;&lt;title&gt;Reduced Mortality with Hospital Pay for Performance in England&lt;/title&gt;&lt;secondary-title&gt;New England Journal of Medicine&lt;/secondary-title&gt;&lt;/titles&gt;&lt;periodical&gt;&lt;full-title&gt;New England Journal of Medicine&lt;/full-title&gt;&lt;/periodical&gt;&lt;pages&gt;1821-1828&lt;/pages&gt;&lt;volume&gt;367&lt;/volume&gt;&lt;number&gt;19&lt;/number&gt;&lt;dates&gt;&lt;year&gt;2012&lt;/year&gt;&lt;/dates&gt;&lt;urls&gt;&lt;related-urls&gt;&lt;url&gt;http://www.nejm.org/doi/full/10.1056/NEJMsa1114951&lt;/url&gt;&lt;/related-urls&gt;&lt;/urls&gt;&lt;electronic-resource-num&gt;doi:10.1056/NEJMsa1114951&lt;/electronic-resource-num&gt;&lt;/record&gt;&lt;/Cite&gt;&lt;/EndNote&gt;</w:instrText>
      </w:r>
      <w:r>
        <w:rPr>
          <w:rFonts w:cs="Arial"/>
        </w:rPr>
        <w:fldChar w:fldCharType="separate"/>
      </w:r>
      <w:r w:rsidRPr="002B66E2">
        <w:rPr>
          <w:rFonts w:cs="Arial"/>
          <w:noProof/>
          <w:vertAlign w:val="superscript"/>
        </w:rPr>
        <w:t>13</w:t>
      </w:r>
      <w:r>
        <w:rPr>
          <w:rFonts w:cs="Arial"/>
        </w:rPr>
        <w:fldChar w:fldCharType="end"/>
      </w:r>
      <w:r>
        <w:rPr>
          <w:rFonts w:cs="Arial"/>
        </w:rPr>
        <w:t xml:space="preserve"> No such re-investment of bonuses, or collaboration with peers (with the exception of ‘webinars’) was evident in the PHQID scheme. </w:t>
      </w:r>
    </w:p>
    <w:p w:rsidR="007A1C4A" w:rsidRDefault="007A1C4A" w:rsidP="00754132">
      <w:pPr>
        <w:spacing w:before="120" w:after="120" w:line="264" w:lineRule="auto"/>
        <w:rPr>
          <w:rFonts w:cs="Arial"/>
        </w:rPr>
      </w:pPr>
      <w:r>
        <w:rPr>
          <w:rFonts w:cs="Arial"/>
        </w:rPr>
        <w:t>It could be argued that financial incentives alone are perhaps not sufficient unless coupled with other interventions which tap into other motivational factors listed in section 5.1.1. Indeed, financial</w:t>
      </w:r>
      <w:r w:rsidRPr="00313A47">
        <w:rPr>
          <w:rFonts w:cs="Arial"/>
        </w:rPr>
        <w:t xml:space="preserve"> bonus</w:t>
      </w:r>
      <w:r>
        <w:rPr>
          <w:rFonts w:cs="Arial"/>
        </w:rPr>
        <w:t xml:space="preserve">es could be seen as a facilitator of these. </w:t>
      </w:r>
    </w:p>
    <w:p w:rsidR="007A1C4A" w:rsidRDefault="007A1C4A" w:rsidP="00754132">
      <w:pPr>
        <w:spacing w:before="120" w:after="120" w:line="264" w:lineRule="auto"/>
        <w:rPr>
          <w:rFonts w:cs="Arial"/>
        </w:rPr>
      </w:pPr>
      <w:r>
        <w:rPr>
          <w:rFonts w:cs="Arial"/>
        </w:rPr>
        <w:lastRenderedPageBreak/>
        <w:t xml:space="preserve">It is clear that the success of financial incentive schemes in complex healthcare organisations depends strongly on implementation and application, as well as their design and theoretical underpinnings. </w:t>
      </w:r>
    </w:p>
    <w:p w:rsidR="007A1C4A" w:rsidRDefault="007A1C4A" w:rsidP="00754132">
      <w:pPr>
        <w:spacing w:before="120" w:after="120" w:line="264" w:lineRule="auto"/>
        <w:rPr>
          <w:rFonts w:cs="Arial"/>
        </w:rPr>
      </w:pPr>
    </w:p>
    <w:p w:rsidR="007A1C4A" w:rsidRPr="00F55406" w:rsidRDefault="007A1C4A" w:rsidP="00754132">
      <w:pPr>
        <w:spacing w:before="240"/>
        <w:rPr>
          <w:rFonts w:cs="Arial"/>
          <w:b/>
          <w:szCs w:val="24"/>
        </w:rPr>
      </w:pPr>
      <w:r w:rsidRPr="00F55406">
        <w:rPr>
          <w:rFonts w:cs="Arial"/>
          <w:b/>
          <w:szCs w:val="24"/>
        </w:rPr>
        <w:t xml:space="preserve">5.2.2 </w:t>
      </w:r>
      <w:r w:rsidRPr="00F55406">
        <w:rPr>
          <w:rFonts w:cs="Arial"/>
          <w:b/>
          <w:szCs w:val="24"/>
        </w:rPr>
        <w:tab/>
        <w:t>A checklist for implementation of financial incentive schemes</w:t>
      </w:r>
    </w:p>
    <w:p w:rsidR="007A1C4A" w:rsidRPr="00F55406" w:rsidRDefault="007A1C4A" w:rsidP="00754132">
      <w:pPr>
        <w:spacing w:before="120" w:after="240"/>
        <w:rPr>
          <w:rFonts w:cs="Arial"/>
          <w:sz w:val="22"/>
          <w:szCs w:val="22"/>
        </w:rPr>
      </w:pPr>
      <w:r w:rsidRPr="00F55406">
        <w:rPr>
          <w:rFonts w:cs="Arial"/>
          <w:szCs w:val="24"/>
        </w:rPr>
        <w:t>Glasziou and colleagues note that while financial incentive schemes can sometimes improve the quality of care, such schemes can also be an ‘expensive distraction’.</w:t>
      </w:r>
      <w:r w:rsidRPr="00F55406">
        <w:rPr>
          <w:rFonts w:cs="Arial"/>
          <w:szCs w:val="24"/>
        </w:rPr>
        <w:fldChar w:fldCharType="begin"/>
      </w:r>
      <w:r w:rsidRPr="00F55406">
        <w:rPr>
          <w:rFonts w:cs="Arial"/>
          <w:szCs w:val="24"/>
        </w:rPr>
        <w:instrText xml:space="preserve"> ADDIN EN.CITE &lt;EndNote&gt;&lt;Cite&gt;&lt;Author&gt;Glasziou&lt;/Author&gt;&lt;Year&gt;2012&lt;/Year&gt;&lt;RecNum&gt;12219&lt;/RecNum&gt;&lt;record&gt;&lt;rec-number&gt;12219&lt;/rec-number&gt;&lt;foreign-keys&gt;&lt;key app="EN" db-id="5r0eapxzsestz4er5zaxe5zqz99fvpawedp5"&gt;12219&lt;/key&gt;&lt;/foreign-keys&gt;&lt;ref-type name="Journal Article"&gt;17&lt;/ref-type&gt;&lt;contributors&gt;&lt;authors&gt;&lt;author&gt;Paul P Glasziou&lt;/author&gt;&lt;author&gt;Heather Buchan&lt;/author&gt;&lt;author&gt;Chris Del Mar&lt;/author&gt;&lt;author&gt;Jenny Doust&lt;/author&gt;&lt;author&gt;Mark Harris&lt;/author&gt;&lt;author&gt;Rosemary Knight&lt;/author&gt;&lt;author&gt;Anthony Scott&lt;/author&gt;&lt;author&gt;Ian A Scott&lt;/author&gt;&lt;author&gt;Alexis Stockwell&lt;/author&gt;&lt;/authors&gt;&lt;/contributors&gt;&lt;titles&gt;&lt;title&gt;When financial incentives do more good than harm: a checklist&lt;/title&gt;&lt;secondary-title&gt;BMJ&lt;/secondary-title&gt;&lt;/titles&gt;&lt;periodical&gt;&lt;full-title&gt;BMJ&lt;/full-title&gt;&lt;/periodical&gt;&lt;volume&gt;345&lt;/volume&gt;&lt;dates&gt;&lt;year&gt;2012&lt;/year&gt;&lt;pub-dates&gt;&lt;date&gt;2012-08-14 23:32:37&lt;/date&gt;&lt;/pub-dates&gt;&lt;/dates&gt;&lt;urls&gt;&lt;pdf-urls&gt;&lt;url&gt;http://www.bmj.com/bmj/345/bmj.e5047.full.pdf&lt;/url&gt;&lt;/pdf-urls&gt;&lt;/urls&gt;&lt;electronic-resource-num&gt;10.1136/bmj.e5047&lt;/electronic-resource-num&gt;&lt;/record&gt;&lt;/Cite&gt;&lt;/EndNote&gt;</w:instrText>
      </w:r>
      <w:r w:rsidRPr="00F55406">
        <w:rPr>
          <w:rFonts w:cs="Arial"/>
          <w:szCs w:val="24"/>
        </w:rPr>
        <w:fldChar w:fldCharType="separate"/>
      </w:r>
      <w:r w:rsidRPr="00F55406">
        <w:rPr>
          <w:rFonts w:cs="Arial"/>
          <w:noProof/>
          <w:szCs w:val="24"/>
          <w:vertAlign w:val="superscript"/>
        </w:rPr>
        <w:t>15</w:t>
      </w:r>
      <w:r w:rsidRPr="00F55406">
        <w:rPr>
          <w:rFonts w:cs="Arial"/>
          <w:szCs w:val="24"/>
        </w:rPr>
        <w:fldChar w:fldCharType="end"/>
      </w:r>
      <w:r w:rsidRPr="00F55406">
        <w:rPr>
          <w:rFonts w:cs="Arial"/>
          <w:szCs w:val="24"/>
        </w:rPr>
        <w:t xml:space="preserve"> They propose a checklist to prevent inappropriate </w:t>
      </w:r>
      <w:r w:rsidRPr="00F55406">
        <w:rPr>
          <w:rFonts w:cs="Arial"/>
          <w:sz w:val="22"/>
          <w:szCs w:val="22"/>
        </w:rPr>
        <w:t>implementation and unintended consequences of such schemes.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96"/>
      </w:tblGrid>
      <w:tr w:rsidR="007A1C4A" w:rsidRPr="00F55406" w:rsidTr="00754132">
        <w:tc>
          <w:tcPr>
            <w:tcW w:w="8296" w:type="dxa"/>
            <w:tcBorders>
              <w:top w:val="single" w:sz="4" w:space="0" w:color="auto"/>
              <w:bottom w:val="single" w:sz="4" w:space="0" w:color="auto"/>
            </w:tcBorders>
          </w:tcPr>
          <w:p w:rsidR="007A1C4A" w:rsidRPr="00F55406" w:rsidRDefault="007A1C4A" w:rsidP="00754132">
            <w:pPr>
              <w:pStyle w:val="Heading4"/>
              <w:spacing w:before="120" w:after="120"/>
              <w:rPr>
                <w:rFonts w:ascii="Arial" w:hAnsi="Arial" w:cs="Arial"/>
                <w:sz w:val="24"/>
                <w:szCs w:val="24"/>
              </w:rPr>
            </w:pPr>
            <w:r w:rsidRPr="00F55406">
              <w:rPr>
                <w:rFonts w:ascii="Arial" w:hAnsi="Arial" w:cs="Arial"/>
                <w:sz w:val="24"/>
                <w:szCs w:val="24"/>
              </w:rPr>
              <w:t>A.  Planning</w:t>
            </w:r>
          </w:p>
        </w:tc>
      </w:tr>
      <w:tr w:rsidR="007A1C4A" w:rsidRPr="00F55406" w:rsidTr="00754132">
        <w:tc>
          <w:tcPr>
            <w:tcW w:w="8296" w:type="dxa"/>
            <w:tcBorders>
              <w:top w:val="single" w:sz="4" w:space="0" w:color="auto"/>
            </w:tcBorders>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Does the desired clinical action improve patient outcomes?</w:t>
            </w:r>
          </w:p>
        </w:tc>
      </w:tr>
      <w:tr w:rsidR="007A1C4A" w:rsidRPr="00F55406" w:rsidTr="00754132">
        <w:tc>
          <w:tcPr>
            <w:tcW w:w="8296" w:type="dxa"/>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Will undesirable clinical behaviour persist without intervention?</w:t>
            </w:r>
          </w:p>
        </w:tc>
      </w:tr>
      <w:tr w:rsidR="007A1C4A" w:rsidRPr="00F55406" w:rsidTr="00754132">
        <w:tc>
          <w:tcPr>
            <w:tcW w:w="8296" w:type="dxa"/>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Are there valid, reliable, and practical measures of the desired clinical behaviour?</w:t>
            </w:r>
          </w:p>
        </w:tc>
      </w:tr>
      <w:tr w:rsidR="007A1C4A" w:rsidRPr="00F55406" w:rsidTr="00754132">
        <w:tc>
          <w:tcPr>
            <w:tcW w:w="8296" w:type="dxa"/>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Have the barriers and enablers to improving clinical behaviour been assessed?</w:t>
            </w:r>
          </w:p>
        </w:tc>
      </w:tr>
      <w:tr w:rsidR="007A1C4A" w:rsidRPr="00F55406" w:rsidTr="00754132">
        <w:tc>
          <w:tcPr>
            <w:tcW w:w="8296" w:type="dxa"/>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Will financial incentives work, and better than other interventions to change behaviour, and why?</w:t>
            </w:r>
          </w:p>
        </w:tc>
      </w:tr>
      <w:tr w:rsidR="007A1C4A" w:rsidRPr="00F55406" w:rsidTr="00754132">
        <w:tc>
          <w:tcPr>
            <w:tcW w:w="8296" w:type="dxa"/>
            <w:tcBorders>
              <w:bottom w:val="single" w:sz="4" w:space="0" w:color="auto"/>
            </w:tcBorders>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Will benefits clearly outweigh any unintended harmful effects, and at an acceptable cost?</w:t>
            </w:r>
          </w:p>
        </w:tc>
      </w:tr>
      <w:tr w:rsidR="007A1C4A" w:rsidRPr="00F55406" w:rsidTr="00754132">
        <w:tc>
          <w:tcPr>
            <w:tcW w:w="8296" w:type="dxa"/>
            <w:tcBorders>
              <w:top w:val="single" w:sz="4" w:space="0" w:color="auto"/>
              <w:bottom w:val="single" w:sz="4" w:space="0" w:color="auto"/>
            </w:tcBorders>
          </w:tcPr>
          <w:p w:rsidR="007A1C4A" w:rsidRPr="00F55406" w:rsidRDefault="007A1C4A" w:rsidP="00754132">
            <w:pPr>
              <w:pStyle w:val="Heading4"/>
              <w:spacing w:before="120" w:after="120"/>
              <w:rPr>
                <w:rFonts w:ascii="Arial" w:hAnsi="Arial" w:cs="Arial"/>
                <w:sz w:val="24"/>
                <w:szCs w:val="24"/>
              </w:rPr>
            </w:pPr>
            <w:r w:rsidRPr="00F55406">
              <w:rPr>
                <w:rFonts w:ascii="Arial" w:hAnsi="Arial" w:cs="Arial"/>
                <w:sz w:val="24"/>
                <w:szCs w:val="24"/>
              </w:rPr>
              <w:t>B.  Implementation</w:t>
            </w:r>
          </w:p>
        </w:tc>
      </w:tr>
      <w:tr w:rsidR="007A1C4A" w:rsidRPr="00F55406" w:rsidTr="00754132">
        <w:tc>
          <w:tcPr>
            <w:tcW w:w="8296" w:type="dxa"/>
            <w:tcBorders>
              <w:top w:val="single" w:sz="4" w:space="0" w:color="auto"/>
            </w:tcBorders>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Are systems and structures needed for the change in place?</w:t>
            </w:r>
          </w:p>
        </w:tc>
      </w:tr>
      <w:tr w:rsidR="007A1C4A" w:rsidRPr="00F55406" w:rsidTr="00754132">
        <w:tc>
          <w:tcPr>
            <w:tcW w:w="8296" w:type="dxa"/>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How much should be paid, to whom, and for how long?</w:t>
            </w:r>
          </w:p>
        </w:tc>
      </w:tr>
      <w:tr w:rsidR="007A1C4A" w:rsidRPr="00F55406" w:rsidTr="00754132">
        <w:tc>
          <w:tcPr>
            <w:tcW w:w="8296" w:type="dxa"/>
            <w:tcBorders>
              <w:bottom w:val="single" w:sz="4" w:space="0" w:color="auto"/>
            </w:tcBorders>
          </w:tcPr>
          <w:p w:rsidR="007A1C4A" w:rsidRPr="00F55406" w:rsidRDefault="007A1C4A" w:rsidP="00754132">
            <w:pPr>
              <w:pStyle w:val="Heading4"/>
              <w:numPr>
                <w:ilvl w:val="0"/>
                <w:numId w:val="20"/>
              </w:numPr>
              <w:spacing w:before="120" w:after="120"/>
              <w:rPr>
                <w:rFonts w:ascii="Arial" w:hAnsi="Arial" w:cs="Arial"/>
                <w:b w:val="0"/>
                <w:sz w:val="24"/>
                <w:szCs w:val="24"/>
              </w:rPr>
            </w:pPr>
            <w:r w:rsidRPr="00F55406">
              <w:rPr>
                <w:rFonts w:ascii="Arial" w:hAnsi="Arial" w:cs="Arial"/>
                <w:b w:val="0"/>
                <w:sz w:val="24"/>
                <w:szCs w:val="24"/>
              </w:rPr>
              <w:t>How will the financial incentives be delivered?</w:t>
            </w:r>
          </w:p>
        </w:tc>
      </w:tr>
    </w:tbl>
    <w:p w:rsidR="007A1C4A" w:rsidRPr="00E04F18" w:rsidRDefault="007A1C4A" w:rsidP="00754132">
      <w:pPr>
        <w:pStyle w:val="Heading2"/>
        <w:spacing w:after="120"/>
        <w:ind w:left="720" w:hanging="720"/>
        <w:rPr>
          <w:i w:val="0"/>
          <w:iCs w:val="0"/>
        </w:rPr>
      </w:pPr>
      <w:bookmarkStart w:id="53" w:name="_Toc372115666"/>
      <w:r w:rsidRPr="00E04F18">
        <w:rPr>
          <w:i w:val="0"/>
          <w:iCs w:val="0"/>
        </w:rPr>
        <w:t>5.</w:t>
      </w:r>
      <w:r>
        <w:rPr>
          <w:i w:val="0"/>
          <w:iCs w:val="0"/>
        </w:rPr>
        <w:t>3</w:t>
      </w:r>
      <w:r w:rsidRPr="00E04F18">
        <w:rPr>
          <w:i w:val="0"/>
          <w:iCs w:val="0"/>
        </w:rPr>
        <w:t xml:space="preserve"> </w:t>
      </w:r>
      <w:r>
        <w:rPr>
          <w:i w:val="0"/>
          <w:iCs w:val="0"/>
        </w:rPr>
        <w:tab/>
      </w:r>
      <w:r w:rsidRPr="00E04F18">
        <w:rPr>
          <w:i w:val="0"/>
          <w:iCs w:val="0"/>
        </w:rPr>
        <w:t>References</w:t>
      </w:r>
      <w:bookmarkEnd w:id="53"/>
    </w:p>
    <w:p w:rsidR="007A1C4A" w:rsidRDefault="007A1C4A" w:rsidP="00754132">
      <w:pPr>
        <w:spacing w:after="120"/>
        <w:ind w:left="360" w:hanging="360"/>
        <w:rPr>
          <w:rFonts w:cs="Arial"/>
          <w:noProof/>
        </w:rPr>
      </w:pPr>
      <w:r>
        <w:rPr>
          <w:rFonts w:cs="Arial"/>
        </w:rPr>
        <w:fldChar w:fldCharType="begin"/>
      </w:r>
      <w:r>
        <w:rPr>
          <w:rFonts w:cs="Arial"/>
        </w:rPr>
        <w:instrText xml:space="preserve"> ADDIN EN.REFLIST </w:instrText>
      </w:r>
      <w:r>
        <w:rPr>
          <w:rFonts w:cs="Arial"/>
        </w:rPr>
        <w:fldChar w:fldCharType="separate"/>
      </w:r>
      <w:r>
        <w:rPr>
          <w:rFonts w:cs="Arial"/>
          <w:noProof/>
        </w:rPr>
        <w:t xml:space="preserve">1.  Woolhandler S, Ariely D, Himmelstein DU. Why pay for performance may be incompatible with quality improvement. </w:t>
      </w:r>
      <w:r w:rsidRPr="002B66E2">
        <w:rPr>
          <w:rFonts w:cs="Arial"/>
          <w:i/>
          <w:noProof/>
        </w:rPr>
        <w:t>BMJ</w:t>
      </w:r>
      <w:r>
        <w:rPr>
          <w:rFonts w:cs="Arial"/>
          <w:noProof/>
        </w:rPr>
        <w:t xml:space="preserve"> 2012;345.</w:t>
      </w:r>
    </w:p>
    <w:p w:rsidR="007A1C4A" w:rsidRDefault="007A1C4A" w:rsidP="00754132">
      <w:pPr>
        <w:spacing w:after="120"/>
        <w:ind w:left="360" w:hanging="360"/>
        <w:rPr>
          <w:rFonts w:cs="Arial"/>
          <w:noProof/>
        </w:rPr>
      </w:pPr>
      <w:r>
        <w:rPr>
          <w:rFonts w:cs="Arial"/>
          <w:noProof/>
        </w:rPr>
        <w:t xml:space="preserve">2.  Deci EL, Koestner R, Ryan RM. A meta-analytic review of experiments examining the effects of extrinsic rewards on intrinsic motivation. </w:t>
      </w:r>
      <w:r w:rsidRPr="002B66E2">
        <w:rPr>
          <w:rFonts w:cs="Arial"/>
          <w:i/>
          <w:noProof/>
        </w:rPr>
        <w:t>Psychol Bull</w:t>
      </w:r>
      <w:r>
        <w:rPr>
          <w:rFonts w:cs="Arial"/>
          <w:noProof/>
        </w:rPr>
        <w:t xml:space="preserve"> 1999;125(6):627-668; discussion 692-700.</w:t>
      </w:r>
    </w:p>
    <w:p w:rsidR="007A1C4A" w:rsidRDefault="007A1C4A" w:rsidP="00754132">
      <w:pPr>
        <w:spacing w:after="120"/>
        <w:ind w:left="360" w:hanging="360"/>
        <w:rPr>
          <w:rFonts w:cs="Arial"/>
          <w:noProof/>
        </w:rPr>
      </w:pPr>
      <w:r>
        <w:rPr>
          <w:rFonts w:cs="Arial"/>
          <w:noProof/>
        </w:rPr>
        <w:t>3.  Productivity Commission. Behavioural Economics and Public Policy, Roundtable Proceedings. Canberra. Productivity Commission, 2008.</w:t>
      </w:r>
    </w:p>
    <w:p w:rsidR="007A1C4A" w:rsidRDefault="007A1C4A" w:rsidP="00754132">
      <w:pPr>
        <w:spacing w:after="120"/>
        <w:ind w:left="360" w:hanging="360"/>
        <w:rPr>
          <w:rFonts w:cs="Arial"/>
          <w:noProof/>
        </w:rPr>
      </w:pPr>
      <w:r>
        <w:rPr>
          <w:rFonts w:cs="Arial"/>
          <w:noProof/>
        </w:rPr>
        <w:t>4.  Springer MG, Ballou D, Hamilton L, Le V, Lockwood JR, McCaffrey D, et al. Teacher Pay for Performance: Experimental Evidence from the Project on Incentives in Teaching. Nashville, TN. National Center on Performance Incentives at Vanderbilt University, 2010.</w:t>
      </w:r>
    </w:p>
    <w:p w:rsidR="007A1C4A" w:rsidRDefault="007A1C4A" w:rsidP="00754132">
      <w:pPr>
        <w:spacing w:after="120"/>
        <w:ind w:left="360" w:hanging="360"/>
        <w:rPr>
          <w:rFonts w:cs="Arial"/>
          <w:noProof/>
        </w:rPr>
      </w:pPr>
      <w:r>
        <w:rPr>
          <w:rFonts w:cs="Arial"/>
          <w:noProof/>
        </w:rPr>
        <w:lastRenderedPageBreak/>
        <w:t>5.  Fryer RG. Teacher Incentives and Student Achievement: Evidence from New York City Public Schools. Cambridge MA. National Bureau of Ecoomic Research, 2011.</w:t>
      </w:r>
    </w:p>
    <w:p w:rsidR="007A1C4A" w:rsidRDefault="007A1C4A" w:rsidP="00754132">
      <w:pPr>
        <w:spacing w:after="120"/>
        <w:ind w:left="360" w:hanging="360"/>
        <w:rPr>
          <w:rFonts w:cs="Arial"/>
          <w:noProof/>
        </w:rPr>
      </w:pPr>
      <w:r>
        <w:rPr>
          <w:rFonts w:cs="Arial"/>
          <w:noProof/>
        </w:rPr>
        <w:t xml:space="preserve">6.  Sen A. Rational Fools: A Critique of the Behavioral Foundations of Economic Theory. </w:t>
      </w:r>
      <w:r w:rsidRPr="002B66E2">
        <w:rPr>
          <w:rFonts w:cs="Arial"/>
          <w:i/>
          <w:noProof/>
        </w:rPr>
        <w:t>Philosophy &amp; Public Affairs</w:t>
      </w:r>
      <w:r>
        <w:rPr>
          <w:rFonts w:cs="Arial"/>
          <w:noProof/>
        </w:rPr>
        <w:t xml:space="preserve"> 1977;6(4):317-344.</w:t>
      </w:r>
    </w:p>
    <w:p w:rsidR="007A1C4A" w:rsidRDefault="007A1C4A" w:rsidP="00754132">
      <w:pPr>
        <w:spacing w:after="120"/>
        <w:ind w:left="360" w:hanging="360"/>
        <w:rPr>
          <w:rFonts w:cs="Arial"/>
          <w:noProof/>
        </w:rPr>
      </w:pPr>
      <w:r>
        <w:rPr>
          <w:rFonts w:cs="Arial"/>
          <w:noProof/>
        </w:rPr>
        <w:t xml:space="preserve">7.  Best A, Greenhalgh T, Lewis S, Saul JE, Carroll S, J B. Large-System Transformation in Health Care: A Realist Review. </w:t>
      </w:r>
      <w:r w:rsidRPr="002B66E2">
        <w:rPr>
          <w:rFonts w:cs="Arial"/>
          <w:i/>
          <w:noProof/>
        </w:rPr>
        <w:t>The Milbank Quarterly 2012</w:t>
      </w:r>
      <w:r>
        <w:rPr>
          <w:rFonts w:cs="Arial"/>
          <w:noProof/>
        </w:rPr>
        <w:t xml:space="preserve"> 2012;90(3):421-456.</w:t>
      </w:r>
    </w:p>
    <w:p w:rsidR="007A1C4A" w:rsidRDefault="007A1C4A" w:rsidP="00754132">
      <w:pPr>
        <w:spacing w:after="120"/>
        <w:ind w:left="360" w:hanging="360"/>
        <w:rPr>
          <w:rFonts w:cs="Arial"/>
          <w:noProof/>
        </w:rPr>
      </w:pPr>
      <w:r>
        <w:rPr>
          <w:rFonts w:cs="Arial"/>
          <w:noProof/>
        </w:rPr>
        <w:t xml:space="preserve">8.  Willson AB, Mountain D, et al. Door-to-balloon times are reduced in ST-elevation myocardial infarction by emergency physician activation of the cardiac catheterisation laboratory and immediate patient transfer. </w:t>
      </w:r>
      <w:r w:rsidRPr="002B66E2">
        <w:rPr>
          <w:rFonts w:cs="Arial"/>
          <w:i/>
          <w:noProof/>
        </w:rPr>
        <w:t>Medical Journal of Australia</w:t>
      </w:r>
      <w:r>
        <w:rPr>
          <w:rFonts w:cs="Arial"/>
          <w:noProof/>
        </w:rPr>
        <w:t xml:space="preserve"> 2010;193(4):207-212.</w:t>
      </w:r>
    </w:p>
    <w:p w:rsidR="007A1C4A" w:rsidRDefault="007A1C4A" w:rsidP="00754132">
      <w:pPr>
        <w:spacing w:after="120"/>
        <w:ind w:left="360" w:hanging="360"/>
        <w:rPr>
          <w:rFonts w:cs="Arial"/>
          <w:noProof/>
        </w:rPr>
      </w:pPr>
      <w:r>
        <w:rPr>
          <w:rFonts w:cs="Arial"/>
          <w:noProof/>
        </w:rPr>
        <w:t xml:space="preserve">9.  Jha AK, Joynt KE, Orav EJ, Epstein AM. The long-term effect of premier pay for performance on patient outcomes. </w:t>
      </w:r>
      <w:r w:rsidRPr="002B66E2">
        <w:rPr>
          <w:rFonts w:cs="Arial"/>
          <w:i/>
          <w:noProof/>
        </w:rPr>
        <w:t>N Engl J Med</w:t>
      </w:r>
      <w:r>
        <w:rPr>
          <w:rFonts w:cs="Arial"/>
          <w:noProof/>
        </w:rPr>
        <w:t xml:space="preserve"> 2012;366(17):1606-1615.</w:t>
      </w:r>
    </w:p>
    <w:p w:rsidR="007A1C4A" w:rsidRDefault="007A1C4A" w:rsidP="00754132">
      <w:pPr>
        <w:spacing w:after="120"/>
        <w:ind w:left="360" w:hanging="360"/>
        <w:rPr>
          <w:rFonts w:cs="Arial"/>
          <w:noProof/>
        </w:rPr>
      </w:pPr>
      <w:r>
        <w:rPr>
          <w:rFonts w:cs="Arial"/>
          <w:noProof/>
        </w:rPr>
        <w:t xml:space="preserve">10.Ryan A, Blustein J. Making the best of hospital pay for performance. </w:t>
      </w:r>
      <w:r w:rsidRPr="002B66E2">
        <w:rPr>
          <w:rFonts w:cs="Arial"/>
          <w:i/>
          <w:noProof/>
        </w:rPr>
        <w:t>N Engl J Med</w:t>
      </w:r>
      <w:r>
        <w:rPr>
          <w:rFonts w:cs="Arial"/>
          <w:noProof/>
        </w:rPr>
        <w:t xml:space="preserve"> 2012;366(17):1557-1559.</w:t>
      </w:r>
    </w:p>
    <w:p w:rsidR="007A1C4A" w:rsidRDefault="007A1C4A" w:rsidP="00754132">
      <w:pPr>
        <w:spacing w:after="120"/>
        <w:ind w:left="360" w:hanging="360"/>
        <w:rPr>
          <w:rFonts w:cs="Arial"/>
          <w:noProof/>
        </w:rPr>
      </w:pPr>
      <w:r>
        <w:rPr>
          <w:rFonts w:cs="Arial"/>
          <w:noProof/>
        </w:rPr>
        <w:t xml:space="preserve">11.Ryan AM, Blustein J, Casalino LP. Medicare's flagship test of pay-for-performance did not spur more rapid quality improvement among low-performing hospitals. </w:t>
      </w:r>
      <w:r w:rsidRPr="002B66E2">
        <w:rPr>
          <w:rFonts w:cs="Arial"/>
          <w:i/>
          <w:noProof/>
        </w:rPr>
        <w:t>Health Aff (Millwood)</w:t>
      </w:r>
      <w:r>
        <w:rPr>
          <w:rFonts w:cs="Arial"/>
          <w:noProof/>
        </w:rPr>
        <w:t xml:space="preserve"> 2012;31(4):797-805.</w:t>
      </w:r>
    </w:p>
    <w:p w:rsidR="007A1C4A" w:rsidRDefault="007A1C4A" w:rsidP="00754132">
      <w:pPr>
        <w:spacing w:after="120"/>
        <w:ind w:left="360" w:hanging="360"/>
        <w:rPr>
          <w:rFonts w:cs="Arial"/>
          <w:noProof/>
        </w:rPr>
      </w:pPr>
      <w:r>
        <w:rPr>
          <w:rFonts w:cs="Arial"/>
          <w:noProof/>
        </w:rPr>
        <w:t xml:space="preserve">12.Lee GM, Kleinman K, Soumerai SB, Tse A, Cole D, Fridkin SK, et al. Effect of Nonpayment for Preventable Infections in U.S. Hospitals. </w:t>
      </w:r>
      <w:r w:rsidRPr="002B66E2">
        <w:rPr>
          <w:rFonts w:cs="Arial"/>
          <w:i/>
          <w:noProof/>
        </w:rPr>
        <w:t>New England Journal of Medicine</w:t>
      </w:r>
      <w:r>
        <w:rPr>
          <w:rFonts w:cs="Arial"/>
          <w:noProof/>
        </w:rPr>
        <w:t xml:space="preserve"> 2012;367(15):1428-1437.</w:t>
      </w:r>
    </w:p>
    <w:p w:rsidR="007A1C4A" w:rsidRDefault="007A1C4A" w:rsidP="00754132">
      <w:pPr>
        <w:spacing w:after="120"/>
        <w:ind w:left="360" w:hanging="360"/>
        <w:rPr>
          <w:rFonts w:cs="Arial"/>
          <w:noProof/>
        </w:rPr>
      </w:pPr>
      <w:r>
        <w:rPr>
          <w:rFonts w:cs="Arial"/>
          <w:noProof/>
        </w:rPr>
        <w:t xml:space="preserve">13.Sutton M, Nikolova S, Boaden R, Lester H, McDonald R, Roland M. Reduced Mortality with Hospital Pay for Performance in England. </w:t>
      </w:r>
      <w:r w:rsidRPr="002B66E2">
        <w:rPr>
          <w:rFonts w:cs="Arial"/>
          <w:i/>
          <w:noProof/>
        </w:rPr>
        <w:t>New England Journal of Medicine</w:t>
      </w:r>
      <w:r>
        <w:rPr>
          <w:rFonts w:cs="Arial"/>
          <w:noProof/>
        </w:rPr>
        <w:t xml:space="preserve"> 2012;367(19):1821-1828.</w:t>
      </w:r>
    </w:p>
    <w:p w:rsidR="007A1C4A" w:rsidRDefault="007A1C4A" w:rsidP="00754132">
      <w:pPr>
        <w:spacing w:after="120"/>
        <w:ind w:left="360" w:hanging="360"/>
        <w:rPr>
          <w:rFonts w:cs="Arial"/>
          <w:noProof/>
        </w:rPr>
      </w:pPr>
      <w:r>
        <w:rPr>
          <w:rFonts w:cs="Arial"/>
          <w:noProof/>
        </w:rPr>
        <w:t>14.Appleby J, Harrison T, Hawkins L, Dixon A. Payment by results: how can payment systems help to deliver better care? London. The King's Fund, 2012.</w:t>
      </w:r>
    </w:p>
    <w:p w:rsidR="007A1C4A" w:rsidRDefault="007A1C4A" w:rsidP="00754132">
      <w:pPr>
        <w:spacing w:after="120"/>
        <w:ind w:left="360" w:hanging="360"/>
        <w:rPr>
          <w:rFonts w:cs="Arial"/>
          <w:noProof/>
        </w:rPr>
      </w:pPr>
      <w:r>
        <w:rPr>
          <w:rFonts w:cs="Arial"/>
          <w:noProof/>
        </w:rPr>
        <w:t xml:space="preserve">15.Glasziou PP, Buchan H, Mar CD, Doust J, Harris M, Knight R, et al. When financial incentives do more good than harm: a checklist. </w:t>
      </w:r>
      <w:r w:rsidRPr="002B66E2">
        <w:rPr>
          <w:rFonts w:cs="Arial"/>
          <w:i/>
          <w:noProof/>
        </w:rPr>
        <w:t>BMJ</w:t>
      </w:r>
      <w:r>
        <w:rPr>
          <w:rFonts w:cs="Arial"/>
          <w:noProof/>
        </w:rPr>
        <w:t xml:space="preserve"> 2012;345.</w:t>
      </w:r>
    </w:p>
    <w:p w:rsidR="007A1C4A" w:rsidRDefault="007A1C4A" w:rsidP="00754132">
      <w:pPr>
        <w:spacing w:after="120"/>
        <w:ind w:left="360" w:hanging="360"/>
        <w:rPr>
          <w:rFonts w:cs="Arial"/>
          <w:noProof/>
        </w:rPr>
      </w:pPr>
    </w:p>
    <w:p w:rsidR="007A1C4A" w:rsidRDefault="007A1C4A" w:rsidP="00951F18">
      <w:pPr>
        <w:pStyle w:val="Heading1"/>
        <w:spacing w:before="0"/>
      </w:pPr>
      <w:r>
        <w:rPr>
          <w:rFonts w:cs="Arial"/>
        </w:rPr>
        <w:fldChar w:fldCharType="end"/>
      </w:r>
    </w:p>
    <w:p w:rsidR="007A1C4A" w:rsidRPr="00E95FD4" w:rsidRDefault="007A1C4A" w:rsidP="00951F18">
      <w:pPr>
        <w:pStyle w:val="Heading1"/>
        <w:numPr>
          <w:ilvl w:val="0"/>
          <w:numId w:val="16"/>
        </w:numPr>
        <w:spacing w:before="0"/>
        <w:rPr>
          <w:color w:val="008080"/>
          <w:lang w:eastAsia="en-AU"/>
        </w:rPr>
      </w:pPr>
      <w:r>
        <w:br w:type="page"/>
      </w:r>
      <w:bookmarkStart w:id="54" w:name="_Toc372115667"/>
      <w:r>
        <w:rPr>
          <w:color w:val="008080"/>
          <w:lang w:eastAsia="en-AU"/>
        </w:rPr>
        <w:lastRenderedPageBreak/>
        <w:t>Australian Refine Diagnosis Related Groups v7.0</w:t>
      </w:r>
      <w:bookmarkEnd w:id="54"/>
    </w:p>
    <w:p w:rsidR="007A1C4A" w:rsidRDefault="00A502B7" w:rsidP="00951F18">
      <w:pPr>
        <w:jc w:val="both"/>
        <w:rPr>
          <w:rFonts w:cs="Arial"/>
        </w:rPr>
      </w:pPr>
      <w:r>
        <w:rPr>
          <w:rFonts w:cs="Arial"/>
        </w:rPr>
        <w:pict>
          <v:shape id="_x0000_i1033" type="#_x0000_t75" style="width:400.8pt;height:7.15pt" o:hrpct="0" o:hr="t">
            <v:imagedata r:id="rId10" o:title=""/>
          </v:shape>
        </w:pict>
      </w:r>
    </w:p>
    <w:p w:rsidR="007A1C4A" w:rsidRPr="009E246C" w:rsidRDefault="007A1C4A" w:rsidP="00951F18">
      <w:pPr>
        <w:pStyle w:val="Heading2"/>
        <w:spacing w:after="120" w:line="264" w:lineRule="auto"/>
        <w:rPr>
          <w:i w:val="0"/>
        </w:rPr>
      </w:pPr>
      <w:bookmarkStart w:id="55" w:name="_Toc372115668"/>
      <w:r w:rsidRPr="009E246C">
        <w:rPr>
          <w:i w:val="0"/>
        </w:rPr>
        <w:t>6.1</w:t>
      </w:r>
      <w:r w:rsidRPr="009E246C">
        <w:rPr>
          <w:i w:val="0"/>
        </w:rPr>
        <w:tab/>
        <w:t>Context</w:t>
      </w:r>
      <w:bookmarkEnd w:id="55"/>
      <w:r w:rsidRPr="009E246C">
        <w:rPr>
          <w:i w:val="0"/>
        </w:rPr>
        <w:t xml:space="preserve"> </w:t>
      </w:r>
    </w:p>
    <w:p w:rsidR="007A1C4A" w:rsidRPr="009E246C" w:rsidRDefault="007A1C4A" w:rsidP="00951F18">
      <w:pPr>
        <w:spacing w:before="120" w:after="120" w:line="264" w:lineRule="auto"/>
        <w:rPr>
          <w:rFonts w:cs="Arial"/>
        </w:rPr>
      </w:pPr>
      <w:r w:rsidRPr="009E246C">
        <w:rPr>
          <w:rFonts w:cs="Arial"/>
        </w:rPr>
        <w:t>Diagnosis related groups (DRGs) are a patient classification system that provides a clinically meaningful way of relating the types of patients treated by a hospital to the resources required by a hospital. DRGs provide a manageable number of diagnosis based classes that are differentiated on the basis of clinical content and resource consumption.</w:t>
      </w:r>
    </w:p>
    <w:p w:rsidR="007A1C4A" w:rsidRPr="009E246C" w:rsidRDefault="007A1C4A" w:rsidP="00726C7A">
      <w:pPr>
        <w:pStyle w:val="Heading2"/>
        <w:spacing w:after="120" w:line="264" w:lineRule="auto"/>
        <w:rPr>
          <w:i w:val="0"/>
        </w:rPr>
      </w:pPr>
      <w:bookmarkStart w:id="56" w:name="_Toc372115669"/>
      <w:r w:rsidRPr="009E246C">
        <w:rPr>
          <w:i w:val="0"/>
        </w:rPr>
        <w:t>6.2</w:t>
      </w:r>
      <w:r w:rsidRPr="009E246C">
        <w:rPr>
          <w:i w:val="0"/>
        </w:rPr>
        <w:tab/>
        <w:t>Background</w:t>
      </w:r>
      <w:bookmarkEnd w:id="56"/>
      <w:r w:rsidRPr="009E246C">
        <w:rPr>
          <w:i w:val="0"/>
        </w:rPr>
        <w:t xml:space="preserve"> </w:t>
      </w:r>
    </w:p>
    <w:p w:rsidR="007A1C4A" w:rsidRPr="009E246C" w:rsidRDefault="007A1C4A" w:rsidP="00951F18">
      <w:pPr>
        <w:spacing w:before="120" w:after="120" w:line="264" w:lineRule="auto"/>
        <w:rPr>
          <w:rFonts w:cs="Arial"/>
        </w:rPr>
      </w:pPr>
      <w:r w:rsidRPr="009E246C">
        <w:rPr>
          <w:rFonts w:cs="Arial"/>
        </w:rPr>
        <w:t>Patient episodes of care are allocated to DRGs on the basis of patient diagnosis and procedures undertaken during the episode of care. With the exception of some high cost procedures, episodes are assigned into a major diagnostic category (MDC) which reflects the body system or aetiology connected to the patient’s principal diagnosis. Within each MDC, partitioning usually occurs on the basis of surgical procedures, other procedures or medical cases. The majority of DRGs are then further split on the basis of resource consumption.</w:t>
      </w:r>
    </w:p>
    <w:p w:rsidR="007A1C4A" w:rsidRPr="009E246C" w:rsidRDefault="007A1C4A" w:rsidP="00951F18">
      <w:pPr>
        <w:spacing w:before="120" w:after="120" w:line="264" w:lineRule="auto"/>
        <w:rPr>
          <w:rFonts w:cs="Arial"/>
        </w:rPr>
      </w:pPr>
      <w:r w:rsidRPr="009E246C">
        <w:rPr>
          <w:rFonts w:cs="Arial"/>
        </w:rPr>
        <w:t>DRGs account for differing resource consumption in a number of ways. For example, dividing on the basis of:</w:t>
      </w:r>
    </w:p>
    <w:p w:rsidR="007A1C4A" w:rsidRPr="009E246C" w:rsidRDefault="007A1C4A" w:rsidP="00951F18">
      <w:pPr>
        <w:numPr>
          <w:ilvl w:val="0"/>
          <w:numId w:val="6"/>
        </w:numPr>
        <w:spacing w:before="120" w:after="120" w:line="264" w:lineRule="auto"/>
        <w:ind w:right="-154"/>
        <w:rPr>
          <w:rFonts w:cs="Arial"/>
          <w:szCs w:val="24"/>
        </w:rPr>
      </w:pPr>
      <w:r w:rsidRPr="009E246C">
        <w:rPr>
          <w:rFonts w:cs="Arial"/>
          <w:szCs w:val="24"/>
        </w:rPr>
        <w:t>other procedures performed</w:t>
      </w:r>
    </w:p>
    <w:p w:rsidR="007A1C4A" w:rsidRPr="009E246C" w:rsidRDefault="007A1C4A" w:rsidP="00951F18">
      <w:pPr>
        <w:numPr>
          <w:ilvl w:val="0"/>
          <w:numId w:val="6"/>
        </w:numPr>
        <w:spacing w:before="120" w:after="120" w:line="264" w:lineRule="auto"/>
        <w:ind w:right="-154"/>
        <w:rPr>
          <w:rFonts w:cs="Arial"/>
          <w:szCs w:val="24"/>
        </w:rPr>
      </w:pPr>
      <w:r w:rsidRPr="009E246C">
        <w:rPr>
          <w:rFonts w:cs="Arial"/>
          <w:szCs w:val="24"/>
        </w:rPr>
        <w:t>patient comorbidities which are present during the episode of care</w:t>
      </w:r>
    </w:p>
    <w:p w:rsidR="007A1C4A" w:rsidRPr="009E246C" w:rsidRDefault="007A1C4A" w:rsidP="00951F18">
      <w:pPr>
        <w:numPr>
          <w:ilvl w:val="0"/>
          <w:numId w:val="6"/>
        </w:numPr>
        <w:spacing w:before="120" w:after="120" w:line="264" w:lineRule="auto"/>
        <w:ind w:right="-154"/>
        <w:rPr>
          <w:rFonts w:cs="Arial"/>
          <w:szCs w:val="24"/>
        </w:rPr>
      </w:pPr>
      <w:r w:rsidRPr="009E246C">
        <w:rPr>
          <w:rFonts w:cs="Arial"/>
          <w:szCs w:val="24"/>
        </w:rPr>
        <w:t>complications which occur during the episode of care</w:t>
      </w:r>
    </w:p>
    <w:p w:rsidR="007A1C4A" w:rsidRPr="009E246C" w:rsidRDefault="007A1C4A" w:rsidP="00951F18">
      <w:pPr>
        <w:numPr>
          <w:ilvl w:val="0"/>
          <w:numId w:val="6"/>
        </w:numPr>
        <w:spacing w:before="120" w:after="120" w:line="264" w:lineRule="auto"/>
        <w:ind w:right="-154"/>
        <w:rPr>
          <w:rFonts w:cs="Arial"/>
          <w:szCs w:val="24"/>
        </w:rPr>
      </w:pPr>
      <w:r w:rsidRPr="009E246C">
        <w:rPr>
          <w:rFonts w:cs="Arial"/>
          <w:szCs w:val="24"/>
        </w:rPr>
        <w:t>length of stay.</w:t>
      </w:r>
    </w:p>
    <w:p w:rsidR="007A1C4A" w:rsidRPr="00951F18" w:rsidRDefault="007A1C4A" w:rsidP="00951F18">
      <w:pPr>
        <w:spacing w:before="120" w:after="120" w:line="264" w:lineRule="auto"/>
        <w:rPr>
          <w:rFonts w:cs="Arial"/>
        </w:rPr>
      </w:pPr>
      <w:r w:rsidRPr="009E246C">
        <w:rPr>
          <w:rFonts w:cs="Arial"/>
        </w:rPr>
        <w:t>Therefore, a patient who undergoes a procedure is likely to be allocated to a higher weighted DRG than another patient with a similar diagnosis who does not undergo a procedure. Similarly, a patient with comorbidities which impact on the episode of care, or a patient who has experienced complications during their episode of care is likely to be allocated to a higher weighted DRG than another patient with a similar diagnosis who does not have any comorbidities or complications.</w:t>
      </w:r>
    </w:p>
    <w:p w:rsidR="007A1C4A" w:rsidRPr="00842F30" w:rsidRDefault="007A1C4A" w:rsidP="00842F30">
      <w:pPr>
        <w:spacing w:before="120" w:after="120" w:line="264" w:lineRule="auto"/>
        <w:rPr>
          <w:rFonts w:cs="Arial"/>
        </w:rPr>
        <w:sectPr w:rsidR="007A1C4A" w:rsidRPr="00842F30" w:rsidSect="00DE0D1D">
          <w:footnotePr>
            <w:numFmt w:val="upperLetter"/>
          </w:footnotePr>
          <w:pgSz w:w="11906" w:h="16838"/>
          <w:pgMar w:top="1260" w:right="1800" w:bottom="1080" w:left="1800" w:header="708" w:footer="708" w:gutter="0"/>
          <w:cols w:space="708"/>
          <w:docGrid w:linePitch="360"/>
        </w:sectPr>
      </w:pPr>
    </w:p>
    <w:p w:rsidR="007A1C4A" w:rsidRPr="0078008A" w:rsidRDefault="007A1C4A" w:rsidP="0078008A">
      <w:pPr>
        <w:pStyle w:val="Heading1"/>
        <w:spacing w:before="0"/>
        <w:ind w:left="2160" w:hanging="2160"/>
        <w:rPr>
          <w:color w:val="008080"/>
          <w:lang w:eastAsia="en-AU"/>
        </w:rPr>
      </w:pPr>
      <w:bookmarkStart w:id="57" w:name="_Toc372115670"/>
      <w:r w:rsidRPr="0078008A">
        <w:rPr>
          <w:color w:val="008080"/>
          <w:lang w:eastAsia="en-AU"/>
        </w:rPr>
        <w:lastRenderedPageBreak/>
        <w:t>Appendix 1.</w:t>
      </w:r>
      <w:r w:rsidRPr="0078008A">
        <w:rPr>
          <w:color w:val="008080"/>
          <w:lang w:eastAsia="en-AU"/>
        </w:rPr>
        <w:tab/>
        <w:t>Variations and flexibilities within the NHS Payment by Results initiative</w:t>
      </w:r>
      <w:r w:rsidRPr="0078008A">
        <w:rPr>
          <w:rStyle w:val="FootnoteReference"/>
          <w:color w:val="008080"/>
          <w:lang w:eastAsia="en-AU"/>
        </w:rPr>
        <w:footnoteReference w:id="7"/>
      </w:r>
      <w:bookmarkEnd w:id="57"/>
    </w:p>
    <w:p w:rsidR="007A1C4A" w:rsidRDefault="00A502B7" w:rsidP="00FD2124">
      <w:r>
        <w:pict>
          <v:shape id="_x0000_i1034" type="#_x0000_t75" style="width:400.8pt;height:7.15pt" o:hrpct="0" o:hr="t">
            <v:imagedata r:id="rId10" o:title=""/>
          </v:shape>
        </w:pict>
      </w:r>
    </w:p>
    <w:p w:rsidR="007A1C4A" w:rsidRPr="00E70C6B" w:rsidRDefault="00A502B7" w:rsidP="00085D0F">
      <w:pPr>
        <w:rPr>
          <w:rFonts w:cs="Arial"/>
          <w:szCs w:val="24"/>
        </w:rPr>
      </w:pPr>
      <w:r>
        <w:pict>
          <v:shape id="_x0000_i1035" type="#_x0000_t75" style="width:388.5pt;height:593.5pt">
            <v:imagedata r:id="rId24" o:title=""/>
          </v:shape>
        </w:pict>
      </w:r>
    </w:p>
    <w:sectPr w:rsidR="007A1C4A" w:rsidRPr="00E70C6B" w:rsidSect="00DE0D1D">
      <w:footnotePr>
        <w:numFmt w:val="upperLetter"/>
      </w:footnotePr>
      <w:pgSz w:w="11906" w:h="16838"/>
      <w:pgMar w:top="1080" w:right="1800" w:bottom="108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25" w:rsidRDefault="00136D25">
      <w:r>
        <w:separator/>
      </w:r>
    </w:p>
  </w:endnote>
  <w:endnote w:type="continuationSeparator" w:id="0">
    <w:p w:rsidR="00136D25" w:rsidRDefault="00136D25">
      <w:r>
        <w:continuationSeparator/>
      </w:r>
    </w:p>
  </w:endnote>
  <w:endnote w:type="continuationNotice" w:id="1">
    <w:p w:rsidR="00136D25" w:rsidRDefault="00136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Berkeley-Medium">
    <w:panose1 w:val="00000000000000000000"/>
    <w:charset w:val="00"/>
    <w:family w:val="roman"/>
    <w:notTrueType/>
    <w:pitch w:val="default"/>
    <w:sig w:usb0="00000003" w:usb1="00000000" w:usb2="00000000" w:usb3="00000000" w:csb0="00000001" w:csb1="00000000"/>
  </w:font>
  <w:font w:name="Dax-Light">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07" w:rsidRPr="00584465" w:rsidRDefault="00E25107" w:rsidP="00356D81">
    <w:pPr>
      <w:pStyle w:val="Footer"/>
      <w:pBdr>
        <w:top w:val="single" w:sz="4" w:space="1" w:color="auto"/>
      </w:pBdr>
      <w:rPr>
        <w:rFonts w:ascii="Arial" w:hAnsi="Arial" w:cs="Arial"/>
        <w:sz w:val="20"/>
        <w:szCs w:val="20"/>
      </w:rPr>
    </w:pPr>
    <w:r>
      <w:rPr>
        <w:rFonts w:ascii="Arial" w:hAnsi="Arial" w:cs="Arial"/>
        <w:sz w:val="20"/>
        <w:szCs w:val="20"/>
      </w:rPr>
      <w:t xml:space="preserve">Supplementary Briefing, Joint Working Party, (updated </w:t>
    </w:r>
    <w:r w:rsidR="00253328">
      <w:rPr>
        <w:rFonts w:ascii="Arial" w:hAnsi="Arial" w:cs="Arial"/>
        <w:sz w:val="20"/>
        <w:szCs w:val="20"/>
      </w:rPr>
      <w:t>July 2015</w:t>
    </w:r>
    <w:r>
      <w:rPr>
        <w:rFonts w:ascii="Arial" w:hAnsi="Arial" w:cs="Arial"/>
        <w:sz w:val="20"/>
        <w:szCs w:val="20"/>
      </w:rPr>
      <w:t>)</w:t>
    </w:r>
    <w:r>
      <w:rPr>
        <w:rFonts w:ascii="Arial" w:hAnsi="Arial" w:cs="Arial"/>
        <w:sz w:val="20"/>
        <w:szCs w:val="20"/>
      </w:rPr>
      <w:tab/>
    </w:r>
    <w:r w:rsidRPr="00584465">
      <w:rPr>
        <w:rFonts w:ascii="Arial" w:hAnsi="Arial" w:cs="Arial"/>
        <w:sz w:val="20"/>
        <w:szCs w:val="20"/>
      </w:rPr>
      <w:fldChar w:fldCharType="begin"/>
    </w:r>
    <w:r w:rsidRPr="00584465">
      <w:rPr>
        <w:rFonts w:ascii="Arial" w:hAnsi="Arial" w:cs="Arial"/>
        <w:sz w:val="20"/>
        <w:szCs w:val="20"/>
      </w:rPr>
      <w:instrText xml:space="preserve"> PAGE   \* MERGEFORMAT </w:instrText>
    </w:r>
    <w:r w:rsidRPr="00584465">
      <w:rPr>
        <w:rFonts w:ascii="Arial" w:hAnsi="Arial" w:cs="Arial"/>
        <w:sz w:val="20"/>
        <w:szCs w:val="20"/>
      </w:rPr>
      <w:fldChar w:fldCharType="separate"/>
    </w:r>
    <w:r w:rsidR="00EE0CA0" w:rsidRPr="00EE0CA0">
      <w:rPr>
        <w:rFonts w:ascii="Arial" w:hAnsi="Arial" w:cs="Arial"/>
        <w:noProof/>
      </w:rPr>
      <w:t>8</w:t>
    </w:r>
    <w:r w:rsidRPr="00584465">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07" w:rsidRPr="00584465" w:rsidRDefault="00E25107" w:rsidP="00DB36C2">
    <w:pPr>
      <w:pStyle w:val="Footer"/>
      <w:jc w:val="right"/>
      <w:rPr>
        <w:rFonts w:ascii="Arial" w:hAnsi="Arial" w:cs="Arial"/>
        <w:sz w:val="20"/>
        <w:szCs w:val="20"/>
      </w:rPr>
    </w:pPr>
    <w:r w:rsidRPr="00584465">
      <w:rPr>
        <w:rFonts w:ascii="Arial" w:hAnsi="Arial" w:cs="Arial"/>
        <w:sz w:val="20"/>
        <w:szCs w:val="20"/>
      </w:rPr>
      <w:fldChar w:fldCharType="begin"/>
    </w:r>
    <w:r w:rsidRPr="00584465">
      <w:rPr>
        <w:rFonts w:ascii="Arial" w:hAnsi="Arial" w:cs="Arial"/>
        <w:sz w:val="20"/>
        <w:szCs w:val="20"/>
      </w:rPr>
      <w:instrText xml:space="preserve"> PAGE   \* MERGEFORMAT </w:instrText>
    </w:r>
    <w:r w:rsidRPr="00584465">
      <w:rPr>
        <w:rFonts w:ascii="Arial" w:hAnsi="Arial" w:cs="Arial"/>
        <w:sz w:val="20"/>
        <w:szCs w:val="20"/>
      </w:rPr>
      <w:fldChar w:fldCharType="separate"/>
    </w:r>
    <w:r w:rsidR="00EE0CA0">
      <w:rPr>
        <w:rFonts w:ascii="Arial" w:hAnsi="Arial" w:cs="Arial"/>
        <w:noProof/>
        <w:sz w:val="20"/>
        <w:szCs w:val="20"/>
      </w:rPr>
      <w:t>33</w:t>
    </w:r>
    <w:r w:rsidRPr="00584465">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07" w:rsidRPr="00584465" w:rsidRDefault="00E25107" w:rsidP="00B146E1">
    <w:pPr>
      <w:pStyle w:val="Footer"/>
      <w:rPr>
        <w:rFonts w:ascii="Arial" w:hAnsi="Arial" w:cs="Arial"/>
        <w:sz w:val="20"/>
        <w:szCs w:val="20"/>
      </w:rPr>
    </w:pPr>
    <w:r>
      <w:rPr>
        <w:rFonts w:ascii="Arial" w:hAnsi="Arial" w:cs="Arial"/>
        <w:sz w:val="20"/>
        <w:szCs w:val="20"/>
      </w:rPr>
      <w:t xml:space="preserve">Supplementary Briefing, Joint Working Party (updated </w:t>
    </w:r>
    <w:r w:rsidR="00253328">
      <w:rPr>
        <w:rFonts w:ascii="Arial" w:hAnsi="Arial" w:cs="Arial"/>
        <w:sz w:val="20"/>
        <w:szCs w:val="20"/>
      </w:rPr>
      <w:t>July 2015</w:t>
    </w:r>
    <w:r>
      <w:rPr>
        <w:rFonts w:ascii="Arial" w:hAnsi="Arial" w:cs="Arial"/>
        <w:sz w:val="20"/>
        <w:szCs w:val="20"/>
      </w:rPr>
      <w:t>)</w:t>
    </w:r>
    <w:r>
      <w:rPr>
        <w:rFonts w:ascii="Arial" w:hAnsi="Arial" w:cs="Arial"/>
        <w:sz w:val="20"/>
        <w:szCs w:val="20"/>
      </w:rPr>
      <w:tab/>
    </w:r>
    <w:r w:rsidRPr="00584465">
      <w:rPr>
        <w:rFonts w:ascii="Arial" w:hAnsi="Arial" w:cs="Arial"/>
        <w:sz w:val="20"/>
        <w:szCs w:val="20"/>
      </w:rPr>
      <w:fldChar w:fldCharType="begin"/>
    </w:r>
    <w:r w:rsidRPr="00584465">
      <w:rPr>
        <w:rFonts w:ascii="Arial" w:hAnsi="Arial" w:cs="Arial"/>
        <w:sz w:val="20"/>
        <w:szCs w:val="20"/>
      </w:rPr>
      <w:instrText xml:space="preserve"> PAGE   \* MERGEFORMAT </w:instrText>
    </w:r>
    <w:r w:rsidRPr="00584465">
      <w:rPr>
        <w:rFonts w:ascii="Arial" w:hAnsi="Arial" w:cs="Arial"/>
        <w:sz w:val="20"/>
        <w:szCs w:val="20"/>
      </w:rPr>
      <w:fldChar w:fldCharType="separate"/>
    </w:r>
    <w:r w:rsidR="00EE0CA0">
      <w:rPr>
        <w:rFonts w:ascii="Arial" w:hAnsi="Arial" w:cs="Arial"/>
        <w:noProof/>
        <w:sz w:val="20"/>
        <w:szCs w:val="20"/>
      </w:rPr>
      <w:t>40</w:t>
    </w:r>
    <w:r w:rsidRPr="00584465">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25" w:rsidRDefault="00136D25">
      <w:r>
        <w:separator/>
      </w:r>
    </w:p>
  </w:footnote>
  <w:footnote w:type="continuationSeparator" w:id="0">
    <w:p w:rsidR="00136D25" w:rsidRDefault="00136D25">
      <w:r>
        <w:continuationSeparator/>
      </w:r>
    </w:p>
  </w:footnote>
  <w:footnote w:type="continuationNotice" w:id="1">
    <w:p w:rsidR="00136D25" w:rsidRDefault="00136D25"/>
  </w:footnote>
  <w:footnote w:id="2">
    <w:p w:rsidR="00E25107" w:rsidRDefault="00E25107" w:rsidP="00477D8B">
      <w:pPr>
        <w:pStyle w:val="FootnoteText"/>
      </w:pPr>
      <w:r w:rsidRPr="00085D0F">
        <w:rPr>
          <w:rStyle w:val="FootnoteReference"/>
        </w:rPr>
        <w:footnoteRef/>
      </w:r>
      <w:r w:rsidRPr="00155913">
        <w:rPr>
          <w:rFonts w:ascii="Arial" w:hAnsi="Arial" w:cs="Arial"/>
        </w:rPr>
        <w:t xml:space="preserve"> </w:t>
      </w:r>
      <w:r w:rsidRPr="00155913">
        <w:rPr>
          <w:rFonts w:ascii="Arial" w:hAnsi="Arial" w:cs="Arial"/>
          <w:color w:val="000000"/>
        </w:rPr>
        <w:t>National Institute for Quality and Patient Safety</w:t>
      </w:r>
      <w:r>
        <w:rPr>
          <w:rFonts w:ascii="Arial" w:hAnsi="Arial" w:cs="Arial"/>
          <w:color w:val="000000"/>
        </w:rPr>
        <w:t xml:space="preserve"> (Germany)</w:t>
      </w:r>
    </w:p>
  </w:footnote>
  <w:footnote w:id="3">
    <w:p w:rsidR="00E25107" w:rsidRDefault="00E25107" w:rsidP="00064D5F">
      <w:pPr>
        <w:pStyle w:val="FootnoteText"/>
      </w:pPr>
      <w:r w:rsidRPr="003D52BA">
        <w:rPr>
          <w:rFonts w:ascii="Arial" w:hAnsi="Arial" w:cs="Arial"/>
          <w:vertAlign w:val="superscript"/>
        </w:rPr>
        <w:t>A</w:t>
      </w:r>
      <w:r w:rsidRPr="003D52BA">
        <w:rPr>
          <w:rFonts w:ascii="Arial" w:hAnsi="Arial" w:cs="Arial"/>
        </w:rPr>
        <w:t xml:space="preserve"> The full report was presented to the Joint Working Party at the meeting of 26 February 2013.</w:t>
      </w:r>
    </w:p>
  </w:footnote>
  <w:footnote w:id="4">
    <w:p w:rsidR="00E25107" w:rsidRDefault="00E25107" w:rsidP="00F12635">
      <w:pPr>
        <w:pStyle w:val="FootnoteText"/>
      </w:pPr>
      <w:r w:rsidRPr="00584465">
        <w:rPr>
          <w:rStyle w:val="FootnoteReference"/>
          <w:rFonts w:ascii="Arial" w:hAnsi="Arial" w:cs="Arial"/>
        </w:rPr>
        <w:footnoteRef/>
      </w:r>
      <w:r w:rsidRPr="00584465">
        <w:rPr>
          <w:rFonts w:ascii="Arial" w:hAnsi="Arial" w:cs="Arial"/>
        </w:rPr>
        <w:t xml:space="preserve"> CQUIN also applies to ambulance, community and mental health services.</w:t>
      </w:r>
    </w:p>
  </w:footnote>
  <w:footnote w:id="5">
    <w:p w:rsidR="00E25107" w:rsidRDefault="00E25107" w:rsidP="00754132">
      <w:pPr>
        <w:pStyle w:val="FootnoteText"/>
      </w:pPr>
      <w:r w:rsidRPr="00E93625">
        <w:rPr>
          <w:rStyle w:val="FootnoteReference"/>
          <w:rFonts w:ascii="Arial" w:hAnsi="Arial" w:cs="Arial"/>
        </w:rPr>
        <w:footnoteRef/>
      </w:r>
      <w:r w:rsidRPr="00E93625">
        <w:rPr>
          <w:rFonts w:ascii="Arial" w:hAnsi="Arial" w:cs="Arial"/>
        </w:rPr>
        <w:t xml:space="preserve"> This may explain why there is stronger evidence for P4P in settings where recipients work individually and where the work is discrete (e.g. immunisation rates, radiologists’ reporting times).</w:t>
      </w:r>
    </w:p>
  </w:footnote>
  <w:footnote w:id="6">
    <w:p w:rsidR="00E25107" w:rsidRDefault="00E25107" w:rsidP="00754132">
      <w:pPr>
        <w:pStyle w:val="FootnoteText"/>
      </w:pPr>
      <w:r>
        <w:rPr>
          <w:rStyle w:val="FootnoteReference"/>
        </w:rPr>
        <w:footnoteRef/>
      </w:r>
      <w:r>
        <w:t xml:space="preserve"> </w:t>
      </w:r>
      <w:r w:rsidRPr="00E01B07">
        <w:rPr>
          <w:rFonts w:ascii="Arial" w:hAnsi="Arial" w:cs="Arial"/>
          <w:sz w:val="18"/>
          <w:szCs w:val="18"/>
        </w:rPr>
        <w:t>PHQID participation is voluntary whereas AQ is compulsory.</w:t>
      </w:r>
    </w:p>
  </w:footnote>
  <w:footnote w:id="7">
    <w:p w:rsidR="00E25107" w:rsidRDefault="00E25107" w:rsidP="00E70C6B">
      <w:pPr>
        <w:tabs>
          <w:tab w:val="left" w:pos="0"/>
        </w:tabs>
        <w:spacing w:line="264" w:lineRule="auto"/>
        <w:ind w:right="-694"/>
      </w:pPr>
      <w:r w:rsidRPr="00E70C6B">
        <w:rPr>
          <w:rStyle w:val="FootnoteReference"/>
          <w:sz w:val="20"/>
        </w:rPr>
        <w:footnoteRef/>
      </w:r>
      <w:r w:rsidRPr="00E70C6B">
        <w:rPr>
          <w:sz w:val="20"/>
        </w:rPr>
        <w:t xml:space="preserve"> </w:t>
      </w:r>
      <w:r>
        <w:rPr>
          <w:sz w:val="20"/>
        </w:rPr>
        <w:t xml:space="preserve">From: </w:t>
      </w:r>
      <w:r w:rsidRPr="00E70C6B">
        <w:rPr>
          <w:noProof/>
          <w:sz w:val="20"/>
        </w:rPr>
        <w:t>Appleby J, Harrison T, Hawkins L, Dixon A. Payment by results: how can payment systems help to deliver better care? London. The King's Fund,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D47"/>
    <w:multiLevelType w:val="hybridMultilevel"/>
    <w:tmpl w:val="3C8C3210"/>
    <w:lvl w:ilvl="0" w:tplc="0C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01196F"/>
    <w:multiLevelType w:val="hybridMultilevel"/>
    <w:tmpl w:val="F7BEB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0E127F"/>
    <w:multiLevelType w:val="hybridMultilevel"/>
    <w:tmpl w:val="A91E5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23563FE"/>
    <w:multiLevelType w:val="multilevel"/>
    <w:tmpl w:val="86943D3C"/>
    <w:lvl w:ilvl="0">
      <w:start w:val="4"/>
      <w:numFmt w:val="decimal"/>
      <w:lvlText w:val="%1"/>
      <w:lvlJc w:val="left"/>
      <w:pPr>
        <w:tabs>
          <w:tab w:val="num" w:pos="735"/>
        </w:tabs>
        <w:ind w:left="735" w:hanging="735"/>
      </w:pPr>
      <w:rPr>
        <w:rFonts w:cs="Times New Roman" w:hint="default"/>
      </w:rPr>
    </w:lvl>
    <w:lvl w:ilvl="1">
      <w:start w:val="3"/>
      <w:numFmt w:val="decimal"/>
      <w:lvlText w:val="%1.%2"/>
      <w:lvlJc w:val="left"/>
      <w:pPr>
        <w:tabs>
          <w:tab w:val="num" w:pos="735"/>
        </w:tabs>
        <w:ind w:left="735" w:hanging="735"/>
      </w:pPr>
      <w:rPr>
        <w:rFonts w:cs="Times New Roman" w:hint="default"/>
      </w:rPr>
    </w:lvl>
    <w:lvl w:ilvl="2">
      <w:start w:val="3"/>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2EC48AC"/>
    <w:multiLevelType w:val="hybridMultilevel"/>
    <w:tmpl w:val="2432EEC8"/>
    <w:lvl w:ilvl="0" w:tplc="C44AE7B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5677F61"/>
    <w:multiLevelType w:val="hybridMultilevel"/>
    <w:tmpl w:val="1F0EB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E434EB"/>
    <w:multiLevelType w:val="hybridMultilevel"/>
    <w:tmpl w:val="92B254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9E1956"/>
    <w:multiLevelType w:val="hybridMultilevel"/>
    <w:tmpl w:val="7E6C99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D6811AB"/>
    <w:multiLevelType w:val="multilevel"/>
    <w:tmpl w:val="1B760830"/>
    <w:lvl w:ilvl="0">
      <w:start w:val="4"/>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9">
    <w:nsid w:val="115C329A"/>
    <w:multiLevelType w:val="multilevel"/>
    <w:tmpl w:val="179634BA"/>
    <w:lvl w:ilvl="0">
      <w:start w:val="1"/>
      <w:numFmt w:val="lowerLetter"/>
      <w:lvlText w:val="%1)"/>
      <w:lvlJc w:val="left"/>
      <w:pPr>
        <w:ind w:left="525" w:hanging="525"/>
      </w:pPr>
      <w:rPr>
        <w:rFonts w:cs="Times New Roman" w:hint="default"/>
      </w:rPr>
    </w:lvl>
    <w:lvl w:ilvl="1">
      <w:start w:val="2"/>
      <w:numFmt w:val="decimal"/>
      <w:lvlText w:val="%1.%2"/>
      <w:lvlJc w:val="left"/>
      <w:pPr>
        <w:ind w:left="705" w:hanging="52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nsid w:val="13875E16"/>
    <w:multiLevelType w:val="hybridMultilevel"/>
    <w:tmpl w:val="9468C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41D4611"/>
    <w:multiLevelType w:val="hybridMultilevel"/>
    <w:tmpl w:val="5EE8839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CD1CF8"/>
    <w:multiLevelType w:val="hybridMultilevel"/>
    <w:tmpl w:val="E73EF2A8"/>
    <w:lvl w:ilvl="0" w:tplc="0409000F">
      <w:start w:val="1"/>
      <w:numFmt w:val="decimal"/>
      <w:lvlText w:val="%1."/>
      <w:lvlJc w:val="left"/>
      <w:pPr>
        <w:tabs>
          <w:tab w:val="num" w:pos="720"/>
        </w:tabs>
        <w:ind w:left="720" w:hanging="360"/>
      </w:pPr>
      <w:rPr>
        <w:rFonts w:cs="Times New Roman"/>
      </w:rPr>
    </w:lvl>
    <w:lvl w:ilvl="1" w:tplc="E0220AC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6393B8A"/>
    <w:multiLevelType w:val="hybridMultilevel"/>
    <w:tmpl w:val="B5120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8E257F0"/>
    <w:multiLevelType w:val="hybridMultilevel"/>
    <w:tmpl w:val="DB1EB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066012"/>
    <w:multiLevelType w:val="hybridMultilevel"/>
    <w:tmpl w:val="CD98D6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B6E1203"/>
    <w:multiLevelType w:val="hybridMultilevel"/>
    <w:tmpl w:val="77E62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E9572DB"/>
    <w:multiLevelType w:val="hybridMultilevel"/>
    <w:tmpl w:val="3D38DE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0E1723"/>
    <w:multiLevelType w:val="hybridMultilevel"/>
    <w:tmpl w:val="7B24B2B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223A5231"/>
    <w:multiLevelType w:val="hybridMultilevel"/>
    <w:tmpl w:val="D5AA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2462103"/>
    <w:multiLevelType w:val="hybridMultilevel"/>
    <w:tmpl w:val="C36EDA96"/>
    <w:lvl w:ilvl="0" w:tplc="2262632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5AC61CE"/>
    <w:multiLevelType w:val="hybridMultilevel"/>
    <w:tmpl w:val="C7E2A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888347B"/>
    <w:multiLevelType w:val="multilevel"/>
    <w:tmpl w:val="40F68180"/>
    <w:lvl w:ilvl="0">
      <w:start w:val="1"/>
      <w:numFmt w:val="decimal"/>
      <w:lvlText w:val="%1."/>
      <w:lvlJc w:val="left"/>
      <w:pPr>
        <w:ind w:left="720" w:hanging="360"/>
      </w:pPr>
      <w:rPr>
        <w:rFonts w:cs="Times New Roman" w:hint="default"/>
        <w:sz w:val="32"/>
        <w:szCs w:val="3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290A1CA9"/>
    <w:multiLevelType w:val="hybridMultilevel"/>
    <w:tmpl w:val="66CAD0F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BDC4281"/>
    <w:multiLevelType w:val="multilevel"/>
    <w:tmpl w:val="12361FCE"/>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D973AE9"/>
    <w:multiLevelType w:val="hybridMultilevel"/>
    <w:tmpl w:val="BFDCD6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E62284D"/>
    <w:multiLevelType w:val="hybridMultilevel"/>
    <w:tmpl w:val="B33ECB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2EB7703D"/>
    <w:multiLevelType w:val="hybridMultilevel"/>
    <w:tmpl w:val="24F8916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1AE15F7"/>
    <w:multiLevelType w:val="hybridMultilevel"/>
    <w:tmpl w:val="C9E628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41173F"/>
    <w:multiLevelType w:val="multilevel"/>
    <w:tmpl w:val="10444810"/>
    <w:lvl w:ilvl="0">
      <w:start w:val="4"/>
      <w:numFmt w:val="decimal"/>
      <w:lvlText w:val="%1"/>
      <w:lvlJc w:val="left"/>
      <w:pPr>
        <w:tabs>
          <w:tab w:val="num" w:pos="735"/>
        </w:tabs>
        <w:ind w:left="735" w:hanging="735"/>
      </w:pPr>
      <w:rPr>
        <w:rFonts w:cs="Times New Roman" w:hint="default"/>
      </w:rPr>
    </w:lvl>
    <w:lvl w:ilvl="1">
      <w:start w:val="4"/>
      <w:numFmt w:val="decimal"/>
      <w:lvlText w:val="%1.%2"/>
      <w:lvlJc w:val="left"/>
      <w:pPr>
        <w:tabs>
          <w:tab w:val="num" w:pos="735"/>
        </w:tabs>
        <w:ind w:left="735" w:hanging="735"/>
      </w:pPr>
      <w:rPr>
        <w:rFonts w:cs="Times New Roman" w:hint="default"/>
      </w:rPr>
    </w:lvl>
    <w:lvl w:ilvl="2">
      <w:start w:val="3"/>
      <w:numFmt w:val="decimal"/>
      <w:lvlText w:val="%1.%2.%3"/>
      <w:lvlJc w:val="left"/>
      <w:pPr>
        <w:tabs>
          <w:tab w:val="num" w:pos="735"/>
        </w:tabs>
        <w:ind w:left="735" w:hanging="73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329A7E1E"/>
    <w:multiLevelType w:val="hybridMultilevel"/>
    <w:tmpl w:val="483EDB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5F69C7"/>
    <w:multiLevelType w:val="hybridMultilevel"/>
    <w:tmpl w:val="85EA0142"/>
    <w:lvl w:ilvl="0" w:tplc="82C2F034">
      <w:start w:val="1"/>
      <w:numFmt w:val="decimal"/>
      <w:lvlText w:val="%1."/>
      <w:lvlJc w:val="left"/>
      <w:pPr>
        <w:ind w:left="360" w:hanging="360"/>
      </w:pPr>
      <w:rPr>
        <w:rFonts w:cs="Times New Roman"/>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38B93F34"/>
    <w:multiLevelType w:val="hybridMultilevel"/>
    <w:tmpl w:val="9BE4E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C304011"/>
    <w:multiLevelType w:val="hybridMultilevel"/>
    <w:tmpl w:val="20269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F387A0E"/>
    <w:multiLevelType w:val="hybridMultilevel"/>
    <w:tmpl w:val="77FA3B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F7A658F"/>
    <w:multiLevelType w:val="hybridMultilevel"/>
    <w:tmpl w:val="EAD217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0B345E2"/>
    <w:multiLevelType w:val="hybridMultilevel"/>
    <w:tmpl w:val="62B2DD5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98F3BD4"/>
    <w:multiLevelType w:val="hybridMultilevel"/>
    <w:tmpl w:val="3B36C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AA017BC"/>
    <w:multiLevelType w:val="hybridMultilevel"/>
    <w:tmpl w:val="9F90F8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D365875"/>
    <w:multiLevelType w:val="hybridMultilevel"/>
    <w:tmpl w:val="478AE3B2"/>
    <w:lvl w:ilvl="0" w:tplc="928EB8E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4D851CDF"/>
    <w:multiLevelType w:val="hybridMultilevel"/>
    <w:tmpl w:val="834A3B60"/>
    <w:lvl w:ilvl="0" w:tplc="4650F5B2">
      <w:start w:val="1"/>
      <w:numFmt w:val="lowerLetter"/>
      <w:lvlText w:val="%1."/>
      <w:lvlJc w:val="left"/>
      <w:pPr>
        <w:tabs>
          <w:tab w:val="num" w:pos="360"/>
        </w:tabs>
        <w:ind w:left="360" w:hanging="360"/>
      </w:pPr>
      <w:rPr>
        <w:rFonts w:cs="Times New Roman" w:hint="default"/>
        <w:b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DBA1887"/>
    <w:multiLevelType w:val="hybridMultilevel"/>
    <w:tmpl w:val="E6D6563A"/>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0DF4402"/>
    <w:multiLevelType w:val="hybridMultilevel"/>
    <w:tmpl w:val="827EB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52653B25"/>
    <w:multiLevelType w:val="hybridMultilevel"/>
    <w:tmpl w:val="8BDA9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5A9E1E9B"/>
    <w:multiLevelType w:val="hybridMultilevel"/>
    <w:tmpl w:val="BCFE1646"/>
    <w:lvl w:ilvl="0" w:tplc="B784E19A">
      <w:start w:val="1"/>
      <w:numFmt w:val="bullet"/>
      <w:pStyle w:val="Bullet2"/>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AA524C5"/>
    <w:multiLevelType w:val="hybridMultilevel"/>
    <w:tmpl w:val="12280D7E"/>
    <w:lvl w:ilvl="0" w:tplc="0409000F">
      <w:start w:val="1"/>
      <w:numFmt w:val="decimal"/>
      <w:lvlText w:val="%1."/>
      <w:lvlJc w:val="left"/>
      <w:pPr>
        <w:tabs>
          <w:tab w:val="num" w:pos="360"/>
        </w:tabs>
        <w:ind w:left="360" w:hanging="360"/>
      </w:pPr>
      <w:rPr>
        <w:rFonts w:cs="Times New Roman"/>
      </w:rPr>
    </w:lvl>
    <w:lvl w:ilvl="1" w:tplc="FE8E5490">
      <w:start w:val="1"/>
      <w:numFmt w:val="lowerLetter"/>
      <w:lvlText w:val="%2)"/>
      <w:lvlJc w:val="left"/>
      <w:pPr>
        <w:tabs>
          <w:tab w:val="num" w:pos="1260"/>
        </w:tabs>
        <w:ind w:left="1260" w:hanging="54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5BBD28DE"/>
    <w:multiLevelType w:val="hybridMultilevel"/>
    <w:tmpl w:val="F7D2B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5EA10FAE"/>
    <w:multiLevelType w:val="hybridMultilevel"/>
    <w:tmpl w:val="5C60310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603218EB"/>
    <w:multiLevelType w:val="hybridMultilevel"/>
    <w:tmpl w:val="1D3AAB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3422BE2"/>
    <w:multiLevelType w:val="hybridMultilevel"/>
    <w:tmpl w:val="A85678AA"/>
    <w:lvl w:ilvl="0" w:tplc="87A432EA">
      <w:start w:val="1"/>
      <w:numFmt w:val="decimal"/>
      <w:lvlText w:val="%1."/>
      <w:lvlJc w:val="left"/>
      <w:pPr>
        <w:ind w:left="360" w:hanging="360"/>
      </w:pPr>
      <w:rPr>
        <w:rFonts w:cs="Times New Roman"/>
        <w:b w:val="0"/>
        <w:i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0">
    <w:nsid w:val="63D41B48"/>
    <w:multiLevelType w:val="hybridMultilevel"/>
    <w:tmpl w:val="F5789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4B07454"/>
    <w:multiLevelType w:val="hybridMultilevel"/>
    <w:tmpl w:val="CBA87CF0"/>
    <w:lvl w:ilvl="0" w:tplc="65FE2674">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nsid w:val="6596674E"/>
    <w:multiLevelType w:val="hybridMultilevel"/>
    <w:tmpl w:val="C39E19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60D50E3"/>
    <w:multiLevelType w:val="hybridMultilevel"/>
    <w:tmpl w:val="7226858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nsid w:val="67C6762D"/>
    <w:multiLevelType w:val="hybridMultilevel"/>
    <w:tmpl w:val="5058A714"/>
    <w:lvl w:ilvl="0" w:tplc="1A6E4B6C">
      <w:start w:val="1"/>
      <w:numFmt w:val="lowerLetter"/>
      <w:lvlText w:val="%1."/>
      <w:lvlJc w:val="left"/>
      <w:pPr>
        <w:ind w:left="720" w:hanging="360"/>
      </w:pPr>
      <w:rPr>
        <w:rFonts w:cs="Times New Roman" w:hint="default"/>
        <w:b w:val="0"/>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nsid w:val="6CCD429E"/>
    <w:multiLevelType w:val="hybridMultilevel"/>
    <w:tmpl w:val="EFCA9694"/>
    <w:lvl w:ilvl="0" w:tplc="0C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6D397520"/>
    <w:multiLevelType w:val="hybridMultilevel"/>
    <w:tmpl w:val="CEECB8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D4E1760"/>
    <w:multiLevelType w:val="hybridMultilevel"/>
    <w:tmpl w:val="C58C05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D507263"/>
    <w:multiLevelType w:val="multilevel"/>
    <w:tmpl w:val="1D48B238"/>
    <w:lvl w:ilvl="0">
      <w:start w:val="4"/>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9">
    <w:nsid w:val="6F670123"/>
    <w:multiLevelType w:val="hybridMultilevel"/>
    <w:tmpl w:val="9D2C3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2C54497"/>
    <w:multiLevelType w:val="hybridMultilevel"/>
    <w:tmpl w:val="4414051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405326F"/>
    <w:multiLevelType w:val="hybridMultilevel"/>
    <w:tmpl w:val="EF729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74DE3928"/>
    <w:multiLevelType w:val="hybridMultilevel"/>
    <w:tmpl w:val="4232DB7E"/>
    <w:lvl w:ilvl="0" w:tplc="92B46AA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7B11AAE"/>
    <w:multiLevelType w:val="hybridMultilevel"/>
    <w:tmpl w:val="6486C50A"/>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4">
    <w:nsid w:val="7AC23FC7"/>
    <w:multiLevelType w:val="hybridMultilevel"/>
    <w:tmpl w:val="CEECB8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7BCC0452"/>
    <w:multiLevelType w:val="hybridMultilevel"/>
    <w:tmpl w:val="EE0CC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C6636B3"/>
    <w:multiLevelType w:val="hybridMultilevel"/>
    <w:tmpl w:val="6DF01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7EDD2BB2"/>
    <w:multiLevelType w:val="hybridMultilevel"/>
    <w:tmpl w:val="25081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22"/>
  </w:num>
  <w:num w:numId="3">
    <w:abstractNumId w:val="26"/>
  </w:num>
  <w:num w:numId="4">
    <w:abstractNumId w:val="45"/>
  </w:num>
  <w:num w:numId="5">
    <w:abstractNumId w:val="25"/>
  </w:num>
  <w:num w:numId="6">
    <w:abstractNumId w:val="14"/>
  </w:num>
  <w:num w:numId="7">
    <w:abstractNumId w:val="38"/>
  </w:num>
  <w:num w:numId="8">
    <w:abstractNumId w:val="34"/>
  </w:num>
  <w:num w:numId="9">
    <w:abstractNumId w:val="24"/>
  </w:num>
  <w:num w:numId="10">
    <w:abstractNumId w:val="62"/>
  </w:num>
  <w:num w:numId="11">
    <w:abstractNumId w:val="30"/>
  </w:num>
  <w:num w:numId="12">
    <w:abstractNumId w:val="9"/>
  </w:num>
  <w:num w:numId="13">
    <w:abstractNumId w:val="63"/>
  </w:num>
  <w:num w:numId="14">
    <w:abstractNumId w:val="54"/>
  </w:num>
  <w:num w:numId="15">
    <w:abstractNumId w:val="53"/>
  </w:num>
  <w:num w:numId="16">
    <w:abstractNumId w:val="20"/>
  </w:num>
  <w:num w:numId="17">
    <w:abstractNumId w:val="4"/>
  </w:num>
  <w:num w:numId="18">
    <w:abstractNumId w:val="36"/>
  </w:num>
  <w:num w:numId="19">
    <w:abstractNumId w:val="40"/>
  </w:num>
  <w:num w:numId="20">
    <w:abstractNumId w:val="12"/>
  </w:num>
  <w:num w:numId="21">
    <w:abstractNumId w:val="52"/>
  </w:num>
  <w:num w:numId="22">
    <w:abstractNumId w:val="3"/>
  </w:num>
  <w:num w:numId="23">
    <w:abstractNumId w:val="8"/>
  </w:num>
  <w:num w:numId="24">
    <w:abstractNumId w:val="29"/>
  </w:num>
  <w:num w:numId="25">
    <w:abstractNumId w:val="58"/>
  </w:num>
  <w:num w:numId="26">
    <w:abstractNumId w:val="6"/>
  </w:num>
  <w:num w:numId="27">
    <w:abstractNumId w:val="48"/>
  </w:num>
  <w:num w:numId="28">
    <w:abstractNumId w:val="50"/>
  </w:num>
  <w:num w:numId="29">
    <w:abstractNumId w:val="17"/>
  </w:num>
  <w:num w:numId="30">
    <w:abstractNumId w:val="7"/>
  </w:num>
  <w:num w:numId="31">
    <w:abstractNumId w:val="39"/>
  </w:num>
  <w:num w:numId="32">
    <w:abstractNumId w:val="47"/>
  </w:num>
  <w:num w:numId="33">
    <w:abstractNumId w:val="28"/>
  </w:num>
  <w:num w:numId="34">
    <w:abstractNumId w:val="59"/>
  </w:num>
  <w:num w:numId="35">
    <w:abstractNumId w:val="51"/>
  </w:num>
  <w:num w:numId="36">
    <w:abstractNumId w:val="15"/>
  </w:num>
  <w:num w:numId="37">
    <w:abstractNumId w:val="41"/>
  </w:num>
  <w:num w:numId="38">
    <w:abstractNumId w:val="11"/>
  </w:num>
  <w:num w:numId="39">
    <w:abstractNumId w:val="60"/>
  </w:num>
  <w:num w:numId="40">
    <w:abstractNumId w:val="27"/>
  </w:num>
  <w:num w:numId="41">
    <w:abstractNumId w:val="23"/>
  </w:num>
  <w:num w:numId="42">
    <w:abstractNumId w:val="18"/>
  </w:num>
  <w:num w:numId="43">
    <w:abstractNumId w:val="49"/>
  </w:num>
  <w:num w:numId="44">
    <w:abstractNumId w:val="31"/>
  </w:num>
  <w:num w:numId="45">
    <w:abstractNumId w:val="37"/>
  </w:num>
  <w:num w:numId="46">
    <w:abstractNumId w:val="21"/>
  </w:num>
  <w:num w:numId="47">
    <w:abstractNumId w:val="13"/>
  </w:num>
  <w:num w:numId="48">
    <w:abstractNumId w:val="66"/>
  </w:num>
  <w:num w:numId="49">
    <w:abstractNumId w:val="5"/>
  </w:num>
  <w:num w:numId="50">
    <w:abstractNumId w:val="10"/>
  </w:num>
  <w:num w:numId="51">
    <w:abstractNumId w:val="16"/>
  </w:num>
  <w:num w:numId="52">
    <w:abstractNumId w:val="61"/>
  </w:num>
  <w:num w:numId="53">
    <w:abstractNumId w:val="2"/>
  </w:num>
  <w:num w:numId="54">
    <w:abstractNumId w:val="46"/>
  </w:num>
  <w:num w:numId="55">
    <w:abstractNumId w:val="35"/>
  </w:num>
  <w:num w:numId="56">
    <w:abstractNumId w:val="57"/>
  </w:num>
  <w:num w:numId="57">
    <w:abstractNumId w:val="33"/>
  </w:num>
  <w:num w:numId="58">
    <w:abstractNumId w:val="19"/>
  </w:num>
  <w:num w:numId="59">
    <w:abstractNumId w:val="43"/>
  </w:num>
  <w:num w:numId="60">
    <w:abstractNumId w:val="0"/>
  </w:num>
  <w:num w:numId="61">
    <w:abstractNumId w:val="32"/>
  </w:num>
  <w:num w:numId="62">
    <w:abstractNumId w:val="42"/>
  </w:num>
  <w:num w:numId="63">
    <w:abstractNumId w:val="64"/>
  </w:num>
  <w:num w:numId="64">
    <w:abstractNumId w:val="1"/>
  </w:num>
  <w:num w:numId="65">
    <w:abstractNumId w:val="65"/>
  </w:num>
  <w:num w:numId="66">
    <w:abstractNumId w:val="67"/>
  </w:num>
  <w:num w:numId="67">
    <w:abstractNumId w:val="56"/>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94"/>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401"/>
    <w:rsid w:val="00000BE4"/>
    <w:rsid w:val="00002B88"/>
    <w:rsid w:val="00003F48"/>
    <w:rsid w:val="00005636"/>
    <w:rsid w:val="0000663A"/>
    <w:rsid w:val="00007288"/>
    <w:rsid w:val="00010B3F"/>
    <w:rsid w:val="00014046"/>
    <w:rsid w:val="00014AAE"/>
    <w:rsid w:val="00017072"/>
    <w:rsid w:val="000176F1"/>
    <w:rsid w:val="0002043D"/>
    <w:rsid w:val="00021A8B"/>
    <w:rsid w:val="00023378"/>
    <w:rsid w:val="000255B8"/>
    <w:rsid w:val="0002772C"/>
    <w:rsid w:val="000309E1"/>
    <w:rsid w:val="00030D58"/>
    <w:rsid w:val="00031C9E"/>
    <w:rsid w:val="00040345"/>
    <w:rsid w:val="00040F9E"/>
    <w:rsid w:val="00041D73"/>
    <w:rsid w:val="00043BC3"/>
    <w:rsid w:val="00044861"/>
    <w:rsid w:val="00044C32"/>
    <w:rsid w:val="00046D2E"/>
    <w:rsid w:val="00047864"/>
    <w:rsid w:val="00050FD6"/>
    <w:rsid w:val="000529ED"/>
    <w:rsid w:val="0005309C"/>
    <w:rsid w:val="000539DE"/>
    <w:rsid w:val="00055931"/>
    <w:rsid w:val="000578B9"/>
    <w:rsid w:val="000621D1"/>
    <w:rsid w:val="0006240C"/>
    <w:rsid w:val="00064333"/>
    <w:rsid w:val="00064D5F"/>
    <w:rsid w:val="000665A4"/>
    <w:rsid w:val="00070D7D"/>
    <w:rsid w:val="00072DD9"/>
    <w:rsid w:val="00074E1F"/>
    <w:rsid w:val="00074E3D"/>
    <w:rsid w:val="0007578F"/>
    <w:rsid w:val="00085AE9"/>
    <w:rsid w:val="00085D0F"/>
    <w:rsid w:val="00090FDF"/>
    <w:rsid w:val="00091B0D"/>
    <w:rsid w:val="000A083B"/>
    <w:rsid w:val="000A2B37"/>
    <w:rsid w:val="000A5C91"/>
    <w:rsid w:val="000B78FA"/>
    <w:rsid w:val="000C0696"/>
    <w:rsid w:val="000C1D3B"/>
    <w:rsid w:val="000C1EEA"/>
    <w:rsid w:val="000D1368"/>
    <w:rsid w:val="000D29D6"/>
    <w:rsid w:val="000D2DA8"/>
    <w:rsid w:val="000D3AFE"/>
    <w:rsid w:val="000D5302"/>
    <w:rsid w:val="000D6194"/>
    <w:rsid w:val="000E1881"/>
    <w:rsid w:val="000E2573"/>
    <w:rsid w:val="000E3284"/>
    <w:rsid w:val="000E6063"/>
    <w:rsid w:val="000E69F3"/>
    <w:rsid w:val="000E6D88"/>
    <w:rsid w:val="000F13B2"/>
    <w:rsid w:val="000F49B6"/>
    <w:rsid w:val="000F554C"/>
    <w:rsid w:val="000F578B"/>
    <w:rsid w:val="00100AE9"/>
    <w:rsid w:val="0010186F"/>
    <w:rsid w:val="00101DD6"/>
    <w:rsid w:val="00102A39"/>
    <w:rsid w:val="00103D23"/>
    <w:rsid w:val="00104C14"/>
    <w:rsid w:val="00104E02"/>
    <w:rsid w:val="001116FD"/>
    <w:rsid w:val="00115E76"/>
    <w:rsid w:val="00121AD9"/>
    <w:rsid w:val="0012479F"/>
    <w:rsid w:val="0012711D"/>
    <w:rsid w:val="00127144"/>
    <w:rsid w:val="0013278F"/>
    <w:rsid w:val="00133B48"/>
    <w:rsid w:val="0013512B"/>
    <w:rsid w:val="0013559F"/>
    <w:rsid w:val="00135A1A"/>
    <w:rsid w:val="00136D25"/>
    <w:rsid w:val="001373B0"/>
    <w:rsid w:val="00137D11"/>
    <w:rsid w:val="001438C9"/>
    <w:rsid w:val="00144101"/>
    <w:rsid w:val="00145076"/>
    <w:rsid w:val="00146568"/>
    <w:rsid w:val="001465E7"/>
    <w:rsid w:val="001473BD"/>
    <w:rsid w:val="00147BF9"/>
    <w:rsid w:val="00153C85"/>
    <w:rsid w:val="00155913"/>
    <w:rsid w:val="00155CD4"/>
    <w:rsid w:val="00163E4A"/>
    <w:rsid w:val="00164B24"/>
    <w:rsid w:val="00167FA6"/>
    <w:rsid w:val="00171E49"/>
    <w:rsid w:val="00172505"/>
    <w:rsid w:val="00173C15"/>
    <w:rsid w:val="0017485B"/>
    <w:rsid w:val="00175E0E"/>
    <w:rsid w:val="0017697D"/>
    <w:rsid w:val="00177D2B"/>
    <w:rsid w:val="00181D0C"/>
    <w:rsid w:val="00184047"/>
    <w:rsid w:val="00185609"/>
    <w:rsid w:val="0018749F"/>
    <w:rsid w:val="001876AB"/>
    <w:rsid w:val="00187E10"/>
    <w:rsid w:val="00191564"/>
    <w:rsid w:val="00191C5B"/>
    <w:rsid w:val="00195EB6"/>
    <w:rsid w:val="00196280"/>
    <w:rsid w:val="00197A49"/>
    <w:rsid w:val="001A0802"/>
    <w:rsid w:val="001A134B"/>
    <w:rsid w:val="001A1474"/>
    <w:rsid w:val="001A1733"/>
    <w:rsid w:val="001A46A7"/>
    <w:rsid w:val="001A5E3E"/>
    <w:rsid w:val="001B08A8"/>
    <w:rsid w:val="001B11EA"/>
    <w:rsid w:val="001B13E1"/>
    <w:rsid w:val="001B1E0A"/>
    <w:rsid w:val="001B2460"/>
    <w:rsid w:val="001B3008"/>
    <w:rsid w:val="001B4FA4"/>
    <w:rsid w:val="001B69D0"/>
    <w:rsid w:val="001C2F6A"/>
    <w:rsid w:val="001C6586"/>
    <w:rsid w:val="001C65D1"/>
    <w:rsid w:val="001C72D2"/>
    <w:rsid w:val="001D264A"/>
    <w:rsid w:val="001D3098"/>
    <w:rsid w:val="001D3800"/>
    <w:rsid w:val="001E45C6"/>
    <w:rsid w:val="001E52F7"/>
    <w:rsid w:val="001E552B"/>
    <w:rsid w:val="001F2B88"/>
    <w:rsid w:val="001F3858"/>
    <w:rsid w:val="001F5DAC"/>
    <w:rsid w:val="001F629A"/>
    <w:rsid w:val="001F6B01"/>
    <w:rsid w:val="001F7A9E"/>
    <w:rsid w:val="00203A20"/>
    <w:rsid w:val="002048E5"/>
    <w:rsid w:val="00205C1A"/>
    <w:rsid w:val="00206482"/>
    <w:rsid w:val="002073BB"/>
    <w:rsid w:val="0021074C"/>
    <w:rsid w:val="00210C7B"/>
    <w:rsid w:val="002149A4"/>
    <w:rsid w:val="0021799B"/>
    <w:rsid w:val="0022075B"/>
    <w:rsid w:val="00221D2E"/>
    <w:rsid w:val="00225B44"/>
    <w:rsid w:val="002311E1"/>
    <w:rsid w:val="002317F9"/>
    <w:rsid w:val="00232DA9"/>
    <w:rsid w:val="00233172"/>
    <w:rsid w:val="00235C15"/>
    <w:rsid w:val="00243838"/>
    <w:rsid w:val="00253328"/>
    <w:rsid w:val="0025764B"/>
    <w:rsid w:val="00262936"/>
    <w:rsid w:val="00262EC5"/>
    <w:rsid w:val="00262F21"/>
    <w:rsid w:val="00266891"/>
    <w:rsid w:val="002673A6"/>
    <w:rsid w:val="0027140C"/>
    <w:rsid w:val="00277092"/>
    <w:rsid w:val="00283AC6"/>
    <w:rsid w:val="00284EB5"/>
    <w:rsid w:val="002858FF"/>
    <w:rsid w:val="00291960"/>
    <w:rsid w:val="00292A3E"/>
    <w:rsid w:val="00295275"/>
    <w:rsid w:val="00295AC1"/>
    <w:rsid w:val="00296754"/>
    <w:rsid w:val="002A772A"/>
    <w:rsid w:val="002B069B"/>
    <w:rsid w:val="002B0DE7"/>
    <w:rsid w:val="002B2B33"/>
    <w:rsid w:val="002B2C43"/>
    <w:rsid w:val="002B5CD4"/>
    <w:rsid w:val="002B66E2"/>
    <w:rsid w:val="002B7DCA"/>
    <w:rsid w:val="002C3599"/>
    <w:rsid w:val="002C7687"/>
    <w:rsid w:val="002D050B"/>
    <w:rsid w:val="002D1F5C"/>
    <w:rsid w:val="002D255A"/>
    <w:rsid w:val="002D29AD"/>
    <w:rsid w:val="002D5425"/>
    <w:rsid w:val="002E1740"/>
    <w:rsid w:val="002E7092"/>
    <w:rsid w:val="002F03E4"/>
    <w:rsid w:val="002F2A55"/>
    <w:rsid w:val="002F2A9B"/>
    <w:rsid w:val="002F4AAC"/>
    <w:rsid w:val="0030048E"/>
    <w:rsid w:val="003007F2"/>
    <w:rsid w:val="003020E2"/>
    <w:rsid w:val="00302E94"/>
    <w:rsid w:val="003036B2"/>
    <w:rsid w:val="00304951"/>
    <w:rsid w:val="003065DC"/>
    <w:rsid w:val="00313A47"/>
    <w:rsid w:val="00314BE3"/>
    <w:rsid w:val="00315DBB"/>
    <w:rsid w:val="003162DE"/>
    <w:rsid w:val="0032041F"/>
    <w:rsid w:val="003218C7"/>
    <w:rsid w:val="00321A3B"/>
    <w:rsid w:val="003234E8"/>
    <w:rsid w:val="0032666B"/>
    <w:rsid w:val="003304B8"/>
    <w:rsid w:val="003312C1"/>
    <w:rsid w:val="003325A6"/>
    <w:rsid w:val="0033475D"/>
    <w:rsid w:val="00334DEB"/>
    <w:rsid w:val="003367C9"/>
    <w:rsid w:val="0033799A"/>
    <w:rsid w:val="00340E36"/>
    <w:rsid w:val="00344CFD"/>
    <w:rsid w:val="00345107"/>
    <w:rsid w:val="003469E2"/>
    <w:rsid w:val="00346E2C"/>
    <w:rsid w:val="00347C1B"/>
    <w:rsid w:val="00352602"/>
    <w:rsid w:val="00353347"/>
    <w:rsid w:val="00353BC2"/>
    <w:rsid w:val="00354D99"/>
    <w:rsid w:val="00355065"/>
    <w:rsid w:val="0035654A"/>
    <w:rsid w:val="00356D81"/>
    <w:rsid w:val="00356ECC"/>
    <w:rsid w:val="00357DE1"/>
    <w:rsid w:val="0036277A"/>
    <w:rsid w:val="00362E49"/>
    <w:rsid w:val="00367788"/>
    <w:rsid w:val="00367FF3"/>
    <w:rsid w:val="003703D9"/>
    <w:rsid w:val="003770C2"/>
    <w:rsid w:val="00381960"/>
    <w:rsid w:val="00381E1A"/>
    <w:rsid w:val="003839C5"/>
    <w:rsid w:val="003873AF"/>
    <w:rsid w:val="003874A6"/>
    <w:rsid w:val="0039293B"/>
    <w:rsid w:val="00394088"/>
    <w:rsid w:val="00395C38"/>
    <w:rsid w:val="00395D93"/>
    <w:rsid w:val="00396642"/>
    <w:rsid w:val="003A0318"/>
    <w:rsid w:val="003A0DCF"/>
    <w:rsid w:val="003A108D"/>
    <w:rsid w:val="003A3EA3"/>
    <w:rsid w:val="003A7072"/>
    <w:rsid w:val="003B0B70"/>
    <w:rsid w:val="003B0C27"/>
    <w:rsid w:val="003B0D88"/>
    <w:rsid w:val="003B3604"/>
    <w:rsid w:val="003B5CA9"/>
    <w:rsid w:val="003B71C1"/>
    <w:rsid w:val="003B7EE0"/>
    <w:rsid w:val="003C22E6"/>
    <w:rsid w:val="003C406C"/>
    <w:rsid w:val="003C41DB"/>
    <w:rsid w:val="003C756F"/>
    <w:rsid w:val="003C7AB7"/>
    <w:rsid w:val="003D0581"/>
    <w:rsid w:val="003D0757"/>
    <w:rsid w:val="003D0ED0"/>
    <w:rsid w:val="003D199B"/>
    <w:rsid w:val="003D2C8F"/>
    <w:rsid w:val="003D4B36"/>
    <w:rsid w:val="003D52BA"/>
    <w:rsid w:val="003D6515"/>
    <w:rsid w:val="003E0092"/>
    <w:rsid w:val="003E05FF"/>
    <w:rsid w:val="003E2B5D"/>
    <w:rsid w:val="003E369C"/>
    <w:rsid w:val="003E4FB7"/>
    <w:rsid w:val="003E53F5"/>
    <w:rsid w:val="003E57B5"/>
    <w:rsid w:val="003E594C"/>
    <w:rsid w:val="003E59B4"/>
    <w:rsid w:val="003E674D"/>
    <w:rsid w:val="003E7871"/>
    <w:rsid w:val="003E7A58"/>
    <w:rsid w:val="003F1FF2"/>
    <w:rsid w:val="003F58CA"/>
    <w:rsid w:val="003F70D7"/>
    <w:rsid w:val="00400210"/>
    <w:rsid w:val="00400259"/>
    <w:rsid w:val="00400DB8"/>
    <w:rsid w:val="0040114A"/>
    <w:rsid w:val="00401563"/>
    <w:rsid w:val="004020A5"/>
    <w:rsid w:val="004021C8"/>
    <w:rsid w:val="004027EC"/>
    <w:rsid w:val="00402E66"/>
    <w:rsid w:val="00403B4B"/>
    <w:rsid w:val="00404165"/>
    <w:rsid w:val="0040707D"/>
    <w:rsid w:val="00411998"/>
    <w:rsid w:val="00413D5C"/>
    <w:rsid w:val="00414367"/>
    <w:rsid w:val="004146D8"/>
    <w:rsid w:val="00416C65"/>
    <w:rsid w:val="004201FE"/>
    <w:rsid w:val="00421037"/>
    <w:rsid w:val="00422A00"/>
    <w:rsid w:val="00423847"/>
    <w:rsid w:val="00424177"/>
    <w:rsid w:val="00427556"/>
    <w:rsid w:val="004301A4"/>
    <w:rsid w:val="00430669"/>
    <w:rsid w:val="004311F9"/>
    <w:rsid w:val="00431FA1"/>
    <w:rsid w:val="00434F49"/>
    <w:rsid w:val="00435E0B"/>
    <w:rsid w:val="00441072"/>
    <w:rsid w:val="00441A2E"/>
    <w:rsid w:val="00441F86"/>
    <w:rsid w:val="004427C7"/>
    <w:rsid w:val="004439F4"/>
    <w:rsid w:val="004459D3"/>
    <w:rsid w:val="00445B58"/>
    <w:rsid w:val="00445EFA"/>
    <w:rsid w:val="00446340"/>
    <w:rsid w:val="00447B4D"/>
    <w:rsid w:val="004525CF"/>
    <w:rsid w:val="004528AF"/>
    <w:rsid w:val="004539B3"/>
    <w:rsid w:val="00456F27"/>
    <w:rsid w:val="00457878"/>
    <w:rsid w:val="00460A0E"/>
    <w:rsid w:val="00460E29"/>
    <w:rsid w:val="004614B4"/>
    <w:rsid w:val="00463C4A"/>
    <w:rsid w:val="00465550"/>
    <w:rsid w:val="00467AEF"/>
    <w:rsid w:val="00473701"/>
    <w:rsid w:val="00474AF3"/>
    <w:rsid w:val="004771BC"/>
    <w:rsid w:val="00477D8B"/>
    <w:rsid w:val="00481383"/>
    <w:rsid w:val="00483819"/>
    <w:rsid w:val="00484C2F"/>
    <w:rsid w:val="00487F63"/>
    <w:rsid w:val="00490406"/>
    <w:rsid w:val="00491D87"/>
    <w:rsid w:val="00492DF8"/>
    <w:rsid w:val="004A010A"/>
    <w:rsid w:val="004A1417"/>
    <w:rsid w:val="004A4853"/>
    <w:rsid w:val="004B3631"/>
    <w:rsid w:val="004B419F"/>
    <w:rsid w:val="004B4DB2"/>
    <w:rsid w:val="004B4FD4"/>
    <w:rsid w:val="004B5C2E"/>
    <w:rsid w:val="004B6571"/>
    <w:rsid w:val="004B77C2"/>
    <w:rsid w:val="004C11EE"/>
    <w:rsid w:val="004C1DFB"/>
    <w:rsid w:val="004C666A"/>
    <w:rsid w:val="004C6D52"/>
    <w:rsid w:val="004C6DF0"/>
    <w:rsid w:val="004D481A"/>
    <w:rsid w:val="004D6EC3"/>
    <w:rsid w:val="004E07A0"/>
    <w:rsid w:val="004E1475"/>
    <w:rsid w:val="004E1794"/>
    <w:rsid w:val="004E1A66"/>
    <w:rsid w:val="004E23A1"/>
    <w:rsid w:val="004E2901"/>
    <w:rsid w:val="004F11AD"/>
    <w:rsid w:val="004F195D"/>
    <w:rsid w:val="004F3F94"/>
    <w:rsid w:val="004F65AC"/>
    <w:rsid w:val="004F694E"/>
    <w:rsid w:val="004F7051"/>
    <w:rsid w:val="005007CD"/>
    <w:rsid w:val="005070F4"/>
    <w:rsid w:val="00510985"/>
    <w:rsid w:val="00510B99"/>
    <w:rsid w:val="005146F4"/>
    <w:rsid w:val="005211FF"/>
    <w:rsid w:val="00522391"/>
    <w:rsid w:val="005235A4"/>
    <w:rsid w:val="00525896"/>
    <w:rsid w:val="005309DE"/>
    <w:rsid w:val="00531138"/>
    <w:rsid w:val="005324A9"/>
    <w:rsid w:val="005362C1"/>
    <w:rsid w:val="00541F51"/>
    <w:rsid w:val="00544E39"/>
    <w:rsid w:val="0054561D"/>
    <w:rsid w:val="00546E88"/>
    <w:rsid w:val="00546EA3"/>
    <w:rsid w:val="0055141E"/>
    <w:rsid w:val="005515E0"/>
    <w:rsid w:val="00553BB7"/>
    <w:rsid w:val="0055627F"/>
    <w:rsid w:val="00557745"/>
    <w:rsid w:val="00560C44"/>
    <w:rsid w:val="00561891"/>
    <w:rsid w:val="00562828"/>
    <w:rsid w:val="0056496E"/>
    <w:rsid w:val="00567EEC"/>
    <w:rsid w:val="005712B9"/>
    <w:rsid w:val="00572E83"/>
    <w:rsid w:val="00575017"/>
    <w:rsid w:val="005756F9"/>
    <w:rsid w:val="0057689E"/>
    <w:rsid w:val="00577034"/>
    <w:rsid w:val="00580307"/>
    <w:rsid w:val="00580DDB"/>
    <w:rsid w:val="0058296C"/>
    <w:rsid w:val="00584465"/>
    <w:rsid w:val="00584C54"/>
    <w:rsid w:val="00585EB0"/>
    <w:rsid w:val="00587CAF"/>
    <w:rsid w:val="00595540"/>
    <w:rsid w:val="005961D4"/>
    <w:rsid w:val="0059735D"/>
    <w:rsid w:val="00597CC6"/>
    <w:rsid w:val="005A0466"/>
    <w:rsid w:val="005A3AEA"/>
    <w:rsid w:val="005A61C1"/>
    <w:rsid w:val="005B14C7"/>
    <w:rsid w:val="005B181C"/>
    <w:rsid w:val="005B5122"/>
    <w:rsid w:val="005B558C"/>
    <w:rsid w:val="005B55F2"/>
    <w:rsid w:val="005B7296"/>
    <w:rsid w:val="005B7A23"/>
    <w:rsid w:val="005C23DF"/>
    <w:rsid w:val="005C4C45"/>
    <w:rsid w:val="005C54F1"/>
    <w:rsid w:val="005C65E2"/>
    <w:rsid w:val="005D29E2"/>
    <w:rsid w:val="005D5206"/>
    <w:rsid w:val="005D5FA2"/>
    <w:rsid w:val="005D642D"/>
    <w:rsid w:val="005D7012"/>
    <w:rsid w:val="005E2E2C"/>
    <w:rsid w:val="005E3985"/>
    <w:rsid w:val="005E4C83"/>
    <w:rsid w:val="005E5239"/>
    <w:rsid w:val="005F08A0"/>
    <w:rsid w:val="005F1908"/>
    <w:rsid w:val="005F34D1"/>
    <w:rsid w:val="005F3B5D"/>
    <w:rsid w:val="005F4A16"/>
    <w:rsid w:val="005F4E26"/>
    <w:rsid w:val="005F516D"/>
    <w:rsid w:val="005F5A33"/>
    <w:rsid w:val="005F5EE7"/>
    <w:rsid w:val="005F7254"/>
    <w:rsid w:val="005F76E1"/>
    <w:rsid w:val="00603141"/>
    <w:rsid w:val="006034DF"/>
    <w:rsid w:val="00604F8D"/>
    <w:rsid w:val="00605344"/>
    <w:rsid w:val="0060635B"/>
    <w:rsid w:val="00606A38"/>
    <w:rsid w:val="006134BF"/>
    <w:rsid w:val="0061762E"/>
    <w:rsid w:val="006205F1"/>
    <w:rsid w:val="00620673"/>
    <w:rsid w:val="006229CC"/>
    <w:rsid w:val="006239C8"/>
    <w:rsid w:val="006244A7"/>
    <w:rsid w:val="006254E7"/>
    <w:rsid w:val="00626C1E"/>
    <w:rsid w:val="00627E0C"/>
    <w:rsid w:val="00630448"/>
    <w:rsid w:val="00632808"/>
    <w:rsid w:val="00633CDB"/>
    <w:rsid w:val="00633ED2"/>
    <w:rsid w:val="006340E9"/>
    <w:rsid w:val="006349CE"/>
    <w:rsid w:val="00640520"/>
    <w:rsid w:val="006438DF"/>
    <w:rsid w:val="00643D8E"/>
    <w:rsid w:val="00645891"/>
    <w:rsid w:val="00650C4A"/>
    <w:rsid w:val="006529F4"/>
    <w:rsid w:val="00654F8E"/>
    <w:rsid w:val="00656D44"/>
    <w:rsid w:val="006575ED"/>
    <w:rsid w:val="00661DAB"/>
    <w:rsid w:val="00662E4E"/>
    <w:rsid w:val="006668C6"/>
    <w:rsid w:val="006676CA"/>
    <w:rsid w:val="00667F12"/>
    <w:rsid w:val="00671407"/>
    <w:rsid w:val="0067249F"/>
    <w:rsid w:val="0067395B"/>
    <w:rsid w:val="006768EC"/>
    <w:rsid w:val="00680A41"/>
    <w:rsid w:val="006827BC"/>
    <w:rsid w:val="00682816"/>
    <w:rsid w:val="00683C7D"/>
    <w:rsid w:val="00684767"/>
    <w:rsid w:val="00685430"/>
    <w:rsid w:val="00686DB8"/>
    <w:rsid w:val="00686E31"/>
    <w:rsid w:val="00690A6C"/>
    <w:rsid w:val="00691BBF"/>
    <w:rsid w:val="00692A93"/>
    <w:rsid w:val="00695A28"/>
    <w:rsid w:val="006A278C"/>
    <w:rsid w:val="006A4553"/>
    <w:rsid w:val="006A4822"/>
    <w:rsid w:val="006A4C43"/>
    <w:rsid w:val="006A6CEF"/>
    <w:rsid w:val="006B075A"/>
    <w:rsid w:val="006B3495"/>
    <w:rsid w:val="006B7A98"/>
    <w:rsid w:val="006C0D8B"/>
    <w:rsid w:val="006C3FFA"/>
    <w:rsid w:val="006C4AB8"/>
    <w:rsid w:val="006C63D4"/>
    <w:rsid w:val="006D5C22"/>
    <w:rsid w:val="006E01C2"/>
    <w:rsid w:val="006E22A0"/>
    <w:rsid w:val="006E38C8"/>
    <w:rsid w:val="006E4A74"/>
    <w:rsid w:val="006E5DC4"/>
    <w:rsid w:val="006E5EF5"/>
    <w:rsid w:val="006E6C3E"/>
    <w:rsid w:val="006E716A"/>
    <w:rsid w:val="006F0F0E"/>
    <w:rsid w:val="006F105A"/>
    <w:rsid w:val="006F116A"/>
    <w:rsid w:val="006F19A5"/>
    <w:rsid w:val="006F4CE2"/>
    <w:rsid w:val="006F53F6"/>
    <w:rsid w:val="00701391"/>
    <w:rsid w:val="00703A67"/>
    <w:rsid w:val="00707375"/>
    <w:rsid w:val="00707F99"/>
    <w:rsid w:val="007100A4"/>
    <w:rsid w:val="00712CBB"/>
    <w:rsid w:val="00715E06"/>
    <w:rsid w:val="00716BC2"/>
    <w:rsid w:val="00721A5B"/>
    <w:rsid w:val="00726322"/>
    <w:rsid w:val="00726C7A"/>
    <w:rsid w:val="007270D3"/>
    <w:rsid w:val="00727A6A"/>
    <w:rsid w:val="007311D6"/>
    <w:rsid w:val="007360A8"/>
    <w:rsid w:val="00736B8D"/>
    <w:rsid w:val="007411E5"/>
    <w:rsid w:val="007433D9"/>
    <w:rsid w:val="007449AA"/>
    <w:rsid w:val="00747DBD"/>
    <w:rsid w:val="007501E2"/>
    <w:rsid w:val="00751F62"/>
    <w:rsid w:val="00753765"/>
    <w:rsid w:val="00754132"/>
    <w:rsid w:val="007630BF"/>
    <w:rsid w:val="00766E4E"/>
    <w:rsid w:val="00771646"/>
    <w:rsid w:val="00771B1F"/>
    <w:rsid w:val="00771B49"/>
    <w:rsid w:val="00771CD5"/>
    <w:rsid w:val="00773F79"/>
    <w:rsid w:val="00774191"/>
    <w:rsid w:val="00774B7C"/>
    <w:rsid w:val="00775742"/>
    <w:rsid w:val="0077598E"/>
    <w:rsid w:val="0077635A"/>
    <w:rsid w:val="00777D13"/>
    <w:rsid w:val="0078008A"/>
    <w:rsid w:val="007830A4"/>
    <w:rsid w:val="00783719"/>
    <w:rsid w:val="00784CEB"/>
    <w:rsid w:val="007854EC"/>
    <w:rsid w:val="007855E6"/>
    <w:rsid w:val="007870B1"/>
    <w:rsid w:val="00790780"/>
    <w:rsid w:val="007951C1"/>
    <w:rsid w:val="0079799C"/>
    <w:rsid w:val="007A1C4A"/>
    <w:rsid w:val="007A4570"/>
    <w:rsid w:val="007A524D"/>
    <w:rsid w:val="007A625D"/>
    <w:rsid w:val="007B0D0D"/>
    <w:rsid w:val="007B1D5E"/>
    <w:rsid w:val="007B71D3"/>
    <w:rsid w:val="007B7364"/>
    <w:rsid w:val="007B760A"/>
    <w:rsid w:val="007C1671"/>
    <w:rsid w:val="007C45E4"/>
    <w:rsid w:val="007C6DDD"/>
    <w:rsid w:val="007C7B1F"/>
    <w:rsid w:val="007D1089"/>
    <w:rsid w:val="007D3F85"/>
    <w:rsid w:val="007D54F4"/>
    <w:rsid w:val="007D5F69"/>
    <w:rsid w:val="007E2271"/>
    <w:rsid w:val="007E29B5"/>
    <w:rsid w:val="007E5A3A"/>
    <w:rsid w:val="007E7A7E"/>
    <w:rsid w:val="007E7C0A"/>
    <w:rsid w:val="007F00C5"/>
    <w:rsid w:val="007F05E6"/>
    <w:rsid w:val="007F081C"/>
    <w:rsid w:val="007F2286"/>
    <w:rsid w:val="007F45EB"/>
    <w:rsid w:val="007F4821"/>
    <w:rsid w:val="007F493C"/>
    <w:rsid w:val="008015DB"/>
    <w:rsid w:val="00805E51"/>
    <w:rsid w:val="0080663D"/>
    <w:rsid w:val="00807D98"/>
    <w:rsid w:val="008104FA"/>
    <w:rsid w:val="00810AFE"/>
    <w:rsid w:val="00812730"/>
    <w:rsid w:val="00813DC7"/>
    <w:rsid w:val="00813E85"/>
    <w:rsid w:val="00814939"/>
    <w:rsid w:val="008171DC"/>
    <w:rsid w:val="008176A1"/>
    <w:rsid w:val="00821C09"/>
    <w:rsid w:val="00826E21"/>
    <w:rsid w:val="00833FB9"/>
    <w:rsid w:val="00842A42"/>
    <w:rsid w:val="00842F30"/>
    <w:rsid w:val="00843286"/>
    <w:rsid w:val="00843401"/>
    <w:rsid w:val="00845500"/>
    <w:rsid w:val="00845DF2"/>
    <w:rsid w:val="00847BCF"/>
    <w:rsid w:val="00851754"/>
    <w:rsid w:val="00852420"/>
    <w:rsid w:val="008567C4"/>
    <w:rsid w:val="0085714E"/>
    <w:rsid w:val="00860D73"/>
    <w:rsid w:val="00861206"/>
    <w:rsid w:val="00862C4F"/>
    <w:rsid w:val="008641A3"/>
    <w:rsid w:val="0086540D"/>
    <w:rsid w:val="008711DE"/>
    <w:rsid w:val="00871401"/>
    <w:rsid w:val="00874950"/>
    <w:rsid w:val="00880315"/>
    <w:rsid w:val="00880FE2"/>
    <w:rsid w:val="0088259B"/>
    <w:rsid w:val="0088409D"/>
    <w:rsid w:val="00884326"/>
    <w:rsid w:val="0088613F"/>
    <w:rsid w:val="008866A4"/>
    <w:rsid w:val="008866CC"/>
    <w:rsid w:val="00890E6E"/>
    <w:rsid w:val="00891A3B"/>
    <w:rsid w:val="00893F9C"/>
    <w:rsid w:val="008941CE"/>
    <w:rsid w:val="0089666B"/>
    <w:rsid w:val="008974E9"/>
    <w:rsid w:val="00897B10"/>
    <w:rsid w:val="008A4E6E"/>
    <w:rsid w:val="008A668C"/>
    <w:rsid w:val="008A6F0D"/>
    <w:rsid w:val="008B0843"/>
    <w:rsid w:val="008B0CF8"/>
    <w:rsid w:val="008B22D6"/>
    <w:rsid w:val="008B572A"/>
    <w:rsid w:val="008B5ACC"/>
    <w:rsid w:val="008B77E9"/>
    <w:rsid w:val="008B791C"/>
    <w:rsid w:val="008C5EB6"/>
    <w:rsid w:val="008C7BAE"/>
    <w:rsid w:val="008C7C3C"/>
    <w:rsid w:val="008D1EBD"/>
    <w:rsid w:val="008D2173"/>
    <w:rsid w:val="008D22F4"/>
    <w:rsid w:val="008D2A68"/>
    <w:rsid w:val="008D36AB"/>
    <w:rsid w:val="008D37E9"/>
    <w:rsid w:val="008D5121"/>
    <w:rsid w:val="008D5BD2"/>
    <w:rsid w:val="008D600B"/>
    <w:rsid w:val="008E1FD5"/>
    <w:rsid w:val="008E2EAA"/>
    <w:rsid w:val="008E4660"/>
    <w:rsid w:val="008F0B51"/>
    <w:rsid w:val="008F2A84"/>
    <w:rsid w:val="00903AF2"/>
    <w:rsid w:val="00903EFC"/>
    <w:rsid w:val="0090543C"/>
    <w:rsid w:val="0090689C"/>
    <w:rsid w:val="009078EE"/>
    <w:rsid w:val="0091403D"/>
    <w:rsid w:val="00915AB6"/>
    <w:rsid w:val="00916E08"/>
    <w:rsid w:val="009177F3"/>
    <w:rsid w:val="00920E94"/>
    <w:rsid w:val="00925A09"/>
    <w:rsid w:val="00930DE8"/>
    <w:rsid w:val="009316F7"/>
    <w:rsid w:val="0093190F"/>
    <w:rsid w:val="00933172"/>
    <w:rsid w:val="009349A3"/>
    <w:rsid w:val="00936EEF"/>
    <w:rsid w:val="00936EF2"/>
    <w:rsid w:val="00940CFC"/>
    <w:rsid w:val="009419C4"/>
    <w:rsid w:val="00941CEA"/>
    <w:rsid w:val="009431E1"/>
    <w:rsid w:val="00946FB0"/>
    <w:rsid w:val="00951236"/>
    <w:rsid w:val="00951F18"/>
    <w:rsid w:val="00952DC8"/>
    <w:rsid w:val="00954165"/>
    <w:rsid w:val="0095467C"/>
    <w:rsid w:val="009631A2"/>
    <w:rsid w:val="00963D11"/>
    <w:rsid w:val="00965A0B"/>
    <w:rsid w:val="00965BF0"/>
    <w:rsid w:val="00965DC4"/>
    <w:rsid w:val="009676BD"/>
    <w:rsid w:val="009715AD"/>
    <w:rsid w:val="0097375E"/>
    <w:rsid w:val="00981886"/>
    <w:rsid w:val="00982F87"/>
    <w:rsid w:val="0098460F"/>
    <w:rsid w:val="00984C1F"/>
    <w:rsid w:val="00984D67"/>
    <w:rsid w:val="0098618F"/>
    <w:rsid w:val="00986B08"/>
    <w:rsid w:val="00987C39"/>
    <w:rsid w:val="0099101B"/>
    <w:rsid w:val="00992662"/>
    <w:rsid w:val="00992A1F"/>
    <w:rsid w:val="0099524E"/>
    <w:rsid w:val="00996CD2"/>
    <w:rsid w:val="009A2511"/>
    <w:rsid w:val="009A2FE5"/>
    <w:rsid w:val="009A68C1"/>
    <w:rsid w:val="009A6D81"/>
    <w:rsid w:val="009B4053"/>
    <w:rsid w:val="009B422C"/>
    <w:rsid w:val="009B6495"/>
    <w:rsid w:val="009C2009"/>
    <w:rsid w:val="009C37AC"/>
    <w:rsid w:val="009C694B"/>
    <w:rsid w:val="009D06C4"/>
    <w:rsid w:val="009D228E"/>
    <w:rsid w:val="009D2637"/>
    <w:rsid w:val="009D6D2D"/>
    <w:rsid w:val="009D6FD5"/>
    <w:rsid w:val="009E117C"/>
    <w:rsid w:val="009E246C"/>
    <w:rsid w:val="009E4EA6"/>
    <w:rsid w:val="009F52D5"/>
    <w:rsid w:val="009F5B65"/>
    <w:rsid w:val="009F7287"/>
    <w:rsid w:val="00A02F64"/>
    <w:rsid w:val="00A033A2"/>
    <w:rsid w:val="00A04505"/>
    <w:rsid w:val="00A0580B"/>
    <w:rsid w:val="00A12053"/>
    <w:rsid w:val="00A143F2"/>
    <w:rsid w:val="00A145EE"/>
    <w:rsid w:val="00A163A0"/>
    <w:rsid w:val="00A17A0E"/>
    <w:rsid w:val="00A23D2A"/>
    <w:rsid w:val="00A24FF2"/>
    <w:rsid w:val="00A25687"/>
    <w:rsid w:val="00A257E1"/>
    <w:rsid w:val="00A30AFF"/>
    <w:rsid w:val="00A30FD0"/>
    <w:rsid w:val="00A3264B"/>
    <w:rsid w:val="00A34DE4"/>
    <w:rsid w:val="00A370A4"/>
    <w:rsid w:val="00A40898"/>
    <w:rsid w:val="00A45A6F"/>
    <w:rsid w:val="00A45AB0"/>
    <w:rsid w:val="00A45D79"/>
    <w:rsid w:val="00A4693C"/>
    <w:rsid w:val="00A502B7"/>
    <w:rsid w:val="00A52BA3"/>
    <w:rsid w:val="00A53223"/>
    <w:rsid w:val="00A53F49"/>
    <w:rsid w:val="00A5647C"/>
    <w:rsid w:val="00A57198"/>
    <w:rsid w:val="00A579E8"/>
    <w:rsid w:val="00A61E3D"/>
    <w:rsid w:val="00A62A51"/>
    <w:rsid w:val="00A6370F"/>
    <w:rsid w:val="00A64942"/>
    <w:rsid w:val="00A67A08"/>
    <w:rsid w:val="00A72374"/>
    <w:rsid w:val="00A72A47"/>
    <w:rsid w:val="00A73639"/>
    <w:rsid w:val="00A82989"/>
    <w:rsid w:val="00A8775C"/>
    <w:rsid w:val="00A912A8"/>
    <w:rsid w:val="00A91F22"/>
    <w:rsid w:val="00A925B6"/>
    <w:rsid w:val="00A92BCC"/>
    <w:rsid w:val="00A92CC2"/>
    <w:rsid w:val="00AA0B4A"/>
    <w:rsid w:val="00AA0F21"/>
    <w:rsid w:val="00AA1708"/>
    <w:rsid w:val="00AA1D4F"/>
    <w:rsid w:val="00AA42CC"/>
    <w:rsid w:val="00AA70BE"/>
    <w:rsid w:val="00AA7E86"/>
    <w:rsid w:val="00AB176A"/>
    <w:rsid w:val="00AB3811"/>
    <w:rsid w:val="00AB4119"/>
    <w:rsid w:val="00AC1011"/>
    <w:rsid w:val="00AC57E1"/>
    <w:rsid w:val="00AC768A"/>
    <w:rsid w:val="00AD28DE"/>
    <w:rsid w:val="00AD3D21"/>
    <w:rsid w:val="00AD4CB8"/>
    <w:rsid w:val="00AE1E8D"/>
    <w:rsid w:val="00AE567D"/>
    <w:rsid w:val="00AE74C6"/>
    <w:rsid w:val="00AE76B3"/>
    <w:rsid w:val="00AF01D7"/>
    <w:rsid w:val="00AF12F7"/>
    <w:rsid w:val="00AF5D45"/>
    <w:rsid w:val="00AF66C5"/>
    <w:rsid w:val="00AF7964"/>
    <w:rsid w:val="00B001F1"/>
    <w:rsid w:val="00B00BF4"/>
    <w:rsid w:val="00B01F15"/>
    <w:rsid w:val="00B05235"/>
    <w:rsid w:val="00B060E0"/>
    <w:rsid w:val="00B146E1"/>
    <w:rsid w:val="00B205B0"/>
    <w:rsid w:val="00B2098B"/>
    <w:rsid w:val="00B20B3A"/>
    <w:rsid w:val="00B2294A"/>
    <w:rsid w:val="00B24AC2"/>
    <w:rsid w:val="00B25752"/>
    <w:rsid w:val="00B2595F"/>
    <w:rsid w:val="00B27388"/>
    <w:rsid w:val="00B275A8"/>
    <w:rsid w:val="00B27892"/>
    <w:rsid w:val="00B27ED4"/>
    <w:rsid w:val="00B30123"/>
    <w:rsid w:val="00B317D0"/>
    <w:rsid w:val="00B3364A"/>
    <w:rsid w:val="00B40F1D"/>
    <w:rsid w:val="00B41A75"/>
    <w:rsid w:val="00B42D6A"/>
    <w:rsid w:val="00B44044"/>
    <w:rsid w:val="00B4714B"/>
    <w:rsid w:val="00B50AFD"/>
    <w:rsid w:val="00B52336"/>
    <w:rsid w:val="00B530BA"/>
    <w:rsid w:val="00B5436A"/>
    <w:rsid w:val="00B54A21"/>
    <w:rsid w:val="00B55084"/>
    <w:rsid w:val="00B61BBC"/>
    <w:rsid w:val="00B627A5"/>
    <w:rsid w:val="00B642E9"/>
    <w:rsid w:val="00B66C81"/>
    <w:rsid w:val="00B67C12"/>
    <w:rsid w:val="00B70F87"/>
    <w:rsid w:val="00B74126"/>
    <w:rsid w:val="00B81A44"/>
    <w:rsid w:val="00B81A72"/>
    <w:rsid w:val="00B81CE4"/>
    <w:rsid w:val="00B847BC"/>
    <w:rsid w:val="00B870BB"/>
    <w:rsid w:val="00B8773F"/>
    <w:rsid w:val="00B91DE4"/>
    <w:rsid w:val="00B9251A"/>
    <w:rsid w:val="00B94DD8"/>
    <w:rsid w:val="00B96D06"/>
    <w:rsid w:val="00BA2140"/>
    <w:rsid w:val="00BA64A4"/>
    <w:rsid w:val="00BA7063"/>
    <w:rsid w:val="00BB29D0"/>
    <w:rsid w:val="00BB2B07"/>
    <w:rsid w:val="00BB65EE"/>
    <w:rsid w:val="00BB67F2"/>
    <w:rsid w:val="00BB6C52"/>
    <w:rsid w:val="00BC4B99"/>
    <w:rsid w:val="00BC6F8F"/>
    <w:rsid w:val="00BD1DAA"/>
    <w:rsid w:val="00BD3A58"/>
    <w:rsid w:val="00BD4A8F"/>
    <w:rsid w:val="00BD4E41"/>
    <w:rsid w:val="00BD579E"/>
    <w:rsid w:val="00BD7116"/>
    <w:rsid w:val="00BE0044"/>
    <w:rsid w:val="00BE2CAC"/>
    <w:rsid w:val="00BF00AF"/>
    <w:rsid w:val="00BF637D"/>
    <w:rsid w:val="00BF6383"/>
    <w:rsid w:val="00BF6CA9"/>
    <w:rsid w:val="00C06271"/>
    <w:rsid w:val="00C1193C"/>
    <w:rsid w:val="00C121CA"/>
    <w:rsid w:val="00C124E0"/>
    <w:rsid w:val="00C13E26"/>
    <w:rsid w:val="00C168F6"/>
    <w:rsid w:val="00C1785E"/>
    <w:rsid w:val="00C239A7"/>
    <w:rsid w:val="00C23D18"/>
    <w:rsid w:val="00C24F8E"/>
    <w:rsid w:val="00C25A79"/>
    <w:rsid w:val="00C26DEA"/>
    <w:rsid w:val="00C31A18"/>
    <w:rsid w:val="00C34D85"/>
    <w:rsid w:val="00C35063"/>
    <w:rsid w:val="00C37208"/>
    <w:rsid w:val="00C375A4"/>
    <w:rsid w:val="00C427B8"/>
    <w:rsid w:val="00C42DFB"/>
    <w:rsid w:val="00C47D96"/>
    <w:rsid w:val="00C53FDA"/>
    <w:rsid w:val="00C55FE6"/>
    <w:rsid w:val="00C56669"/>
    <w:rsid w:val="00C57184"/>
    <w:rsid w:val="00C57554"/>
    <w:rsid w:val="00C57D91"/>
    <w:rsid w:val="00C6180E"/>
    <w:rsid w:val="00C70705"/>
    <w:rsid w:val="00C75EF2"/>
    <w:rsid w:val="00C76B07"/>
    <w:rsid w:val="00C81ECD"/>
    <w:rsid w:val="00C820D6"/>
    <w:rsid w:val="00C834C6"/>
    <w:rsid w:val="00C85034"/>
    <w:rsid w:val="00C85F30"/>
    <w:rsid w:val="00C91178"/>
    <w:rsid w:val="00C91B2B"/>
    <w:rsid w:val="00C91D91"/>
    <w:rsid w:val="00C91EED"/>
    <w:rsid w:val="00C92A49"/>
    <w:rsid w:val="00C93BCC"/>
    <w:rsid w:val="00C940F5"/>
    <w:rsid w:val="00C94E51"/>
    <w:rsid w:val="00C950C4"/>
    <w:rsid w:val="00C97040"/>
    <w:rsid w:val="00CA18A3"/>
    <w:rsid w:val="00CA1FDF"/>
    <w:rsid w:val="00CA7244"/>
    <w:rsid w:val="00CB2C16"/>
    <w:rsid w:val="00CB61E3"/>
    <w:rsid w:val="00CC03C7"/>
    <w:rsid w:val="00CC11B1"/>
    <w:rsid w:val="00CC2881"/>
    <w:rsid w:val="00CC2E53"/>
    <w:rsid w:val="00CC3540"/>
    <w:rsid w:val="00CC4168"/>
    <w:rsid w:val="00CC556B"/>
    <w:rsid w:val="00CC609D"/>
    <w:rsid w:val="00CD0729"/>
    <w:rsid w:val="00CD0C3E"/>
    <w:rsid w:val="00CD0E29"/>
    <w:rsid w:val="00CD3550"/>
    <w:rsid w:val="00CE1200"/>
    <w:rsid w:val="00CE5D59"/>
    <w:rsid w:val="00CF4C9F"/>
    <w:rsid w:val="00D010B1"/>
    <w:rsid w:val="00D03035"/>
    <w:rsid w:val="00D04E8B"/>
    <w:rsid w:val="00D063A7"/>
    <w:rsid w:val="00D065F9"/>
    <w:rsid w:val="00D11A72"/>
    <w:rsid w:val="00D12C20"/>
    <w:rsid w:val="00D13026"/>
    <w:rsid w:val="00D14303"/>
    <w:rsid w:val="00D15B4B"/>
    <w:rsid w:val="00D22162"/>
    <w:rsid w:val="00D23501"/>
    <w:rsid w:val="00D24624"/>
    <w:rsid w:val="00D24728"/>
    <w:rsid w:val="00D2557E"/>
    <w:rsid w:val="00D300F8"/>
    <w:rsid w:val="00D301BC"/>
    <w:rsid w:val="00D31F9F"/>
    <w:rsid w:val="00D34F66"/>
    <w:rsid w:val="00D36395"/>
    <w:rsid w:val="00D3649B"/>
    <w:rsid w:val="00D3739F"/>
    <w:rsid w:val="00D41E39"/>
    <w:rsid w:val="00D42ABB"/>
    <w:rsid w:val="00D43938"/>
    <w:rsid w:val="00D43FF2"/>
    <w:rsid w:val="00D44901"/>
    <w:rsid w:val="00D461DE"/>
    <w:rsid w:val="00D468D0"/>
    <w:rsid w:val="00D5099B"/>
    <w:rsid w:val="00D545FF"/>
    <w:rsid w:val="00D54801"/>
    <w:rsid w:val="00D62F79"/>
    <w:rsid w:val="00D67401"/>
    <w:rsid w:val="00D67F14"/>
    <w:rsid w:val="00D70EEF"/>
    <w:rsid w:val="00D7204A"/>
    <w:rsid w:val="00D72C26"/>
    <w:rsid w:val="00D72F0F"/>
    <w:rsid w:val="00D731D2"/>
    <w:rsid w:val="00D737FE"/>
    <w:rsid w:val="00D73824"/>
    <w:rsid w:val="00D74074"/>
    <w:rsid w:val="00D74637"/>
    <w:rsid w:val="00D768F7"/>
    <w:rsid w:val="00D8090C"/>
    <w:rsid w:val="00D84F52"/>
    <w:rsid w:val="00D85309"/>
    <w:rsid w:val="00D90179"/>
    <w:rsid w:val="00D91266"/>
    <w:rsid w:val="00D91AC1"/>
    <w:rsid w:val="00D97C16"/>
    <w:rsid w:val="00DA048B"/>
    <w:rsid w:val="00DA0FC0"/>
    <w:rsid w:val="00DA10AF"/>
    <w:rsid w:val="00DA38F8"/>
    <w:rsid w:val="00DA492A"/>
    <w:rsid w:val="00DA4EA5"/>
    <w:rsid w:val="00DA5D29"/>
    <w:rsid w:val="00DA6362"/>
    <w:rsid w:val="00DB262C"/>
    <w:rsid w:val="00DB36C2"/>
    <w:rsid w:val="00DB3CCD"/>
    <w:rsid w:val="00DB3CE9"/>
    <w:rsid w:val="00DC20E8"/>
    <w:rsid w:val="00DC6816"/>
    <w:rsid w:val="00DC6960"/>
    <w:rsid w:val="00DD3504"/>
    <w:rsid w:val="00DD6250"/>
    <w:rsid w:val="00DE0D1D"/>
    <w:rsid w:val="00DE127A"/>
    <w:rsid w:val="00DE1A76"/>
    <w:rsid w:val="00DE2976"/>
    <w:rsid w:val="00DE3551"/>
    <w:rsid w:val="00DE38A2"/>
    <w:rsid w:val="00DE558A"/>
    <w:rsid w:val="00DE6ADE"/>
    <w:rsid w:val="00DF3703"/>
    <w:rsid w:val="00DF6CCA"/>
    <w:rsid w:val="00DF7D37"/>
    <w:rsid w:val="00E01B07"/>
    <w:rsid w:val="00E02374"/>
    <w:rsid w:val="00E02BD7"/>
    <w:rsid w:val="00E04F18"/>
    <w:rsid w:val="00E068FB"/>
    <w:rsid w:val="00E10C48"/>
    <w:rsid w:val="00E1124C"/>
    <w:rsid w:val="00E11450"/>
    <w:rsid w:val="00E14AD7"/>
    <w:rsid w:val="00E14F7D"/>
    <w:rsid w:val="00E16D5B"/>
    <w:rsid w:val="00E212ED"/>
    <w:rsid w:val="00E2154E"/>
    <w:rsid w:val="00E228F7"/>
    <w:rsid w:val="00E244DE"/>
    <w:rsid w:val="00E25107"/>
    <w:rsid w:val="00E2551C"/>
    <w:rsid w:val="00E26096"/>
    <w:rsid w:val="00E31FFD"/>
    <w:rsid w:val="00E40A73"/>
    <w:rsid w:val="00E45529"/>
    <w:rsid w:val="00E47F68"/>
    <w:rsid w:val="00E5229A"/>
    <w:rsid w:val="00E54444"/>
    <w:rsid w:val="00E55302"/>
    <w:rsid w:val="00E55C67"/>
    <w:rsid w:val="00E561CB"/>
    <w:rsid w:val="00E57552"/>
    <w:rsid w:val="00E57983"/>
    <w:rsid w:val="00E62774"/>
    <w:rsid w:val="00E66C2C"/>
    <w:rsid w:val="00E67AE8"/>
    <w:rsid w:val="00E7015A"/>
    <w:rsid w:val="00E708C2"/>
    <w:rsid w:val="00E70C6B"/>
    <w:rsid w:val="00E723C3"/>
    <w:rsid w:val="00E76BAA"/>
    <w:rsid w:val="00E7747D"/>
    <w:rsid w:val="00E774EF"/>
    <w:rsid w:val="00E805FE"/>
    <w:rsid w:val="00E80AA8"/>
    <w:rsid w:val="00E829FA"/>
    <w:rsid w:val="00E8448A"/>
    <w:rsid w:val="00E85120"/>
    <w:rsid w:val="00E86678"/>
    <w:rsid w:val="00E87DD8"/>
    <w:rsid w:val="00E91069"/>
    <w:rsid w:val="00E93625"/>
    <w:rsid w:val="00E937A5"/>
    <w:rsid w:val="00E94A0A"/>
    <w:rsid w:val="00E95503"/>
    <w:rsid w:val="00E95FD4"/>
    <w:rsid w:val="00E967CA"/>
    <w:rsid w:val="00E97CB2"/>
    <w:rsid w:val="00EA08B8"/>
    <w:rsid w:val="00EA17E9"/>
    <w:rsid w:val="00EA2FBB"/>
    <w:rsid w:val="00EA5166"/>
    <w:rsid w:val="00EB4055"/>
    <w:rsid w:val="00EB48E2"/>
    <w:rsid w:val="00EB6137"/>
    <w:rsid w:val="00EB7A35"/>
    <w:rsid w:val="00EC009F"/>
    <w:rsid w:val="00EC301C"/>
    <w:rsid w:val="00EC4EC9"/>
    <w:rsid w:val="00EC74F6"/>
    <w:rsid w:val="00ED0A81"/>
    <w:rsid w:val="00ED0E4A"/>
    <w:rsid w:val="00ED1620"/>
    <w:rsid w:val="00ED2384"/>
    <w:rsid w:val="00ED54FD"/>
    <w:rsid w:val="00ED6432"/>
    <w:rsid w:val="00ED725C"/>
    <w:rsid w:val="00EE07EA"/>
    <w:rsid w:val="00EE0CA0"/>
    <w:rsid w:val="00EE68F0"/>
    <w:rsid w:val="00EF28E2"/>
    <w:rsid w:val="00EF3177"/>
    <w:rsid w:val="00EF60FB"/>
    <w:rsid w:val="00F00055"/>
    <w:rsid w:val="00F00411"/>
    <w:rsid w:val="00F031EE"/>
    <w:rsid w:val="00F05CF1"/>
    <w:rsid w:val="00F10895"/>
    <w:rsid w:val="00F109E3"/>
    <w:rsid w:val="00F10F96"/>
    <w:rsid w:val="00F119F3"/>
    <w:rsid w:val="00F12305"/>
    <w:rsid w:val="00F124E8"/>
    <w:rsid w:val="00F12635"/>
    <w:rsid w:val="00F126BB"/>
    <w:rsid w:val="00F1456B"/>
    <w:rsid w:val="00F169C5"/>
    <w:rsid w:val="00F22F22"/>
    <w:rsid w:val="00F24E09"/>
    <w:rsid w:val="00F30389"/>
    <w:rsid w:val="00F3189C"/>
    <w:rsid w:val="00F34252"/>
    <w:rsid w:val="00F353E2"/>
    <w:rsid w:val="00F3589F"/>
    <w:rsid w:val="00F37207"/>
    <w:rsid w:val="00F37F94"/>
    <w:rsid w:val="00F42498"/>
    <w:rsid w:val="00F4257B"/>
    <w:rsid w:val="00F43B78"/>
    <w:rsid w:val="00F43C78"/>
    <w:rsid w:val="00F4417A"/>
    <w:rsid w:val="00F45076"/>
    <w:rsid w:val="00F46006"/>
    <w:rsid w:val="00F505C9"/>
    <w:rsid w:val="00F50678"/>
    <w:rsid w:val="00F53EA0"/>
    <w:rsid w:val="00F55406"/>
    <w:rsid w:val="00F55B5A"/>
    <w:rsid w:val="00F5620B"/>
    <w:rsid w:val="00F62AA7"/>
    <w:rsid w:val="00F6748C"/>
    <w:rsid w:val="00F76E3F"/>
    <w:rsid w:val="00F76F9D"/>
    <w:rsid w:val="00F77C44"/>
    <w:rsid w:val="00F83782"/>
    <w:rsid w:val="00F84E6B"/>
    <w:rsid w:val="00F9289E"/>
    <w:rsid w:val="00F939CC"/>
    <w:rsid w:val="00F963FF"/>
    <w:rsid w:val="00FA3A66"/>
    <w:rsid w:val="00FA3F79"/>
    <w:rsid w:val="00FA4B51"/>
    <w:rsid w:val="00FB1849"/>
    <w:rsid w:val="00FB1EC2"/>
    <w:rsid w:val="00FB3780"/>
    <w:rsid w:val="00FC2DA6"/>
    <w:rsid w:val="00FC41FF"/>
    <w:rsid w:val="00FC64B9"/>
    <w:rsid w:val="00FD08B0"/>
    <w:rsid w:val="00FD2124"/>
    <w:rsid w:val="00FD2378"/>
    <w:rsid w:val="00FD317D"/>
    <w:rsid w:val="00FD45E6"/>
    <w:rsid w:val="00FD5D86"/>
    <w:rsid w:val="00FD6B53"/>
    <w:rsid w:val="00FD6B75"/>
    <w:rsid w:val="00FE2683"/>
    <w:rsid w:val="00FE2F42"/>
    <w:rsid w:val="00FF05D7"/>
    <w:rsid w:val="00FF1A55"/>
    <w:rsid w:val="00FF3A20"/>
    <w:rsid w:val="00FF44DD"/>
    <w:rsid w:val="00FF4739"/>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06"/>
    <w:rPr>
      <w:rFonts w:ascii="Arial" w:hAnsi="Arial"/>
      <w:sz w:val="24"/>
      <w:lang w:eastAsia="en-US"/>
    </w:rPr>
  </w:style>
  <w:style w:type="paragraph" w:styleId="Heading1">
    <w:name w:val="heading 1"/>
    <w:basedOn w:val="Normal"/>
    <w:next w:val="Normal"/>
    <w:link w:val="Heading1Char"/>
    <w:uiPriority w:val="99"/>
    <w:qFormat/>
    <w:rsid w:val="00DE38A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E95FD4"/>
    <w:pPr>
      <w:keepNext/>
      <w:spacing w:before="240" w:after="60"/>
      <w:outlineLvl w:val="1"/>
    </w:pPr>
    <w:rPr>
      <w:rFonts w:eastAsia="MS Mincho"/>
      <w:b/>
      <w:bCs/>
      <w:i/>
      <w:iCs/>
      <w:sz w:val="28"/>
      <w:szCs w:val="28"/>
      <w:lang w:val="en-US" w:eastAsia="ja-JP"/>
    </w:rPr>
  </w:style>
  <w:style w:type="paragraph" w:styleId="Heading3">
    <w:name w:val="heading 3"/>
    <w:basedOn w:val="Normal"/>
    <w:next w:val="Normal"/>
    <w:link w:val="Heading3Char"/>
    <w:uiPriority w:val="99"/>
    <w:qFormat/>
    <w:rsid w:val="00E95FD4"/>
    <w:pPr>
      <w:keepNext/>
      <w:spacing w:before="240" w:after="60"/>
      <w:outlineLvl w:val="2"/>
    </w:pPr>
    <w:rPr>
      <w:rFonts w:eastAsia="MS Mincho"/>
      <w:b/>
      <w:bCs/>
      <w:sz w:val="26"/>
      <w:szCs w:val="26"/>
      <w:lang w:val="en-US" w:eastAsia="ja-JP"/>
    </w:rPr>
  </w:style>
  <w:style w:type="paragraph" w:styleId="Heading4">
    <w:name w:val="heading 4"/>
    <w:basedOn w:val="Normal"/>
    <w:next w:val="Normal"/>
    <w:link w:val="Heading4Char"/>
    <w:uiPriority w:val="99"/>
    <w:qFormat/>
    <w:rsid w:val="00754132"/>
    <w:pPr>
      <w:keepNext/>
      <w:spacing w:before="240" w:after="60"/>
      <w:outlineLvl w:val="3"/>
    </w:pPr>
    <w:rPr>
      <w:rFonts w:ascii="Times New Roman" w:eastAsia="MS Mincho" w:hAnsi="Times New Roman"/>
      <w:b/>
      <w:bCs/>
      <w:sz w:val="28"/>
      <w:szCs w:val="28"/>
      <w:lang w:val="en-US" w:eastAsia="ja-JP"/>
    </w:rPr>
  </w:style>
  <w:style w:type="paragraph" w:styleId="Heading5">
    <w:name w:val="heading 5"/>
    <w:basedOn w:val="Normal"/>
    <w:next w:val="Normal"/>
    <w:link w:val="Heading5Char"/>
    <w:uiPriority w:val="99"/>
    <w:qFormat/>
    <w:rsid w:val="007D3F85"/>
    <w:pPr>
      <w:keepNext/>
      <w:outlineLvl w:val="4"/>
    </w:pPr>
    <w:rPr>
      <w:rFonts w:ascii="Times New Roman" w:hAnsi="Times New Roman"/>
      <w:b/>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38A2"/>
    <w:rPr>
      <w:rFonts w:ascii="Cambria" w:hAnsi="Cambria" w:cs="Times New Roman"/>
      <w:b/>
      <w:kern w:val="32"/>
      <w:sz w:val="32"/>
      <w:lang w:eastAsia="en-US"/>
    </w:rPr>
  </w:style>
  <w:style w:type="character" w:customStyle="1" w:styleId="Heading2Char">
    <w:name w:val="Heading 2 Char"/>
    <w:link w:val="Heading2"/>
    <w:uiPriority w:val="99"/>
    <w:locked/>
    <w:rsid w:val="00E95FD4"/>
    <w:rPr>
      <w:rFonts w:ascii="Arial" w:eastAsia="MS Mincho" w:hAnsi="Arial" w:cs="Times New Roman"/>
      <w:b/>
      <w:i/>
      <w:sz w:val="28"/>
      <w:lang w:val="en-US" w:eastAsia="ja-JP"/>
    </w:rPr>
  </w:style>
  <w:style w:type="character" w:customStyle="1" w:styleId="Heading3Char">
    <w:name w:val="Heading 3 Char"/>
    <w:link w:val="Heading3"/>
    <w:uiPriority w:val="99"/>
    <w:locked/>
    <w:rsid w:val="00E95FD4"/>
    <w:rPr>
      <w:rFonts w:ascii="Arial" w:eastAsia="MS Mincho" w:hAnsi="Arial" w:cs="Times New Roman"/>
      <w:b/>
      <w:sz w:val="26"/>
      <w:lang w:val="en-US" w:eastAsia="ja-JP"/>
    </w:rPr>
  </w:style>
  <w:style w:type="character" w:customStyle="1" w:styleId="Heading4Char">
    <w:name w:val="Heading 4 Char"/>
    <w:link w:val="Heading4"/>
    <w:uiPriority w:val="99"/>
    <w:semiHidden/>
    <w:locked/>
    <w:rsid w:val="007C7B1F"/>
    <w:rPr>
      <w:rFonts w:ascii="Calibri" w:hAnsi="Calibri" w:cs="Times New Roman"/>
      <w:b/>
      <w:bCs/>
      <w:sz w:val="28"/>
      <w:szCs w:val="28"/>
      <w:lang w:val="en-AU"/>
    </w:rPr>
  </w:style>
  <w:style w:type="character" w:customStyle="1" w:styleId="Heading5Char">
    <w:name w:val="Heading 5 Char"/>
    <w:link w:val="Heading5"/>
    <w:uiPriority w:val="99"/>
    <w:locked/>
    <w:rsid w:val="007D3F85"/>
    <w:rPr>
      <w:rFonts w:cs="Times New Roman"/>
      <w:b/>
      <w:sz w:val="24"/>
    </w:rPr>
  </w:style>
  <w:style w:type="paragraph" w:styleId="BalloonText">
    <w:name w:val="Balloon Text"/>
    <w:basedOn w:val="Normal"/>
    <w:link w:val="BalloonTextChar"/>
    <w:uiPriority w:val="99"/>
    <w:semiHidden/>
    <w:rsid w:val="00414367"/>
    <w:rPr>
      <w:rFonts w:ascii="Tahoma" w:hAnsi="Tahoma" w:cs="Tahoma"/>
      <w:sz w:val="16"/>
      <w:szCs w:val="16"/>
    </w:rPr>
  </w:style>
  <w:style w:type="character" w:customStyle="1" w:styleId="BalloonTextChar">
    <w:name w:val="Balloon Text Char"/>
    <w:link w:val="BalloonText"/>
    <w:uiPriority w:val="99"/>
    <w:semiHidden/>
    <w:locked/>
    <w:rsid w:val="007C7B1F"/>
    <w:rPr>
      <w:rFonts w:cs="Times New Roman"/>
      <w:sz w:val="2"/>
      <w:lang w:val="en-AU"/>
    </w:rPr>
  </w:style>
  <w:style w:type="table" w:styleId="TableGrid">
    <w:name w:val="Table Grid"/>
    <w:basedOn w:val="TableNormal"/>
    <w:uiPriority w:val="99"/>
    <w:rsid w:val="00D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autoRedefine/>
    <w:uiPriority w:val="99"/>
    <w:rsid w:val="00D67401"/>
    <w:pPr>
      <w:spacing w:after="160" w:line="240" w:lineRule="exact"/>
    </w:pPr>
    <w:rPr>
      <w:rFonts w:ascii="Verdana" w:hAnsi="Verdana" w:cs="Verdana"/>
      <w:sz w:val="20"/>
      <w:lang w:val="en-US"/>
    </w:rPr>
  </w:style>
  <w:style w:type="paragraph" w:styleId="Footer">
    <w:name w:val="footer"/>
    <w:basedOn w:val="Normal"/>
    <w:link w:val="FooterChar"/>
    <w:uiPriority w:val="99"/>
    <w:rsid w:val="00D67401"/>
    <w:pPr>
      <w:tabs>
        <w:tab w:val="center" w:pos="4153"/>
        <w:tab w:val="right" w:pos="8306"/>
      </w:tabs>
    </w:pPr>
    <w:rPr>
      <w:rFonts w:ascii="Times New Roman" w:hAnsi="Times New Roman"/>
      <w:szCs w:val="24"/>
      <w:lang w:val="en-US" w:eastAsia="ja-JP"/>
    </w:rPr>
  </w:style>
  <w:style w:type="character" w:customStyle="1" w:styleId="FooterChar">
    <w:name w:val="Footer Char"/>
    <w:link w:val="Footer"/>
    <w:uiPriority w:val="99"/>
    <w:locked/>
    <w:rsid w:val="00F3189C"/>
    <w:rPr>
      <w:rFonts w:cs="Times New Roman"/>
      <w:sz w:val="24"/>
    </w:rPr>
  </w:style>
  <w:style w:type="paragraph" w:styleId="MessageHeader">
    <w:name w:val="Message Header"/>
    <w:basedOn w:val="Normal"/>
    <w:link w:val="MessageHeaderChar"/>
    <w:uiPriority w:val="99"/>
    <w:rsid w:val="00D6740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lang w:eastAsia="en-AU"/>
    </w:rPr>
  </w:style>
  <w:style w:type="character" w:customStyle="1" w:styleId="MessageHeaderChar">
    <w:name w:val="Message Header Char"/>
    <w:link w:val="MessageHeader"/>
    <w:uiPriority w:val="99"/>
    <w:locked/>
    <w:rsid w:val="00D67401"/>
    <w:rPr>
      <w:rFonts w:ascii="Arial" w:hAnsi="Arial" w:cs="Times New Roman"/>
      <w:sz w:val="24"/>
      <w:lang w:val="en-AU" w:eastAsia="en-AU"/>
    </w:rPr>
  </w:style>
  <w:style w:type="paragraph" w:customStyle="1" w:styleId="IJC">
    <w:name w:val="IJC"/>
    <w:basedOn w:val="MessageHeader"/>
    <w:link w:val="IJCChar"/>
    <w:uiPriority w:val="99"/>
    <w:rsid w:val="00D67401"/>
    <w:pPr>
      <w:pBdr>
        <w:top w:val="none" w:sz="0" w:space="0" w:color="auto"/>
        <w:left w:val="none" w:sz="0" w:space="0" w:color="auto"/>
        <w:bottom w:val="none" w:sz="0" w:space="0" w:color="auto"/>
        <w:right w:val="none" w:sz="0" w:space="0" w:color="auto"/>
      </w:pBdr>
      <w:shd w:val="clear" w:color="auto" w:fill="CCCCFF"/>
    </w:pPr>
    <w:rPr>
      <w:rFonts w:cs="Times New Roman"/>
      <w:b/>
      <w:sz w:val="22"/>
      <w:szCs w:val="20"/>
    </w:rPr>
  </w:style>
  <w:style w:type="character" w:customStyle="1" w:styleId="IJCChar">
    <w:name w:val="IJC Char"/>
    <w:link w:val="IJC"/>
    <w:uiPriority w:val="99"/>
    <w:locked/>
    <w:rsid w:val="00D67401"/>
    <w:rPr>
      <w:rFonts w:ascii="Arial" w:hAnsi="Arial"/>
      <w:b/>
      <w:sz w:val="22"/>
      <w:lang w:val="en-AU" w:eastAsia="en-AU"/>
    </w:rPr>
  </w:style>
  <w:style w:type="character" w:styleId="Hyperlink">
    <w:name w:val="Hyperlink"/>
    <w:uiPriority w:val="99"/>
    <w:rsid w:val="00D67401"/>
    <w:rPr>
      <w:rFonts w:cs="Times New Roman"/>
      <w:color w:val="0000FF"/>
      <w:u w:val="single"/>
    </w:rPr>
  </w:style>
  <w:style w:type="paragraph" w:styleId="Header">
    <w:name w:val="header"/>
    <w:basedOn w:val="Normal"/>
    <w:link w:val="HeaderChar"/>
    <w:uiPriority w:val="99"/>
    <w:rsid w:val="00D67401"/>
    <w:pPr>
      <w:tabs>
        <w:tab w:val="center" w:pos="4320"/>
        <w:tab w:val="right" w:pos="8640"/>
      </w:tabs>
    </w:pPr>
  </w:style>
  <w:style w:type="character" w:customStyle="1" w:styleId="HeaderChar">
    <w:name w:val="Header Char"/>
    <w:link w:val="Header"/>
    <w:uiPriority w:val="99"/>
    <w:semiHidden/>
    <w:locked/>
    <w:rsid w:val="007C7B1F"/>
    <w:rPr>
      <w:rFonts w:ascii="Arial" w:hAnsi="Arial" w:cs="Times New Roman"/>
      <w:sz w:val="20"/>
      <w:szCs w:val="20"/>
      <w:lang w:val="en-AU"/>
    </w:rPr>
  </w:style>
  <w:style w:type="character" w:styleId="CommentReference">
    <w:name w:val="annotation reference"/>
    <w:uiPriority w:val="99"/>
    <w:semiHidden/>
    <w:rsid w:val="00414367"/>
    <w:rPr>
      <w:rFonts w:cs="Times New Roman"/>
      <w:sz w:val="16"/>
    </w:rPr>
  </w:style>
  <w:style w:type="paragraph" w:styleId="CommentText">
    <w:name w:val="annotation text"/>
    <w:basedOn w:val="Normal"/>
    <w:link w:val="CommentTextChar"/>
    <w:uiPriority w:val="99"/>
    <w:semiHidden/>
    <w:rsid w:val="00414367"/>
    <w:rPr>
      <w:sz w:val="20"/>
    </w:rPr>
  </w:style>
  <w:style w:type="character" w:customStyle="1" w:styleId="CommentTextChar">
    <w:name w:val="Comment Text Char"/>
    <w:link w:val="CommentText"/>
    <w:uiPriority w:val="99"/>
    <w:semiHidden/>
    <w:locked/>
    <w:rsid w:val="007C7B1F"/>
    <w:rPr>
      <w:rFonts w:ascii="Arial" w:hAnsi="Arial" w:cs="Times New Roman"/>
      <w:sz w:val="20"/>
      <w:szCs w:val="20"/>
      <w:lang w:val="en-AU"/>
    </w:rPr>
  </w:style>
  <w:style w:type="paragraph" w:styleId="CommentSubject">
    <w:name w:val="annotation subject"/>
    <w:basedOn w:val="CommentText"/>
    <w:next w:val="CommentText"/>
    <w:link w:val="CommentSubjectChar"/>
    <w:uiPriority w:val="99"/>
    <w:semiHidden/>
    <w:rsid w:val="00414367"/>
    <w:rPr>
      <w:b/>
      <w:bCs/>
    </w:rPr>
  </w:style>
  <w:style w:type="character" w:customStyle="1" w:styleId="CommentSubjectChar">
    <w:name w:val="Comment Subject Char"/>
    <w:link w:val="CommentSubject"/>
    <w:uiPriority w:val="99"/>
    <w:semiHidden/>
    <w:locked/>
    <w:rsid w:val="007C7B1F"/>
    <w:rPr>
      <w:rFonts w:ascii="Arial" w:hAnsi="Arial" w:cs="Times New Roman"/>
      <w:b/>
      <w:bCs/>
      <w:sz w:val="20"/>
      <w:szCs w:val="20"/>
      <w:lang w:val="en-AU"/>
    </w:rPr>
  </w:style>
  <w:style w:type="paragraph" w:styleId="ListParagraph">
    <w:name w:val="List Paragraph"/>
    <w:basedOn w:val="Normal"/>
    <w:uiPriority w:val="34"/>
    <w:qFormat/>
    <w:rsid w:val="003F58CA"/>
    <w:pPr>
      <w:ind w:left="720"/>
      <w:contextualSpacing/>
    </w:pPr>
    <w:rPr>
      <w:rFonts w:ascii="Times New Roman" w:hAnsi="Times New Roman"/>
      <w:szCs w:val="24"/>
    </w:rPr>
  </w:style>
  <w:style w:type="paragraph" w:customStyle="1" w:styleId="Default">
    <w:name w:val="Default"/>
    <w:uiPriority w:val="99"/>
    <w:rsid w:val="003F58CA"/>
    <w:pPr>
      <w:widowControl w:val="0"/>
      <w:autoSpaceDE w:val="0"/>
      <w:autoSpaceDN w:val="0"/>
      <w:adjustRightInd w:val="0"/>
    </w:pPr>
    <w:rPr>
      <w:rFonts w:ascii="Calibri" w:hAnsi="Calibri" w:cs="Calibri"/>
      <w:color w:val="000000"/>
      <w:sz w:val="24"/>
      <w:szCs w:val="24"/>
      <w:lang w:val="en-US" w:eastAsia="en-US"/>
    </w:rPr>
  </w:style>
  <w:style w:type="paragraph" w:styleId="Date">
    <w:name w:val="Date"/>
    <w:basedOn w:val="Normal"/>
    <w:next w:val="Normal"/>
    <w:link w:val="DateChar"/>
    <w:uiPriority w:val="99"/>
    <w:rsid w:val="00191C5B"/>
  </w:style>
  <w:style w:type="character" w:customStyle="1" w:styleId="DateChar">
    <w:name w:val="Date Char"/>
    <w:link w:val="Date"/>
    <w:uiPriority w:val="99"/>
    <w:semiHidden/>
    <w:locked/>
    <w:rsid w:val="007C7B1F"/>
    <w:rPr>
      <w:rFonts w:ascii="Arial" w:hAnsi="Arial" w:cs="Times New Roman"/>
      <w:sz w:val="20"/>
      <w:szCs w:val="20"/>
      <w:lang w:val="en-AU"/>
    </w:rPr>
  </w:style>
  <w:style w:type="paragraph" w:styleId="BodyTextIndent3">
    <w:name w:val="Body Text Indent 3"/>
    <w:basedOn w:val="Normal"/>
    <w:link w:val="BodyTextIndent3Char"/>
    <w:uiPriority w:val="99"/>
    <w:rsid w:val="00F3189C"/>
    <w:pPr>
      <w:spacing w:after="120"/>
      <w:ind w:left="283"/>
    </w:pPr>
    <w:rPr>
      <w:rFonts w:ascii="Times New Roman" w:hAnsi="Times New Roman"/>
      <w:sz w:val="16"/>
      <w:szCs w:val="16"/>
      <w:lang w:val="en-US"/>
    </w:rPr>
  </w:style>
  <w:style w:type="character" w:customStyle="1" w:styleId="BodyTextIndent3Char">
    <w:name w:val="Body Text Indent 3 Char"/>
    <w:link w:val="BodyTextIndent3"/>
    <w:uiPriority w:val="99"/>
    <w:locked/>
    <w:rsid w:val="00F3189C"/>
    <w:rPr>
      <w:rFonts w:cs="Times New Roman"/>
      <w:sz w:val="16"/>
      <w:lang w:eastAsia="en-US"/>
    </w:rPr>
  </w:style>
  <w:style w:type="paragraph" w:customStyle="1" w:styleId="Style3">
    <w:name w:val="Style3"/>
    <w:basedOn w:val="MessageHeader"/>
    <w:uiPriority w:val="99"/>
    <w:rsid w:val="00F3189C"/>
    <w:pPr>
      <w:pBdr>
        <w:top w:val="none" w:sz="0" w:space="0" w:color="auto"/>
        <w:left w:val="none" w:sz="0" w:space="0" w:color="auto"/>
        <w:bottom w:val="none" w:sz="0" w:space="0" w:color="auto"/>
        <w:right w:val="none" w:sz="0" w:space="0" w:color="auto"/>
      </w:pBdr>
      <w:shd w:val="clear" w:color="auto" w:fill="CCFFCC"/>
      <w:outlineLvl w:val="0"/>
    </w:pPr>
    <w:rPr>
      <w:b/>
      <w:sz w:val="22"/>
      <w:szCs w:val="22"/>
    </w:rPr>
  </w:style>
  <w:style w:type="paragraph" w:customStyle="1" w:styleId="Bullet2">
    <w:name w:val="Bullet 2"/>
    <w:basedOn w:val="Normal"/>
    <w:uiPriority w:val="99"/>
    <w:rsid w:val="00F3189C"/>
    <w:pPr>
      <w:numPr>
        <w:numId w:val="1"/>
      </w:numPr>
    </w:pPr>
    <w:rPr>
      <w:sz w:val="22"/>
      <w:szCs w:val="24"/>
      <w:lang w:eastAsia="en-AU"/>
    </w:rPr>
  </w:style>
  <w:style w:type="paragraph" w:styleId="FootnoteText">
    <w:name w:val="footnote text"/>
    <w:basedOn w:val="Normal"/>
    <w:link w:val="FootnoteTextChar"/>
    <w:uiPriority w:val="99"/>
    <w:rsid w:val="00F3189C"/>
    <w:rPr>
      <w:rFonts w:ascii="Times New Roman" w:hAnsi="Times New Roman"/>
      <w:sz w:val="20"/>
      <w:lang w:eastAsia="en-AU"/>
    </w:rPr>
  </w:style>
  <w:style w:type="character" w:customStyle="1" w:styleId="FootnoteTextChar">
    <w:name w:val="Footnote Text Char"/>
    <w:link w:val="FootnoteText"/>
    <w:uiPriority w:val="99"/>
    <w:locked/>
    <w:rsid w:val="00F3189C"/>
    <w:rPr>
      <w:rFonts w:cs="Times New Roman"/>
    </w:rPr>
  </w:style>
  <w:style w:type="character" w:styleId="FootnoteReference">
    <w:name w:val="footnote reference"/>
    <w:uiPriority w:val="99"/>
    <w:rsid w:val="00F3189C"/>
    <w:rPr>
      <w:rFonts w:cs="Times New Roman"/>
      <w:vertAlign w:val="superscript"/>
    </w:rPr>
  </w:style>
  <w:style w:type="paragraph" w:customStyle="1" w:styleId="Char">
    <w:name w:val="Char"/>
    <w:basedOn w:val="Normal"/>
    <w:next w:val="Normal"/>
    <w:autoRedefine/>
    <w:uiPriority w:val="99"/>
    <w:rsid w:val="008C7BAE"/>
    <w:pPr>
      <w:spacing w:after="160" w:line="240" w:lineRule="exact"/>
    </w:pPr>
    <w:rPr>
      <w:rFonts w:ascii="Verdana" w:hAnsi="Verdana" w:cs="Verdana"/>
      <w:sz w:val="20"/>
      <w:lang w:val="en-US"/>
    </w:rPr>
  </w:style>
  <w:style w:type="character" w:customStyle="1" w:styleId="caps1">
    <w:name w:val="caps1"/>
    <w:uiPriority w:val="99"/>
    <w:rsid w:val="0033799A"/>
    <w:rPr>
      <w:sz w:val="22"/>
    </w:rPr>
  </w:style>
  <w:style w:type="character" w:styleId="Strong">
    <w:name w:val="Strong"/>
    <w:qFormat/>
    <w:rsid w:val="00DE38A2"/>
    <w:rPr>
      <w:rFonts w:cs="Times New Roman"/>
      <w:b/>
    </w:rPr>
  </w:style>
  <w:style w:type="paragraph" w:styleId="TOC1">
    <w:name w:val="toc 1"/>
    <w:basedOn w:val="Normal"/>
    <w:next w:val="Normal"/>
    <w:autoRedefine/>
    <w:uiPriority w:val="39"/>
    <w:rsid w:val="00DE38A2"/>
    <w:rPr>
      <w:rFonts w:ascii="Times New Roman" w:eastAsia="MS Mincho" w:hAnsi="Times New Roman"/>
      <w:szCs w:val="24"/>
      <w:lang w:val="en-US" w:eastAsia="ja-JP"/>
    </w:rPr>
  </w:style>
  <w:style w:type="paragraph" w:styleId="TOC2">
    <w:name w:val="toc 2"/>
    <w:basedOn w:val="Normal"/>
    <w:next w:val="Normal"/>
    <w:autoRedefine/>
    <w:uiPriority w:val="39"/>
    <w:rsid w:val="00DE38A2"/>
    <w:pPr>
      <w:ind w:left="240"/>
    </w:pPr>
    <w:rPr>
      <w:rFonts w:ascii="Times New Roman" w:eastAsia="MS Mincho" w:hAnsi="Times New Roman"/>
      <w:szCs w:val="24"/>
      <w:lang w:val="en-US" w:eastAsia="ja-JP"/>
    </w:rPr>
  </w:style>
  <w:style w:type="paragraph" w:styleId="TOC3">
    <w:name w:val="toc 3"/>
    <w:basedOn w:val="Normal"/>
    <w:next w:val="Normal"/>
    <w:autoRedefine/>
    <w:uiPriority w:val="99"/>
    <w:rsid w:val="00DE38A2"/>
    <w:pPr>
      <w:ind w:left="480"/>
    </w:pPr>
    <w:rPr>
      <w:rFonts w:ascii="Times New Roman" w:eastAsia="MS Mincho" w:hAnsi="Times New Roman"/>
      <w:szCs w:val="24"/>
      <w:lang w:val="en-US" w:eastAsia="ja-JP"/>
    </w:rPr>
  </w:style>
  <w:style w:type="paragraph" w:customStyle="1" w:styleId="Pa12">
    <w:name w:val="Pa12"/>
    <w:basedOn w:val="Normal"/>
    <w:next w:val="Normal"/>
    <w:uiPriority w:val="99"/>
    <w:rsid w:val="001F6B01"/>
    <w:pPr>
      <w:autoSpaceDE w:val="0"/>
      <w:autoSpaceDN w:val="0"/>
      <w:adjustRightInd w:val="0"/>
      <w:spacing w:line="221" w:lineRule="atLeast"/>
    </w:pPr>
    <w:rPr>
      <w:rFonts w:ascii="Adobe Garamond Pro" w:eastAsia="MS Mincho" w:hAnsi="Adobe Garamond Pro"/>
      <w:szCs w:val="24"/>
      <w:lang w:val="en-US" w:eastAsia="ja-JP"/>
    </w:rPr>
  </w:style>
  <w:style w:type="paragraph" w:styleId="NormalWeb">
    <w:name w:val="Normal (Web)"/>
    <w:basedOn w:val="Normal"/>
    <w:uiPriority w:val="99"/>
    <w:rsid w:val="002B069B"/>
    <w:pPr>
      <w:spacing w:before="100" w:beforeAutospacing="1" w:after="100" w:afterAutospacing="1"/>
    </w:pPr>
    <w:rPr>
      <w:rFonts w:ascii="Times New Roman" w:hAnsi="Times New Roman"/>
      <w:color w:val="333333"/>
      <w:sz w:val="18"/>
      <w:szCs w:val="18"/>
      <w:lang w:eastAsia="en-AU"/>
    </w:rPr>
  </w:style>
  <w:style w:type="character" w:customStyle="1" w:styleId="A6">
    <w:name w:val="A6"/>
    <w:uiPriority w:val="99"/>
    <w:rsid w:val="002B069B"/>
    <w:rPr>
      <w:b/>
      <w:color w:val="000000"/>
      <w:sz w:val="40"/>
    </w:rPr>
  </w:style>
  <w:style w:type="paragraph" w:styleId="Revision">
    <w:name w:val="Revision"/>
    <w:hidden/>
    <w:uiPriority w:val="99"/>
    <w:semiHidden/>
    <w:rsid w:val="00DF3703"/>
    <w:rPr>
      <w:rFonts w:ascii="Arial" w:hAnsi="Arial"/>
      <w:sz w:val="24"/>
      <w:lang w:eastAsia="en-US"/>
    </w:rPr>
  </w:style>
  <w:style w:type="character" w:customStyle="1" w:styleId="CharChar">
    <w:name w:val="Char Char"/>
    <w:uiPriority w:val="99"/>
    <w:locked/>
    <w:rsid w:val="00064D5F"/>
    <w:rPr>
      <w:lang w:val="en-AU" w:eastAsia="en-AU"/>
    </w:rPr>
  </w:style>
  <w:style w:type="character" w:styleId="Emphasis">
    <w:name w:val="Emphasis"/>
    <w:uiPriority w:val="20"/>
    <w:qFormat/>
    <w:locked/>
    <w:rsid w:val="00721A5B"/>
    <w:rPr>
      <w:i/>
      <w:iCs/>
    </w:rPr>
  </w:style>
  <w:style w:type="character" w:styleId="IntenseReference">
    <w:name w:val="Intense Reference"/>
    <w:uiPriority w:val="32"/>
    <w:qFormat/>
    <w:rsid w:val="00721A5B"/>
    <w:rPr>
      <w:b/>
      <w:bCs/>
      <w:i/>
      <w:smallCaps/>
      <w:color w:val="C0504D"/>
      <w:spacing w:val="5"/>
      <w:u w:val="none"/>
    </w:rPr>
  </w:style>
  <w:style w:type="character" w:customStyle="1" w:styleId="apple-converted-space">
    <w:name w:val="apple-converted-space"/>
    <w:rsid w:val="00721A5B"/>
  </w:style>
  <w:style w:type="character" w:customStyle="1" w:styleId="Subtitle1">
    <w:name w:val="Subtitle1"/>
    <w:rsid w:val="00B24AC2"/>
  </w:style>
  <w:style w:type="paragraph" w:customStyle="1" w:styleId="para">
    <w:name w:val="para"/>
    <w:basedOn w:val="Normal"/>
    <w:rsid w:val="003C41DB"/>
    <w:pPr>
      <w:spacing w:before="100" w:beforeAutospacing="1" w:after="100" w:afterAutospacing="1"/>
    </w:pPr>
    <w:rPr>
      <w:rFonts w:ascii="Times New Roman" w:hAnsi="Times New Roman"/>
      <w:szCs w:val="24"/>
      <w:lang w:eastAsia="en-AU"/>
    </w:rPr>
  </w:style>
  <w:style w:type="character" w:customStyle="1" w:styleId="authornames">
    <w:name w:val="authornames"/>
    <w:rsid w:val="00A53223"/>
  </w:style>
  <w:style w:type="character" w:customStyle="1" w:styleId="spanplus">
    <w:name w:val="spanplus"/>
    <w:rsid w:val="00A53223"/>
  </w:style>
  <w:style w:type="paragraph" w:customStyle="1" w:styleId="authors">
    <w:name w:val="authors"/>
    <w:basedOn w:val="Normal"/>
    <w:rsid w:val="003234E8"/>
    <w:pPr>
      <w:spacing w:before="100" w:beforeAutospacing="1" w:after="100" w:afterAutospacing="1"/>
    </w:pPr>
    <w:rPr>
      <w:rFonts w:ascii="Times New Roman" w:hAnsi="Times New Roman"/>
      <w:szCs w:val="24"/>
      <w:lang w:eastAsia="en-AU"/>
    </w:rPr>
  </w:style>
  <w:style w:type="paragraph" w:customStyle="1" w:styleId="citationline">
    <w:name w:val="citationline"/>
    <w:basedOn w:val="Normal"/>
    <w:rsid w:val="003234E8"/>
    <w:pPr>
      <w:spacing w:before="100" w:beforeAutospacing="1" w:after="100" w:afterAutospacing="1"/>
    </w:pPr>
    <w:rPr>
      <w:rFonts w:ascii="Times New Roman" w:hAnsi="Times New Roman"/>
      <w:szCs w:val="24"/>
      <w:lang w:eastAsia="en-AU"/>
    </w:rPr>
  </w:style>
  <w:style w:type="character" w:customStyle="1" w:styleId="citation">
    <w:name w:val="citation"/>
    <w:rsid w:val="00323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9399">
      <w:bodyDiv w:val="1"/>
      <w:marLeft w:val="0"/>
      <w:marRight w:val="0"/>
      <w:marTop w:val="0"/>
      <w:marBottom w:val="0"/>
      <w:divBdr>
        <w:top w:val="none" w:sz="0" w:space="0" w:color="auto"/>
        <w:left w:val="none" w:sz="0" w:space="0" w:color="auto"/>
        <w:bottom w:val="none" w:sz="0" w:space="0" w:color="auto"/>
        <w:right w:val="none" w:sz="0" w:space="0" w:color="auto"/>
      </w:divBdr>
      <w:divsChild>
        <w:div w:id="464469410">
          <w:marLeft w:val="0"/>
          <w:marRight w:val="1"/>
          <w:marTop w:val="0"/>
          <w:marBottom w:val="0"/>
          <w:divBdr>
            <w:top w:val="none" w:sz="0" w:space="0" w:color="auto"/>
            <w:left w:val="none" w:sz="0" w:space="0" w:color="auto"/>
            <w:bottom w:val="none" w:sz="0" w:space="0" w:color="auto"/>
            <w:right w:val="none" w:sz="0" w:space="0" w:color="auto"/>
          </w:divBdr>
          <w:divsChild>
            <w:div w:id="1049769048">
              <w:marLeft w:val="0"/>
              <w:marRight w:val="0"/>
              <w:marTop w:val="0"/>
              <w:marBottom w:val="0"/>
              <w:divBdr>
                <w:top w:val="none" w:sz="0" w:space="0" w:color="auto"/>
                <w:left w:val="none" w:sz="0" w:space="0" w:color="auto"/>
                <w:bottom w:val="none" w:sz="0" w:space="0" w:color="auto"/>
                <w:right w:val="none" w:sz="0" w:space="0" w:color="auto"/>
              </w:divBdr>
              <w:divsChild>
                <w:div w:id="1844007730">
                  <w:marLeft w:val="0"/>
                  <w:marRight w:val="1"/>
                  <w:marTop w:val="0"/>
                  <w:marBottom w:val="0"/>
                  <w:divBdr>
                    <w:top w:val="none" w:sz="0" w:space="0" w:color="auto"/>
                    <w:left w:val="none" w:sz="0" w:space="0" w:color="auto"/>
                    <w:bottom w:val="none" w:sz="0" w:space="0" w:color="auto"/>
                    <w:right w:val="none" w:sz="0" w:space="0" w:color="auto"/>
                  </w:divBdr>
                  <w:divsChild>
                    <w:div w:id="553589294">
                      <w:marLeft w:val="0"/>
                      <w:marRight w:val="0"/>
                      <w:marTop w:val="0"/>
                      <w:marBottom w:val="0"/>
                      <w:divBdr>
                        <w:top w:val="none" w:sz="0" w:space="0" w:color="auto"/>
                        <w:left w:val="none" w:sz="0" w:space="0" w:color="auto"/>
                        <w:bottom w:val="none" w:sz="0" w:space="0" w:color="auto"/>
                        <w:right w:val="none" w:sz="0" w:space="0" w:color="auto"/>
                      </w:divBdr>
                      <w:divsChild>
                        <w:div w:id="1206598888">
                          <w:marLeft w:val="0"/>
                          <w:marRight w:val="0"/>
                          <w:marTop w:val="0"/>
                          <w:marBottom w:val="0"/>
                          <w:divBdr>
                            <w:top w:val="none" w:sz="0" w:space="0" w:color="auto"/>
                            <w:left w:val="none" w:sz="0" w:space="0" w:color="auto"/>
                            <w:bottom w:val="none" w:sz="0" w:space="0" w:color="auto"/>
                            <w:right w:val="none" w:sz="0" w:space="0" w:color="auto"/>
                          </w:divBdr>
                          <w:divsChild>
                            <w:div w:id="1291742057">
                              <w:marLeft w:val="0"/>
                              <w:marRight w:val="0"/>
                              <w:marTop w:val="120"/>
                              <w:marBottom w:val="360"/>
                              <w:divBdr>
                                <w:top w:val="none" w:sz="0" w:space="0" w:color="auto"/>
                                <w:left w:val="none" w:sz="0" w:space="0" w:color="auto"/>
                                <w:bottom w:val="none" w:sz="0" w:space="0" w:color="auto"/>
                                <w:right w:val="none" w:sz="0" w:space="0" w:color="auto"/>
                              </w:divBdr>
                              <w:divsChild>
                                <w:div w:id="1244758000">
                                  <w:marLeft w:val="0"/>
                                  <w:marRight w:val="0"/>
                                  <w:marTop w:val="0"/>
                                  <w:marBottom w:val="0"/>
                                  <w:divBdr>
                                    <w:top w:val="none" w:sz="0" w:space="0" w:color="auto"/>
                                    <w:left w:val="none" w:sz="0" w:space="0" w:color="auto"/>
                                    <w:bottom w:val="none" w:sz="0" w:space="0" w:color="auto"/>
                                    <w:right w:val="none" w:sz="0" w:space="0" w:color="auto"/>
                                  </w:divBdr>
                                  <w:divsChild>
                                    <w:div w:id="3417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929321">
      <w:bodyDiv w:val="1"/>
      <w:marLeft w:val="0"/>
      <w:marRight w:val="0"/>
      <w:marTop w:val="0"/>
      <w:marBottom w:val="0"/>
      <w:divBdr>
        <w:top w:val="none" w:sz="0" w:space="0" w:color="auto"/>
        <w:left w:val="none" w:sz="0" w:space="0" w:color="auto"/>
        <w:bottom w:val="none" w:sz="0" w:space="0" w:color="auto"/>
        <w:right w:val="none" w:sz="0" w:space="0" w:color="auto"/>
      </w:divBdr>
    </w:div>
    <w:div w:id="982001801">
      <w:bodyDiv w:val="1"/>
      <w:marLeft w:val="0"/>
      <w:marRight w:val="0"/>
      <w:marTop w:val="0"/>
      <w:marBottom w:val="0"/>
      <w:divBdr>
        <w:top w:val="none" w:sz="0" w:space="0" w:color="auto"/>
        <w:left w:val="none" w:sz="0" w:space="0" w:color="auto"/>
        <w:bottom w:val="none" w:sz="0" w:space="0" w:color="auto"/>
        <w:right w:val="none" w:sz="0" w:space="0" w:color="auto"/>
      </w:divBdr>
    </w:div>
    <w:div w:id="1286544077">
      <w:bodyDiv w:val="1"/>
      <w:marLeft w:val="0"/>
      <w:marRight w:val="0"/>
      <w:marTop w:val="0"/>
      <w:marBottom w:val="0"/>
      <w:divBdr>
        <w:top w:val="none" w:sz="0" w:space="0" w:color="auto"/>
        <w:left w:val="none" w:sz="0" w:space="0" w:color="auto"/>
        <w:bottom w:val="none" w:sz="0" w:space="0" w:color="auto"/>
        <w:right w:val="none" w:sz="0" w:space="0" w:color="auto"/>
      </w:divBdr>
      <w:divsChild>
        <w:div w:id="1563565713">
          <w:marLeft w:val="0"/>
          <w:marRight w:val="0"/>
          <w:marTop w:val="0"/>
          <w:marBottom w:val="0"/>
          <w:divBdr>
            <w:top w:val="none" w:sz="0" w:space="0" w:color="auto"/>
            <w:left w:val="none" w:sz="0" w:space="0" w:color="auto"/>
            <w:bottom w:val="none" w:sz="0" w:space="0" w:color="auto"/>
            <w:right w:val="none" w:sz="0" w:space="0" w:color="auto"/>
          </w:divBdr>
          <w:divsChild>
            <w:div w:id="765493002">
              <w:marLeft w:val="0"/>
              <w:marRight w:val="0"/>
              <w:marTop w:val="0"/>
              <w:marBottom w:val="150"/>
              <w:divBdr>
                <w:top w:val="none" w:sz="0" w:space="0" w:color="auto"/>
                <w:left w:val="none" w:sz="0" w:space="0" w:color="auto"/>
                <w:bottom w:val="none" w:sz="0" w:space="0" w:color="auto"/>
                <w:right w:val="none" w:sz="0" w:space="0" w:color="auto"/>
              </w:divBdr>
            </w:div>
          </w:divsChild>
        </w:div>
        <w:div w:id="1443646628">
          <w:marLeft w:val="0"/>
          <w:marRight w:val="0"/>
          <w:marTop w:val="0"/>
          <w:marBottom w:val="0"/>
          <w:divBdr>
            <w:top w:val="none" w:sz="0" w:space="0" w:color="auto"/>
            <w:left w:val="none" w:sz="0" w:space="0" w:color="auto"/>
            <w:bottom w:val="none" w:sz="0" w:space="0" w:color="auto"/>
            <w:right w:val="none" w:sz="0" w:space="0" w:color="auto"/>
          </w:divBdr>
          <w:divsChild>
            <w:div w:id="627711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603692">
      <w:marLeft w:val="0"/>
      <w:marRight w:val="0"/>
      <w:marTop w:val="0"/>
      <w:marBottom w:val="0"/>
      <w:divBdr>
        <w:top w:val="none" w:sz="0" w:space="0" w:color="auto"/>
        <w:left w:val="none" w:sz="0" w:space="0" w:color="auto"/>
        <w:bottom w:val="none" w:sz="0" w:space="0" w:color="auto"/>
        <w:right w:val="none" w:sz="0" w:space="0" w:color="auto"/>
      </w:divBdr>
    </w:div>
    <w:div w:id="1441603694">
      <w:marLeft w:val="0"/>
      <w:marRight w:val="0"/>
      <w:marTop w:val="0"/>
      <w:marBottom w:val="0"/>
      <w:divBdr>
        <w:top w:val="none" w:sz="0" w:space="0" w:color="auto"/>
        <w:left w:val="none" w:sz="0" w:space="0" w:color="auto"/>
        <w:bottom w:val="none" w:sz="0" w:space="0" w:color="auto"/>
        <w:right w:val="none" w:sz="0" w:space="0" w:color="auto"/>
      </w:divBdr>
    </w:div>
    <w:div w:id="1441603698">
      <w:marLeft w:val="0"/>
      <w:marRight w:val="0"/>
      <w:marTop w:val="0"/>
      <w:marBottom w:val="0"/>
      <w:divBdr>
        <w:top w:val="none" w:sz="0" w:space="0" w:color="auto"/>
        <w:left w:val="none" w:sz="0" w:space="0" w:color="auto"/>
        <w:bottom w:val="none" w:sz="0" w:space="0" w:color="auto"/>
        <w:right w:val="none" w:sz="0" w:space="0" w:color="auto"/>
      </w:divBdr>
      <w:divsChild>
        <w:div w:id="1441603697">
          <w:marLeft w:val="0"/>
          <w:marRight w:val="0"/>
          <w:marTop w:val="0"/>
          <w:marBottom w:val="0"/>
          <w:divBdr>
            <w:top w:val="none" w:sz="0" w:space="0" w:color="auto"/>
            <w:left w:val="none" w:sz="0" w:space="0" w:color="auto"/>
            <w:bottom w:val="none" w:sz="0" w:space="0" w:color="auto"/>
            <w:right w:val="none" w:sz="0" w:space="0" w:color="auto"/>
          </w:divBdr>
          <w:divsChild>
            <w:div w:id="1441603706">
              <w:marLeft w:val="0"/>
              <w:marRight w:val="0"/>
              <w:marTop w:val="0"/>
              <w:marBottom w:val="0"/>
              <w:divBdr>
                <w:top w:val="none" w:sz="0" w:space="0" w:color="auto"/>
                <w:left w:val="none" w:sz="0" w:space="0" w:color="auto"/>
                <w:bottom w:val="none" w:sz="0" w:space="0" w:color="auto"/>
                <w:right w:val="none" w:sz="0" w:space="0" w:color="auto"/>
              </w:divBdr>
              <w:divsChild>
                <w:div w:id="1441603719">
                  <w:marLeft w:val="0"/>
                  <w:marRight w:val="0"/>
                  <w:marTop w:val="0"/>
                  <w:marBottom w:val="0"/>
                  <w:divBdr>
                    <w:top w:val="none" w:sz="0" w:space="0" w:color="auto"/>
                    <w:left w:val="none" w:sz="0" w:space="0" w:color="auto"/>
                    <w:bottom w:val="none" w:sz="0" w:space="0" w:color="auto"/>
                    <w:right w:val="none" w:sz="0" w:space="0" w:color="auto"/>
                  </w:divBdr>
                  <w:divsChild>
                    <w:div w:id="1441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3699">
      <w:marLeft w:val="0"/>
      <w:marRight w:val="0"/>
      <w:marTop w:val="0"/>
      <w:marBottom w:val="0"/>
      <w:divBdr>
        <w:top w:val="none" w:sz="0" w:space="0" w:color="auto"/>
        <w:left w:val="none" w:sz="0" w:space="0" w:color="auto"/>
        <w:bottom w:val="none" w:sz="0" w:space="0" w:color="auto"/>
        <w:right w:val="none" w:sz="0" w:space="0" w:color="auto"/>
      </w:divBdr>
    </w:div>
    <w:div w:id="1441603702">
      <w:marLeft w:val="0"/>
      <w:marRight w:val="0"/>
      <w:marTop w:val="0"/>
      <w:marBottom w:val="0"/>
      <w:divBdr>
        <w:top w:val="none" w:sz="0" w:space="0" w:color="auto"/>
        <w:left w:val="none" w:sz="0" w:space="0" w:color="auto"/>
        <w:bottom w:val="none" w:sz="0" w:space="0" w:color="auto"/>
        <w:right w:val="none" w:sz="0" w:space="0" w:color="auto"/>
      </w:divBdr>
    </w:div>
    <w:div w:id="1441603703">
      <w:marLeft w:val="0"/>
      <w:marRight w:val="0"/>
      <w:marTop w:val="0"/>
      <w:marBottom w:val="0"/>
      <w:divBdr>
        <w:top w:val="none" w:sz="0" w:space="0" w:color="auto"/>
        <w:left w:val="none" w:sz="0" w:space="0" w:color="auto"/>
        <w:bottom w:val="none" w:sz="0" w:space="0" w:color="auto"/>
        <w:right w:val="none" w:sz="0" w:space="0" w:color="auto"/>
      </w:divBdr>
      <w:divsChild>
        <w:div w:id="1441603713">
          <w:marLeft w:val="0"/>
          <w:marRight w:val="0"/>
          <w:marTop w:val="0"/>
          <w:marBottom w:val="0"/>
          <w:divBdr>
            <w:top w:val="none" w:sz="0" w:space="0" w:color="auto"/>
            <w:left w:val="none" w:sz="0" w:space="0" w:color="auto"/>
            <w:bottom w:val="none" w:sz="0" w:space="0" w:color="auto"/>
            <w:right w:val="none" w:sz="0" w:space="0" w:color="auto"/>
          </w:divBdr>
          <w:divsChild>
            <w:div w:id="1441603701">
              <w:marLeft w:val="0"/>
              <w:marRight w:val="0"/>
              <w:marTop w:val="0"/>
              <w:marBottom w:val="0"/>
              <w:divBdr>
                <w:top w:val="none" w:sz="0" w:space="0" w:color="auto"/>
                <w:left w:val="none" w:sz="0" w:space="0" w:color="auto"/>
                <w:bottom w:val="none" w:sz="0" w:space="0" w:color="auto"/>
                <w:right w:val="none" w:sz="0" w:space="0" w:color="auto"/>
              </w:divBdr>
              <w:divsChild>
                <w:div w:id="1441603696">
                  <w:marLeft w:val="0"/>
                  <w:marRight w:val="0"/>
                  <w:marTop w:val="0"/>
                  <w:marBottom w:val="0"/>
                  <w:divBdr>
                    <w:top w:val="none" w:sz="0" w:space="0" w:color="auto"/>
                    <w:left w:val="none" w:sz="0" w:space="0" w:color="auto"/>
                    <w:bottom w:val="none" w:sz="0" w:space="0" w:color="auto"/>
                    <w:right w:val="none" w:sz="0" w:space="0" w:color="auto"/>
                  </w:divBdr>
                  <w:divsChild>
                    <w:div w:id="14416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3705">
      <w:marLeft w:val="0"/>
      <w:marRight w:val="0"/>
      <w:marTop w:val="0"/>
      <w:marBottom w:val="0"/>
      <w:divBdr>
        <w:top w:val="none" w:sz="0" w:space="0" w:color="auto"/>
        <w:left w:val="none" w:sz="0" w:space="0" w:color="auto"/>
        <w:bottom w:val="none" w:sz="0" w:space="0" w:color="auto"/>
        <w:right w:val="none" w:sz="0" w:space="0" w:color="auto"/>
      </w:divBdr>
    </w:div>
    <w:div w:id="1441603707">
      <w:marLeft w:val="0"/>
      <w:marRight w:val="0"/>
      <w:marTop w:val="0"/>
      <w:marBottom w:val="0"/>
      <w:divBdr>
        <w:top w:val="none" w:sz="0" w:space="0" w:color="auto"/>
        <w:left w:val="none" w:sz="0" w:space="0" w:color="auto"/>
        <w:bottom w:val="none" w:sz="0" w:space="0" w:color="auto"/>
        <w:right w:val="none" w:sz="0" w:space="0" w:color="auto"/>
      </w:divBdr>
    </w:div>
    <w:div w:id="1441603712">
      <w:marLeft w:val="0"/>
      <w:marRight w:val="0"/>
      <w:marTop w:val="0"/>
      <w:marBottom w:val="0"/>
      <w:divBdr>
        <w:top w:val="none" w:sz="0" w:space="0" w:color="auto"/>
        <w:left w:val="none" w:sz="0" w:space="0" w:color="auto"/>
        <w:bottom w:val="none" w:sz="0" w:space="0" w:color="auto"/>
        <w:right w:val="none" w:sz="0" w:space="0" w:color="auto"/>
      </w:divBdr>
    </w:div>
    <w:div w:id="1441603715">
      <w:marLeft w:val="0"/>
      <w:marRight w:val="0"/>
      <w:marTop w:val="0"/>
      <w:marBottom w:val="0"/>
      <w:divBdr>
        <w:top w:val="none" w:sz="0" w:space="0" w:color="auto"/>
        <w:left w:val="none" w:sz="0" w:space="0" w:color="auto"/>
        <w:bottom w:val="none" w:sz="0" w:space="0" w:color="auto"/>
        <w:right w:val="none" w:sz="0" w:space="0" w:color="auto"/>
      </w:divBdr>
      <w:divsChild>
        <w:div w:id="1441603708">
          <w:marLeft w:val="720"/>
          <w:marRight w:val="0"/>
          <w:marTop w:val="0"/>
          <w:marBottom w:val="0"/>
          <w:divBdr>
            <w:top w:val="none" w:sz="0" w:space="0" w:color="auto"/>
            <w:left w:val="none" w:sz="0" w:space="0" w:color="auto"/>
            <w:bottom w:val="none" w:sz="0" w:space="0" w:color="auto"/>
            <w:right w:val="none" w:sz="0" w:space="0" w:color="auto"/>
          </w:divBdr>
        </w:div>
      </w:divsChild>
    </w:div>
    <w:div w:id="1441603716">
      <w:marLeft w:val="0"/>
      <w:marRight w:val="0"/>
      <w:marTop w:val="0"/>
      <w:marBottom w:val="0"/>
      <w:divBdr>
        <w:top w:val="none" w:sz="0" w:space="0" w:color="auto"/>
        <w:left w:val="none" w:sz="0" w:space="0" w:color="auto"/>
        <w:bottom w:val="none" w:sz="0" w:space="0" w:color="auto"/>
        <w:right w:val="none" w:sz="0" w:space="0" w:color="auto"/>
      </w:divBdr>
    </w:div>
    <w:div w:id="1441603717">
      <w:marLeft w:val="0"/>
      <w:marRight w:val="0"/>
      <w:marTop w:val="0"/>
      <w:marBottom w:val="0"/>
      <w:divBdr>
        <w:top w:val="none" w:sz="0" w:space="0" w:color="auto"/>
        <w:left w:val="none" w:sz="0" w:space="0" w:color="auto"/>
        <w:bottom w:val="none" w:sz="0" w:space="0" w:color="auto"/>
        <w:right w:val="none" w:sz="0" w:space="0" w:color="auto"/>
      </w:divBdr>
      <w:divsChild>
        <w:div w:id="1441603700">
          <w:marLeft w:val="720"/>
          <w:marRight w:val="0"/>
          <w:marTop w:val="0"/>
          <w:marBottom w:val="0"/>
          <w:divBdr>
            <w:top w:val="none" w:sz="0" w:space="0" w:color="auto"/>
            <w:left w:val="none" w:sz="0" w:space="0" w:color="auto"/>
            <w:bottom w:val="none" w:sz="0" w:space="0" w:color="auto"/>
            <w:right w:val="none" w:sz="0" w:space="0" w:color="auto"/>
          </w:divBdr>
        </w:div>
      </w:divsChild>
    </w:div>
    <w:div w:id="1441603718">
      <w:marLeft w:val="0"/>
      <w:marRight w:val="0"/>
      <w:marTop w:val="0"/>
      <w:marBottom w:val="0"/>
      <w:divBdr>
        <w:top w:val="none" w:sz="0" w:space="0" w:color="auto"/>
        <w:left w:val="none" w:sz="0" w:space="0" w:color="auto"/>
        <w:bottom w:val="none" w:sz="0" w:space="0" w:color="auto"/>
        <w:right w:val="none" w:sz="0" w:space="0" w:color="auto"/>
      </w:divBdr>
      <w:divsChild>
        <w:div w:id="1441603709">
          <w:marLeft w:val="0"/>
          <w:marRight w:val="0"/>
          <w:marTop w:val="105"/>
          <w:marBottom w:val="0"/>
          <w:divBdr>
            <w:top w:val="none" w:sz="0" w:space="0" w:color="auto"/>
            <w:left w:val="none" w:sz="0" w:space="0" w:color="auto"/>
            <w:bottom w:val="none" w:sz="0" w:space="0" w:color="auto"/>
            <w:right w:val="none" w:sz="0" w:space="0" w:color="auto"/>
          </w:divBdr>
          <w:divsChild>
            <w:div w:id="1441603693">
              <w:marLeft w:val="0"/>
              <w:marRight w:val="0"/>
              <w:marTop w:val="135"/>
              <w:marBottom w:val="0"/>
              <w:divBdr>
                <w:top w:val="none" w:sz="0" w:space="0" w:color="auto"/>
                <w:left w:val="none" w:sz="0" w:space="0" w:color="auto"/>
                <w:bottom w:val="none" w:sz="0" w:space="0" w:color="auto"/>
                <w:right w:val="none" w:sz="0" w:space="0" w:color="auto"/>
              </w:divBdr>
              <w:divsChild>
                <w:div w:id="1441603695">
                  <w:marLeft w:val="0"/>
                  <w:marRight w:val="0"/>
                  <w:marTop w:val="0"/>
                  <w:marBottom w:val="0"/>
                  <w:divBdr>
                    <w:top w:val="none" w:sz="0" w:space="0" w:color="auto"/>
                    <w:left w:val="none" w:sz="0" w:space="0" w:color="auto"/>
                    <w:bottom w:val="none" w:sz="0" w:space="0" w:color="auto"/>
                    <w:right w:val="dotted" w:sz="6" w:space="0" w:color="D1D1D1"/>
                  </w:divBdr>
                  <w:divsChild>
                    <w:div w:id="1441603710">
                      <w:marLeft w:val="75"/>
                      <w:marRight w:val="0"/>
                      <w:marTop w:val="150"/>
                      <w:marBottom w:val="0"/>
                      <w:divBdr>
                        <w:top w:val="none" w:sz="0" w:space="0" w:color="auto"/>
                        <w:left w:val="none" w:sz="0" w:space="0" w:color="auto"/>
                        <w:bottom w:val="none" w:sz="0" w:space="0" w:color="auto"/>
                        <w:right w:val="none" w:sz="0" w:space="0" w:color="auto"/>
                      </w:divBdr>
                      <w:divsChild>
                        <w:div w:id="1441603711">
                          <w:marLeft w:val="75"/>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41603720">
      <w:marLeft w:val="0"/>
      <w:marRight w:val="0"/>
      <w:marTop w:val="0"/>
      <w:marBottom w:val="0"/>
      <w:divBdr>
        <w:top w:val="none" w:sz="0" w:space="0" w:color="auto"/>
        <w:left w:val="none" w:sz="0" w:space="0" w:color="auto"/>
        <w:bottom w:val="none" w:sz="0" w:space="0" w:color="auto"/>
        <w:right w:val="none" w:sz="0" w:space="0" w:color="auto"/>
      </w:divBdr>
    </w:div>
    <w:div w:id="1646886054">
      <w:bodyDiv w:val="1"/>
      <w:marLeft w:val="0"/>
      <w:marRight w:val="0"/>
      <w:marTop w:val="0"/>
      <w:marBottom w:val="0"/>
      <w:divBdr>
        <w:top w:val="none" w:sz="0" w:space="0" w:color="auto"/>
        <w:left w:val="none" w:sz="0" w:space="0" w:color="auto"/>
        <w:bottom w:val="none" w:sz="0" w:space="0" w:color="auto"/>
        <w:right w:val="none" w:sz="0" w:space="0" w:color="auto"/>
      </w:divBdr>
      <w:divsChild>
        <w:div w:id="767576508">
          <w:marLeft w:val="0"/>
          <w:marRight w:val="0"/>
          <w:marTop w:val="0"/>
          <w:marBottom w:val="150"/>
          <w:divBdr>
            <w:top w:val="none" w:sz="0" w:space="0" w:color="auto"/>
            <w:left w:val="none" w:sz="0" w:space="0" w:color="auto"/>
            <w:bottom w:val="none" w:sz="0" w:space="0" w:color="auto"/>
            <w:right w:val="none" w:sz="0" w:space="0" w:color="auto"/>
          </w:divBdr>
        </w:div>
        <w:div w:id="1448116102">
          <w:marLeft w:val="0"/>
          <w:marRight w:val="0"/>
          <w:marTop w:val="0"/>
          <w:marBottom w:val="300"/>
          <w:divBdr>
            <w:top w:val="none" w:sz="0" w:space="0" w:color="auto"/>
            <w:left w:val="none" w:sz="0" w:space="0" w:color="auto"/>
            <w:bottom w:val="none" w:sz="0" w:space="0" w:color="auto"/>
            <w:right w:val="none" w:sz="0" w:space="0" w:color="auto"/>
          </w:divBdr>
        </w:div>
        <w:div w:id="379286041">
          <w:marLeft w:val="0"/>
          <w:marRight w:val="0"/>
          <w:marTop w:val="0"/>
          <w:marBottom w:val="375"/>
          <w:divBdr>
            <w:top w:val="none" w:sz="0" w:space="0" w:color="auto"/>
            <w:left w:val="none" w:sz="0" w:space="0" w:color="auto"/>
            <w:bottom w:val="none" w:sz="0" w:space="0" w:color="auto"/>
            <w:right w:val="none" w:sz="0" w:space="0" w:color="auto"/>
          </w:divBdr>
          <w:divsChild>
            <w:div w:id="1780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3001">
      <w:bodyDiv w:val="1"/>
      <w:marLeft w:val="0"/>
      <w:marRight w:val="0"/>
      <w:marTop w:val="0"/>
      <w:marBottom w:val="0"/>
      <w:divBdr>
        <w:top w:val="none" w:sz="0" w:space="0" w:color="auto"/>
        <w:left w:val="none" w:sz="0" w:space="0" w:color="auto"/>
        <w:bottom w:val="none" w:sz="0" w:space="0" w:color="auto"/>
        <w:right w:val="none" w:sz="0" w:space="0" w:color="auto"/>
      </w:divBdr>
    </w:div>
    <w:div w:id="2129005575">
      <w:bodyDiv w:val="1"/>
      <w:marLeft w:val="0"/>
      <w:marRight w:val="0"/>
      <w:marTop w:val="0"/>
      <w:marBottom w:val="0"/>
      <w:divBdr>
        <w:top w:val="none" w:sz="0" w:space="0" w:color="auto"/>
        <w:left w:val="none" w:sz="0" w:space="0" w:color="auto"/>
        <w:bottom w:val="none" w:sz="0" w:space="0" w:color="auto"/>
        <w:right w:val="none" w:sz="0" w:space="0" w:color="auto"/>
      </w:divBdr>
      <w:divsChild>
        <w:div w:id="709694268">
          <w:marLeft w:val="0"/>
          <w:marRight w:val="1"/>
          <w:marTop w:val="0"/>
          <w:marBottom w:val="0"/>
          <w:divBdr>
            <w:top w:val="none" w:sz="0" w:space="0" w:color="auto"/>
            <w:left w:val="none" w:sz="0" w:space="0" w:color="auto"/>
            <w:bottom w:val="none" w:sz="0" w:space="0" w:color="auto"/>
            <w:right w:val="none" w:sz="0" w:space="0" w:color="auto"/>
          </w:divBdr>
          <w:divsChild>
            <w:div w:id="703557991">
              <w:marLeft w:val="0"/>
              <w:marRight w:val="0"/>
              <w:marTop w:val="0"/>
              <w:marBottom w:val="0"/>
              <w:divBdr>
                <w:top w:val="none" w:sz="0" w:space="0" w:color="auto"/>
                <w:left w:val="none" w:sz="0" w:space="0" w:color="auto"/>
                <w:bottom w:val="none" w:sz="0" w:space="0" w:color="auto"/>
                <w:right w:val="none" w:sz="0" w:space="0" w:color="auto"/>
              </w:divBdr>
              <w:divsChild>
                <w:div w:id="1300106809">
                  <w:marLeft w:val="0"/>
                  <w:marRight w:val="1"/>
                  <w:marTop w:val="0"/>
                  <w:marBottom w:val="0"/>
                  <w:divBdr>
                    <w:top w:val="none" w:sz="0" w:space="0" w:color="auto"/>
                    <w:left w:val="none" w:sz="0" w:space="0" w:color="auto"/>
                    <w:bottom w:val="none" w:sz="0" w:space="0" w:color="auto"/>
                    <w:right w:val="none" w:sz="0" w:space="0" w:color="auto"/>
                  </w:divBdr>
                  <w:divsChild>
                    <w:div w:id="709303133">
                      <w:marLeft w:val="0"/>
                      <w:marRight w:val="0"/>
                      <w:marTop w:val="0"/>
                      <w:marBottom w:val="0"/>
                      <w:divBdr>
                        <w:top w:val="none" w:sz="0" w:space="0" w:color="auto"/>
                        <w:left w:val="none" w:sz="0" w:space="0" w:color="auto"/>
                        <w:bottom w:val="none" w:sz="0" w:space="0" w:color="auto"/>
                        <w:right w:val="none" w:sz="0" w:space="0" w:color="auto"/>
                      </w:divBdr>
                      <w:divsChild>
                        <w:div w:id="1235437367">
                          <w:marLeft w:val="0"/>
                          <w:marRight w:val="0"/>
                          <w:marTop w:val="0"/>
                          <w:marBottom w:val="0"/>
                          <w:divBdr>
                            <w:top w:val="none" w:sz="0" w:space="0" w:color="auto"/>
                            <w:left w:val="none" w:sz="0" w:space="0" w:color="auto"/>
                            <w:bottom w:val="none" w:sz="0" w:space="0" w:color="auto"/>
                            <w:right w:val="none" w:sz="0" w:space="0" w:color="auto"/>
                          </w:divBdr>
                          <w:divsChild>
                            <w:div w:id="796803142">
                              <w:marLeft w:val="0"/>
                              <w:marRight w:val="0"/>
                              <w:marTop w:val="120"/>
                              <w:marBottom w:val="360"/>
                              <w:divBdr>
                                <w:top w:val="none" w:sz="0" w:space="0" w:color="auto"/>
                                <w:left w:val="none" w:sz="0" w:space="0" w:color="auto"/>
                                <w:bottom w:val="none" w:sz="0" w:space="0" w:color="auto"/>
                                <w:right w:val="none" w:sz="0" w:space="0" w:color="auto"/>
                              </w:divBdr>
                              <w:divsChild>
                                <w:div w:id="796872625">
                                  <w:marLeft w:val="0"/>
                                  <w:marRight w:val="0"/>
                                  <w:marTop w:val="0"/>
                                  <w:marBottom w:val="0"/>
                                  <w:divBdr>
                                    <w:top w:val="none" w:sz="0" w:space="0" w:color="auto"/>
                                    <w:left w:val="none" w:sz="0" w:space="0" w:color="auto"/>
                                    <w:bottom w:val="none" w:sz="0" w:space="0" w:color="auto"/>
                                    <w:right w:val="none" w:sz="0" w:space="0" w:color="auto"/>
                                  </w:divBdr>
                                </w:div>
                                <w:div w:id="15674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he.org/news/do-financial-incentives-trump-clinical-guidance-hip-replacement-treatment-england-and-scotland" TargetMode="External"/><Relationship Id="rId18" Type="http://schemas.openxmlformats.org/officeDocument/2006/relationships/hyperlink" Target="http://www.nice.org.uk/guidance/qualitystandards/QualityStandardsLibrary.j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xnet.kp.org/kpinternational/docs/The%20KP%20Model.pdf." TargetMode="External"/><Relationship Id="rId7" Type="http://schemas.openxmlformats.org/officeDocument/2006/relationships/footnotes" Target="footnotes.xml"/><Relationship Id="rId12" Type="http://schemas.openxmlformats.org/officeDocument/2006/relationships/hyperlink" Target="http://uclainnovates.org/news/2015-05-13/forest-through-trees-maximizing-value-evolving-healthcare-system" TargetMode="External"/><Relationship Id="rId17" Type="http://schemas.openxmlformats.org/officeDocument/2006/relationships/package" Target="embeddings/Microsoft_Word_Document1.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dh.gov.uk/prod_consum_dh/groups/dh_digitalassets/@dh/@en/documents/digitalasset/dh_13235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nice.org.uk/guidance/qualitystandards/qualitystandards.jsp?p=o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dernhealthcare.com/article/20150520/NEWS/150519876" TargetMode="External"/><Relationship Id="rId22" Type="http://schemas.openxmlformats.org/officeDocument/2006/relationships/hyperlink" Target="http://www.healthdatamanagement.com/issues/20_9/kaiser-data-analytics-hospital-physician-4491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230A-0C9D-4346-9BA1-3610D004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60</Pages>
  <Words>47116</Words>
  <Characters>268563</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slawol</dc:creator>
  <cp:lastModifiedBy>Mulcahy, Amanda</cp:lastModifiedBy>
  <cp:revision>71</cp:revision>
  <cp:lastPrinted>2015-06-10T22:26:00Z</cp:lastPrinted>
  <dcterms:created xsi:type="dcterms:W3CDTF">2013-11-13T02:49:00Z</dcterms:created>
  <dcterms:modified xsi:type="dcterms:W3CDTF">2015-10-28T22:58:00Z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