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55EF8" w:rsidRDefault="00824B99" w:rsidP="00A420BD">
      <w:pPr>
        <w:pStyle w:val="Heading1"/>
        <w:ind w:left="720" w:hanging="720"/>
        <w:jc w:val="both"/>
        <w:rPr>
          <w:rFonts w:ascii="Bookman Old Style" w:hAnsi="Bookman Old Style"/>
          <w:sz w:val="48"/>
          <w:szCs w:val="48"/>
          <w:lang w:val="en-AU"/>
        </w:rPr>
      </w:pPr>
      <w:bookmarkStart w:id="0" w:name="_GoBack"/>
      <w:bookmarkEnd w:id="0"/>
      <w:r w:rsidRPr="00255EF8">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42B88E8" wp14:editId="253012B6">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55EF8">
        <w:rPr>
          <w:rFonts w:ascii="Bookman Old Style" w:hAnsi="Bookman Old Style"/>
          <w:sz w:val="48"/>
          <w:szCs w:val="48"/>
          <w:lang w:val="en-AU"/>
        </w:rPr>
        <w:t>On the Radar</w:t>
      </w:r>
    </w:p>
    <w:p w:rsidR="00B160EF" w:rsidRPr="00255EF8" w:rsidRDefault="00715F47" w:rsidP="00B160EF">
      <w:pPr>
        <w:rPr>
          <w:color w:val="000000"/>
          <w:lang w:val="en-AU"/>
        </w:rPr>
      </w:pPr>
      <w:r w:rsidRPr="00255EF8">
        <w:rPr>
          <w:color w:val="000000"/>
          <w:lang w:val="en-AU"/>
        </w:rPr>
        <w:t xml:space="preserve">Issue </w:t>
      </w:r>
      <w:r w:rsidR="00755242" w:rsidRPr="00255EF8">
        <w:rPr>
          <w:color w:val="000000"/>
          <w:lang w:val="en-AU"/>
        </w:rPr>
        <w:t>2</w:t>
      </w:r>
      <w:r w:rsidR="00320AA2">
        <w:rPr>
          <w:color w:val="000000"/>
          <w:lang w:val="en-AU"/>
        </w:rPr>
        <w:t>1</w:t>
      </w:r>
      <w:r w:rsidR="00755242" w:rsidRPr="00255EF8">
        <w:rPr>
          <w:color w:val="000000"/>
          <w:lang w:val="en-AU"/>
        </w:rPr>
        <w:t>0</w:t>
      </w:r>
    </w:p>
    <w:p w:rsidR="00755242" w:rsidRPr="00255EF8" w:rsidRDefault="00320AA2" w:rsidP="00B160EF">
      <w:pPr>
        <w:rPr>
          <w:lang w:val="en-AU"/>
        </w:rPr>
      </w:pPr>
      <w:r>
        <w:rPr>
          <w:lang w:val="en-AU"/>
        </w:rPr>
        <w:t>16</w:t>
      </w:r>
      <w:r w:rsidR="009233ED" w:rsidRPr="00255EF8">
        <w:rPr>
          <w:lang w:val="en-AU"/>
        </w:rPr>
        <w:t xml:space="preserve"> </w:t>
      </w:r>
      <w:r w:rsidR="004B0A28" w:rsidRPr="00255EF8">
        <w:rPr>
          <w:lang w:val="en-AU"/>
        </w:rPr>
        <w:t>Febr</w:t>
      </w:r>
      <w:r w:rsidR="009233ED" w:rsidRPr="00255EF8">
        <w:rPr>
          <w:lang w:val="en-AU"/>
        </w:rPr>
        <w:t>uary 2015</w:t>
      </w:r>
    </w:p>
    <w:p w:rsidR="00566895" w:rsidRPr="00255EF8" w:rsidRDefault="00566895" w:rsidP="00B160EF">
      <w:pPr>
        <w:rPr>
          <w:lang w:val="en-AU"/>
        </w:rPr>
      </w:pPr>
    </w:p>
    <w:p w:rsidR="00B160EF" w:rsidRPr="00255EF8" w:rsidRDefault="00B160EF" w:rsidP="00B160EF">
      <w:pPr>
        <w:rPr>
          <w:lang w:val="en-AU"/>
        </w:rPr>
      </w:pPr>
      <w:r w:rsidRPr="00255EF8">
        <w:rPr>
          <w:i/>
          <w:lang w:val="en-AU"/>
        </w:rPr>
        <w:t>On the Radar</w:t>
      </w:r>
      <w:r w:rsidRPr="00255EF8">
        <w:rPr>
          <w:lang w:val="en-AU"/>
        </w:rPr>
        <w:t xml:space="preserve"> is a summary of some of the recent publications in the areas of safety and quality in health care. Inclusion in this document is not an endorsement or recommendation of any publication or provider.</w:t>
      </w:r>
    </w:p>
    <w:p w:rsidR="00B160EF" w:rsidRPr="00255EF8" w:rsidRDefault="00B160EF" w:rsidP="00B160EF">
      <w:pPr>
        <w:rPr>
          <w:lang w:val="en-AU"/>
        </w:rPr>
      </w:pPr>
    </w:p>
    <w:p w:rsidR="00B160EF" w:rsidRPr="00255EF8" w:rsidRDefault="00B160EF" w:rsidP="00B160EF">
      <w:pPr>
        <w:rPr>
          <w:b/>
          <w:lang w:val="en-AU"/>
        </w:rPr>
      </w:pPr>
      <w:r w:rsidRPr="00255EF8">
        <w:rPr>
          <w:lang w:val="en-AU"/>
        </w:rPr>
        <w:t>Access to particular documents may depend on whether they are Open Access or not, and/or your individual or institutional access to subscription sites/services.</w:t>
      </w:r>
      <w:r w:rsidR="00F460A7" w:rsidRPr="00255EF8">
        <w:rPr>
          <w:lang w:val="en-AU"/>
        </w:rPr>
        <w:t xml:space="preserve"> Material that may require subscription is included as it is considered relevant.</w:t>
      </w:r>
    </w:p>
    <w:p w:rsidR="00B160EF" w:rsidRPr="00255EF8" w:rsidRDefault="00B160EF" w:rsidP="00B160EF">
      <w:pPr>
        <w:rPr>
          <w:lang w:val="en-AU"/>
        </w:rPr>
      </w:pPr>
    </w:p>
    <w:p w:rsidR="00230D83" w:rsidRPr="00255EF8" w:rsidRDefault="00B160EF" w:rsidP="0045757F">
      <w:pPr>
        <w:autoSpaceDE w:val="0"/>
        <w:rPr>
          <w:lang w:val="en-AU"/>
        </w:rPr>
      </w:pPr>
      <w:r w:rsidRPr="00255EF8">
        <w:rPr>
          <w:i/>
          <w:lang w:val="en-AU"/>
        </w:rPr>
        <w:t>On the Radar</w:t>
      </w:r>
      <w:r w:rsidRPr="00255EF8">
        <w:rPr>
          <w:lang w:val="en-AU"/>
        </w:rPr>
        <w:t xml:space="preserve"> is available </w:t>
      </w:r>
      <w:r w:rsidR="003D1E7A" w:rsidRPr="00255EF8">
        <w:rPr>
          <w:lang w:val="en-AU"/>
        </w:rPr>
        <w:t xml:space="preserve">online, </w:t>
      </w:r>
      <w:r w:rsidRPr="00255EF8">
        <w:rPr>
          <w:lang w:val="en-AU"/>
        </w:rPr>
        <w:t xml:space="preserve">via email or as a PDF document from </w:t>
      </w:r>
      <w:hyperlink r:id="rId10" w:history="1">
        <w:r w:rsidR="00230D83" w:rsidRPr="00255EF8">
          <w:rPr>
            <w:rStyle w:val="Hyperlink"/>
            <w:lang w:val="en-AU"/>
          </w:rPr>
          <w:t>http://www.safetyandquality.gov.au/publications-resources/on-the-radar/</w:t>
        </w:r>
      </w:hyperlink>
    </w:p>
    <w:p w:rsidR="0090536C" w:rsidRPr="00255EF8" w:rsidRDefault="0090536C" w:rsidP="0045757F">
      <w:pPr>
        <w:autoSpaceDE w:val="0"/>
        <w:rPr>
          <w:lang w:val="en-AU"/>
        </w:rPr>
      </w:pPr>
    </w:p>
    <w:p w:rsidR="00B160EF" w:rsidRPr="00255EF8" w:rsidRDefault="00B160EF" w:rsidP="0045757F">
      <w:pPr>
        <w:autoSpaceDE w:val="0"/>
        <w:rPr>
          <w:lang w:val="en-AU"/>
        </w:rPr>
      </w:pPr>
      <w:r w:rsidRPr="00255EF8">
        <w:rPr>
          <w:lang w:val="en-AU"/>
        </w:rPr>
        <w:t xml:space="preserve">If you would like to receive </w:t>
      </w:r>
      <w:r w:rsidRPr="00255EF8">
        <w:rPr>
          <w:i/>
          <w:lang w:val="en-AU"/>
        </w:rPr>
        <w:t>On the Radar</w:t>
      </w:r>
      <w:r w:rsidRPr="00255EF8">
        <w:rPr>
          <w:lang w:val="en-AU"/>
        </w:rPr>
        <w:t xml:space="preserve"> via email</w:t>
      </w:r>
      <w:r w:rsidR="003D7B9E" w:rsidRPr="00255EF8">
        <w:rPr>
          <w:lang w:val="en-AU"/>
        </w:rPr>
        <w:t>, you can</w:t>
      </w:r>
      <w:r w:rsidR="00F24F60" w:rsidRPr="00255EF8">
        <w:rPr>
          <w:lang w:val="en-AU"/>
        </w:rPr>
        <w:t xml:space="preserve"> subscribe on our website </w:t>
      </w:r>
      <w:hyperlink r:id="rId11" w:history="1">
        <w:r w:rsidR="00F24F60" w:rsidRPr="00255EF8">
          <w:rPr>
            <w:rStyle w:val="Hyperlink"/>
            <w:lang w:val="en-AU"/>
          </w:rPr>
          <w:t>http://www.safetyandquality.gov.au/</w:t>
        </w:r>
      </w:hyperlink>
      <w:r w:rsidR="003D7B9E" w:rsidRPr="00255EF8">
        <w:rPr>
          <w:lang w:val="en-AU"/>
        </w:rPr>
        <w:t xml:space="preserve"> or by emailing us at </w:t>
      </w:r>
      <w:r w:rsidR="003D7B9E" w:rsidRPr="00255EF8">
        <w:rPr>
          <w:rFonts w:ascii="ZWAdobeF" w:hAnsi="ZWAdobeF" w:cs="ZWAdobeF"/>
          <w:sz w:val="2"/>
          <w:szCs w:val="2"/>
          <w:lang w:val="en-AU"/>
        </w:rPr>
        <w:t>H</w:t>
      </w:r>
      <w:hyperlink r:id="rId12"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 xml:space="preserve">. </w:t>
      </w:r>
      <w:r w:rsidR="00E51D23" w:rsidRPr="00255EF8">
        <w:rPr>
          <w:lang w:val="en-AU"/>
        </w:rPr>
        <w:br/>
      </w:r>
      <w:r w:rsidR="003D7B9E" w:rsidRPr="00255EF8">
        <w:rPr>
          <w:lang w:val="en-AU"/>
        </w:rPr>
        <w:t xml:space="preserve">You can also send feedback and comments to </w:t>
      </w:r>
      <w:r w:rsidR="003D7B9E" w:rsidRPr="00255EF8">
        <w:rPr>
          <w:rFonts w:ascii="ZWAdobeF" w:hAnsi="ZWAdobeF" w:cs="ZWAdobeF"/>
          <w:sz w:val="2"/>
          <w:szCs w:val="2"/>
          <w:lang w:val="en-AU"/>
        </w:rPr>
        <w:t>H</w:t>
      </w:r>
      <w:hyperlink r:id="rId13"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w:t>
      </w:r>
    </w:p>
    <w:p w:rsidR="00B160EF" w:rsidRPr="00255EF8" w:rsidRDefault="00B160EF" w:rsidP="00837FC4">
      <w:pPr>
        <w:tabs>
          <w:tab w:val="left" w:pos="7773"/>
        </w:tabs>
        <w:rPr>
          <w:lang w:val="en-AU"/>
        </w:rPr>
      </w:pPr>
    </w:p>
    <w:p w:rsidR="00837FC4" w:rsidRPr="00255EF8" w:rsidRDefault="00B160EF" w:rsidP="004554DB">
      <w:pPr>
        <w:autoSpaceDE w:val="0"/>
        <w:rPr>
          <w:lang w:val="en-AU"/>
        </w:rPr>
      </w:pPr>
      <w:bookmarkStart w:id="1" w:name="OLE_LINK1"/>
      <w:r w:rsidRPr="00255EF8">
        <w:rPr>
          <w:lang w:val="en-AU"/>
        </w:rPr>
        <w:t xml:space="preserve">For information about the Commission and its programs and publications, please visit </w:t>
      </w:r>
      <w:hyperlink r:id="rId14" w:history="1">
        <w:r w:rsidR="00837FC4" w:rsidRPr="00255EF8">
          <w:rPr>
            <w:rStyle w:val="Hyperlink"/>
            <w:lang w:val="en-AU"/>
          </w:rPr>
          <w:t>http://www.safetyandquality.gov.au</w:t>
        </w:r>
      </w:hyperlink>
    </w:p>
    <w:p w:rsidR="009233ED" w:rsidRPr="00255EF8" w:rsidRDefault="004554DB" w:rsidP="004554DB">
      <w:pPr>
        <w:autoSpaceDE w:val="0"/>
        <w:rPr>
          <w:lang w:val="en-AU"/>
        </w:rPr>
      </w:pPr>
      <w:r w:rsidRPr="00255EF8">
        <w:rPr>
          <w:lang w:val="en-AU"/>
        </w:rPr>
        <w:t>You can also follow us on Twitter @ACSQHC.</w:t>
      </w:r>
    </w:p>
    <w:p w:rsidR="00210235" w:rsidRPr="00255EF8" w:rsidRDefault="00210235" w:rsidP="00210235">
      <w:pPr>
        <w:keepNext/>
        <w:pBdr>
          <w:top w:val="single" w:sz="4" w:space="1" w:color="auto"/>
        </w:pBdr>
        <w:rPr>
          <w:b/>
          <w:lang w:val="en-AU"/>
        </w:rPr>
      </w:pPr>
      <w:r w:rsidRPr="00255EF8">
        <w:rPr>
          <w:b/>
          <w:lang w:val="en-AU"/>
        </w:rPr>
        <w:t>On the Radar</w:t>
      </w:r>
    </w:p>
    <w:p w:rsidR="00340157" w:rsidRPr="00255EF8" w:rsidRDefault="00340157" w:rsidP="00210235">
      <w:pPr>
        <w:keepNext/>
        <w:pBdr>
          <w:top w:val="single" w:sz="4" w:space="1" w:color="auto"/>
        </w:pBdr>
        <w:rPr>
          <w:bCs/>
          <w:lang w:val="en-AU"/>
        </w:rPr>
      </w:pPr>
      <w:r w:rsidRPr="00255EF8">
        <w:rPr>
          <w:bCs/>
          <w:lang w:val="en-AU"/>
        </w:rPr>
        <w:t xml:space="preserve">Editor: </w:t>
      </w:r>
      <w:r w:rsidR="00C8085B" w:rsidRPr="00255EF8">
        <w:rPr>
          <w:bCs/>
          <w:lang w:val="en-AU"/>
        </w:rPr>
        <w:t xml:space="preserve">Dr </w:t>
      </w:r>
      <w:r w:rsidRPr="00255EF8">
        <w:rPr>
          <w:bCs/>
          <w:lang w:val="en-AU"/>
        </w:rPr>
        <w:t xml:space="preserve">Niall Johnson </w:t>
      </w:r>
      <w:hyperlink r:id="rId15" w:history="1">
        <w:r w:rsidRPr="00255EF8">
          <w:rPr>
            <w:rStyle w:val="Hyperlink"/>
            <w:bCs/>
            <w:lang w:val="en-AU"/>
          </w:rPr>
          <w:t>niall.johnson@safetyandquality.gov.au</w:t>
        </w:r>
      </w:hyperlink>
    </w:p>
    <w:p w:rsidR="009A35BE" w:rsidRPr="00255EF8" w:rsidRDefault="00210235" w:rsidP="00A8296D">
      <w:pPr>
        <w:keepNext/>
        <w:pBdr>
          <w:top w:val="single" w:sz="4" w:space="1" w:color="auto"/>
        </w:pBdr>
        <w:rPr>
          <w:shd w:val="clear" w:color="auto" w:fill="FFFFFF"/>
          <w:lang w:val="en-AU"/>
        </w:rPr>
      </w:pPr>
      <w:r w:rsidRPr="00255EF8">
        <w:rPr>
          <w:bCs/>
          <w:lang w:val="en-AU"/>
        </w:rPr>
        <w:t xml:space="preserve">Contributors: </w:t>
      </w:r>
      <w:r w:rsidR="0056339A" w:rsidRPr="00255EF8">
        <w:rPr>
          <w:bCs/>
          <w:lang w:val="en-AU"/>
        </w:rPr>
        <w:t>Niall Johnson</w:t>
      </w:r>
      <w:bookmarkEnd w:id="1"/>
      <w:r w:rsidR="00EE362E">
        <w:rPr>
          <w:bCs/>
          <w:lang w:val="en-AU"/>
        </w:rPr>
        <w:t>, Luke Slawomirski</w:t>
      </w:r>
    </w:p>
    <w:p w:rsidR="00F34D09" w:rsidRPr="00255EF8" w:rsidRDefault="00F34D09" w:rsidP="00F34D09">
      <w:pPr>
        <w:rPr>
          <w:shd w:val="clear" w:color="auto" w:fill="FFFFFF"/>
          <w:lang w:val="en-AU"/>
        </w:rPr>
      </w:pPr>
    </w:p>
    <w:p w:rsidR="006E77C7" w:rsidRDefault="006E77C7" w:rsidP="00CC4DDA">
      <w:pPr>
        <w:rPr>
          <w:b/>
          <w:shd w:val="clear" w:color="auto" w:fill="FFFFFF"/>
          <w:lang w:val="en-AU"/>
        </w:rPr>
      </w:pPr>
      <w:r w:rsidRPr="006E77C7">
        <w:rPr>
          <w:b/>
          <w:shd w:val="clear" w:color="auto" w:fill="FFFFFF"/>
          <w:lang w:val="en-AU"/>
        </w:rPr>
        <w:t>Consultation: draft Guidance for clinicians and managers responsible for defining scope of practice at the appointment and reappointmen</w:t>
      </w:r>
      <w:r>
        <w:rPr>
          <w:b/>
          <w:shd w:val="clear" w:color="auto" w:fill="FFFFFF"/>
          <w:lang w:val="en-AU"/>
        </w:rPr>
        <w:t>t of credentialed practitioners</w:t>
      </w:r>
    </w:p>
    <w:p w:rsidR="006E77C7" w:rsidRPr="006E77C7" w:rsidRDefault="00F41ED8" w:rsidP="00CC4DDA">
      <w:pPr>
        <w:rPr>
          <w:shd w:val="clear" w:color="auto" w:fill="FFFFFF"/>
          <w:lang w:val="en-AU"/>
        </w:rPr>
      </w:pPr>
      <w:hyperlink r:id="rId16" w:anchor="Consultation:-Draft-Guidance-for-clinicians-and-managers-responsible-for-defining-scope-of-practice-at-the-appointment-and-reappointment-of-credentialed-practitioners" w:history="1">
        <w:r w:rsidR="006E77C7" w:rsidRPr="006E77C7">
          <w:rPr>
            <w:rStyle w:val="Hyperlink"/>
            <w:shd w:val="clear" w:color="auto" w:fill="FFFFFF"/>
            <w:lang w:val="en-AU"/>
          </w:rPr>
          <w:t>http://www.safetyandquality.gov.au/our-work/accreditation-and-the-nsqhs-standards/current-consultations/#Consultation:-Draft-Guidance-for-clinicians-and-managers-responsible-for-defining-scope-of-practice-at-the-appointment-and-reappointment-of-credentialed-practitioners</w:t>
        </w:r>
      </w:hyperlink>
    </w:p>
    <w:p w:rsidR="00320AA2" w:rsidRDefault="006E77C7" w:rsidP="00CC4DDA">
      <w:pPr>
        <w:rPr>
          <w:i/>
          <w:shd w:val="clear" w:color="auto" w:fill="FFFFFF"/>
          <w:lang w:val="en-AU"/>
        </w:rPr>
      </w:pPr>
      <w:r w:rsidRPr="006E77C7">
        <w:rPr>
          <w:i/>
          <w:shd w:val="clear" w:color="auto" w:fill="FFFFFF"/>
          <w:lang w:val="en-AU"/>
        </w:rPr>
        <w:t>Now open</w:t>
      </w:r>
    </w:p>
    <w:p w:rsidR="006E77C7" w:rsidRPr="006E77C7" w:rsidRDefault="006E77C7" w:rsidP="00CC4DDA">
      <w:pPr>
        <w:rPr>
          <w:i/>
          <w:shd w:val="clear" w:color="auto" w:fill="FFFFFF"/>
          <w:lang w:val="en-AU"/>
        </w:rPr>
      </w:pPr>
    </w:p>
    <w:p w:rsidR="006E77C7" w:rsidRPr="006E77C7" w:rsidRDefault="006E77C7" w:rsidP="006E77C7">
      <w:pPr>
        <w:rPr>
          <w:shd w:val="clear" w:color="auto" w:fill="FFFFFF"/>
          <w:lang w:val="en-AU"/>
        </w:rPr>
      </w:pPr>
      <w:r w:rsidRPr="006E77C7">
        <w:rPr>
          <w:shd w:val="clear" w:color="auto" w:fill="FFFFFF"/>
          <w:lang w:val="en-AU"/>
        </w:rPr>
        <w:t xml:space="preserve">The Commission is seeking feedback on the draft </w:t>
      </w:r>
      <w:r w:rsidRPr="006E77C7">
        <w:rPr>
          <w:i/>
          <w:shd w:val="clear" w:color="auto" w:fill="FFFFFF"/>
          <w:lang w:val="en-AU"/>
        </w:rPr>
        <w:t>Guidance for clinicians and managers responsible for defining scope of practice at the appointment and reappointment of credentialed practitioners</w:t>
      </w:r>
      <w:r>
        <w:rPr>
          <w:shd w:val="clear" w:color="auto" w:fill="FFFFFF"/>
          <w:lang w:val="en-AU"/>
        </w:rPr>
        <w:t>.</w:t>
      </w:r>
    </w:p>
    <w:p w:rsidR="006E77C7" w:rsidRPr="006E77C7" w:rsidRDefault="006E77C7" w:rsidP="006E77C7">
      <w:pPr>
        <w:rPr>
          <w:shd w:val="clear" w:color="auto" w:fill="FFFFFF"/>
          <w:lang w:val="en-AU"/>
        </w:rPr>
      </w:pPr>
      <w:r w:rsidRPr="006E77C7">
        <w:rPr>
          <w:shd w:val="clear" w:color="auto" w:fill="FFFFFF"/>
          <w:lang w:val="en-AU"/>
        </w:rPr>
        <w:t xml:space="preserve">The </w:t>
      </w:r>
      <w:r>
        <w:rPr>
          <w:shd w:val="clear" w:color="auto" w:fill="FFFFFF"/>
          <w:lang w:val="en-AU"/>
        </w:rPr>
        <w:t>National Safety and Quality Health Service (</w:t>
      </w:r>
      <w:r w:rsidRPr="006E77C7">
        <w:rPr>
          <w:shd w:val="clear" w:color="auto" w:fill="FFFFFF"/>
          <w:lang w:val="en-AU"/>
        </w:rPr>
        <w:t>NSQHS</w:t>
      </w:r>
      <w:r>
        <w:rPr>
          <w:shd w:val="clear" w:color="auto" w:fill="FFFFFF"/>
          <w:lang w:val="en-AU"/>
        </w:rPr>
        <w:t>)</w:t>
      </w:r>
      <w:r w:rsidRPr="006E77C7">
        <w:rPr>
          <w:shd w:val="clear" w:color="auto" w:fill="FFFFFF"/>
          <w:lang w:val="en-AU"/>
        </w:rPr>
        <w:t xml:space="preserve"> Standards require health service organisations to ‘implement a system that determines and regularly reviews the roles, responsibilities, accountabilities and scope of practice for the clinical workforce’. This resource has been developed to provide practical guidance for managers and clinicians responsible for defining scope of practice as part of a credentialing process.</w:t>
      </w:r>
    </w:p>
    <w:p w:rsidR="006E77C7" w:rsidRPr="006E77C7" w:rsidRDefault="006E77C7" w:rsidP="006E77C7">
      <w:pPr>
        <w:rPr>
          <w:shd w:val="clear" w:color="auto" w:fill="FFFFFF"/>
          <w:lang w:val="en-AU"/>
        </w:rPr>
      </w:pPr>
      <w:r w:rsidRPr="006E77C7">
        <w:rPr>
          <w:shd w:val="clear" w:color="auto" w:fill="FFFFFF"/>
          <w:lang w:val="en-AU"/>
        </w:rPr>
        <w:t>The Commission encourages executives of health service organisations, managers and clinicians responsible for defining scope of practice and others with an interest in the area to provide feedback on the draft resource.</w:t>
      </w:r>
      <w:r>
        <w:rPr>
          <w:shd w:val="clear" w:color="auto" w:fill="FFFFFF"/>
          <w:lang w:val="en-AU"/>
        </w:rPr>
        <w:t xml:space="preserve"> </w:t>
      </w:r>
      <w:r w:rsidRPr="006E77C7">
        <w:rPr>
          <w:shd w:val="clear" w:color="auto" w:fill="FFFFFF"/>
          <w:lang w:val="en-AU"/>
        </w:rPr>
        <w:t>Feedback is sought by close of business 15 April 2015, by email or post.</w:t>
      </w:r>
    </w:p>
    <w:p w:rsidR="006E77C7" w:rsidRPr="006E77C7" w:rsidRDefault="006E77C7" w:rsidP="006E77C7">
      <w:pPr>
        <w:rPr>
          <w:shd w:val="clear" w:color="auto" w:fill="FFFFFF"/>
          <w:lang w:val="en-AU"/>
        </w:rPr>
      </w:pPr>
      <w:r w:rsidRPr="006E77C7">
        <w:rPr>
          <w:shd w:val="clear" w:color="auto" w:fill="FFFFFF"/>
          <w:lang w:val="en-AU"/>
        </w:rPr>
        <w:t xml:space="preserve">Any queries regarding this consultation process can be directed to </w:t>
      </w:r>
      <w:hyperlink r:id="rId17" w:history="1">
        <w:r w:rsidRPr="00475DAC">
          <w:rPr>
            <w:rStyle w:val="Hyperlink"/>
            <w:shd w:val="clear" w:color="auto" w:fill="FFFFFF"/>
            <w:lang w:val="en-AU"/>
          </w:rPr>
          <w:t>NSQHSStandards@safetyandquality.gov.au</w:t>
        </w:r>
      </w:hyperlink>
      <w:r>
        <w:rPr>
          <w:shd w:val="clear" w:color="auto" w:fill="FFFFFF"/>
          <w:lang w:val="en-AU"/>
        </w:rPr>
        <w:t xml:space="preserve"> </w:t>
      </w:r>
      <w:r w:rsidRPr="006E77C7">
        <w:rPr>
          <w:shd w:val="clear" w:color="auto" w:fill="FFFFFF"/>
          <w:lang w:val="en-AU"/>
        </w:rPr>
        <w:t xml:space="preserve"> or (02) 9126 3595.</w:t>
      </w:r>
    </w:p>
    <w:p w:rsidR="00CC4DDA" w:rsidRPr="00255EF8" w:rsidRDefault="00CC4DDA" w:rsidP="00CC4DDA">
      <w:pPr>
        <w:rPr>
          <w:b/>
          <w:shd w:val="clear" w:color="auto" w:fill="FFFFFF"/>
          <w:lang w:val="en-AU"/>
        </w:rPr>
      </w:pPr>
      <w:r w:rsidRPr="00255EF8">
        <w:rPr>
          <w:b/>
          <w:shd w:val="clear" w:color="auto" w:fill="FFFFFF"/>
          <w:lang w:val="en-AU"/>
        </w:rPr>
        <w:lastRenderedPageBreak/>
        <w:t>Report</w:t>
      </w:r>
      <w:r w:rsidR="00F52B72" w:rsidRPr="00255EF8">
        <w:rPr>
          <w:b/>
          <w:shd w:val="clear" w:color="auto" w:fill="FFFFFF"/>
          <w:lang w:val="en-AU"/>
        </w:rPr>
        <w:t>s</w:t>
      </w:r>
    </w:p>
    <w:p w:rsidR="005C0864" w:rsidRDefault="005C0864" w:rsidP="005C0864">
      <w:pPr>
        <w:rPr>
          <w:i/>
          <w:shd w:val="clear" w:color="auto" w:fill="FFFFFF"/>
          <w:lang w:val="en-AU"/>
        </w:rPr>
      </w:pPr>
    </w:p>
    <w:p w:rsidR="00F31879" w:rsidRPr="005B41CF" w:rsidRDefault="005B41CF" w:rsidP="005B41CF">
      <w:pPr>
        <w:rPr>
          <w:i/>
          <w:shd w:val="clear" w:color="auto" w:fill="FFFFFF"/>
          <w:lang w:val="en-AU"/>
        </w:rPr>
      </w:pPr>
      <w:r w:rsidRPr="005B41CF">
        <w:rPr>
          <w:i/>
          <w:shd w:val="clear" w:color="auto" w:fill="FFFFFF"/>
          <w:lang w:val="en-AU"/>
        </w:rPr>
        <w:t>Improving experiences of care: Our shared understanding and ambition</w:t>
      </w:r>
    </w:p>
    <w:p w:rsidR="008F7A64" w:rsidRDefault="008F7A64" w:rsidP="005B41CF">
      <w:pPr>
        <w:rPr>
          <w:shd w:val="clear" w:color="auto" w:fill="FFFFFF"/>
          <w:lang w:val="en-AU"/>
        </w:rPr>
      </w:pPr>
      <w:r w:rsidRPr="008F7A64">
        <w:rPr>
          <w:shd w:val="clear" w:color="auto" w:fill="FFFFFF"/>
          <w:lang w:val="en-AU"/>
        </w:rPr>
        <w:t>National Quality Board</w:t>
      </w:r>
    </w:p>
    <w:p w:rsidR="005B41CF" w:rsidRPr="00255EF8" w:rsidRDefault="008F7A64" w:rsidP="005B41CF">
      <w:pPr>
        <w:rPr>
          <w:shd w:val="clear" w:color="auto" w:fill="FFFFFF"/>
          <w:lang w:val="en-AU"/>
        </w:rPr>
      </w:pPr>
      <w:r w:rsidRPr="008F7A64">
        <w:rPr>
          <w:shd w:val="clear" w:color="auto" w:fill="FFFFFF"/>
          <w:lang w:val="en-AU"/>
        </w:rPr>
        <w:t xml:space="preserve">London: National Quality Board; 2015. </w:t>
      </w:r>
      <w:proofErr w:type="gramStart"/>
      <w:r w:rsidRPr="008F7A64">
        <w:rPr>
          <w:shd w:val="clear" w:color="auto" w:fill="FFFFFF"/>
          <w:lang w:val="en-AU"/>
        </w:rPr>
        <w:t>p. 92.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31879" w:rsidRPr="00255EF8" w:rsidTr="00C1051F">
        <w:tc>
          <w:tcPr>
            <w:tcW w:w="1080" w:type="dxa"/>
            <w:tcBorders>
              <w:top w:val="single" w:sz="4" w:space="0" w:color="auto"/>
              <w:left w:val="single" w:sz="4" w:space="0" w:color="auto"/>
              <w:bottom w:val="single" w:sz="4" w:space="0" w:color="auto"/>
              <w:right w:val="single" w:sz="4" w:space="0" w:color="auto"/>
            </w:tcBorders>
            <w:vAlign w:val="center"/>
          </w:tcPr>
          <w:p w:rsidR="00F31879" w:rsidRPr="00255EF8" w:rsidRDefault="00F31879" w:rsidP="00C1051F">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31879" w:rsidRPr="00255EF8" w:rsidRDefault="00F41ED8" w:rsidP="00C1051F">
            <w:pPr>
              <w:rPr>
                <w:lang w:val="en-AU"/>
              </w:rPr>
            </w:pPr>
            <w:hyperlink r:id="rId18" w:history="1">
              <w:r w:rsidR="005B41CF" w:rsidRPr="00235568">
                <w:rPr>
                  <w:rStyle w:val="Hyperlink"/>
                  <w:lang w:val="en-AU"/>
                </w:rPr>
                <w:t>http://www.england.nhs.uk/wp-content/uploads/2015/01/improving-experiences-of-care.pdf</w:t>
              </w:r>
            </w:hyperlink>
          </w:p>
        </w:tc>
      </w:tr>
      <w:tr w:rsidR="00F31879" w:rsidRPr="00255EF8" w:rsidTr="00C1051F">
        <w:tc>
          <w:tcPr>
            <w:tcW w:w="1080" w:type="dxa"/>
            <w:tcBorders>
              <w:top w:val="single" w:sz="4" w:space="0" w:color="auto"/>
              <w:left w:val="single" w:sz="4" w:space="0" w:color="auto"/>
              <w:bottom w:val="single" w:sz="4" w:space="0" w:color="auto"/>
              <w:right w:val="single" w:sz="4" w:space="0" w:color="auto"/>
            </w:tcBorders>
            <w:vAlign w:val="center"/>
          </w:tcPr>
          <w:p w:rsidR="00F31879" w:rsidRPr="00255EF8" w:rsidRDefault="00F31879" w:rsidP="00C1051F">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67F0" w:rsidRPr="008B67F0" w:rsidRDefault="008B67F0" w:rsidP="008B67F0">
            <w:pPr>
              <w:rPr>
                <w:lang w:val="en-AU" w:eastAsia="en-AU"/>
              </w:rPr>
            </w:pPr>
            <w:r>
              <w:rPr>
                <w:lang w:val="en-AU" w:eastAsia="en-AU"/>
              </w:rPr>
              <w:t xml:space="preserve">The UK’s </w:t>
            </w:r>
            <w:r w:rsidRPr="008B67F0">
              <w:rPr>
                <w:lang w:val="en-AU" w:eastAsia="en-AU"/>
              </w:rPr>
              <w:t>National Quality Board</w:t>
            </w:r>
            <w:r w:rsidR="008F7A64">
              <w:rPr>
                <w:lang w:val="en-AU" w:eastAsia="en-AU"/>
              </w:rPr>
              <w:t xml:space="preserve"> (NQB)</w:t>
            </w:r>
            <w:r w:rsidRPr="008B67F0">
              <w:rPr>
                <w:lang w:val="en-AU" w:eastAsia="en-AU"/>
              </w:rPr>
              <w:t xml:space="preserve"> </w:t>
            </w:r>
            <w:r>
              <w:rPr>
                <w:lang w:val="en-AU" w:eastAsia="en-AU"/>
              </w:rPr>
              <w:t xml:space="preserve">– </w:t>
            </w:r>
            <w:r w:rsidRPr="008B67F0">
              <w:rPr>
                <w:lang w:val="en-AU" w:eastAsia="en-AU"/>
              </w:rPr>
              <w:t>with support from other partners</w:t>
            </w:r>
            <w:r>
              <w:rPr>
                <w:lang w:val="en-AU" w:eastAsia="en-AU"/>
              </w:rPr>
              <w:t xml:space="preserve"> —</w:t>
            </w:r>
            <w:r w:rsidRPr="008B67F0">
              <w:rPr>
                <w:lang w:val="en-AU" w:eastAsia="en-AU"/>
              </w:rPr>
              <w:t xml:space="preserve"> has published </w:t>
            </w:r>
            <w:r w:rsidR="008F7A64">
              <w:rPr>
                <w:lang w:val="en-AU" w:eastAsia="en-AU"/>
              </w:rPr>
              <w:t xml:space="preserve">this document </w:t>
            </w:r>
            <w:r w:rsidRPr="008B67F0">
              <w:rPr>
                <w:lang w:val="en-AU" w:eastAsia="en-AU"/>
              </w:rPr>
              <w:t>set</w:t>
            </w:r>
            <w:r w:rsidR="008F7A64">
              <w:rPr>
                <w:lang w:val="en-AU" w:eastAsia="en-AU"/>
              </w:rPr>
              <w:t>ting</w:t>
            </w:r>
            <w:r w:rsidRPr="008B67F0">
              <w:rPr>
                <w:lang w:val="en-AU" w:eastAsia="en-AU"/>
              </w:rPr>
              <w:t xml:space="preserve"> out a common way for the national health and care organisations </w:t>
            </w:r>
            <w:r w:rsidR="008F7A64">
              <w:rPr>
                <w:lang w:val="en-AU" w:eastAsia="en-AU"/>
              </w:rPr>
              <w:t xml:space="preserve">that comprise the </w:t>
            </w:r>
            <w:r w:rsidRPr="008B67F0">
              <w:rPr>
                <w:lang w:val="en-AU" w:eastAsia="en-AU"/>
              </w:rPr>
              <w:t>NQB to talk about people’s experiences of care and their roles in improving them.</w:t>
            </w:r>
          </w:p>
          <w:p w:rsidR="008B67F0" w:rsidRPr="008B67F0" w:rsidRDefault="008B67F0" w:rsidP="008B67F0">
            <w:pPr>
              <w:rPr>
                <w:lang w:val="en-AU" w:eastAsia="en-AU"/>
              </w:rPr>
            </w:pPr>
            <w:r w:rsidRPr="008B67F0">
              <w:rPr>
                <w:lang w:val="en-AU" w:eastAsia="en-AU"/>
              </w:rPr>
              <w:t xml:space="preserve">The document </w:t>
            </w:r>
            <w:r w:rsidR="008F7A64">
              <w:rPr>
                <w:lang w:val="en-AU" w:eastAsia="en-AU"/>
              </w:rPr>
              <w:t xml:space="preserve">describes the </w:t>
            </w:r>
            <w:r w:rsidRPr="008B67F0">
              <w:rPr>
                <w:lang w:val="en-AU" w:eastAsia="en-AU"/>
              </w:rPr>
              <w:t>ambition for improving people’s experiences of care, and also includes examples of good practice and resources, to support organisations and individuals in improving experiences of care.</w:t>
            </w:r>
          </w:p>
          <w:p w:rsidR="00610443" w:rsidRPr="00320AA2" w:rsidRDefault="008B67F0" w:rsidP="008B67F0">
            <w:pPr>
              <w:rPr>
                <w:lang w:val="en-AU" w:eastAsia="en-AU"/>
              </w:rPr>
            </w:pPr>
            <w:r w:rsidRPr="008F7A64">
              <w:rPr>
                <w:i/>
                <w:lang w:val="en-AU" w:eastAsia="en-AU"/>
              </w:rPr>
              <w:t>Improving experiences of care: Our shared understanding and ambition</w:t>
            </w:r>
            <w:r w:rsidRPr="008B67F0">
              <w:rPr>
                <w:lang w:val="en-AU" w:eastAsia="en-AU"/>
              </w:rPr>
              <w:t xml:space="preserve"> is </w:t>
            </w:r>
            <w:r w:rsidR="008F7A64">
              <w:rPr>
                <w:lang w:val="en-AU" w:eastAsia="en-AU"/>
              </w:rPr>
              <w:t xml:space="preserve">intended </w:t>
            </w:r>
            <w:r w:rsidRPr="008B67F0">
              <w:rPr>
                <w:lang w:val="en-AU" w:eastAsia="en-AU"/>
              </w:rPr>
              <w:t>for all individuals and organisations within, or with an interest in, the health system. It also aims to provide people who use services with an understanding of what they can expect from their experiences of care.</w:t>
            </w:r>
          </w:p>
        </w:tc>
      </w:tr>
    </w:tbl>
    <w:p w:rsidR="00051C68" w:rsidRPr="00051C68" w:rsidRDefault="00051C68" w:rsidP="00051C68">
      <w:pPr>
        <w:widowControl w:val="0"/>
        <w:rPr>
          <w:lang w:val="en-AU"/>
        </w:rPr>
      </w:pPr>
    </w:p>
    <w:p w:rsidR="00051C68" w:rsidRPr="00051C68" w:rsidRDefault="00051C68" w:rsidP="00051C68">
      <w:pPr>
        <w:widowControl w:val="0"/>
        <w:rPr>
          <w:lang w:val="en-AU"/>
        </w:rPr>
      </w:pPr>
    </w:p>
    <w:p w:rsidR="00A30DF9" w:rsidRPr="00255EF8" w:rsidRDefault="00254636" w:rsidP="00051C68">
      <w:pPr>
        <w:keepNext/>
        <w:rPr>
          <w:b/>
          <w:lang w:val="en-AU"/>
        </w:rPr>
      </w:pPr>
      <w:r w:rsidRPr="00255EF8">
        <w:rPr>
          <w:b/>
          <w:lang w:val="en-AU"/>
        </w:rPr>
        <w:t>Journal articles</w:t>
      </w:r>
    </w:p>
    <w:p w:rsidR="00A23D42" w:rsidRDefault="00A23D42" w:rsidP="00051C68">
      <w:pPr>
        <w:keepNext/>
        <w:keepLines/>
        <w:autoSpaceDE w:val="0"/>
        <w:autoSpaceDN w:val="0"/>
        <w:adjustRightInd w:val="0"/>
        <w:rPr>
          <w:lang w:val="en-AU"/>
        </w:rPr>
      </w:pPr>
    </w:p>
    <w:p w:rsidR="00051C68" w:rsidRPr="00051C68" w:rsidRDefault="00051C68" w:rsidP="00051C68">
      <w:pPr>
        <w:keepNext/>
        <w:keepLines/>
        <w:autoSpaceDE w:val="0"/>
        <w:autoSpaceDN w:val="0"/>
        <w:adjustRightInd w:val="0"/>
        <w:rPr>
          <w:i/>
          <w:lang w:val="en-AU"/>
        </w:rPr>
      </w:pPr>
      <w:r w:rsidRPr="00051C68">
        <w:rPr>
          <w:i/>
          <w:lang w:val="en-AU"/>
        </w:rPr>
        <w:t>Creating a high-reliability health care system: improving performance on core processes of care at Johns Hopkins Medicine</w:t>
      </w:r>
    </w:p>
    <w:p w:rsidR="00051C68" w:rsidRDefault="00051C68" w:rsidP="00051C68">
      <w:pPr>
        <w:keepNext/>
        <w:keepLines/>
        <w:autoSpaceDE w:val="0"/>
        <w:autoSpaceDN w:val="0"/>
        <w:adjustRightInd w:val="0"/>
        <w:rPr>
          <w:lang w:val="en-AU"/>
        </w:rPr>
      </w:pPr>
      <w:r w:rsidRPr="00051C68">
        <w:rPr>
          <w:lang w:val="en-AU"/>
        </w:rPr>
        <w:t xml:space="preserve">Pronovost PJ, Armstrong CM, </w:t>
      </w:r>
      <w:proofErr w:type="spellStart"/>
      <w:r w:rsidRPr="00051C68">
        <w:rPr>
          <w:lang w:val="en-AU"/>
        </w:rPr>
        <w:t>Demski</w:t>
      </w:r>
      <w:proofErr w:type="spellEnd"/>
      <w:r w:rsidRPr="00051C68">
        <w:rPr>
          <w:lang w:val="en-AU"/>
        </w:rPr>
        <w:t xml:space="preserve"> R, </w:t>
      </w:r>
      <w:proofErr w:type="spellStart"/>
      <w:r w:rsidRPr="00051C68">
        <w:rPr>
          <w:lang w:val="en-AU"/>
        </w:rPr>
        <w:t>Callender</w:t>
      </w:r>
      <w:proofErr w:type="spellEnd"/>
      <w:r w:rsidRPr="00051C68">
        <w:rPr>
          <w:lang w:val="en-AU"/>
        </w:rPr>
        <w:t xml:space="preserve"> T, Winner L, Miller MR, et al</w:t>
      </w:r>
    </w:p>
    <w:p w:rsidR="00051C68" w:rsidRPr="00255EF8" w:rsidRDefault="00051C68" w:rsidP="00051C68">
      <w:pPr>
        <w:keepNext/>
        <w:keepLines/>
        <w:autoSpaceDE w:val="0"/>
        <w:autoSpaceDN w:val="0"/>
        <w:adjustRightInd w:val="0"/>
        <w:rPr>
          <w:lang w:val="en-AU"/>
        </w:rPr>
      </w:pPr>
      <w:proofErr w:type="gramStart"/>
      <w:r w:rsidRPr="00051C68">
        <w:rPr>
          <w:lang w:val="en-AU"/>
        </w:rPr>
        <w:t>Academic Medicine.</w:t>
      </w:r>
      <w:proofErr w:type="gramEnd"/>
      <w:r w:rsidRPr="00051C68">
        <w:rPr>
          <w:lang w:val="en-AU"/>
        </w:rPr>
        <w:t xml:space="preserve"> 2015 Feb</w:t>
      </w:r>
      <w:proofErr w:type="gramStart"/>
      <w:r w:rsidRPr="00051C68">
        <w:rPr>
          <w:lang w:val="en-AU"/>
        </w:rPr>
        <w:t>;90</w:t>
      </w:r>
      <w:proofErr w:type="gramEnd"/>
      <w:r w:rsidRPr="00051C68">
        <w:rPr>
          <w:lang w:val="en-AU"/>
        </w:rPr>
        <w:t>(2):165-72.</w:t>
      </w:r>
    </w:p>
    <w:tbl>
      <w:tblPr>
        <w:tblStyle w:val="TableGrid"/>
        <w:tblW w:w="0" w:type="auto"/>
        <w:tblInd w:w="288" w:type="dxa"/>
        <w:tblLayout w:type="fixed"/>
        <w:tblLook w:val="01E0" w:firstRow="1" w:lastRow="1" w:firstColumn="1" w:lastColumn="1" w:noHBand="0" w:noVBand="0"/>
      </w:tblPr>
      <w:tblGrid>
        <w:gridCol w:w="1080"/>
        <w:gridCol w:w="8280"/>
      </w:tblGrid>
      <w:tr w:rsidR="00051C68" w:rsidRPr="00255EF8" w:rsidTr="00973D45">
        <w:tc>
          <w:tcPr>
            <w:tcW w:w="1080" w:type="dxa"/>
            <w:tcBorders>
              <w:top w:val="single" w:sz="4" w:space="0" w:color="auto"/>
              <w:left w:val="single" w:sz="4" w:space="0" w:color="auto"/>
              <w:bottom w:val="single" w:sz="4" w:space="0" w:color="auto"/>
              <w:right w:val="single" w:sz="4" w:space="0" w:color="auto"/>
            </w:tcBorders>
            <w:vAlign w:val="center"/>
          </w:tcPr>
          <w:p w:rsidR="00051C68" w:rsidRPr="00255EF8" w:rsidRDefault="00051C68" w:rsidP="00973D45">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51C68" w:rsidRPr="00255EF8" w:rsidRDefault="00F41ED8" w:rsidP="00973D45">
            <w:pPr>
              <w:rPr>
                <w:lang w:val="en-AU"/>
              </w:rPr>
            </w:pPr>
            <w:hyperlink r:id="rId19" w:history="1">
              <w:r w:rsidR="00051C68" w:rsidRPr="00A2066B">
                <w:rPr>
                  <w:rStyle w:val="Hyperlink"/>
                  <w:lang w:val="en-AU"/>
                </w:rPr>
                <w:t>http://dx.doi.org/10.1097/acm.0000000000000610</w:t>
              </w:r>
            </w:hyperlink>
            <w:r w:rsidR="00051C68">
              <w:rPr>
                <w:lang w:val="en-AU"/>
              </w:rPr>
              <w:t xml:space="preserve"> </w:t>
            </w:r>
          </w:p>
        </w:tc>
      </w:tr>
      <w:tr w:rsidR="00051C68" w:rsidRPr="00255EF8" w:rsidTr="00973D45">
        <w:tc>
          <w:tcPr>
            <w:tcW w:w="1080" w:type="dxa"/>
            <w:tcBorders>
              <w:top w:val="single" w:sz="4" w:space="0" w:color="auto"/>
              <w:left w:val="single" w:sz="4" w:space="0" w:color="auto"/>
              <w:bottom w:val="single" w:sz="4" w:space="0" w:color="auto"/>
              <w:right w:val="single" w:sz="4" w:space="0" w:color="auto"/>
            </w:tcBorders>
            <w:vAlign w:val="center"/>
          </w:tcPr>
          <w:p w:rsidR="00051C68" w:rsidRPr="00255EF8" w:rsidRDefault="00051C68" w:rsidP="00973D4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368D" w:rsidRDefault="00A4368D" w:rsidP="00A4368D">
            <w:pPr>
              <w:rPr>
                <w:color w:val="333333"/>
                <w:shd w:val="clear" w:color="auto" w:fill="FFFFFF"/>
                <w:lang w:val="en-AU"/>
              </w:rPr>
            </w:pPr>
            <w:r>
              <w:rPr>
                <w:color w:val="333333"/>
                <w:shd w:val="clear" w:color="auto" w:fill="FFFFFF"/>
                <w:lang w:val="en-AU"/>
              </w:rPr>
              <w:t>Paper describing the approach taken at Johns Hopkins to develop “</w:t>
            </w:r>
            <w:r w:rsidRPr="00A4368D">
              <w:rPr>
                <w:color w:val="333333"/>
                <w:shd w:val="clear" w:color="auto" w:fill="FFFFFF"/>
                <w:lang w:val="en-AU"/>
              </w:rPr>
              <w:t>an infrastructure to manage quality and safety efforts throughout a complex health care system</w:t>
            </w:r>
            <w:r>
              <w:rPr>
                <w:color w:val="333333"/>
                <w:shd w:val="clear" w:color="auto" w:fill="FFFFFF"/>
                <w:lang w:val="en-AU"/>
              </w:rPr>
              <w:t>”. The authors describe how these changes contributed to “</w:t>
            </w:r>
            <w:r w:rsidRPr="00A4368D">
              <w:rPr>
                <w:color w:val="333333"/>
                <w:shd w:val="clear" w:color="auto" w:fill="FFFFFF"/>
                <w:lang w:val="en-AU"/>
              </w:rPr>
              <w:t>improved performance on core measures for acute myocardial infarction, heart failure, pneumonia, surgical care, and children's asthma</w:t>
            </w:r>
            <w:r>
              <w:rPr>
                <w:color w:val="333333"/>
                <w:shd w:val="clear" w:color="auto" w:fill="FFFFFF"/>
                <w:lang w:val="en-AU"/>
              </w:rPr>
              <w:t>”</w:t>
            </w:r>
            <w:r w:rsidRPr="00A4368D">
              <w:rPr>
                <w:color w:val="333333"/>
                <w:shd w:val="clear" w:color="auto" w:fill="FFFFFF"/>
                <w:lang w:val="en-AU"/>
              </w:rPr>
              <w:t>.</w:t>
            </w:r>
          </w:p>
          <w:p w:rsidR="00A4368D" w:rsidRDefault="00A4368D" w:rsidP="00A4368D">
            <w:pPr>
              <w:rPr>
                <w:color w:val="333333"/>
                <w:shd w:val="clear" w:color="auto" w:fill="FFFFFF"/>
                <w:lang w:val="en-AU"/>
              </w:rPr>
            </w:pPr>
            <w:r>
              <w:rPr>
                <w:color w:val="333333"/>
                <w:shd w:val="clear" w:color="auto" w:fill="FFFFFF"/>
                <w:lang w:val="en-AU"/>
              </w:rPr>
              <w:t xml:space="preserve">In the paper the authors discuss the new </w:t>
            </w:r>
            <w:r w:rsidRPr="00A4368D">
              <w:rPr>
                <w:color w:val="333333"/>
                <w:shd w:val="clear" w:color="auto" w:fill="FFFFFF"/>
                <w:lang w:val="en-AU"/>
              </w:rPr>
              <w:t xml:space="preserve">governance structure </w:t>
            </w:r>
            <w:r>
              <w:rPr>
                <w:color w:val="333333"/>
                <w:shd w:val="clear" w:color="auto" w:fill="FFFFFF"/>
                <w:lang w:val="en-AU"/>
              </w:rPr>
              <w:t xml:space="preserve">that sought </w:t>
            </w:r>
            <w:r w:rsidRPr="00A4368D">
              <w:rPr>
                <w:color w:val="333333"/>
                <w:shd w:val="clear" w:color="auto" w:fill="FFFFFF"/>
                <w:lang w:val="en-AU"/>
              </w:rPr>
              <w:t>to establish health care system-wide oversight and hospital accountability for quality and safety efforts</w:t>
            </w:r>
            <w:r>
              <w:rPr>
                <w:color w:val="333333"/>
                <w:shd w:val="clear" w:color="auto" w:fill="FFFFFF"/>
                <w:lang w:val="en-AU"/>
              </w:rPr>
              <w:t xml:space="preserve">. A patient safety and quality institute was formed (the </w:t>
            </w:r>
            <w:r w:rsidRPr="00A4368D">
              <w:rPr>
                <w:color w:val="333333"/>
                <w:shd w:val="clear" w:color="auto" w:fill="FFFFFF"/>
                <w:lang w:val="en-AU"/>
              </w:rPr>
              <w:t>Armstrong Institute for Patient Safety and Quality</w:t>
            </w:r>
            <w:r>
              <w:rPr>
                <w:color w:val="333333"/>
                <w:shd w:val="clear" w:color="auto" w:fill="FFFFFF"/>
                <w:lang w:val="en-AU"/>
              </w:rPr>
              <w:t xml:space="preserve">) as they sought to </w:t>
            </w:r>
            <w:r w:rsidRPr="00A4368D">
              <w:rPr>
                <w:color w:val="333333"/>
                <w:shd w:val="clear" w:color="auto" w:fill="FFFFFF"/>
                <w:lang w:val="en-AU"/>
              </w:rPr>
              <w:t xml:space="preserve">improve performance at two </w:t>
            </w:r>
            <w:r>
              <w:rPr>
                <w:color w:val="333333"/>
                <w:shd w:val="clear" w:color="auto" w:fill="FFFFFF"/>
                <w:lang w:val="en-AU"/>
              </w:rPr>
              <w:t>teaching hospitals</w:t>
            </w:r>
            <w:r w:rsidRPr="00A4368D">
              <w:rPr>
                <w:color w:val="333333"/>
                <w:shd w:val="clear" w:color="auto" w:fill="FFFFFF"/>
                <w:lang w:val="en-AU"/>
              </w:rPr>
              <w:t xml:space="preserve"> and three community hospitals</w:t>
            </w:r>
          </w:p>
          <w:p w:rsidR="00A4368D" w:rsidRDefault="00A4368D" w:rsidP="00A4368D">
            <w:pPr>
              <w:rPr>
                <w:color w:val="333333"/>
                <w:shd w:val="clear" w:color="auto" w:fill="FFFFFF"/>
                <w:lang w:val="en-AU"/>
              </w:rPr>
            </w:pPr>
            <w:r>
              <w:rPr>
                <w:color w:val="333333"/>
                <w:shd w:val="clear" w:color="auto" w:fill="FFFFFF"/>
                <w:lang w:val="en-AU"/>
              </w:rPr>
              <w:t>S</w:t>
            </w:r>
            <w:r w:rsidRPr="00A4368D">
              <w:rPr>
                <w:color w:val="333333"/>
                <w:shd w:val="clear" w:color="auto" w:fill="FFFFFF"/>
                <w:lang w:val="en-AU"/>
              </w:rPr>
              <w:t>tarting in March 2012</w:t>
            </w:r>
            <w:r>
              <w:rPr>
                <w:color w:val="333333"/>
                <w:shd w:val="clear" w:color="auto" w:fill="FFFFFF"/>
                <w:lang w:val="en-AU"/>
              </w:rPr>
              <w:t xml:space="preserve"> t</w:t>
            </w:r>
            <w:r w:rsidRPr="00A4368D">
              <w:rPr>
                <w:color w:val="333333"/>
                <w:shd w:val="clear" w:color="auto" w:fill="FFFFFF"/>
                <w:lang w:val="en-AU"/>
              </w:rPr>
              <w:t xml:space="preserve">he initiative aimed to achieve ≥ 96% compliance on seven inpatient process-of-care core measures. The primary outcome measure was the percentage of patients at each hospital who received the recommended process of care. The authors compared health system and hospital performance before (2011) and after (2012, 2013) the initiative. The health system achieved ≥ 96% compliance on six of the seven targeted measures by 2013. </w:t>
            </w:r>
          </w:p>
          <w:p w:rsidR="00A4368D" w:rsidRPr="00255EF8" w:rsidRDefault="00A4368D" w:rsidP="00A4368D">
            <w:pPr>
              <w:rPr>
                <w:color w:val="333333"/>
                <w:shd w:val="clear" w:color="auto" w:fill="FFFFFF"/>
                <w:lang w:val="en-AU"/>
              </w:rPr>
            </w:pPr>
            <w:r w:rsidRPr="00A4368D">
              <w:rPr>
                <w:color w:val="333333"/>
                <w:shd w:val="clear" w:color="auto" w:fill="FFFFFF"/>
                <w:lang w:val="en-AU"/>
              </w:rPr>
              <w:t xml:space="preserve">The authors argue that, </w:t>
            </w:r>
            <w:r w:rsidRPr="00A4368D">
              <w:rPr>
                <w:b/>
                <w:color w:val="333333"/>
                <w:shd w:val="clear" w:color="auto" w:fill="FFFFFF"/>
                <w:lang w:val="en-AU"/>
              </w:rPr>
              <w:t>to improve quality and safety, health care systems should establish a system-wide governance structure and accountability process. They also should define and communicate goals and measures and build an infrastructure to support peer learning</w:t>
            </w:r>
            <w:r w:rsidRPr="00A4368D">
              <w:rPr>
                <w:color w:val="333333"/>
                <w:shd w:val="clear" w:color="auto" w:fill="FFFFFF"/>
                <w:lang w:val="en-AU"/>
              </w:rPr>
              <w:t>.</w:t>
            </w:r>
          </w:p>
        </w:tc>
      </w:tr>
    </w:tbl>
    <w:p w:rsidR="00051C68" w:rsidRDefault="00051C68" w:rsidP="00051C68">
      <w:pPr>
        <w:keepLines/>
        <w:autoSpaceDE w:val="0"/>
        <w:autoSpaceDN w:val="0"/>
        <w:adjustRightInd w:val="0"/>
        <w:rPr>
          <w:lang w:val="en-AU"/>
        </w:rPr>
      </w:pPr>
    </w:p>
    <w:p w:rsidR="00813B5D" w:rsidRPr="006243C9" w:rsidRDefault="00813B5D" w:rsidP="00813B5D">
      <w:pPr>
        <w:keepNext/>
        <w:keepLines/>
        <w:autoSpaceDE w:val="0"/>
        <w:autoSpaceDN w:val="0"/>
        <w:adjustRightInd w:val="0"/>
        <w:rPr>
          <w:i/>
          <w:lang w:val="en-AU"/>
        </w:rPr>
      </w:pPr>
      <w:r w:rsidRPr="006243C9">
        <w:rPr>
          <w:i/>
          <w:lang w:val="en-AU"/>
        </w:rPr>
        <w:lastRenderedPageBreak/>
        <w:t>Hospital organisation, management, and structure for prevention of health-care-associated infection: a systematic review and expert consensus</w:t>
      </w:r>
    </w:p>
    <w:p w:rsidR="00813B5D" w:rsidRDefault="00813B5D" w:rsidP="00813B5D">
      <w:pPr>
        <w:keepNext/>
        <w:keepLines/>
        <w:autoSpaceDE w:val="0"/>
        <w:autoSpaceDN w:val="0"/>
        <w:adjustRightInd w:val="0"/>
        <w:rPr>
          <w:lang w:val="en-AU"/>
        </w:rPr>
      </w:pPr>
      <w:proofErr w:type="spellStart"/>
      <w:r w:rsidRPr="006243C9">
        <w:rPr>
          <w:lang w:val="en-AU"/>
        </w:rPr>
        <w:t>Zingg</w:t>
      </w:r>
      <w:proofErr w:type="spellEnd"/>
      <w:r w:rsidRPr="006243C9">
        <w:rPr>
          <w:lang w:val="en-AU"/>
        </w:rPr>
        <w:t xml:space="preserve"> W, Holmes A, </w:t>
      </w:r>
      <w:proofErr w:type="spellStart"/>
      <w:r w:rsidRPr="006243C9">
        <w:rPr>
          <w:lang w:val="en-AU"/>
        </w:rPr>
        <w:t>Dettenkofer</w:t>
      </w:r>
      <w:proofErr w:type="spellEnd"/>
      <w:r w:rsidRPr="006243C9">
        <w:rPr>
          <w:lang w:val="en-AU"/>
        </w:rPr>
        <w:t xml:space="preserve"> M, </w:t>
      </w:r>
      <w:proofErr w:type="spellStart"/>
      <w:r w:rsidRPr="006243C9">
        <w:rPr>
          <w:lang w:val="en-AU"/>
        </w:rPr>
        <w:t>Goetting</w:t>
      </w:r>
      <w:proofErr w:type="spellEnd"/>
      <w:r w:rsidRPr="006243C9">
        <w:rPr>
          <w:lang w:val="en-AU"/>
        </w:rPr>
        <w:t xml:space="preserve"> T, </w:t>
      </w:r>
      <w:proofErr w:type="spellStart"/>
      <w:r w:rsidRPr="006243C9">
        <w:rPr>
          <w:lang w:val="en-AU"/>
        </w:rPr>
        <w:t>Secci</w:t>
      </w:r>
      <w:proofErr w:type="spellEnd"/>
      <w:r w:rsidRPr="006243C9">
        <w:rPr>
          <w:lang w:val="en-AU"/>
        </w:rPr>
        <w:t xml:space="preserve"> F, Clack L, et al</w:t>
      </w:r>
    </w:p>
    <w:p w:rsidR="00813B5D" w:rsidRPr="00255EF8" w:rsidRDefault="00813B5D" w:rsidP="00813B5D">
      <w:pPr>
        <w:keepNext/>
        <w:keepLines/>
        <w:autoSpaceDE w:val="0"/>
        <w:autoSpaceDN w:val="0"/>
        <w:adjustRightInd w:val="0"/>
        <w:rPr>
          <w:lang w:val="en-AU"/>
        </w:rPr>
      </w:pPr>
      <w:r w:rsidRPr="006243C9">
        <w:rPr>
          <w:lang w:val="en-AU"/>
        </w:rPr>
        <w:t xml:space="preserve">The Lancet Infectious </w:t>
      </w:r>
      <w:proofErr w:type="gramStart"/>
      <w:r w:rsidRPr="006243C9">
        <w:rPr>
          <w:lang w:val="en-AU"/>
        </w:rPr>
        <w:t>Diseases.15(</w:t>
      </w:r>
      <w:proofErr w:type="gramEnd"/>
      <w:r w:rsidRPr="006243C9">
        <w:rPr>
          <w:lang w:val="en-AU"/>
        </w:rPr>
        <w:t>2):212-24.</w:t>
      </w:r>
    </w:p>
    <w:tbl>
      <w:tblPr>
        <w:tblStyle w:val="TableGrid"/>
        <w:tblW w:w="0" w:type="auto"/>
        <w:tblInd w:w="288" w:type="dxa"/>
        <w:tblLayout w:type="fixed"/>
        <w:tblLook w:val="01E0" w:firstRow="1" w:lastRow="1" w:firstColumn="1" w:lastColumn="1" w:noHBand="0" w:noVBand="0"/>
      </w:tblPr>
      <w:tblGrid>
        <w:gridCol w:w="1080"/>
        <w:gridCol w:w="8280"/>
      </w:tblGrid>
      <w:tr w:rsidR="00813B5D" w:rsidRPr="00255EF8" w:rsidTr="00990BBC">
        <w:tc>
          <w:tcPr>
            <w:tcW w:w="1080" w:type="dxa"/>
            <w:tcBorders>
              <w:top w:val="single" w:sz="4" w:space="0" w:color="auto"/>
              <w:left w:val="single" w:sz="4" w:space="0" w:color="auto"/>
              <w:bottom w:val="single" w:sz="4" w:space="0" w:color="auto"/>
              <w:right w:val="single" w:sz="4" w:space="0" w:color="auto"/>
            </w:tcBorders>
            <w:vAlign w:val="center"/>
          </w:tcPr>
          <w:p w:rsidR="00813B5D" w:rsidRPr="00255EF8" w:rsidRDefault="00813B5D" w:rsidP="00990BBC">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13B5D" w:rsidRPr="00255EF8" w:rsidRDefault="00F41ED8" w:rsidP="00990BBC">
            <w:pPr>
              <w:rPr>
                <w:lang w:val="en-AU"/>
              </w:rPr>
            </w:pPr>
            <w:hyperlink r:id="rId20" w:history="1">
              <w:r w:rsidR="00813B5D" w:rsidRPr="00235568">
                <w:rPr>
                  <w:rStyle w:val="Hyperlink"/>
                  <w:lang w:val="en-AU"/>
                </w:rPr>
                <w:t>http://dx.doi.org/10.1016/S1473-3099(14)70854-0</w:t>
              </w:r>
            </w:hyperlink>
          </w:p>
        </w:tc>
      </w:tr>
      <w:tr w:rsidR="00813B5D" w:rsidRPr="00255EF8" w:rsidTr="00990BBC">
        <w:tc>
          <w:tcPr>
            <w:tcW w:w="1080" w:type="dxa"/>
            <w:tcBorders>
              <w:top w:val="single" w:sz="4" w:space="0" w:color="auto"/>
              <w:left w:val="single" w:sz="4" w:space="0" w:color="auto"/>
              <w:bottom w:val="single" w:sz="4" w:space="0" w:color="auto"/>
              <w:right w:val="single" w:sz="4" w:space="0" w:color="auto"/>
            </w:tcBorders>
            <w:vAlign w:val="center"/>
          </w:tcPr>
          <w:p w:rsidR="00813B5D" w:rsidRPr="00255EF8" w:rsidRDefault="00813B5D" w:rsidP="00990BBC">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13B5D" w:rsidRDefault="00813B5D" w:rsidP="00990BBC">
            <w:pPr>
              <w:rPr>
                <w:color w:val="333333"/>
                <w:shd w:val="clear" w:color="auto" w:fill="FFFFFF"/>
                <w:lang w:val="en-AU"/>
              </w:rPr>
            </w:pPr>
            <w:r>
              <w:rPr>
                <w:color w:val="333333"/>
                <w:shd w:val="clear" w:color="auto" w:fill="FFFFFF"/>
                <w:lang w:val="en-AU"/>
              </w:rPr>
              <w:t xml:space="preserve">The authors of this systematic review published in Lancet Infectious Diseases, drew on 92 studies to identify crucial elements in preventing healthcare associated infections in </w:t>
            </w:r>
            <w:proofErr w:type="spellStart"/>
            <w:r>
              <w:rPr>
                <w:color w:val="333333"/>
                <w:shd w:val="clear" w:color="auto" w:fill="FFFFFF"/>
                <w:lang w:val="en-AU"/>
              </w:rPr>
              <w:t>hospitals.The</w:t>
            </w:r>
            <w:proofErr w:type="spellEnd"/>
            <w:r>
              <w:rPr>
                <w:color w:val="333333"/>
                <w:shd w:val="clear" w:color="auto" w:fill="FFFFFF"/>
                <w:lang w:val="en-AU"/>
              </w:rPr>
              <w:t xml:space="preserve"> review identified ten key components:</w:t>
            </w:r>
          </w:p>
          <w:p w:rsidR="00813B5D" w:rsidRPr="00813B5D" w:rsidRDefault="00813B5D" w:rsidP="00990BBC">
            <w:pPr>
              <w:pStyle w:val="ListParagraph"/>
              <w:numPr>
                <w:ilvl w:val="0"/>
                <w:numId w:val="35"/>
              </w:numPr>
              <w:rPr>
                <w:color w:val="333333"/>
                <w:shd w:val="clear" w:color="auto" w:fill="FFFFFF"/>
                <w:lang w:val="en-AU"/>
              </w:rPr>
            </w:pPr>
            <w:r w:rsidRPr="00813B5D">
              <w:rPr>
                <w:b/>
                <w:color w:val="333333"/>
                <w:shd w:val="clear" w:color="auto" w:fill="FFFFFF"/>
                <w:lang w:val="en-AU"/>
              </w:rPr>
              <w:t>organisation</w:t>
            </w:r>
            <w:r w:rsidRPr="00813B5D">
              <w:rPr>
                <w:color w:val="333333"/>
                <w:shd w:val="clear" w:color="auto" w:fill="FFFFFF"/>
                <w:lang w:val="en-AU"/>
              </w:rPr>
              <w:t xml:space="preserve"> of infection control at the hospital level</w:t>
            </w:r>
          </w:p>
          <w:p w:rsidR="00813B5D" w:rsidRPr="00813B5D" w:rsidRDefault="00813B5D" w:rsidP="00990BBC">
            <w:pPr>
              <w:pStyle w:val="ListParagraph"/>
              <w:numPr>
                <w:ilvl w:val="0"/>
                <w:numId w:val="35"/>
              </w:numPr>
              <w:rPr>
                <w:color w:val="333333"/>
                <w:shd w:val="clear" w:color="auto" w:fill="FFFFFF"/>
                <w:lang w:val="en-AU"/>
              </w:rPr>
            </w:pPr>
            <w:r w:rsidRPr="00813B5D">
              <w:rPr>
                <w:color w:val="333333"/>
                <w:shd w:val="clear" w:color="auto" w:fill="FFFFFF"/>
                <w:lang w:val="en-AU"/>
              </w:rPr>
              <w:t xml:space="preserve">bed </w:t>
            </w:r>
            <w:r w:rsidRPr="00813B5D">
              <w:rPr>
                <w:b/>
                <w:color w:val="333333"/>
                <w:shd w:val="clear" w:color="auto" w:fill="FFFFFF"/>
                <w:lang w:val="en-AU"/>
              </w:rPr>
              <w:t>occupancy</w:t>
            </w:r>
            <w:r w:rsidRPr="00813B5D">
              <w:rPr>
                <w:color w:val="333333"/>
                <w:shd w:val="clear" w:color="auto" w:fill="FFFFFF"/>
                <w:lang w:val="en-AU"/>
              </w:rPr>
              <w:t xml:space="preserve">, </w:t>
            </w:r>
            <w:r w:rsidRPr="00813B5D">
              <w:rPr>
                <w:b/>
                <w:color w:val="333333"/>
                <w:shd w:val="clear" w:color="auto" w:fill="FFFFFF"/>
                <w:lang w:val="en-AU"/>
              </w:rPr>
              <w:t>staffing</w:t>
            </w:r>
            <w:r w:rsidRPr="00813B5D">
              <w:rPr>
                <w:color w:val="333333"/>
                <w:shd w:val="clear" w:color="auto" w:fill="FFFFFF"/>
                <w:lang w:val="en-AU"/>
              </w:rPr>
              <w:t xml:space="preserve">, </w:t>
            </w:r>
            <w:r w:rsidRPr="00813B5D">
              <w:rPr>
                <w:b/>
                <w:color w:val="333333"/>
                <w:shd w:val="clear" w:color="auto" w:fill="FFFFFF"/>
                <w:lang w:val="en-AU"/>
              </w:rPr>
              <w:t>workload</w:t>
            </w:r>
            <w:r w:rsidRPr="00813B5D">
              <w:rPr>
                <w:color w:val="333333"/>
                <w:shd w:val="clear" w:color="auto" w:fill="FFFFFF"/>
                <w:lang w:val="en-AU"/>
              </w:rPr>
              <w:t>, and employment of pool or agency nurses</w:t>
            </w:r>
          </w:p>
          <w:p w:rsidR="00813B5D" w:rsidRPr="00813B5D" w:rsidRDefault="00813B5D" w:rsidP="00990BBC">
            <w:pPr>
              <w:pStyle w:val="ListParagraph"/>
              <w:numPr>
                <w:ilvl w:val="0"/>
                <w:numId w:val="35"/>
              </w:numPr>
              <w:rPr>
                <w:color w:val="333333"/>
                <w:shd w:val="clear" w:color="auto" w:fill="FFFFFF"/>
                <w:lang w:val="en-AU"/>
              </w:rPr>
            </w:pPr>
            <w:r w:rsidRPr="00813B5D">
              <w:rPr>
                <w:color w:val="333333"/>
                <w:shd w:val="clear" w:color="auto" w:fill="FFFFFF"/>
                <w:lang w:val="en-AU"/>
              </w:rPr>
              <w:t xml:space="preserve">availability of and ease of access to </w:t>
            </w:r>
            <w:r w:rsidRPr="00813B5D">
              <w:rPr>
                <w:b/>
                <w:color w:val="333333"/>
                <w:shd w:val="clear" w:color="auto" w:fill="FFFFFF"/>
                <w:lang w:val="en-AU"/>
              </w:rPr>
              <w:t>materials and equipment</w:t>
            </w:r>
            <w:r w:rsidRPr="00813B5D">
              <w:rPr>
                <w:color w:val="333333"/>
                <w:shd w:val="clear" w:color="auto" w:fill="FFFFFF"/>
                <w:lang w:val="en-AU"/>
              </w:rPr>
              <w:t xml:space="preserve"> and optimum ergonomics</w:t>
            </w:r>
          </w:p>
          <w:p w:rsidR="00813B5D" w:rsidRPr="00813B5D" w:rsidRDefault="00813B5D" w:rsidP="00990BBC">
            <w:pPr>
              <w:pStyle w:val="ListParagraph"/>
              <w:numPr>
                <w:ilvl w:val="0"/>
                <w:numId w:val="35"/>
              </w:numPr>
              <w:rPr>
                <w:color w:val="333333"/>
                <w:shd w:val="clear" w:color="auto" w:fill="FFFFFF"/>
                <w:lang w:val="en-AU"/>
              </w:rPr>
            </w:pPr>
            <w:r w:rsidRPr="00813B5D">
              <w:rPr>
                <w:color w:val="333333"/>
                <w:shd w:val="clear" w:color="auto" w:fill="FFFFFF"/>
                <w:lang w:val="en-AU"/>
              </w:rPr>
              <w:t xml:space="preserve">appropriate use of </w:t>
            </w:r>
            <w:r w:rsidRPr="00813B5D">
              <w:rPr>
                <w:b/>
                <w:color w:val="333333"/>
                <w:shd w:val="clear" w:color="auto" w:fill="FFFFFF"/>
                <w:lang w:val="en-AU"/>
              </w:rPr>
              <w:t>guidelines</w:t>
            </w:r>
          </w:p>
          <w:p w:rsidR="00813B5D" w:rsidRPr="00813B5D" w:rsidRDefault="00813B5D" w:rsidP="00990BBC">
            <w:pPr>
              <w:pStyle w:val="ListParagraph"/>
              <w:numPr>
                <w:ilvl w:val="0"/>
                <w:numId w:val="35"/>
              </w:numPr>
              <w:rPr>
                <w:b/>
                <w:color w:val="333333"/>
                <w:shd w:val="clear" w:color="auto" w:fill="FFFFFF"/>
                <w:lang w:val="en-AU"/>
              </w:rPr>
            </w:pPr>
            <w:r w:rsidRPr="00813B5D">
              <w:rPr>
                <w:b/>
                <w:color w:val="333333"/>
                <w:shd w:val="clear" w:color="auto" w:fill="FFFFFF"/>
                <w:lang w:val="en-AU"/>
              </w:rPr>
              <w:t>education and training</w:t>
            </w:r>
          </w:p>
          <w:p w:rsidR="00813B5D" w:rsidRPr="00813B5D" w:rsidRDefault="00813B5D" w:rsidP="00990BBC">
            <w:pPr>
              <w:pStyle w:val="ListParagraph"/>
              <w:numPr>
                <w:ilvl w:val="0"/>
                <w:numId w:val="35"/>
              </w:numPr>
              <w:rPr>
                <w:b/>
                <w:color w:val="333333"/>
                <w:shd w:val="clear" w:color="auto" w:fill="FFFFFF"/>
                <w:lang w:val="en-AU"/>
              </w:rPr>
            </w:pPr>
            <w:r w:rsidRPr="00813B5D">
              <w:rPr>
                <w:b/>
                <w:color w:val="333333"/>
                <w:shd w:val="clear" w:color="auto" w:fill="FFFFFF"/>
                <w:lang w:val="en-AU"/>
              </w:rPr>
              <w:t>auditing</w:t>
            </w:r>
          </w:p>
          <w:p w:rsidR="00813B5D" w:rsidRPr="00813B5D" w:rsidRDefault="00813B5D" w:rsidP="00990BBC">
            <w:pPr>
              <w:pStyle w:val="ListParagraph"/>
              <w:numPr>
                <w:ilvl w:val="0"/>
                <w:numId w:val="35"/>
              </w:numPr>
              <w:rPr>
                <w:b/>
                <w:color w:val="333333"/>
                <w:shd w:val="clear" w:color="auto" w:fill="FFFFFF"/>
                <w:lang w:val="en-AU"/>
              </w:rPr>
            </w:pPr>
            <w:r w:rsidRPr="00813B5D">
              <w:rPr>
                <w:b/>
                <w:color w:val="333333"/>
                <w:shd w:val="clear" w:color="auto" w:fill="FFFFFF"/>
                <w:lang w:val="en-AU"/>
              </w:rPr>
              <w:t>surveillance and feedback</w:t>
            </w:r>
          </w:p>
          <w:p w:rsidR="00813B5D" w:rsidRPr="00813B5D" w:rsidRDefault="00813B5D" w:rsidP="00990BBC">
            <w:pPr>
              <w:pStyle w:val="ListParagraph"/>
              <w:numPr>
                <w:ilvl w:val="0"/>
                <w:numId w:val="35"/>
              </w:numPr>
              <w:rPr>
                <w:color w:val="333333"/>
                <w:shd w:val="clear" w:color="auto" w:fill="FFFFFF"/>
                <w:lang w:val="en-AU"/>
              </w:rPr>
            </w:pPr>
            <w:r w:rsidRPr="00813B5D">
              <w:rPr>
                <w:color w:val="333333"/>
                <w:shd w:val="clear" w:color="auto" w:fill="FFFFFF"/>
                <w:lang w:val="en-AU"/>
              </w:rPr>
              <w:t xml:space="preserve">multimodal and multidisciplinary </w:t>
            </w:r>
            <w:r w:rsidRPr="00813B5D">
              <w:rPr>
                <w:b/>
                <w:color w:val="333333"/>
                <w:shd w:val="clear" w:color="auto" w:fill="FFFFFF"/>
                <w:lang w:val="en-AU"/>
              </w:rPr>
              <w:t>prevention programmes</w:t>
            </w:r>
            <w:r w:rsidRPr="00813B5D">
              <w:rPr>
                <w:color w:val="333333"/>
                <w:shd w:val="clear" w:color="auto" w:fill="FFFFFF"/>
                <w:lang w:val="en-AU"/>
              </w:rPr>
              <w:t xml:space="preserve"> that include behavioural change</w:t>
            </w:r>
          </w:p>
          <w:p w:rsidR="00813B5D" w:rsidRPr="00813B5D" w:rsidRDefault="00813B5D" w:rsidP="00990BBC">
            <w:pPr>
              <w:pStyle w:val="ListParagraph"/>
              <w:numPr>
                <w:ilvl w:val="0"/>
                <w:numId w:val="35"/>
              </w:numPr>
              <w:rPr>
                <w:color w:val="333333"/>
                <w:shd w:val="clear" w:color="auto" w:fill="FFFFFF"/>
                <w:lang w:val="en-AU"/>
              </w:rPr>
            </w:pPr>
            <w:r w:rsidRPr="00813B5D">
              <w:rPr>
                <w:color w:val="333333"/>
                <w:shd w:val="clear" w:color="auto" w:fill="FFFFFF"/>
                <w:lang w:val="en-AU"/>
              </w:rPr>
              <w:t xml:space="preserve">engagement of </w:t>
            </w:r>
            <w:r w:rsidRPr="00813B5D">
              <w:rPr>
                <w:b/>
                <w:color w:val="333333"/>
                <w:shd w:val="clear" w:color="auto" w:fill="FFFFFF"/>
                <w:lang w:val="en-AU"/>
              </w:rPr>
              <w:t>champions</w:t>
            </w:r>
          </w:p>
          <w:p w:rsidR="00813B5D" w:rsidRPr="00813B5D" w:rsidRDefault="00813B5D" w:rsidP="00990BBC">
            <w:pPr>
              <w:pStyle w:val="ListParagraph"/>
              <w:numPr>
                <w:ilvl w:val="0"/>
                <w:numId w:val="35"/>
              </w:numPr>
              <w:rPr>
                <w:color w:val="333333"/>
                <w:shd w:val="clear" w:color="auto" w:fill="FFFFFF"/>
                <w:lang w:val="en-AU"/>
              </w:rPr>
            </w:pPr>
            <w:proofErr w:type="gramStart"/>
            <w:r w:rsidRPr="00813B5D">
              <w:rPr>
                <w:color w:val="333333"/>
                <w:shd w:val="clear" w:color="auto" w:fill="FFFFFF"/>
                <w:lang w:val="en-AU"/>
              </w:rPr>
              <w:t>p</w:t>
            </w:r>
            <w:r>
              <w:rPr>
                <w:color w:val="333333"/>
                <w:shd w:val="clear" w:color="auto" w:fill="FFFFFF"/>
                <w:lang w:val="en-AU"/>
              </w:rPr>
              <w:t>ositive</w:t>
            </w:r>
            <w:proofErr w:type="gramEnd"/>
            <w:r>
              <w:rPr>
                <w:color w:val="333333"/>
                <w:shd w:val="clear" w:color="auto" w:fill="FFFFFF"/>
                <w:lang w:val="en-AU"/>
              </w:rPr>
              <w:t xml:space="preserve"> </w:t>
            </w:r>
            <w:r w:rsidRPr="00813B5D">
              <w:rPr>
                <w:b/>
                <w:color w:val="333333"/>
                <w:shd w:val="clear" w:color="auto" w:fill="FFFFFF"/>
                <w:lang w:val="en-AU"/>
              </w:rPr>
              <w:t>organisational culture</w:t>
            </w:r>
            <w:r>
              <w:rPr>
                <w:color w:val="333333"/>
                <w:shd w:val="clear" w:color="auto" w:fill="FFFFFF"/>
                <w:lang w:val="en-AU"/>
              </w:rPr>
              <w:t>.</w:t>
            </w:r>
          </w:p>
          <w:p w:rsidR="00813B5D" w:rsidRPr="00255EF8" w:rsidRDefault="00813B5D" w:rsidP="00990BBC">
            <w:pPr>
              <w:rPr>
                <w:color w:val="333333"/>
                <w:shd w:val="clear" w:color="auto" w:fill="FFFFFF"/>
                <w:lang w:val="en-AU"/>
              </w:rPr>
            </w:pPr>
            <w:r>
              <w:rPr>
                <w:color w:val="333333"/>
                <w:shd w:val="clear" w:color="auto" w:fill="FFFFFF"/>
                <w:lang w:val="en-AU"/>
              </w:rPr>
              <w:t>As the authors conclude, “</w:t>
            </w:r>
            <w:r w:rsidRPr="00813B5D">
              <w:rPr>
                <w:color w:val="333333"/>
                <w:shd w:val="clear" w:color="auto" w:fill="FFFFFF"/>
                <w:lang w:val="en-AU"/>
              </w:rPr>
              <w:t>These components comprise</w:t>
            </w:r>
            <w:r>
              <w:rPr>
                <w:color w:val="333333"/>
                <w:shd w:val="clear" w:color="auto" w:fill="FFFFFF"/>
                <w:lang w:val="en-AU"/>
              </w:rPr>
              <w:t xml:space="preserve"> </w:t>
            </w:r>
            <w:r w:rsidRPr="00813B5D">
              <w:rPr>
                <w:color w:val="333333"/>
                <w:shd w:val="clear" w:color="auto" w:fill="FFFFFF"/>
                <w:lang w:val="en-AU"/>
              </w:rPr>
              <w:t>manageable and widely applicable ways to reduce health-care-associated infections and improve patients’ safety.</w:t>
            </w:r>
            <w:r>
              <w:rPr>
                <w:color w:val="333333"/>
                <w:shd w:val="clear" w:color="auto" w:fill="FFFFFF"/>
                <w:lang w:val="en-AU"/>
              </w:rPr>
              <w:t>”</w:t>
            </w:r>
          </w:p>
        </w:tc>
      </w:tr>
    </w:tbl>
    <w:p w:rsidR="00813B5D" w:rsidRDefault="00813B5D" w:rsidP="00813B5D">
      <w:pPr>
        <w:keepLines/>
        <w:autoSpaceDE w:val="0"/>
        <w:autoSpaceDN w:val="0"/>
        <w:adjustRightInd w:val="0"/>
        <w:rPr>
          <w:lang w:val="en-AU"/>
        </w:rPr>
      </w:pPr>
    </w:p>
    <w:p w:rsidR="00813B5D" w:rsidRDefault="00813B5D" w:rsidP="00813B5D">
      <w:pPr>
        <w:keepLines/>
        <w:autoSpaceDE w:val="0"/>
        <w:autoSpaceDN w:val="0"/>
        <w:adjustRightInd w:val="0"/>
        <w:rPr>
          <w:lang w:val="en-AU"/>
        </w:rPr>
      </w:pPr>
      <w:r w:rsidRPr="00255EF8">
        <w:rPr>
          <w:lang w:val="en-AU"/>
        </w:rPr>
        <w:t xml:space="preserve">For information on the Commission’s work on </w:t>
      </w:r>
      <w:r>
        <w:rPr>
          <w:color w:val="333333"/>
          <w:shd w:val="clear" w:color="auto" w:fill="FFFFFF"/>
          <w:lang w:val="en-AU"/>
        </w:rPr>
        <w:t>healthcare associated infections</w:t>
      </w:r>
      <w:r w:rsidRPr="00255EF8">
        <w:rPr>
          <w:lang w:val="en-AU"/>
        </w:rPr>
        <w:t>, see</w:t>
      </w:r>
      <w:r>
        <w:rPr>
          <w:lang w:val="en-AU"/>
        </w:rPr>
        <w:t xml:space="preserve"> </w:t>
      </w:r>
      <w:hyperlink r:id="rId21" w:history="1">
        <w:r w:rsidRPr="00235568">
          <w:rPr>
            <w:rStyle w:val="Hyperlink"/>
            <w:lang w:val="en-AU"/>
          </w:rPr>
          <w:t>www.safetyandquality.gov.au/our-work/healthcare-associated-infection/</w:t>
        </w:r>
      </w:hyperlink>
    </w:p>
    <w:p w:rsidR="00813B5D" w:rsidRDefault="00813B5D" w:rsidP="00813B5D">
      <w:pPr>
        <w:keepLines/>
        <w:autoSpaceDE w:val="0"/>
        <w:autoSpaceDN w:val="0"/>
        <w:adjustRightInd w:val="0"/>
        <w:rPr>
          <w:lang w:val="en-AU"/>
        </w:rPr>
      </w:pPr>
    </w:p>
    <w:p w:rsidR="00A23D42" w:rsidRPr="00A23D42" w:rsidRDefault="00A23D42" w:rsidP="00A23D42">
      <w:pPr>
        <w:keepNext/>
        <w:keepLines/>
        <w:autoSpaceDE w:val="0"/>
        <w:autoSpaceDN w:val="0"/>
        <w:adjustRightInd w:val="0"/>
        <w:rPr>
          <w:i/>
          <w:lang w:val="en-AU"/>
        </w:rPr>
      </w:pPr>
      <w:r w:rsidRPr="00A23D42">
        <w:rPr>
          <w:i/>
          <w:lang w:val="en-AU"/>
        </w:rPr>
        <w:t>Effect of a national primary care pay for performance scheme on emergency hospital admissions for ambulatory care sensitive conditions: controlled longitudinal study</w:t>
      </w:r>
    </w:p>
    <w:p w:rsidR="00A23D42" w:rsidRDefault="00A23D42" w:rsidP="00A23D42">
      <w:pPr>
        <w:keepNext/>
        <w:keepLines/>
        <w:autoSpaceDE w:val="0"/>
        <w:autoSpaceDN w:val="0"/>
        <w:adjustRightInd w:val="0"/>
        <w:rPr>
          <w:lang w:val="en-AU"/>
        </w:rPr>
      </w:pPr>
      <w:r w:rsidRPr="00A23D42">
        <w:rPr>
          <w:lang w:val="en-AU"/>
        </w:rPr>
        <w:t xml:space="preserve">Harrison MJ, </w:t>
      </w:r>
      <w:proofErr w:type="spellStart"/>
      <w:r w:rsidRPr="00A23D42">
        <w:rPr>
          <w:lang w:val="en-AU"/>
        </w:rPr>
        <w:t>Dusheiko</w:t>
      </w:r>
      <w:proofErr w:type="spellEnd"/>
      <w:r w:rsidRPr="00A23D42">
        <w:rPr>
          <w:lang w:val="en-AU"/>
        </w:rPr>
        <w:t xml:space="preserve"> M, Sutton M,</w:t>
      </w:r>
      <w:r>
        <w:rPr>
          <w:lang w:val="en-AU"/>
        </w:rPr>
        <w:t xml:space="preserve"> </w:t>
      </w:r>
      <w:proofErr w:type="spellStart"/>
      <w:r>
        <w:rPr>
          <w:lang w:val="en-AU"/>
        </w:rPr>
        <w:t>Gravelle</w:t>
      </w:r>
      <w:proofErr w:type="spellEnd"/>
      <w:r>
        <w:rPr>
          <w:lang w:val="en-AU"/>
        </w:rPr>
        <w:t xml:space="preserve"> H, Doran T, Roland M.</w:t>
      </w:r>
    </w:p>
    <w:p w:rsidR="00A23D42" w:rsidRPr="00255EF8" w:rsidRDefault="00A23D42" w:rsidP="00A23D42">
      <w:pPr>
        <w:keepNext/>
        <w:keepLines/>
        <w:autoSpaceDE w:val="0"/>
        <w:autoSpaceDN w:val="0"/>
        <w:adjustRightInd w:val="0"/>
        <w:rPr>
          <w:lang w:val="en-AU"/>
        </w:rPr>
      </w:pPr>
      <w:proofErr w:type="gramStart"/>
      <w:r w:rsidRPr="00A23D42">
        <w:rPr>
          <w:lang w:val="en-AU"/>
        </w:rPr>
        <w:t>BMJ.</w:t>
      </w:r>
      <w:proofErr w:type="gramEnd"/>
      <w:r w:rsidRPr="00A23D42">
        <w:rPr>
          <w:lang w:val="en-AU"/>
        </w:rPr>
        <w:t xml:space="preserve"> 2014 2014-11-11 23:31:20</w:t>
      </w:r>
      <w:proofErr w:type="gramStart"/>
      <w:r w:rsidRPr="00A23D42">
        <w:rPr>
          <w:lang w:val="en-AU"/>
        </w:rPr>
        <w:t>;349</w:t>
      </w:r>
      <w:proofErr w:type="gramEnd"/>
      <w:r w:rsidRPr="00A23D42">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A23D42" w:rsidRPr="00255EF8" w:rsidTr="00973D45">
        <w:tc>
          <w:tcPr>
            <w:tcW w:w="1080" w:type="dxa"/>
            <w:tcBorders>
              <w:top w:val="single" w:sz="4" w:space="0" w:color="auto"/>
              <w:left w:val="single" w:sz="4" w:space="0" w:color="auto"/>
              <w:bottom w:val="single" w:sz="4" w:space="0" w:color="auto"/>
              <w:right w:val="single" w:sz="4" w:space="0" w:color="auto"/>
            </w:tcBorders>
            <w:vAlign w:val="center"/>
          </w:tcPr>
          <w:p w:rsidR="00A23D42" w:rsidRPr="00255EF8" w:rsidRDefault="00A23D42" w:rsidP="00973D45">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23D42" w:rsidRPr="00255EF8" w:rsidRDefault="00F41ED8" w:rsidP="00973D45">
            <w:pPr>
              <w:rPr>
                <w:lang w:val="en-AU"/>
              </w:rPr>
            </w:pPr>
            <w:hyperlink r:id="rId22" w:history="1">
              <w:r w:rsidR="00A23D42" w:rsidRPr="00A2066B">
                <w:rPr>
                  <w:rStyle w:val="Hyperlink"/>
                  <w:lang w:val="en-AU"/>
                </w:rPr>
                <w:t>http://dx.doi.org/10.1136/bmj.g6423</w:t>
              </w:r>
            </w:hyperlink>
            <w:r w:rsidR="00A23D42">
              <w:rPr>
                <w:lang w:val="en-AU"/>
              </w:rPr>
              <w:t xml:space="preserve"> </w:t>
            </w:r>
          </w:p>
        </w:tc>
      </w:tr>
      <w:tr w:rsidR="00A23D42" w:rsidRPr="00255EF8" w:rsidTr="00973D45">
        <w:tc>
          <w:tcPr>
            <w:tcW w:w="1080" w:type="dxa"/>
            <w:tcBorders>
              <w:top w:val="single" w:sz="4" w:space="0" w:color="auto"/>
              <w:left w:val="single" w:sz="4" w:space="0" w:color="auto"/>
              <w:bottom w:val="single" w:sz="4" w:space="0" w:color="auto"/>
              <w:right w:val="single" w:sz="4" w:space="0" w:color="auto"/>
            </w:tcBorders>
            <w:vAlign w:val="center"/>
          </w:tcPr>
          <w:p w:rsidR="00A23D42" w:rsidRPr="00255EF8" w:rsidRDefault="00A23D42" w:rsidP="00973D4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23D42" w:rsidRDefault="00A4368D" w:rsidP="00A4368D">
            <w:pPr>
              <w:rPr>
                <w:color w:val="333333"/>
                <w:shd w:val="clear" w:color="auto" w:fill="FFFFFF"/>
                <w:lang w:val="en-AU"/>
              </w:rPr>
            </w:pPr>
            <w:r>
              <w:rPr>
                <w:color w:val="333333"/>
                <w:shd w:val="clear" w:color="auto" w:fill="FFFFFF"/>
                <w:lang w:val="en-AU"/>
              </w:rPr>
              <w:t xml:space="preserve">This article in the </w:t>
            </w:r>
            <w:r w:rsidRPr="0024161A">
              <w:rPr>
                <w:i/>
                <w:color w:val="333333"/>
                <w:shd w:val="clear" w:color="auto" w:fill="FFFFFF"/>
                <w:lang w:val="en-AU"/>
              </w:rPr>
              <w:t>BMJ</w:t>
            </w:r>
            <w:r>
              <w:rPr>
                <w:color w:val="333333"/>
                <w:shd w:val="clear" w:color="auto" w:fill="FFFFFF"/>
                <w:lang w:val="en-AU"/>
              </w:rPr>
              <w:t xml:space="preserve">, describes the impact of the </w:t>
            </w:r>
            <w:r w:rsidRPr="00A4368D">
              <w:rPr>
                <w:color w:val="333333"/>
                <w:shd w:val="clear" w:color="auto" w:fill="FFFFFF"/>
                <w:lang w:val="en-AU"/>
              </w:rPr>
              <w:t xml:space="preserve">Quality and Outcomes Framework </w:t>
            </w:r>
            <w:r>
              <w:rPr>
                <w:color w:val="333333"/>
                <w:shd w:val="clear" w:color="auto" w:fill="FFFFFF"/>
                <w:lang w:val="en-AU"/>
              </w:rPr>
              <w:t xml:space="preserve">(QOF) </w:t>
            </w:r>
            <w:r w:rsidRPr="00A4368D">
              <w:rPr>
                <w:color w:val="333333"/>
                <w:shd w:val="clear" w:color="auto" w:fill="FFFFFF"/>
                <w:lang w:val="en-AU"/>
              </w:rPr>
              <w:t>in England on emergency hospital admissions for ambulatory care sensitive conditions (ACSCs).</w:t>
            </w:r>
          </w:p>
          <w:p w:rsidR="00A4368D" w:rsidRDefault="00A4368D" w:rsidP="00A4368D">
            <w:pPr>
              <w:rPr>
                <w:color w:val="333333"/>
                <w:shd w:val="clear" w:color="auto" w:fill="FFFFFF"/>
                <w:lang w:val="en-AU"/>
              </w:rPr>
            </w:pPr>
            <w:r>
              <w:rPr>
                <w:color w:val="333333"/>
                <w:shd w:val="clear" w:color="auto" w:fill="FFFFFF"/>
                <w:lang w:val="en-AU"/>
              </w:rPr>
              <w:t>This c</w:t>
            </w:r>
            <w:r w:rsidRPr="00A4368D">
              <w:rPr>
                <w:color w:val="333333"/>
                <w:shd w:val="clear" w:color="auto" w:fill="FFFFFF"/>
                <w:lang w:val="en-AU"/>
              </w:rPr>
              <w:t>ontrolled longitudinal study</w:t>
            </w:r>
            <w:r>
              <w:rPr>
                <w:color w:val="333333"/>
                <w:shd w:val="clear" w:color="auto" w:fill="FFFFFF"/>
                <w:lang w:val="en-AU"/>
              </w:rPr>
              <w:t xml:space="preserve"> examined the p</w:t>
            </w:r>
            <w:r w:rsidRPr="00A4368D">
              <w:rPr>
                <w:color w:val="333333"/>
                <w:shd w:val="clear" w:color="auto" w:fill="FFFFFF"/>
                <w:lang w:val="en-AU"/>
              </w:rPr>
              <w:t>opulations registered with each of 6975 family practices in England</w:t>
            </w:r>
            <w:r>
              <w:rPr>
                <w:color w:val="333333"/>
                <w:shd w:val="clear" w:color="auto" w:fill="FFFFFF"/>
                <w:lang w:val="en-AU"/>
              </w:rPr>
              <w:t xml:space="preserve"> </w:t>
            </w:r>
            <w:r w:rsidRPr="00A4368D">
              <w:rPr>
                <w:color w:val="333333"/>
                <w:shd w:val="clear" w:color="auto" w:fill="FFFFFF"/>
                <w:lang w:val="en-AU"/>
              </w:rPr>
              <w:t>between 1998/99 and 2010/11.</w:t>
            </w:r>
          </w:p>
          <w:p w:rsidR="00A4368D" w:rsidRDefault="00A4368D" w:rsidP="0024161A">
            <w:pPr>
              <w:rPr>
                <w:color w:val="333333"/>
                <w:shd w:val="clear" w:color="auto" w:fill="FFFFFF"/>
                <w:lang w:val="en-AU"/>
              </w:rPr>
            </w:pPr>
            <w:r>
              <w:rPr>
                <w:color w:val="333333"/>
                <w:shd w:val="clear" w:color="auto" w:fill="FFFFFF"/>
                <w:lang w:val="en-AU"/>
              </w:rPr>
              <w:t xml:space="preserve">The QOF is </w:t>
            </w:r>
            <w:r w:rsidRPr="00A4368D">
              <w:rPr>
                <w:color w:val="333333"/>
                <w:shd w:val="clear" w:color="auto" w:fill="FFFFFF"/>
                <w:lang w:val="en-AU"/>
              </w:rPr>
              <w:t>national primary care pay for performance scheme</w:t>
            </w:r>
            <w:r>
              <w:rPr>
                <w:color w:val="333333"/>
                <w:shd w:val="clear" w:color="auto" w:fill="FFFFFF"/>
                <w:lang w:val="en-AU"/>
              </w:rPr>
              <w:t>. This study found that “the i</w:t>
            </w:r>
            <w:r w:rsidRPr="00A4368D">
              <w:rPr>
                <w:color w:val="333333"/>
                <w:shd w:val="clear" w:color="auto" w:fill="FFFFFF"/>
                <w:lang w:val="en-AU"/>
              </w:rPr>
              <w:t xml:space="preserve">ntroduction of a major national </w:t>
            </w:r>
            <w:r w:rsidRPr="0024161A">
              <w:rPr>
                <w:b/>
                <w:color w:val="333333"/>
                <w:shd w:val="clear" w:color="auto" w:fill="FFFFFF"/>
                <w:lang w:val="en-AU"/>
              </w:rPr>
              <w:t>pay for performance scheme</w:t>
            </w:r>
            <w:r w:rsidRPr="00A4368D">
              <w:rPr>
                <w:color w:val="333333"/>
                <w:shd w:val="clear" w:color="auto" w:fill="FFFFFF"/>
                <w:lang w:val="en-AU"/>
              </w:rPr>
              <w:t xml:space="preserve"> for primary care in England was associated with a </w:t>
            </w:r>
            <w:r w:rsidRPr="0024161A">
              <w:rPr>
                <w:b/>
                <w:color w:val="333333"/>
                <w:shd w:val="clear" w:color="auto" w:fill="FFFFFF"/>
                <w:lang w:val="en-AU"/>
              </w:rPr>
              <w:t>decrease in emergency admissions for incentivised conditions</w:t>
            </w:r>
            <w:r w:rsidRPr="00A4368D">
              <w:rPr>
                <w:color w:val="333333"/>
                <w:shd w:val="clear" w:color="auto" w:fill="FFFFFF"/>
                <w:lang w:val="en-AU"/>
              </w:rPr>
              <w:t xml:space="preserve"> compared with conditions that were not incentivised.</w:t>
            </w:r>
            <w:r>
              <w:rPr>
                <w:color w:val="333333"/>
                <w:shd w:val="clear" w:color="auto" w:fill="FFFFFF"/>
                <w:lang w:val="en-AU"/>
              </w:rPr>
              <w:t>”</w:t>
            </w:r>
            <w:r w:rsidR="003516A9">
              <w:rPr>
                <w:color w:val="333333"/>
                <w:shd w:val="clear" w:color="auto" w:fill="FFFFFF"/>
                <w:lang w:val="en-AU"/>
              </w:rPr>
              <w:t xml:space="preserve"> The authors speculate that “</w:t>
            </w:r>
            <w:r w:rsidR="003516A9" w:rsidRPr="003516A9">
              <w:rPr>
                <w:color w:val="333333"/>
                <w:shd w:val="clear" w:color="auto" w:fill="FFFFFF"/>
                <w:lang w:val="en-AU"/>
              </w:rPr>
              <w:t>The decrease seems larger than would be expected from the changes in the process measures that were incentivised, suggesting that the pay for performance scheme may have had impacts on quality of care beyond the directly incentivised activities</w:t>
            </w:r>
            <w:r w:rsidR="003516A9">
              <w:rPr>
                <w:color w:val="333333"/>
                <w:shd w:val="clear" w:color="auto" w:fill="FFFFFF"/>
                <w:lang w:val="en-AU"/>
              </w:rPr>
              <w:t>.”</w:t>
            </w:r>
          </w:p>
          <w:p w:rsidR="003516A9" w:rsidRPr="00255EF8" w:rsidRDefault="003516A9" w:rsidP="003516A9">
            <w:pPr>
              <w:rPr>
                <w:color w:val="333333"/>
                <w:shd w:val="clear" w:color="auto" w:fill="FFFFFF"/>
                <w:lang w:val="en-AU"/>
              </w:rPr>
            </w:pPr>
            <w:r>
              <w:rPr>
                <w:color w:val="333333"/>
                <w:shd w:val="clear" w:color="auto" w:fill="FFFFFF"/>
                <w:lang w:val="en-AU"/>
              </w:rPr>
              <w:t>Clearly it would be important that the appropriate things are incentivised, perverse incentives are not introduced and that the improvements are maintained, if not sustained.</w:t>
            </w:r>
          </w:p>
        </w:tc>
      </w:tr>
    </w:tbl>
    <w:p w:rsidR="00813B5D" w:rsidRPr="007C5E8C" w:rsidRDefault="00813B5D" w:rsidP="00813B5D">
      <w:pPr>
        <w:keepNext/>
        <w:keepLines/>
        <w:autoSpaceDE w:val="0"/>
        <w:autoSpaceDN w:val="0"/>
        <w:adjustRightInd w:val="0"/>
        <w:rPr>
          <w:i/>
          <w:lang w:val="en-AU"/>
        </w:rPr>
      </w:pPr>
      <w:r w:rsidRPr="007C5E8C">
        <w:rPr>
          <w:i/>
          <w:lang w:val="en-AU"/>
        </w:rPr>
        <w:lastRenderedPageBreak/>
        <w:t>Patient Safety skills in primary care: a national survey of GP educators</w:t>
      </w:r>
    </w:p>
    <w:p w:rsidR="00813B5D" w:rsidRDefault="00813B5D" w:rsidP="00813B5D">
      <w:pPr>
        <w:keepNext/>
        <w:keepLines/>
        <w:autoSpaceDE w:val="0"/>
        <w:autoSpaceDN w:val="0"/>
        <w:adjustRightInd w:val="0"/>
        <w:rPr>
          <w:lang w:val="en-AU"/>
        </w:rPr>
      </w:pPr>
      <w:r w:rsidRPr="007C5E8C">
        <w:rPr>
          <w:lang w:val="en-AU"/>
        </w:rPr>
        <w:t xml:space="preserve">Ahmed M, Arora S, McKay J, Long S, Vincent C, Kelly M, et al. </w:t>
      </w:r>
    </w:p>
    <w:p w:rsidR="00813B5D" w:rsidRPr="00255EF8" w:rsidRDefault="00813B5D" w:rsidP="00813B5D">
      <w:pPr>
        <w:keepNext/>
        <w:keepLines/>
        <w:autoSpaceDE w:val="0"/>
        <w:autoSpaceDN w:val="0"/>
        <w:adjustRightInd w:val="0"/>
        <w:rPr>
          <w:lang w:val="en-AU"/>
        </w:rPr>
      </w:pPr>
      <w:proofErr w:type="gramStart"/>
      <w:r w:rsidRPr="007C5E8C">
        <w:rPr>
          <w:lang w:val="en-AU"/>
        </w:rPr>
        <w:t>BMC Fam</w:t>
      </w:r>
      <w:r>
        <w:rPr>
          <w:lang w:val="en-AU"/>
        </w:rPr>
        <w:t>ily</w:t>
      </w:r>
      <w:r w:rsidRPr="007C5E8C">
        <w:rPr>
          <w:lang w:val="en-AU"/>
        </w:rPr>
        <w:t xml:space="preserve"> Pract</w:t>
      </w:r>
      <w:r>
        <w:rPr>
          <w:lang w:val="en-AU"/>
        </w:rPr>
        <w:t>ice</w:t>
      </w:r>
      <w:r w:rsidRPr="007C5E8C">
        <w:rPr>
          <w:lang w:val="en-AU"/>
        </w:rPr>
        <w:t>.</w:t>
      </w:r>
      <w:proofErr w:type="gramEnd"/>
      <w:r w:rsidRPr="007C5E8C">
        <w:rPr>
          <w:lang w:val="en-AU"/>
        </w:rPr>
        <w:t xml:space="preserve"> 2014 Dec 17</w:t>
      </w:r>
      <w:proofErr w:type="gramStart"/>
      <w:r w:rsidRPr="007C5E8C">
        <w:rPr>
          <w:lang w:val="en-AU"/>
        </w:rPr>
        <w:t>;15</w:t>
      </w:r>
      <w:proofErr w:type="gramEnd"/>
      <w:r w:rsidRPr="007C5E8C">
        <w:rPr>
          <w:lang w:val="en-AU"/>
        </w:rPr>
        <w:t>(1):206.</w:t>
      </w:r>
    </w:p>
    <w:tbl>
      <w:tblPr>
        <w:tblStyle w:val="TableGrid"/>
        <w:tblW w:w="0" w:type="auto"/>
        <w:tblInd w:w="288" w:type="dxa"/>
        <w:tblLayout w:type="fixed"/>
        <w:tblLook w:val="01E0" w:firstRow="1" w:lastRow="1" w:firstColumn="1" w:lastColumn="1" w:noHBand="0" w:noVBand="0"/>
      </w:tblPr>
      <w:tblGrid>
        <w:gridCol w:w="1080"/>
        <w:gridCol w:w="8280"/>
      </w:tblGrid>
      <w:tr w:rsidR="00813B5D" w:rsidRPr="00255EF8" w:rsidTr="00990BBC">
        <w:tc>
          <w:tcPr>
            <w:tcW w:w="1080" w:type="dxa"/>
            <w:tcBorders>
              <w:top w:val="single" w:sz="4" w:space="0" w:color="auto"/>
              <w:left w:val="single" w:sz="4" w:space="0" w:color="auto"/>
              <w:bottom w:val="single" w:sz="4" w:space="0" w:color="auto"/>
              <w:right w:val="single" w:sz="4" w:space="0" w:color="auto"/>
            </w:tcBorders>
            <w:vAlign w:val="center"/>
          </w:tcPr>
          <w:p w:rsidR="00813B5D" w:rsidRPr="00255EF8" w:rsidRDefault="00813B5D" w:rsidP="00990BBC">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13B5D" w:rsidRPr="00255EF8" w:rsidRDefault="00F41ED8" w:rsidP="00990BBC">
            <w:pPr>
              <w:rPr>
                <w:lang w:val="en-AU"/>
              </w:rPr>
            </w:pPr>
            <w:hyperlink r:id="rId23" w:history="1">
              <w:r w:rsidR="00813B5D" w:rsidRPr="00A2066B">
                <w:rPr>
                  <w:rStyle w:val="Hyperlink"/>
                  <w:lang w:val="en-AU"/>
                </w:rPr>
                <w:t>http://dx.doi.org/10.1186/s12875-014-0206-5</w:t>
              </w:r>
            </w:hyperlink>
          </w:p>
        </w:tc>
      </w:tr>
      <w:tr w:rsidR="00813B5D" w:rsidRPr="00255EF8" w:rsidTr="00990BBC">
        <w:tc>
          <w:tcPr>
            <w:tcW w:w="1080" w:type="dxa"/>
            <w:tcBorders>
              <w:top w:val="single" w:sz="4" w:space="0" w:color="auto"/>
              <w:left w:val="single" w:sz="4" w:space="0" w:color="auto"/>
              <w:bottom w:val="single" w:sz="4" w:space="0" w:color="auto"/>
              <w:right w:val="single" w:sz="4" w:space="0" w:color="auto"/>
            </w:tcBorders>
            <w:vAlign w:val="center"/>
          </w:tcPr>
          <w:p w:rsidR="00813B5D" w:rsidRPr="00255EF8" w:rsidRDefault="00813B5D" w:rsidP="00990BBC">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13B5D" w:rsidRDefault="00813B5D" w:rsidP="00990BBC">
            <w:pPr>
              <w:rPr>
                <w:color w:val="333333"/>
                <w:shd w:val="clear" w:color="auto" w:fill="FFFFFF"/>
                <w:lang w:val="en-AU"/>
              </w:rPr>
            </w:pPr>
            <w:r>
              <w:rPr>
                <w:color w:val="333333"/>
                <w:shd w:val="clear" w:color="auto" w:fill="FFFFFF"/>
                <w:lang w:val="en-AU"/>
              </w:rPr>
              <w:t xml:space="preserve">This UK study sought to </w:t>
            </w:r>
            <w:r w:rsidRPr="00850BC1">
              <w:rPr>
                <w:color w:val="333333"/>
                <w:shd w:val="clear" w:color="auto" w:fill="FFFFFF"/>
                <w:lang w:val="en-AU"/>
              </w:rPr>
              <w:t>determine the views of General Practice Educational Supervisors (GPES) regarding the qualities and attributes of a safe General Practitioner (GP) and the perceived trainability of these ‘safety skills’</w:t>
            </w:r>
            <w:r>
              <w:rPr>
                <w:color w:val="333333"/>
                <w:shd w:val="clear" w:color="auto" w:fill="FFFFFF"/>
                <w:lang w:val="en-AU"/>
              </w:rPr>
              <w:t xml:space="preserve">. From the survey the GPES considered that the </w:t>
            </w:r>
            <w:r w:rsidRPr="000D4677">
              <w:rPr>
                <w:b/>
                <w:color w:val="333333"/>
                <w:shd w:val="clear" w:color="auto" w:fill="FFFFFF"/>
                <w:lang w:val="en-AU"/>
              </w:rPr>
              <w:t>skills/attributes most important</w:t>
            </w:r>
            <w:r w:rsidRPr="00850BC1">
              <w:rPr>
                <w:color w:val="333333"/>
                <w:shd w:val="clear" w:color="auto" w:fill="FFFFFF"/>
                <w:lang w:val="en-AU"/>
              </w:rPr>
              <w:t xml:space="preserve"> to being a safe GP were </w:t>
            </w:r>
            <w:r w:rsidRPr="00850BC1">
              <w:rPr>
                <w:b/>
                <w:color w:val="333333"/>
                <w:shd w:val="clear" w:color="auto" w:fill="FFFFFF"/>
                <w:lang w:val="en-AU"/>
              </w:rPr>
              <w:t>honesty</w:t>
            </w:r>
            <w:r w:rsidRPr="00850BC1">
              <w:rPr>
                <w:color w:val="333333"/>
                <w:shd w:val="clear" w:color="auto" w:fill="FFFFFF"/>
                <w:lang w:val="en-AU"/>
              </w:rPr>
              <w:t xml:space="preserve"> (93%), </w:t>
            </w:r>
            <w:r w:rsidRPr="00850BC1">
              <w:rPr>
                <w:b/>
                <w:color w:val="333333"/>
                <w:shd w:val="clear" w:color="auto" w:fill="FFFFFF"/>
                <w:lang w:val="en-AU"/>
              </w:rPr>
              <w:t>technical clinical skills</w:t>
            </w:r>
            <w:r w:rsidRPr="00850BC1">
              <w:rPr>
                <w:color w:val="333333"/>
                <w:shd w:val="clear" w:color="auto" w:fill="FFFFFF"/>
                <w:lang w:val="en-AU"/>
              </w:rPr>
              <w:t xml:space="preserve"> (89%) and </w:t>
            </w:r>
            <w:r w:rsidRPr="00850BC1">
              <w:rPr>
                <w:b/>
                <w:color w:val="333333"/>
                <w:shd w:val="clear" w:color="auto" w:fill="FFFFFF"/>
                <w:lang w:val="en-AU"/>
              </w:rPr>
              <w:t>conscientiousness</w:t>
            </w:r>
            <w:r w:rsidRPr="00850BC1">
              <w:rPr>
                <w:color w:val="333333"/>
                <w:shd w:val="clear" w:color="auto" w:fill="FFFFFF"/>
                <w:lang w:val="en-AU"/>
              </w:rPr>
              <w:t xml:space="preserve"> (89%). That deemed least important/relevant to being a safe GP was leadership (36%). Th</w:t>
            </w:r>
            <w:r>
              <w:rPr>
                <w:color w:val="333333"/>
                <w:shd w:val="clear" w:color="auto" w:fill="FFFFFF"/>
                <w:lang w:val="en-AU"/>
              </w:rPr>
              <w:t xml:space="preserve">e </w:t>
            </w:r>
            <w:r w:rsidRPr="00850BC1">
              <w:rPr>
                <w:color w:val="333333"/>
                <w:shd w:val="clear" w:color="auto" w:fill="FFFFFF"/>
                <w:lang w:val="en-AU"/>
              </w:rPr>
              <w:t xml:space="preserve">most trainable safety skills/attributes were </w:t>
            </w:r>
            <w:r>
              <w:rPr>
                <w:color w:val="333333"/>
                <w:shd w:val="clear" w:color="auto" w:fill="FFFFFF"/>
                <w:lang w:val="en-AU"/>
              </w:rPr>
              <w:t xml:space="preserve">apparently </w:t>
            </w:r>
            <w:r w:rsidRPr="00850BC1">
              <w:rPr>
                <w:color w:val="333333"/>
                <w:shd w:val="clear" w:color="auto" w:fill="FFFFFF"/>
                <w:lang w:val="en-AU"/>
              </w:rPr>
              <w:t xml:space="preserve">technical skills (93%), situation awareness (75%) and anticipation/preparedness (71%). The least trainable were honesty (35%), humility (33%) and patient awareness/empathy (30%). Additional safety skills identified as relevant to primary care included </w:t>
            </w:r>
            <w:r w:rsidRPr="00850BC1">
              <w:rPr>
                <w:b/>
                <w:color w:val="333333"/>
                <w:shd w:val="clear" w:color="auto" w:fill="FFFFFF"/>
                <w:lang w:val="en-AU"/>
              </w:rPr>
              <w:t>patient advocacy</w:t>
            </w:r>
            <w:r w:rsidRPr="00850BC1">
              <w:rPr>
                <w:color w:val="333333"/>
                <w:shd w:val="clear" w:color="auto" w:fill="FFFFFF"/>
                <w:lang w:val="en-AU"/>
              </w:rPr>
              <w:t xml:space="preserve">, </w:t>
            </w:r>
            <w:r w:rsidRPr="00850BC1">
              <w:rPr>
                <w:b/>
                <w:color w:val="333333"/>
                <w:shd w:val="clear" w:color="auto" w:fill="FFFFFF"/>
                <w:lang w:val="en-AU"/>
              </w:rPr>
              <w:t>negotiation skills</w:t>
            </w:r>
            <w:r w:rsidRPr="00850BC1">
              <w:rPr>
                <w:color w:val="333333"/>
                <w:shd w:val="clear" w:color="auto" w:fill="FFFFFF"/>
                <w:lang w:val="en-AU"/>
              </w:rPr>
              <w:t xml:space="preserve">, </w:t>
            </w:r>
            <w:r w:rsidRPr="00850BC1">
              <w:rPr>
                <w:b/>
                <w:color w:val="333333"/>
                <w:shd w:val="clear" w:color="auto" w:fill="FFFFFF"/>
                <w:lang w:val="en-AU"/>
              </w:rPr>
              <w:t>accountability</w:t>
            </w:r>
            <w:r w:rsidRPr="00850BC1">
              <w:rPr>
                <w:color w:val="333333"/>
                <w:shd w:val="clear" w:color="auto" w:fill="FFFFFF"/>
                <w:lang w:val="en-AU"/>
              </w:rPr>
              <w:t xml:space="preserve">/ownership and </w:t>
            </w:r>
            <w:r w:rsidRPr="00850BC1">
              <w:rPr>
                <w:b/>
                <w:color w:val="333333"/>
                <w:shd w:val="clear" w:color="auto" w:fill="FFFFFF"/>
                <w:lang w:val="en-AU"/>
              </w:rPr>
              <w:t>clinical intuition</w:t>
            </w:r>
            <w:r>
              <w:rPr>
                <w:color w:val="333333"/>
                <w:shd w:val="clear" w:color="auto" w:fill="FFFFFF"/>
                <w:lang w:val="en-AU"/>
              </w:rPr>
              <w:t xml:space="preserve">. </w:t>
            </w:r>
          </w:p>
          <w:p w:rsidR="00813B5D" w:rsidRPr="00255EF8" w:rsidRDefault="00813B5D" w:rsidP="00990BBC">
            <w:pPr>
              <w:rPr>
                <w:color w:val="333333"/>
                <w:shd w:val="clear" w:color="auto" w:fill="FFFFFF"/>
                <w:lang w:val="en-AU"/>
              </w:rPr>
            </w:pPr>
            <w:r>
              <w:rPr>
                <w:color w:val="333333"/>
                <w:shd w:val="clear" w:color="auto" w:fill="FFFFFF"/>
                <w:lang w:val="en-AU"/>
              </w:rPr>
              <w:t>It is suggested that from these it is now necessary to “</w:t>
            </w:r>
            <w:r w:rsidRPr="00850BC1">
              <w:rPr>
                <w:color w:val="333333"/>
                <w:shd w:val="clear" w:color="auto" w:fill="FFFFFF"/>
                <w:lang w:val="en-AU"/>
              </w:rPr>
              <w:t>develop and implement training in these skills to ensure that current and future GPs possess the necessary competencies to engage and lead in safety improvement efforts.</w:t>
            </w:r>
            <w:r>
              <w:rPr>
                <w:color w:val="333333"/>
                <w:shd w:val="clear" w:color="auto" w:fill="FFFFFF"/>
                <w:lang w:val="en-AU"/>
              </w:rPr>
              <w:t>”</w:t>
            </w:r>
          </w:p>
        </w:tc>
      </w:tr>
    </w:tbl>
    <w:p w:rsidR="00813B5D" w:rsidRDefault="00813B5D" w:rsidP="00813B5D">
      <w:pPr>
        <w:keepLines/>
        <w:autoSpaceDE w:val="0"/>
        <w:autoSpaceDN w:val="0"/>
        <w:adjustRightInd w:val="0"/>
        <w:rPr>
          <w:lang w:val="en-AU"/>
        </w:rPr>
      </w:pPr>
    </w:p>
    <w:p w:rsidR="00167A0E" w:rsidRPr="00167A0E" w:rsidRDefault="00167A0E" w:rsidP="00167A0E">
      <w:pPr>
        <w:keepLines/>
        <w:autoSpaceDE w:val="0"/>
        <w:autoSpaceDN w:val="0"/>
        <w:adjustRightInd w:val="0"/>
        <w:rPr>
          <w:i/>
          <w:lang w:val="en-AU"/>
        </w:rPr>
      </w:pPr>
      <w:r w:rsidRPr="00167A0E">
        <w:rPr>
          <w:i/>
          <w:lang w:val="en-AU"/>
        </w:rPr>
        <w:t xml:space="preserve">Creating Value </w:t>
      </w:r>
      <w:proofErr w:type="gramStart"/>
      <w:r w:rsidRPr="00167A0E">
        <w:rPr>
          <w:i/>
          <w:lang w:val="en-AU"/>
        </w:rPr>
        <w:t>In</w:t>
      </w:r>
      <w:proofErr w:type="gramEnd"/>
      <w:r w:rsidRPr="00167A0E">
        <w:rPr>
          <w:i/>
          <w:lang w:val="en-AU"/>
        </w:rPr>
        <w:t xml:space="preserve"> Health By Understanding And Overcoming Resistance To De-Innovation</w:t>
      </w:r>
    </w:p>
    <w:p w:rsidR="00167A0E" w:rsidRDefault="00167A0E" w:rsidP="00167A0E">
      <w:pPr>
        <w:keepLines/>
        <w:autoSpaceDE w:val="0"/>
        <w:autoSpaceDN w:val="0"/>
        <w:adjustRightInd w:val="0"/>
        <w:rPr>
          <w:lang w:val="en-AU"/>
        </w:rPr>
      </w:pPr>
      <w:proofErr w:type="spellStart"/>
      <w:r w:rsidRPr="00167A0E">
        <w:rPr>
          <w:lang w:val="en-AU"/>
        </w:rPr>
        <w:t>Ubel</w:t>
      </w:r>
      <w:proofErr w:type="spellEnd"/>
      <w:r w:rsidRPr="00167A0E">
        <w:rPr>
          <w:lang w:val="en-AU"/>
        </w:rPr>
        <w:t xml:space="preserve"> PA, Asch DA</w:t>
      </w:r>
    </w:p>
    <w:p w:rsidR="00167A0E" w:rsidRDefault="00167A0E" w:rsidP="00167A0E">
      <w:pPr>
        <w:keepLines/>
        <w:autoSpaceDE w:val="0"/>
        <w:autoSpaceDN w:val="0"/>
        <w:adjustRightInd w:val="0"/>
        <w:rPr>
          <w:lang w:val="en-AU"/>
        </w:rPr>
      </w:pPr>
      <w:proofErr w:type="gramStart"/>
      <w:r w:rsidRPr="00167A0E">
        <w:rPr>
          <w:lang w:val="en-AU"/>
        </w:rPr>
        <w:t>Health Affairs.</w:t>
      </w:r>
      <w:proofErr w:type="gramEnd"/>
      <w:r w:rsidRPr="00167A0E">
        <w:rPr>
          <w:lang w:val="en-AU"/>
        </w:rPr>
        <w:t xml:space="preserve"> 2015 February 1, 2015</w:t>
      </w:r>
      <w:proofErr w:type="gramStart"/>
      <w:r w:rsidRPr="00167A0E">
        <w:rPr>
          <w:lang w:val="en-AU"/>
        </w:rPr>
        <w:t>;34</w:t>
      </w:r>
      <w:proofErr w:type="gramEnd"/>
      <w:r w:rsidRPr="00167A0E">
        <w:rPr>
          <w:lang w:val="en-AU"/>
        </w:rPr>
        <w:t>(2):239-44.</w:t>
      </w:r>
    </w:p>
    <w:tbl>
      <w:tblPr>
        <w:tblStyle w:val="TableGrid"/>
        <w:tblW w:w="0" w:type="auto"/>
        <w:tblInd w:w="288" w:type="dxa"/>
        <w:tblLayout w:type="fixed"/>
        <w:tblLook w:val="01E0" w:firstRow="1" w:lastRow="1" w:firstColumn="1" w:lastColumn="1" w:noHBand="0" w:noVBand="0"/>
      </w:tblPr>
      <w:tblGrid>
        <w:gridCol w:w="1080"/>
        <w:gridCol w:w="8280"/>
      </w:tblGrid>
      <w:tr w:rsidR="00167A0E" w:rsidRPr="00255EF8" w:rsidTr="00990BBC">
        <w:tc>
          <w:tcPr>
            <w:tcW w:w="1080" w:type="dxa"/>
            <w:tcBorders>
              <w:top w:val="single" w:sz="4" w:space="0" w:color="auto"/>
              <w:left w:val="single" w:sz="4" w:space="0" w:color="auto"/>
              <w:bottom w:val="single" w:sz="4" w:space="0" w:color="auto"/>
              <w:right w:val="single" w:sz="4" w:space="0" w:color="auto"/>
            </w:tcBorders>
            <w:vAlign w:val="center"/>
          </w:tcPr>
          <w:p w:rsidR="00167A0E" w:rsidRPr="00255EF8" w:rsidRDefault="00167A0E" w:rsidP="00990BBC">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67A0E" w:rsidRPr="00255EF8" w:rsidRDefault="00F41ED8" w:rsidP="00990BBC">
            <w:pPr>
              <w:rPr>
                <w:lang w:val="en-AU"/>
              </w:rPr>
            </w:pPr>
            <w:hyperlink r:id="rId24" w:history="1">
              <w:r w:rsidR="00167A0E" w:rsidRPr="00235568">
                <w:rPr>
                  <w:rStyle w:val="Hyperlink"/>
                  <w:lang w:val="en-AU"/>
                </w:rPr>
                <w:t>http://dx.doi.org/10.1377/hlthaff.2014.0983</w:t>
              </w:r>
            </w:hyperlink>
          </w:p>
        </w:tc>
      </w:tr>
      <w:tr w:rsidR="00167A0E" w:rsidRPr="00255EF8" w:rsidTr="00990BBC">
        <w:tc>
          <w:tcPr>
            <w:tcW w:w="1080" w:type="dxa"/>
            <w:tcBorders>
              <w:top w:val="single" w:sz="4" w:space="0" w:color="auto"/>
              <w:left w:val="single" w:sz="4" w:space="0" w:color="auto"/>
              <w:bottom w:val="single" w:sz="4" w:space="0" w:color="auto"/>
              <w:right w:val="single" w:sz="4" w:space="0" w:color="auto"/>
            </w:tcBorders>
            <w:vAlign w:val="center"/>
          </w:tcPr>
          <w:p w:rsidR="00167A0E" w:rsidRPr="00255EF8" w:rsidRDefault="00167A0E" w:rsidP="00990BBC">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67A0E" w:rsidRPr="00255EF8" w:rsidRDefault="00167A0E" w:rsidP="00990BBC">
            <w:pPr>
              <w:rPr>
                <w:color w:val="333333"/>
                <w:shd w:val="clear" w:color="auto" w:fill="FFFFFF"/>
                <w:lang w:val="en-AU"/>
              </w:rPr>
            </w:pPr>
            <w:proofErr w:type="gramStart"/>
            <w:r w:rsidRPr="00167A0E">
              <w:rPr>
                <w:color w:val="333333"/>
                <w:shd w:val="clear" w:color="auto" w:fill="FFFFFF"/>
                <w:lang w:val="en-AU"/>
              </w:rPr>
              <w:t>Innovation,</w:t>
            </w:r>
            <w:proofErr w:type="gramEnd"/>
            <w:r w:rsidRPr="00167A0E">
              <w:rPr>
                <w:color w:val="333333"/>
                <w:shd w:val="clear" w:color="auto" w:fill="FFFFFF"/>
                <w:lang w:val="en-AU"/>
              </w:rPr>
              <w:t xml:space="preserve"> and the dissemination of evidence in health care in general, is known to be a slow process. This opinion piece discusses the issue of de-innovation – “eliminating entrenched and often costly practices that previously made sense but that, because of new evidence or competing approaches, have lost their value”. In the context of improving the efficiency, value and sustainability of healthcare systems, this piece provides a very useful discussion on the entrenched psychological biases that make the process of de-innovation even more difficult, and slower, than innovation. An important consideration is that one is not the mirror image of the other, predominantly because the stakes (and stakeholders) may be quite different for each. Drawing on behavioural science and economics, the challenges to de-innovation are discussed, using a range of examples including PSA screen</w:t>
            </w:r>
            <w:r>
              <w:rPr>
                <w:color w:val="333333"/>
                <w:shd w:val="clear" w:color="auto" w:fill="FFFFFF"/>
                <w:lang w:val="en-AU"/>
              </w:rPr>
              <w:t>ing</w:t>
            </w:r>
            <w:r w:rsidRPr="00167A0E">
              <w:rPr>
                <w:color w:val="333333"/>
                <w:shd w:val="clear" w:color="auto" w:fill="FFFFFF"/>
                <w:lang w:val="en-AU"/>
              </w:rPr>
              <w:t xml:space="preserve">, sleep testing and ‘indication creep’ for the (now withdrawn) COX-2 inhibitor </w:t>
            </w:r>
            <w:proofErr w:type="spellStart"/>
            <w:r w:rsidRPr="00167A0E">
              <w:rPr>
                <w:color w:val="333333"/>
                <w:shd w:val="clear" w:color="auto" w:fill="FFFFFF"/>
                <w:lang w:val="en-AU"/>
              </w:rPr>
              <w:t>refecoxib</w:t>
            </w:r>
            <w:proofErr w:type="spellEnd"/>
            <w:r w:rsidRPr="00167A0E">
              <w:rPr>
                <w:color w:val="333333"/>
                <w:shd w:val="clear" w:color="auto" w:fill="FFFFFF"/>
                <w:lang w:val="en-AU"/>
              </w:rPr>
              <w:t xml:space="preserve"> (</w:t>
            </w:r>
            <w:proofErr w:type="spellStart"/>
            <w:r>
              <w:rPr>
                <w:color w:val="333333"/>
                <w:shd w:val="clear" w:color="auto" w:fill="FFFFFF"/>
                <w:lang w:val="en-AU"/>
              </w:rPr>
              <w:t>V</w:t>
            </w:r>
            <w:r w:rsidRPr="00167A0E">
              <w:rPr>
                <w:color w:val="333333"/>
                <w:shd w:val="clear" w:color="auto" w:fill="FFFFFF"/>
                <w:lang w:val="en-AU"/>
              </w:rPr>
              <w:t>ioxx</w:t>
            </w:r>
            <w:proofErr w:type="spellEnd"/>
            <w:r w:rsidRPr="00167A0E">
              <w:rPr>
                <w:color w:val="333333"/>
                <w:shd w:val="clear" w:color="auto" w:fill="FFFFFF"/>
                <w:lang w:val="en-AU"/>
              </w:rPr>
              <w:t xml:space="preserve">). Psychological phenomena such as confirmation bias, the availability heuristic, cognitive dissonance, the endowment effect and loss aversion, which, incidentally, may also explain why payment reform (such as pay for performance) may not have the effect predicted by orthodox economic theory. A very </w:t>
            </w:r>
            <w:proofErr w:type="gramStart"/>
            <w:r w:rsidRPr="00167A0E">
              <w:rPr>
                <w:color w:val="333333"/>
                <w:shd w:val="clear" w:color="auto" w:fill="FFFFFF"/>
                <w:lang w:val="en-AU"/>
              </w:rPr>
              <w:t>timely,</w:t>
            </w:r>
            <w:proofErr w:type="gramEnd"/>
            <w:r w:rsidRPr="00167A0E">
              <w:rPr>
                <w:color w:val="333333"/>
                <w:shd w:val="clear" w:color="auto" w:fill="FFFFFF"/>
                <w:lang w:val="en-AU"/>
              </w:rPr>
              <w:t xml:space="preserve"> and useful piece.</w:t>
            </w:r>
          </w:p>
        </w:tc>
      </w:tr>
    </w:tbl>
    <w:p w:rsidR="00167A0E" w:rsidRPr="00167A0E" w:rsidRDefault="00167A0E" w:rsidP="00167A0E">
      <w:pPr>
        <w:rPr>
          <w:color w:val="333333"/>
          <w:shd w:val="clear" w:color="auto" w:fill="FFFFFF"/>
          <w:lang w:val="en-AU"/>
        </w:rPr>
      </w:pPr>
    </w:p>
    <w:p w:rsidR="00167A0E" w:rsidRDefault="00167A0E" w:rsidP="00167A0E">
      <w:pPr>
        <w:keepLines/>
        <w:autoSpaceDE w:val="0"/>
        <w:autoSpaceDN w:val="0"/>
        <w:adjustRightInd w:val="0"/>
        <w:rPr>
          <w:color w:val="333333"/>
          <w:shd w:val="clear" w:color="auto" w:fill="FFFFFF"/>
          <w:lang w:val="en-AU"/>
        </w:rPr>
      </w:pPr>
      <w:r w:rsidRPr="00167A0E">
        <w:rPr>
          <w:color w:val="333333"/>
          <w:shd w:val="clear" w:color="auto" w:fill="FFFFFF"/>
          <w:lang w:val="en-AU"/>
        </w:rPr>
        <w:t xml:space="preserve">For more information about the Commission’s work on reducing unwarranted variation and improving appropriateness of care, </w:t>
      </w:r>
      <w:r>
        <w:rPr>
          <w:color w:val="333333"/>
          <w:shd w:val="clear" w:color="auto" w:fill="FFFFFF"/>
          <w:lang w:val="en-AU"/>
        </w:rPr>
        <w:t>see</w:t>
      </w:r>
      <w:r w:rsidRPr="00167A0E">
        <w:rPr>
          <w:color w:val="333333"/>
          <w:shd w:val="clear" w:color="auto" w:fill="FFFFFF"/>
          <w:lang w:val="en-AU"/>
        </w:rPr>
        <w:t xml:space="preserve"> </w:t>
      </w:r>
      <w:hyperlink r:id="rId25" w:history="1">
        <w:r w:rsidRPr="00235568">
          <w:rPr>
            <w:rStyle w:val="Hyperlink"/>
            <w:shd w:val="clear" w:color="auto" w:fill="FFFFFF"/>
            <w:lang w:val="en-AU"/>
          </w:rPr>
          <w:t>http://www.safetyandquality.gov.au/our-work/variation-in-health-care/</w:t>
        </w:r>
      </w:hyperlink>
      <w:r>
        <w:rPr>
          <w:color w:val="333333"/>
          <w:shd w:val="clear" w:color="auto" w:fill="FFFFFF"/>
          <w:lang w:val="en-AU"/>
        </w:rPr>
        <w:t xml:space="preserve"> </w:t>
      </w:r>
      <w:r w:rsidRPr="00167A0E">
        <w:rPr>
          <w:color w:val="333333"/>
          <w:shd w:val="clear" w:color="auto" w:fill="FFFFFF"/>
          <w:lang w:val="en-AU"/>
        </w:rPr>
        <w:t xml:space="preserve">and </w:t>
      </w:r>
      <w:hyperlink r:id="rId26" w:history="1">
        <w:r w:rsidRPr="00235568">
          <w:rPr>
            <w:rStyle w:val="Hyperlink"/>
            <w:shd w:val="clear" w:color="auto" w:fill="FFFFFF"/>
            <w:lang w:val="en-AU"/>
          </w:rPr>
          <w:t>http://www.safetyandquality.gov.au/our-work/shared-decision-making/</w:t>
        </w:r>
      </w:hyperlink>
    </w:p>
    <w:p w:rsidR="00167A0E" w:rsidRDefault="00167A0E" w:rsidP="00167A0E">
      <w:pPr>
        <w:keepLines/>
        <w:autoSpaceDE w:val="0"/>
        <w:autoSpaceDN w:val="0"/>
        <w:adjustRightInd w:val="0"/>
        <w:rPr>
          <w:lang w:val="en-AU"/>
        </w:rPr>
      </w:pPr>
    </w:p>
    <w:p w:rsidR="00A23D42" w:rsidRPr="00A23D42" w:rsidRDefault="00A23D42" w:rsidP="00A23D42">
      <w:pPr>
        <w:keepNext/>
        <w:keepLines/>
        <w:autoSpaceDE w:val="0"/>
        <w:autoSpaceDN w:val="0"/>
        <w:adjustRightInd w:val="0"/>
        <w:rPr>
          <w:i/>
          <w:lang w:val="en-AU"/>
        </w:rPr>
      </w:pPr>
      <w:r w:rsidRPr="00A23D42">
        <w:rPr>
          <w:i/>
          <w:lang w:val="en-AU"/>
        </w:rPr>
        <w:lastRenderedPageBreak/>
        <w:t xml:space="preserve">The </w:t>
      </w:r>
      <w:proofErr w:type="spellStart"/>
      <w:r w:rsidRPr="00A23D42">
        <w:rPr>
          <w:i/>
          <w:lang w:val="en-AU"/>
        </w:rPr>
        <w:t>Iatroref</w:t>
      </w:r>
      <w:proofErr w:type="spellEnd"/>
      <w:r w:rsidRPr="00A23D42">
        <w:rPr>
          <w:i/>
          <w:lang w:val="en-AU"/>
        </w:rPr>
        <w:t xml:space="preserve"> study: medical errors are associated with symptoms of depression in ICU staff but not burnout or safety culture</w:t>
      </w:r>
    </w:p>
    <w:p w:rsidR="00A23D42" w:rsidRDefault="00A23D42" w:rsidP="007D70EE">
      <w:pPr>
        <w:keepNext/>
        <w:keepLines/>
        <w:autoSpaceDE w:val="0"/>
        <w:autoSpaceDN w:val="0"/>
        <w:adjustRightInd w:val="0"/>
        <w:rPr>
          <w:lang w:val="en-AU"/>
        </w:rPr>
      </w:pPr>
      <w:proofErr w:type="spellStart"/>
      <w:r w:rsidRPr="00A23D42">
        <w:rPr>
          <w:lang w:val="en-AU"/>
        </w:rPr>
        <w:t>Garrouste-Orgeas</w:t>
      </w:r>
      <w:proofErr w:type="spellEnd"/>
      <w:r w:rsidRPr="00A23D42">
        <w:rPr>
          <w:lang w:val="en-AU"/>
        </w:rPr>
        <w:t xml:space="preserve"> M, Perrin M, </w:t>
      </w:r>
      <w:proofErr w:type="spellStart"/>
      <w:r w:rsidRPr="00A23D42">
        <w:rPr>
          <w:lang w:val="en-AU"/>
        </w:rPr>
        <w:t>Soufir</w:t>
      </w:r>
      <w:proofErr w:type="spellEnd"/>
      <w:r w:rsidRPr="00A23D42">
        <w:rPr>
          <w:lang w:val="en-AU"/>
        </w:rPr>
        <w:t xml:space="preserve"> L, </w:t>
      </w:r>
      <w:proofErr w:type="spellStart"/>
      <w:r w:rsidRPr="00A23D42">
        <w:rPr>
          <w:lang w:val="en-AU"/>
        </w:rPr>
        <w:t>Vesin</w:t>
      </w:r>
      <w:proofErr w:type="spellEnd"/>
      <w:r w:rsidRPr="00A23D42">
        <w:rPr>
          <w:lang w:val="en-AU"/>
        </w:rPr>
        <w:t xml:space="preserve"> A, Blot F, </w:t>
      </w:r>
      <w:proofErr w:type="spellStart"/>
      <w:r w:rsidRPr="00A23D42">
        <w:rPr>
          <w:lang w:val="en-AU"/>
        </w:rPr>
        <w:t>Maxime</w:t>
      </w:r>
      <w:proofErr w:type="spellEnd"/>
      <w:r w:rsidRPr="00A23D42">
        <w:rPr>
          <w:lang w:val="en-AU"/>
        </w:rPr>
        <w:t xml:space="preserve"> V, et al. </w:t>
      </w:r>
    </w:p>
    <w:p w:rsidR="007D70EE" w:rsidRPr="00255EF8" w:rsidRDefault="00A23D42" w:rsidP="007D70EE">
      <w:pPr>
        <w:keepNext/>
        <w:keepLines/>
        <w:autoSpaceDE w:val="0"/>
        <w:autoSpaceDN w:val="0"/>
        <w:adjustRightInd w:val="0"/>
        <w:rPr>
          <w:lang w:val="en-AU"/>
        </w:rPr>
      </w:pPr>
      <w:proofErr w:type="gramStart"/>
      <w:r w:rsidRPr="00A23D42">
        <w:rPr>
          <w:lang w:val="en-AU"/>
        </w:rPr>
        <w:t>Intensive Care Medicine.</w:t>
      </w:r>
      <w:proofErr w:type="gramEnd"/>
      <w:r w:rsidRPr="00A23D42">
        <w:rPr>
          <w:lang w:val="en-AU"/>
        </w:rPr>
        <w:t xml:space="preserve"> 2015 2015/02/01</w:t>
      </w:r>
      <w:proofErr w:type="gramStart"/>
      <w:r w:rsidRPr="00A23D42">
        <w:rPr>
          <w:lang w:val="en-AU"/>
        </w:rPr>
        <w:t>;41</w:t>
      </w:r>
      <w:proofErr w:type="gramEnd"/>
      <w:r w:rsidRPr="00A23D42">
        <w:rPr>
          <w:lang w:val="en-AU"/>
        </w:rPr>
        <w:t>(2):273-84.</w:t>
      </w:r>
    </w:p>
    <w:tbl>
      <w:tblPr>
        <w:tblStyle w:val="TableGrid"/>
        <w:tblW w:w="0" w:type="auto"/>
        <w:tblInd w:w="288" w:type="dxa"/>
        <w:tblLayout w:type="fixed"/>
        <w:tblLook w:val="01E0" w:firstRow="1" w:lastRow="1" w:firstColumn="1" w:lastColumn="1" w:noHBand="0" w:noVBand="0"/>
      </w:tblPr>
      <w:tblGrid>
        <w:gridCol w:w="1080"/>
        <w:gridCol w:w="8280"/>
      </w:tblGrid>
      <w:tr w:rsidR="007D70EE" w:rsidRPr="00255EF8" w:rsidTr="000A1890">
        <w:tc>
          <w:tcPr>
            <w:tcW w:w="1080" w:type="dxa"/>
            <w:tcBorders>
              <w:top w:val="single" w:sz="4" w:space="0" w:color="auto"/>
              <w:left w:val="single" w:sz="4" w:space="0" w:color="auto"/>
              <w:bottom w:val="single" w:sz="4" w:space="0" w:color="auto"/>
              <w:right w:val="single" w:sz="4" w:space="0" w:color="auto"/>
            </w:tcBorders>
            <w:vAlign w:val="center"/>
          </w:tcPr>
          <w:p w:rsidR="007D70EE" w:rsidRPr="00255EF8" w:rsidRDefault="007D70EE" w:rsidP="000A1890">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70EE" w:rsidRPr="00255EF8" w:rsidRDefault="00F41ED8" w:rsidP="000A1890">
            <w:pPr>
              <w:rPr>
                <w:lang w:val="en-AU"/>
              </w:rPr>
            </w:pPr>
            <w:hyperlink r:id="rId27" w:history="1">
              <w:r w:rsidR="00A23D42" w:rsidRPr="00A2066B">
                <w:rPr>
                  <w:rStyle w:val="Hyperlink"/>
                  <w:lang w:val="en-AU"/>
                </w:rPr>
                <w:t>http://dx.doi.org/10.1007/s00134-014-3601-4</w:t>
              </w:r>
            </w:hyperlink>
          </w:p>
        </w:tc>
      </w:tr>
      <w:tr w:rsidR="007D70EE" w:rsidRPr="00255EF8" w:rsidTr="000A1890">
        <w:tc>
          <w:tcPr>
            <w:tcW w:w="1080" w:type="dxa"/>
            <w:tcBorders>
              <w:top w:val="single" w:sz="4" w:space="0" w:color="auto"/>
              <w:left w:val="single" w:sz="4" w:space="0" w:color="auto"/>
              <w:bottom w:val="single" w:sz="4" w:space="0" w:color="auto"/>
              <w:right w:val="single" w:sz="4" w:space="0" w:color="auto"/>
            </w:tcBorders>
            <w:vAlign w:val="center"/>
          </w:tcPr>
          <w:p w:rsidR="007D70EE" w:rsidRPr="00255EF8" w:rsidRDefault="007D70EE" w:rsidP="000A189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D70EE" w:rsidRDefault="00A23D42" w:rsidP="003516A9">
            <w:pPr>
              <w:rPr>
                <w:color w:val="333333"/>
                <w:shd w:val="clear" w:color="auto" w:fill="FFFFFF"/>
                <w:lang w:val="en-AU"/>
              </w:rPr>
            </w:pPr>
            <w:r>
              <w:rPr>
                <w:color w:val="333333"/>
                <w:shd w:val="clear" w:color="auto" w:fill="FFFFFF"/>
                <w:lang w:val="en-AU"/>
              </w:rPr>
              <w:t xml:space="preserve">This French study </w:t>
            </w:r>
            <w:r w:rsidR="003516A9">
              <w:rPr>
                <w:color w:val="333333"/>
                <w:shd w:val="clear" w:color="auto" w:fill="FFFFFF"/>
                <w:lang w:val="en-AU"/>
              </w:rPr>
              <w:t xml:space="preserve">sought to examine </w:t>
            </w:r>
            <w:r w:rsidR="003516A9" w:rsidRPr="003516A9">
              <w:rPr>
                <w:color w:val="333333"/>
                <w:shd w:val="clear" w:color="auto" w:fill="FFFFFF"/>
                <w:lang w:val="en-AU"/>
              </w:rPr>
              <w:t xml:space="preserve">whether burnout, symptoms of depression and safety culture affected the frequency of medical errors and adverse events in </w:t>
            </w:r>
            <w:r w:rsidR="003516A9">
              <w:rPr>
                <w:color w:val="333333"/>
                <w:shd w:val="clear" w:color="auto" w:fill="FFFFFF"/>
                <w:lang w:val="en-AU"/>
              </w:rPr>
              <w:t>31 French intensive care units (ICUs). This p</w:t>
            </w:r>
            <w:r w:rsidR="003516A9" w:rsidRPr="003516A9">
              <w:rPr>
                <w:color w:val="333333"/>
                <w:shd w:val="clear" w:color="auto" w:fill="FFFFFF"/>
                <w:lang w:val="en-AU"/>
              </w:rPr>
              <w:t>rospective, observational</w:t>
            </w:r>
            <w:r w:rsidR="003516A9">
              <w:rPr>
                <w:color w:val="333333"/>
                <w:shd w:val="clear" w:color="auto" w:fill="FFFFFF"/>
                <w:lang w:val="en-AU"/>
              </w:rPr>
              <w:t xml:space="preserve"> </w:t>
            </w:r>
            <w:r w:rsidR="003516A9" w:rsidRPr="003516A9">
              <w:rPr>
                <w:color w:val="333333"/>
                <w:shd w:val="clear" w:color="auto" w:fill="FFFFFF"/>
                <w:lang w:val="en-AU"/>
              </w:rPr>
              <w:t xml:space="preserve">study </w:t>
            </w:r>
            <w:r w:rsidR="003516A9">
              <w:rPr>
                <w:color w:val="333333"/>
                <w:shd w:val="clear" w:color="auto" w:fill="FFFFFF"/>
                <w:lang w:val="en-AU"/>
              </w:rPr>
              <w:t xml:space="preserve">was conducted </w:t>
            </w:r>
            <w:r w:rsidR="003516A9" w:rsidRPr="003516A9">
              <w:rPr>
                <w:color w:val="333333"/>
                <w:shd w:val="clear" w:color="auto" w:fill="FFFFFF"/>
                <w:lang w:val="en-AU"/>
              </w:rPr>
              <w:t>from August 2009 to December 2011</w:t>
            </w:r>
            <w:r w:rsidR="003516A9">
              <w:rPr>
                <w:color w:val="333333"/>
                <w:shd w:val="clear" w:color="auto" w:fill="FFFFFF"/>
                <w:lang w:val="en-AU"/>
              </w:rPr>
              <w:t xml:space="preserve"> and 1,534 of the eligible 1,988 staff participated.</w:t>
            </w:r>
          </w:p>
          <w:p w:rsidR="003516A9" w:rsidRPr="003516A9" w:rsidRDefault="003516A9" w:rsidP="003516A9">
            <w:pPr>
              <w:rPr>
                <w:color w:val="333333"/>
                <w:shd w:val="clear" w:color="auto" w:fill="FFFFFF"/>
                <w:lang w:val="en-AU"/>
              </w:rPr>
            </w:pPr>
            <w:r>
              <w:rPr>
                <w:color w:val="333333"/>
                <w:shd w:val="clear" w:color="auto" w:fill="FFFFFF"/>
                <w:lang w:val="en-AU"/>
              </w:rPr>
              <w:t>The authors report that medical error</w:t>
            </w:r>
            <w:r w:rsidRPr="003516A9">
              <w:rPr>
                <w:color w:val="333333"/>
                <w:shd w:val="clear" w:color="auto" w:fill="FFFFFF"/>
                <w:lang w:val="en-AU"/>
              </w:rPr>
              <w:t xml:space="preserve"> and adverse event</w:t>
            </w:r>
            <w:r>
              <w:rPr>
                <w:color w:val="333333"/>
                <w:shd w:val="clear" w:color="auto" w:fill="FFFFFF"/>
                <w:lang w:val="en-AU"/>
              </w:rPr>
              <w:t xml:space="preserve"> rates </w:t>
            </w:r>
            <w:r w:rsidRPr="003516A9">
              <w:rPr>
                <w:color w:val="333333"/>
                <w:shd w:val="clear" w:color="auto" w:fill="FFFFFF"/>
                <w:lang w:val="en-AU"/>
              </w:rPr>
              <w:t xml:space="preserve">were 804.5/1,000 and 167.4/1,000 patient-days, respectively. </w:t>
            </w:r>
            <w:r>
              <w:rPr>
                <w:color w:val="333333"/>
                <w:shd w:val="clear" w:color="auto" w:fill="FFFFFF"/>
                <w:lang w:val="en-AU"/>
              </w:rPr>
              <w:t>They found that d</w:t>
            </w:r>
            <w:r w:rsidRPr="003516A9">
              <w:rPr>
                <w:color w:val="333333"/>
                <w:shd w:val="clear" w:color="auto" w:fill="FFFFFF"/>
                <w:lang w:val="en-AU"/>
              </w:rPr>
              <w:t xml:space="preserve">epression symptoms were an independent risk factor for medical errors. </w:t>
            </w:r>
            <w:r>
              <w:rPr>
                <w:color w:val="333333"/>
                <w:shd w:val="clear" w:color="auto" w:fill="FFFFFF"/>
                <w:lang w:val="en-AU"/>
              </w:rPr>
              <w:t>While b</w:t>
            </w:r>
            <w:r w:rsidRPr="003516A9">
              <w:rPr>
                <w:color w:val="333333"/>
                <w:shd w:val="clear" w:color="auto" w:fill="FFFFFF"/>
                <w:lang w:val="en-AU"/>
              </w:rPr>
              <w:t>urnout was not associated with medical errors</w:t>
            </w:r>
            <w:r>
              <w:rPr>
                <w:color w:val="333333"/>
                <w:shd w:val="clear" w:color="auto" w:fill="FFFFFF"/>
                <w:lang w:val="en-AU"/>
              </w:rPr>
              <w:t xml:space="preserve"> and that t</w:t>
            </w:r>
            <w:r w:rsidRPr="003516A9">
              <w:rPr>
                <w:color w:val="333333"/>
                <w:shd w:val="clear" w:color="auto" w:fill="FFFFFF"/>
                <w:lang w:val="en-AU"/>
              </w:rPr>
              <w:t>he safety culture score had a limited influence on medical errors.</w:t>
            </w:r>
            <w:r>
              <w:rPr>
                <w:color w:val="333333"/>
                <w:shd w:val="clear" w:color="auto" w:fill="FFFFFF"/>
                <w:lang w:val="en-AU"/>
              </w:rPr>
              <w:t xml:space="preserve"> </w:t>
            </w:r>
            <w:r w:rsidRPr="003516A9">
              <w:rPr>
                <w:color w:val="333333"/>
                <w:shd w:val="clear" w:color="auto" w:fill="FFFFFF"/>
                <w:lang w:val="en-AU"/>
              </w:rPr>
              <w:t>Other independent risk factors for medical errors or adverse events were related to ICU organisation (40 % of ICU staff off work on the previous day), staff (specific safety training) and patients (workload). One-on-one training of junior physicians during duties and existence of a hospital risk-management unit were associated with lower risks.</w:t>
            </w:r>
          </w:p>
          <w:p w:rsidR="003516A9" w:rsidRPr="00255EF8" w:rsidRDefault="003516A9" w:rsidP="003516A9">
            <w:pPr>
              <w:rPr>
                <w:color w:val="333333"/>
                <w:shd w:val="clear" w:color="auto" w:fill="FFFFFF"/>
                <w:lang w:val="en-AU"/>
              </w:rPr>
            </w:pPr>
            <w:r>
              <w:rPr>
                <w:color w:val="333333"/>
                <w:shd w:val="clear" w:color="auto" w:fill="FFFFFF"/>
                <w:lang w:val="en-AU"/>
              </w:rPr>
              <w:t>The ‘</w:t>
            </w:r>
            <w:r w:rsidRPr="003516A9">
              <w:rPr>
                <w:color w:val="333333"/>
                <w:shd w:val="clear" w:color="auto" w:fill="FFFFFF"/>
                <w:lang w:val="en-AU"/>
              </w:rPr>
              <w:t>Take home message</w:t>
            </w:r>
            <w:r>
              <w:rPr>
                <w:color w:val="333333"/>
                <w:shd w:val="clear" w:color="auto" w:fill="FFFFFF"/>
                <w:lang w:val="en-AU"/>
              </w:rPr>
              <w:t>’ that the authors offer is that “A</w:t>
            </w:r>
            <w:r w:rsidRPr="003516A9">
              <w:rPr>
                <w:color w:val="333333"/>
                <w:shd w:val="clear" w:color="auto" w:fill="FFFFFF"/>
                <w:lang w:val="en-AU"/>
              </w:rPr>
              <w:t xml:space="preserve"> safety culture, as measured in our study using the Safety Attitudes Questionnaire, had a limited influence on medical errors. </w:t>
            </w:r>
            <w:r w:rsidRPr="003516A9">
              <w:rPr>
                <w:b/>
                <w:color w:val="333333"/>
                <w:shd w:val="clear" w:color="auto" w:fill="FFFFFF"/>
                <w:lang w:val="en-AU"/>
              </w:rPr>
              <w:t>Depression-related symptoms in staff members significantly increased the risk of medical errors</w:t>
            </w:r>
            <w:r w:rsidRPr="003516A9">
              <w:rPr>
                <w:color w:val="333333"/>
                <w:shd w:val="clear" w:color="auto" w:fill="FFFFFF"/>
                <w:lang w:val="en-AU"/>
              </w:rPr>
              <w:t>, whereas burnout syndrome did not.</w:t>
            </w:r>
            <w:r>
              <w:rPr>
                <w:color w:val="333333"/>
                <w:shd w:val="clear" w:color="auto" w:fill="FFFFFF"/>
                <w:lang w:val="en-AU"/>
              </w:rPr>
              <w:t>”</w:t>
            </w:r>
          </w:p>
        </w:tc>
      </w:tr>
    </w:tbl>
    <w:p w:rsidR="00535AC7" w:rsidRDefault="00535AC7">
      <w:pPr>
        <w:rPr>
          <w:i/>
          <w:lang w:val="en-AU"/>
        </w:rPr>
      </w:pPr>
    </w:p>
    <w:p w:rsidR="00167A0E" w:rsidRPr="00A23D42" w:rsidRDefault="00167A0E" w:rsidP="00167A0E">
      <w:pPr>
        <w:keepNext/>
        <w:keepLines/>
        <w:autoSpaceDE w:val="0"/>
        <w:autoSpaceDN w:val="0"/>
        <w:adjustRightInd w:val="0"/>
        <w:rPr>
          <w:i/>
          <w:lang w:val="en-AU"/>
        </w:rPr>
      </w:pPr>
      <w:r w:rsidRPr="00A23D42">
        <w:rPr>
          <w:i/>
          <w:lang w:val="en-AU"/>
        </w:rPr>
        <w:t>Implementing a Standardized Safe Surgery Program Reduces Serious Reportable Events</w:t>
      </w:r>
    </w:p>
    <w:p w:rsidR="00167A0E" w:rsidRDefault="00167A0E" w:rsidP="00167A0E">
      <w:pPr>
        <w:keepNext/>
        <w:keepLines/>
        <w:autoSpaceDE w:val="0"/>
        <w:autoSpaceDN w:val="0"/>
        <w:adjustRightInd w:val="0"/>
        <w:rPr>
          <w:lang w:val="en-AU"/>
        </w:rPr>
      </w:pPr>
      <w:r w:rsidRPr="00A23D42">
        <w:rPr>
          <w:lang w:val="en-AU"/>
        </w:rPr>
        <w:t xml:space="preserve">Loftus T, Dahl D, </w:t>
      </w:r>
      <w:proofErr w:type="spellStart"/>
      <w:r w:rsidRPr="00A23D42">
        <w:rPr>
          <w:lang w:val="en-AU"/>
        </w:rPr>
        <w:t>Ohare</w:t>
      </w:r>
      <w:proofErr w:type="spellEnd"/>
      <w:r w:rsidRPr="00A23D42">
        <w:rPr>
          <w:lang w:val="en-AU"/>
        </w:rPr>
        <w:t xml:space="preserve"> B, Power K, Toledo-</w:t>
      </w:r>
      <w:proofErr w:type="spellStart"/>
      <w:r w:rsidRPr="00A23D42">
        <w:rPr>
          <w:lang w:val="en-AU"/>
        </w:rPr>
        <w:t>Katsenes</w:t>
      </w:r>
      <w:proofErr w:type="spellEnd"/>
      <w:r w:rsidRPr="00A23D42">
        <w:rPr>
          <w:lang w:val="en-AU"/>
        </w:rPr>
        <w:t xml:space="preserve"> Y, Hutchison R, et al</w:t>
      </w:r>
    </w:p>
    <w:p w:rsidR="00167A0E" w:rsidRPr="00255EF8" w:rsidRDefault="00167A0E" w:rsidP="00167A0E">
      <w:pPr>
        <w:keepNext/>
        <w:keepLines/>
        <w:autoSpaceDE w:val="0"/>
        <w:autoSpaceDN w:val="0"/>
        <w:adjustRightInd w:val="0"/>
        <w:rPr>
          <w:lang w:val="en-AU"/>
        </w:rPr>
      </w:pPr>
      <w:proofErr w:type="gramStart"/>
      <w:r w:rsidRPr="00A23D42">
        <w:rPr>
          <w:lang w:val="en-AU"/>
        </w:rPr>
        <w:t>Journal of the American College of Surgeons.</w:t>
      </w:r>
      <w:proofErr w:type="gramEnd"/>
      <w:r w:rsidRPr="00A23D42">
        <w:rPr>
          <w:lang w:val="en-AU"/>
        </w:rPr>
        <w:t xml:space="preserve"> 2015</w:t>
      </w:r>
      <w:proofErr w:type="gramStart"/>
      <w:r w:rsidRPr="00A23D42">
        <w:rPr>
          <w:lang w:val="en-AU"/>
        </w:rPr>
        <w:t>;220</w:t>
      </w:r>
      <w:proofErr w:type="gramEnd"/>
      <w:r w:rsidRPr="00A23D42">
        <w:rPr>
          <w:lang w:val="en-AU"/>
        </w:rPr>
        <w:t>(1):12-7.e3.</w:t>
      </w:r>
    </w:p>
    <w:tbl>
      <w:tblPr>
        <w:tblStyle w:val="TableGrid"/>
        <w:tblW w:w="0" w:type="auto"/>
        <w:tblInd w:w="288" w:type="dxa"/>
        <w:tblLayout w:type="fixed"/>
        <w:tblLook w:val="01E0" w:firstRow="1" w:lastRow="1" w:firstColumn="1" w:lastColumn="1" w:noHBand="0" w:noVBand="0"/>
      </w:tblPr>
      <w:tblGrid>
        <w:gridCol w:w="1080"/>
        <w:gridCol w:w="8280"/>
      </w:tblGrid>
      <w:tr w:rsidR="00167A0E" w:rsidRPr="00255EF8" w:rsidTr="00990BBC">
        <w:tc>
          <w:tcPr>
            <w:tcW w:w="1080" w:type="dxa"/>
            <w:tcBorders>
              <w:top w:val="single" w:sz="4" w:space="0" w:color="auto"/>
              <w:left w:val="single" w:sz="4" w:space="0" w:color="auto"/>
              <w:bottom w:val="single" w:sz="4" w:space="0" w:color="auto"/>
              <w:right w:val="single" w:sz="4" w:space="0" w:color="auto"/>
            </w:tcBorders>
            <w:vAlign w:val="center"/>
          </w:tcPr>
          <w:p w:rsidR="00167A0E" w:rsidRPr="00255EF8" w:rsidRDefault="00167A0E" w:rsidP="00990BBC">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67A0E" w:rsidRPr="00255EF8" w:rsidRDefault="00F41ED8" w:rsidP="00990BBC">
            <w:pPr>
              <w:rPr>
                <w:lang w:val="en-AU"/>
              </w:rPr>
            </w:pPr>
            <w:hyperlink r:id="rId28" w:history="1">
              <w:r w:rsidR="00167A0E" w:rsidRPr="00A2066B">
                <w:rPr>
                  <w:rStyle w:val="Hyperlink"/>
                  <w:lang w:val="en-AU"/>
                </w:rPr>
                <w:t>http://dx.doi.org/10.1016/j.jamcollsurg.2014.09.018</w:t>
              </w:r>
            </w:hyperlink>
          </w:p>
        </w:tc>
      </w:tr>
      <w:tr w:rsidR="00167A0E" w:rsidRPr="00255EF8" w:rsidTr="00990BBC">
        <w:tc>
          <w:tcPr>
            <w:tcW w:w="1080" w:type="dxa"/>
            <w:tcBorders>
              <w:top w:val="single" w:sz="4" w:space="0" w:color="auto"/>
              <w:left w:val="single" w:sz="4" w:space="0" w:color="auto"/>
              <w:bottom w:val="single" w:sz="4" w:space="0" w:color="auto"/>
              <w:right w:val="single" w:sz="4" w:space="0" w:color="auto"/>
            </w:tcBorders>
            <w:vAlign w:val="center"/>
          </w:tcPr>
          <w:p w:rsidR="00167A0E" w:rsidRPr="00255EF8" w:rsidRDefault="00167A0E" w:rsidP="00990BBC">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67A0E" w:rsidRDefault="00167A0E" w:rsidP="00990BBC">
            <w:pPr>
              <w:rPr>
                <w:color w:val="333333"/>
                <w:shd w:val="clear" w:color="auto" w:fill="FFFFFF"/>
                <w:lang w:val="en-AU"/>
              </w:rPr>
            </w:pPr>
            <w:r>
              <w:rPr>
                <w:color w:val="333333"/>
                <w:shd w:val="clear" w:color="auto" w:fill="FFFFFF"/>
                <w:lang w:val="en-AU"/>
              </w:rPr>
              <w:t>Paper recounting how a US health system implemented a surgical safety program. The study tracked s</w:t>
            </w:r>
            <w:r w:rsidRPr="00AF10CB">
              <w:rPr>
                <w:color w:val="333333"/>
                <w:shd w:val="clear" w:color="auto" w:fill="FFFFFF"/>
                <w:lang w:val="en-AU"/>
              </w:rPr>
              <w:t xml:space="preserve">erious reportable event </w:t>
            </w:r>
            <w:r>
              <w:rPr>
                <w:color w:val="333333"/>
                <w:shd w:val="clear" w:color="auto" w:fill="FFFFFF"/>
                <w:lang w:val="en-AU"/>
              </w:rPr>
              <w:t xml:space="preserve">(SRE) </w:t>
            </w:r>
            <w:r w:rsidRPr="00AF10CB">
              <w:rPr>
                <w:color w:val="333333"/>
                <w:shd w:val="clear" w:color="auto" w:fill="FFFFFF"/>
                <w:lang w:val="en-AU"/>
              </w:rPr>
              <w:t>rates (retained surgical item, wrong site, wrong patient, and wrong procedure) before and afte</w:t>
            </w:r>
            <w:r>
              <w:rPr>
                <w:color w:val="333333"/>
                <w:shd w:val="clear" w:color="auto" w:fill="FFFFFF"/>
                <w:lang w:val="en-AU"/>
              </w:rPr>
              <w:t>r implementation of a standardis</w:t>
            </w:r>
            <w:r w:rsidRPr="00AF10CB">
              <w:rPr>
                <w:color w:val="333333"/>
                <w:shd w:val="clear" w:color="auto" w:fill="FFFFFF"/>
                <w:lang w:val="en-AU"/>
              </w:rPr>
              <w:t>ed safe surgery program</w:t>
            </w:r>
            <w:r>
              <w:rPr>
                <w:color w:val="333333"/>
                <w:shd w:val="clear" w:color="auto" w:fill="FFFFFF"/>
                <w:lang w:val="en-AU"/>
              </w:rPr>
              <w:t xml:space="preserve"> over a</w:t>
            </w:r>
            <w:r w:rsidRPr="00AF10CB">
              <w:rPr>
                <w:color w:val="333333"/>
                <w:shd w:val="clear" w:color="auto" w:fill="FFFFFF"/>
                <w:lang w:val="en-AU"/>
              </w:rPr>
              <w:t xml:space="preserve"> total of 683,193 cases</w:t>
            </w:r>
            <w:r>
              <w:rPr>
                <w:color w:val="333333"/>
                <w:shd w:val="clear" w:color="auto" w:fill="FFFFFF"/>
                <w:lang w:val="en-AU"/>
              </w:rPr>
              <w:t xml:space="preserve"> in 4 years. The program was associated with a 52% reduction in SREs with the rate </w:t>
            </w:r>
            <w:r w:rsidRPr="00AF10CB">
              <w:rPr>
                <w:color w:val="333333"/>
                <w:shd w:val="clear" w:color="auto" w:fill="FFFFFF"/>
                <w:lang w:val="en-AU"/>
              </w:rPr>
              <w:t xml:space="preserve">before implementation 0.075/1,000 cases and after implementation </w:t>
            </w:r>
            <w:r>
              <w:rPr>
                <w:color w:val="333333"/>
                <w:shd w:val="clear" w:color="auto" w:fill="FFFFFF"/>
                <w:lang w:val="en-AU"/>
              </w:rPr>
              <w:t>0.037/1,000 cases. The authors conclude that “a</w:t>
            </w:r>
            <w:r w:rsidRPr="00AF10CB">
              <w:rPr>
                <w:color w:val="333333"/>
                <w:shd w:val="clear" w:color="auto" w:fill="FFFFFF"/>
                <w:lang w:val="en-AU"/>
              </w:rPr>
              <w:t xml:space="preserve">n effectively implemented </w:t>
            </w:r>
            <w:r w:rsidRPr="003C4A3D">
              <w:rPr>
                <w:b/>
                <w:color w:val="333333"/>
                <w:shd w:val="clear" w:color="auto" w:fill="FFFFFF"/>
                <w:lang w:val="en-AU"/>
              </w:rPr>
              <w:t>standardized safe surgery program</w:t>
            </w:r>
            <w:r w:rsidRPr="00AF10CB">
              <w:rPr>
                <w:color w:val="333333"/>
                <w:shd w:val="clear" w:color="auto" w:fill="FFFFFF"/>
                <w:lang w:val="en-AU"/>
              </w:rPr>
              <w:t xml:space="preserve"> results in a </w:t>
            </w:r>
            <w:r w:rsidRPr="003C4A3D">
              <w:rPr>
                <w:b/>
                <w:color w:val="333333"/>
                <w:shd w:val="clear" w:color="auto" w:fill="FFFFFF"/>
                <w:lang w:val="en-AU"/>
              </w:rPr>
              <w:t>significant reduction in SREs</w:t>
            </w:r>
            <w:r>
              <w:rPr>
                <w:color w:val="333333"/>
                <w:shd w:val="clear" w:color="auto" w:fill="FFFFFF"/>
                <w:lang w:val="en-AU"/>
              </w:rPr>
              <w:t>” They also note that “</w:t>
            </w:r>
            <w:r w:rsidRPr="003C4A3D">
              <w:rPr>
                <w:b/>
                <w:color w:val="333333"/>
                <w:shd w:val="clear" w:color="auto" w:fill="FFFFFF"/>
                <w:lang w:val="en-AU"/>
              </w:rPr>
              <w:t>Robotic cases</w:t>
            </w:r>
            <w:r w:rsidRPr="00AF10CB">
              <w:rPr>
                <w:color w:val="333333"/>
                <w:shd w:val="clear" w:color="auto" w:fill="FFFFFF"/>
                <w:lang w:val="en-AU"/>
              </w:rPr>
              <w:t xml:space="preserve"> are at </w:t>
            </w:r>
            <w:r w:rsidRPr="003C4A3D">
              <w:rPr>
                <w:b/>
                <w:color w:val="333333"/>
                <w:shd w:val="clear" w:color="auto" w:fill="FFFFFF"/>
                <w:lang w:val="en-AU"/>
              </w:rPr>
              <w:t>high risk</w:t>
            </w:r>
            <w:r w:rsidRPr="00AF10CB">
              <w:rPr>
                <w:color w:val="333333"/>
                <w:shd w:val="clear" w:color="auto" w:fill="FFFFFF"/>
                <w:lang w:val="en-AU"/>
              </w:rPr>
              <w:t xml:space="preserve"> for an SRE</w:t>
            </w:r>
            <w:r>
              <w:rPr>
                <w:color w:val="333333"/>
                <w:shd w:val="clear" w:color="auto" w:fill="FFFFFF"/>
                <w:lang w:val="en-AU"/>
              </w:rPr>
              <w:t>” as they reported b</w:t>
            </w:r>
            <w:r w:rsidRPr="00AF10CB">
              <w:rPr>
                <w:color w:val="333333"/>
                <w:shd w:val="clear" w:color="auto" w:fill="FFFFFF"/>
                <w:lang w:val="en-AU"/>
              </w:rPr>
              <w:t>e</w:t>
            </w:r>
            <w:r>
              <w:rPr>
                <w:color w:val="333333"/>
                <w:shd w:val="clear" w:color="auto" w:fill="FFFFFF"/>
                <w:lang w:val="en-AU"/>
              </w:rPr>
              <w:t>ing</w:t>
            </w:r>
            <w:r w:rsidRPr="00AF10CB">
              <w:rPr>
                <w:color w:val="333333"/>
                <w:shd w:val="clear" w:color="auto" w:fill="FFFFFF"/>
                <w:lang w:val="en-AU"/>
              </w:rPr>
              <w:t xml:space="preserve"> </w:t>
            </w:r>
            <w:r>
              <w:rPr>
                <w:color w:val="333333"/>
                <w:shd w:val="clear" w:color="auto" w:fill="FFFFFF"/>
                <w:lang w:val="en-AU"/>
              </w:rPr>
              <w:t>“</w:t>
            </w:r>
            <w:r w:rsidRPr="00AF10CB">
              <w:rPr>
                <w:color w:val="333333"/>
                <w:shd w:val="clear" w:color="auto" w:fill="FFFFFF"/>
                <w:lang w:val="en-AU"/>
              </w:rPr>
              <w:t>7 times more likely to incur an SRE</w:t>
            </w:r>
            <w:r>
              <w:rPr>
                <w:color w:val="333333"/>
                <w:shd w:val="clear" w:color="auto" w:fill="FFFFFF"/>
                <w:lang w:val="en-AU"/>
              </w:rPr>
              <w:t>”.</w:t>
            </w:r>
          </w:p>
          <w:p w:rsidR="00167A0E" w:rsidRPr="00255EF8" w:rsidRDefault="00167A0E" w:rsidP="00990BBC">
            <w:pPr>
              <w:rPr>
                <w:color w:val="333333"/>
                <w:shd w:val="clear" w:color="auto" w:fill="FFFFFF"/>
                <w:lang w:val="en-AU"/>
              </w:rPr>
            </w:pPr>
            <w:r>
              <w:rPr>
                <w:color w:val="333333"/>
                <w:shd w:val="clear" w:color="auto" w:fill="FFFFFF"/>
                <w:lang w:val="en-AU"/>
              </w:rPr>
              <w:t xml:space="preserve">The apparent </w:t>
            </w:r>
            <w:r w:rsidRPr="003C4A3D">
              <w:rPr>
                <w:color w:val="333333"/>
                <w:shd w:val="clear" w:color="auto" w:fill="FFFFFF"/>
                <w:lang w:val="en-AU"/>
              </w:rPr>
              <w:t>success of th</w:t>
            </w:r>
            <w:r>
              <w:rPr>
                <w:color w:val="333333"/>
                <w:shd w:val="clear" w:color="auto" w:fill="FFFFFF"/>
                <w:lang w:val="en-AU"/>
              </w:rPr>
              <w:t xml:space="preserve">is </w:t>
            </w:r>
            <w:r w:rsidRPr="003C4A3D">
              <w:rPr>
                <w:color w:val="333333"/>
                <w:shd w:val="clear" w:color="auto" w:fill="FFFFFF"/>
                <w:lang w:val="en-AU"/>
              </w:rPr>
              <w:t xml:space="preserve">program </w:t>
            </w:r>
            <w:r>
              <w:rPr>
                <w:color w:val="333333"/>
                <w:shd w:val="clear" w:color="auto" w:fill="FFFFFF"/>
                <w:lang w:val="en-AU"/>
              </w:rPr>
              <w:t xml:space="preserve">is attributed to having a </w:t>
            </w:r>
            <w:r w:rsidRPr="003C4A3D">
              <w:rPr>
                <w:color w:val="333333"/>
                <w:shd w:val="clear" w:color="auto" w:fill="FFFFFF"/>
                <w:lang w:val="en-AU"/>
              </w:rPr>
              <w:t xml:space="preserve">planning process that involved human factors engineering approaches as well </w:t>
            </w:r>
            <w:r>
              <w:rPr>
                <w:color w:val="333333"/>
                <w:shd w:val="clear" w:color="auto" w:fill="FFFFFF"/>
                <w:lang w:val="en-AU"/>
              </w:rPr>
              <w:t xml:space="preserve">as having a continuing </w:t>
            </w:r>
            <w:r w:rsidRPr="003C4A3D">
              <w:rPr>
                <w:color w:val="333333"/>
                <w:shd w:val="clear" w:color="auto" w:fill="FFFFFF"/>
                <w:lang w:val="en-AU"/>
              </w:rPr>
              <w:t>implementation and reinforcement program.</w:t>
            </w:r>
          </w:p>
        </w:tc>
      </w:tr>
    </w:tbl>
    <w:p w:rsidR="00167A0E" w:rsidRDefault="00167A0E" w:rsidP="00167A0E">
      <w:pPr>
        <w:keepLines/>
        <w:autoSpaceDE w:val="0"/>
        <w:autoSpaceDN w:val="0"/>
        <w:adjustRightInd w:val="0"/>
        <w:rPr>
          <w:lang w:val="en-AU"/>
        </w:rPr>
      </w:pPr>
    </w:p>
    <w:p w:rsidR="00167A0E" w:rsidRDefault="00167A0E">
      <w:pPr>
        <w:rPr>
          <w:i/>
          <w:lang w:val="en-AU"/>
        </w:rPr>
      </w:pPr>
      <w:r>
        <w:rPr>
          <w:i/>
          <w:lang w:val="en-AU"/>
        </w:rPr>
        <w:br w:type="page"/>
      </w:r>
    </w:p>
    <w:p w:rsidR="00A23D42" w:rsidRPr="00A23D42" w:rsidRDefault="00A23D42" w:rsidP="00A23D42">
      <w:pPr>
        <w:keepNext/>
        <w:keepLines/>
        <w:autoSpaceDE w:val="0"/>
        <w:autoSpaceDN w:val="0"/>
        <w:adjustRightInd w:val="0"/>
        <w:rPr>
          <w:i/>
          <w:lang w:val="en-AU"/>
        </w:rPr>
      </w:pPr>
      <w:r w:rsidRPr="00A23D42">
        <w:rPr>
          <w:i/>
          <w:lang w:val="en-AU"/>
        </w:rPr>
        <w:lastRenderedPageBreak/>
        <w:t>Intercepting Wrong-Patient Orders in a Computerized Provider Order Entry System</w:t>
      </w:r>
    </w:p>
    <w:p w:rsidR="00A23D42" w:rsidRDefault="00A23D42" w:rsidP="00320AA2">
      <w:pPr>
        <w:keepNext/>
        <w:keepLines/>
        <w:autoSpaceDE w:val="0"/>
        <w:autoSpaceDN w:val="0"/>
        <w:adjustRightInd w:val="0"/>
        <w:rPr>
          <w:lang w:val="en-AU"/>
        </w:rPr>
      </w:pPr>
      <w:r w:rsidRPr="00A23D42">
        <w:rPr>
          <w:lang w:val="en-AU"/>
        </w:rPr>
        <w:t xml:space="preserve">Green RA, </w:t>
      </w:r>
      <w:proofErr w:type="spellStart"/>
      <w:r w:rsidRPr="00A23D42">
        <w:rPr>
          <w:lang w:val="en-AU"/>
        </w:rPr>
        <w:t>Hripcsak</w:t>
      </w:r>
      <w:proofErr w:type="spellEnd"/>
      <w:r w:rsidRPr="00A23D42">
        <w:rPr>
          <w:lang w:val="en-AU"/>
        </w:rPr>
        <w:t xml:space="preserve"> G, </w:t>
      </w:r>
      <w:proofErr w:type="spellStart"/>
      <w:r w:rsidRPr="00A23D42">
        <w:rPr>
          <w:lang w:val="en-AU"/>
        </w:rPr>
        <w:t>Salmasian</w:t>
      </w:r>
      <w:proofErr w:type="spellEnd"/>
      <w:r w:rsidRPr="00A23D42">
        <w:rPr>
          <w:lang w:val="en-AU"/>
        </w:rPr>
        <w:t xml:space="preserve"> H, Lazar EJ, </w:t>
      </w:r>
      <w:proofErr w:type="spellStart"/>
      <w:r w:rsidRPr="00A23D42">
        <w:rPr>
          <w:lang w:val="en-AU"/>
        </w:rPr>
        <w:t>Bostwick</w:t>
      </w:r>
      <w:proofErr w:type="spellEnd"/>
      <w:r w:rsidRPr="00A23D42">
        <w:rPr>
          <w:lang w:val="en-AU"/>
        </w:rPr>
        <w:t xml:space="preserve"> SB, </w:t>
      </w:r>
      <w:proofErr w:type="spellStart"/>
      <w:r w:rsidRPr="00A23D42">
        <w:rPr>
          <w:lang w:val="en-AU"/>
        </w:rPr>
        <w:t>Bakken</w:t>
      </w:r>
      <w:proofErr w:type="spellEnd"/>
      <w:r w:rsidRPr="00A23D42">
        <w:rPr>
          <w:lang w:val="en-AU"/>
        </w:rPr>
        <w:t xml:space="preserve"> SR, et al</w:t>
      </w:r>
    </w:p>
    <w:p w:rsidR="00320AA2" w:rsidRPr="00255EF8" w:rsidRDefault="00A23D42" w:rsidP="00320AA2">
      <w:pPr>
        <w:keepNext/>
        <w:keepLines/>
        <w:autoSpaceDE w:val="0"/>
        <w:autoSpaceDN w:val="0"/>
        <w:adjustRightInd w:val="0"/>
        <w:rPr>
          <w:lang w:val="en-AU"/>
        </w:rPr>
      </w:pPr>
      <w:proofErr w:type="gramStart"/>
      <w:r w:rsidRPr="00A23D42">
        <w:rPr>
          <w:lang w:val="en-AU"/>
        </w:rPr>
        <w:t>Annals of Emergency Medicine.</w:t>
      </w:r>
      <w:proofErr w:type="gramEnd"/>
      <w:r w:rsidRPr="00A23D42">
        <w:rPr>
          <w:lang w:val="en-AU"/>
        </w:rPr>
        <w:t xml:space="preserve"> (0).</w:t>
      </w:r>
    </w:p>
    <w:tbl>
      <w:tblPr>
        <w:tblStyle w:val="TableGrid"/>
        <w:tblW w:w="0" w:type="auto"/>
        <w:tblInd w:w="288" w:type="dxa"/>
        <w:tblLayout w:type="fixed"/>
        <w:tblLook w:val="01E0" w:firstRow="1" w:lastRow="1" w:firstColumn="1" w:lastColumn="1" w:noHBand="0" w:noVBand="0"/>
      </w:tblPr>
      <w:tblGrid>
        <w:gridCol w:w="1080"/>
        <w:gridCol w:w="8280"/>
      </w:tblGrid>
      <w:tr w:rsidR="00320AA2" w:rsidRPr="00255EF8" w:rsidTr="00973D45">
        <w:tc>
          <w:tcPr>
            <w:tcW w:w="1080" w:type="dxa"/>
            <w:tcBorders>
              <w:top w:val="single" w:sz="4" w:space="0" w:color="auto"/>
              <w:left w:val="single" w:sz="4" w:space="0" w:color="auto"/>
              <w:bottom w:val="single" w:sz="4" w:space="0" w:color="auto"/>
              <w:right w:val="single" w:sz="4" w:space="0" w:color="auto"/>
            </w:tcBorders>
            <w:vAlign w:val="center"/>
          </w:tcPr>
          <w:p w:rsidR="00320AA2" w:rsidRPr="00255EF8" w:rsidRDefault="00320AA2" w:rsidP="00973D45">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20AA2" w:rsidRPr="00255EF8" w:rsidRDefault="00F41ED8" w:rsidP="00973D45">
            <w:pPr>
              <w:rPr>
                <w:lang w:val="en-AU"/>
              </w:rPr>
            </w:pPr>
            <w:hyperlink r:id="rId29" w:history="1">
              <w:r w:rsidR="00A23D42" w:rsidRPr="00A2066B">
                <w:rPr>
                  <w:rStyle w:val="Hyperlink"/>
                  <w:lang w:val="en-AU"/>
                </w:rPr>
                <w:t>http://dx.doi.org/10.1016/j.annemergmed.2014.11.017</w:t>
              </w:r>
            </w:hyperlink>
          </w:p>
        </w:tc>
      </w:tr>
      <w:tr w:rsidR="00320AA2" w:rsidRPr="00255EF8" w:rsidTr="00973D45">
        <w:tc>
          <w:tcPr>
            <w:tcW w:w="1080" w:type="dxa"/>
            <w:tcBorders>
              <w:top w:val="single" w:sz="4" w:space="0" w:color="auto"/>
              <w:left w:val="single" w:sz="4" w:space="0" w:color="auto"/>
              <w:bottom w:val="single" w:sz="4" w:space="0" w:color="auto"/>
              <w:right w:val="single" w:sz="4" w:space="0" w:color="auto"/>
            </w:tcBorders>
            <w:vAlign w:val="center"/>
          </w:tcPr>
          <w:p w:rsidR="00320AA2" w:rsidRPr="00255EF8" w:rsidRDefault="00320AA2" w:rsidP="00973D4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C4A3D" w:rsidRPr="00255EF8" w:rsidRDefault="003C4A3D" w:rsidP="003C4A3D">
            <w:pPr>
              <w:rPr>
                <w:color w:val="333333"/>
                <w:shd w:val="clear" w:color="auto" w:fill="FFFFFF"/>
                <w:lang w:val="en-AU"/>
              </w:rPr>
            </w:pPr>
            <w:r>
              <w:rPr>
                <w:color w:val="333333"/>
                <w:shd w:val="clear" w:color="auto" w:fill="FFFFFF"/>
                <w:lang w:val="en-AU"/>
              </w:rPr>
              <w:t xml:space="preserve">Computerised medication systems are intended eliminate or at least ameliorate some medication errors. However, as with the introduction of any innovation, technology or change, there is the possibility of permitting new errors. This paper reports on the insertion of </w:t>
            </w:r>
            <w:r w:rsidRPr="003C4A3D">
              <w:rPr>
                <w:color w:val="333333"/>
                <w:shd w:val="clear" w:color="auto" w:fill="FFFFFF"/>
                <w:lang w:val="en-AU"/>
              </w:rPr>
              <w:t xml:space="preserve">patient verification dialog </w:t>
            </w:r>
            <w:r>
              <w:rPr>
                <w:color w:val="333333"/>
                <w:shd w:val="clear" w:color="auto" w:fill="FFFFFF"/>
                <w:lang w:val="en-AU"/>
              </w:rPr>
              <w:t xml:space="preserve">into a computerised provider order entry (CPOE) system. The dialog forced </w:t>
            </w:r>
            <w:r w:rsidRPr="003C4A3D">
              <w:rPr>
                <w:color w:val="333333"/>
                <w:shd w:val="clear" w:color="auto" w:fill="FFFFFF"/>
                <w:lang w:val="en-AU"/>
              </w:rPr>
              <w:t>providers to confirm the patient's identity after a mandatory 2.5-second delay</w:t>
            </w:r>
            <w:r>
              <w:rPr>
                <w:color w:val="333333"/>
                <w:shd w:val="clear" w:color="auto" w:fill="FFFFFF"/>
                <w:lang w:val="en-AU"/>
              </w:rPr>
              <w:t xml:space="preserve"> at the start of an order. The study found that </w:t>
            </w:r>
            <w:r w:rsidRPr="003C4A3D">
              <w:rPr>
                <w:b/>
                <w:color w:val="333333"/>
                <w:shd w:val="clear" w:color="auto" w:fill="FFFFFF"/>
                <w:lang w:val="en-AU"/>
              </w:rPr>
              <w:t xml:space="preserve">wrong-patient orders </w:t>
            </w:r>
            <w:r w:rsidRPr="003C4A3D">
              <w:rPr>
                <w:color w:val="333333"/>
                <w:shd w:val="clear" w:color="auto" w:fill="FFFFFF"/>
                <w:lang w:val="en-AU"/>
              </w:rPr>
              <w:t>were</w:t>
            </w:r>
            <w:r w:rsidRPr="003C4A3D">
              <w:rPr>
                <w:b/>
                <w:color w:val="333333"/>
                <w:shd w:val="clear" w:color="auto" w:fill="FFFFFF"/>
                <w:lang w:val="en-AU"/>
              </w:rPr>
              <w:t xml:space="preserve"> reduced by 30%</w:t>
            </w:r>
            <w:r w:rsidRPr="003C4A3D">
              <w:rPr>
                <w:color w:val="333333"/>
                <w:shd w:val="clear" w:color="auto" w:fill="FFFFFF"/>
                <w:lang w:val="en-AU"/>
              </w:rPr>
              <w:t xml:space="preserve"> immediately after implementation</w:t>
            </w:r>
            <w:r>
              <w:rPr>
                <w:color w:val="333333"/>
                <w:shd w:val="clear" w:color="auto" w:fill="FFFFFF"/>
                <w:lang w:val="en-AU"/>
              </w:rPr>
              <w:t xml:space="preserve"> and after 2</w:t>
            </w:r>
            <w:r w:rsidRPr="003C4A3D">
              <w:rPr>
                <w:color w:val="333333"/>
                <w:shd w:val="clear" w:color="auto" w:fill="FFFFFF"/>
                <w:lang w:val="en-AU"/>
              </w:rPr>
              <w:t>, the rate of wrong-patient orders remained 24.8% less than before intervention.</w:t>
            </w:r>
            <w:r>
              <w:rPr>
                <w:color w:val="333333"/>
                <w:shd w:val="clear" w:color="auto" w:fill="FFFFFF"/>
                <w:lang w:val="en-AU"/>
              </w:rPr>
              <w:t xml:space="preserve"> Thus an intervention that added a couple of seconds to an order dropped the rate of wrong-patients substantially.</w:t>
            </w:r>
          </w:p>
        </w:tc>
      </w:tr>
    </w:tbl>
    <w:p w:rsidR="00320AA2" w:rsidRDefault="00320AA2" w:rsidP="00320AA2">
      <w:pPr>
        <w:keepNext/>
        <w:keepLines/>
        <w:autoSpaceDE w:val="0"/>
        <w:autoSpaceDN w:val="0"/>
        <w:adjustRightInd w:val="0"/>
        <w:rPr>
          <w:lang w:val="en-AU"/>
        </w:rPr>
      </w:pPr>
    </w:p>
    <w:p w:rsidR="003C4A3D" w:rsidRDefault="003C4A3D" w:rsidP="00320AA2">
      <w:pPr>
        <w:keepNext/>
        <w:keepLines/>
        <w:autoSpaceDE w:val="0"/>
        <w:autoSpaceDN w:val="0"/>
        <w:adjustRightInd w:val="0"/>
        <w:rPr>
          <w:lang w:val="en-AU"/>
        </w:rPr>
      </w:pPr>
      <w:r w:rsidRPr="00255EF8">
        <w:rPr>
          <w:lang w:val="en-AU"/>
        </w:rPr>
        <w:t>For information on the Commission’s work on</w:t>
      </w:r>
      <w:r>
        <w:rPr>
          <w:lang w:val="en-AU"/>
        </w:rPr>
        <w:t xml:space="preserve"> medication safety, including electronic medication management see </w:t>
      </w:r>
      <w:hyperlink r:id="rId30" w:history="1">
        <w:r w:rsidRPr="00A2066B">
          <w:rPr>
            <w:rStyle w:val="Hyperlink"/>
            <w:lang w:val="en-AU"/>
          </w:rPr>
          <w:t>www.safetyandquality.gov.au/our-work/medication-safety/</w:t>
        </w:r>
      </w:hyperlink>
      <w:r>
        <w:rPr>
          <w:lang w:val="en-AU"/>
        </w:rPr>
        <w:t xml:space="preserve"> </w:t>
      </w:r>
    </w:p>
    <w:p w:rsidR="003C4A3D" w:rsidRDefault="003C4A3D" w:rsidP="00320AA2">
      <w:pPr>
        <w:keepNext/>
        <w:keepLines/>
        <w:autoSpaceDE w:val="0"/>
        <w:autoSpaceDN w:val="0"/>
        <w:adjustRightInd w:val="0"/>
        <w:rPr>
          <w:lang w:val="en-AU"/>
        </w:rPr>
      </w:pPr>
    </w:p>
    <w:p w:rsidR="00B02CF1" w:rsidRPr="00B02CF1" w:rsidRDefault="00B02CF1" w:rsidP="00B02CF1">
      <w:pPr>
        <w:keepNext/>
        <w:keepLines/>
        <w:autoSpaceDE w:val="0"/>
        <w:autoSpaceDN w:val="0"/>
        <w:adjustRightInd w:val="0"/>
        <w:rPr>
          <w:i/>
          <w:lang w:val="en-AU"/>
        </w:rPr>
      </w:pPr>
      <w:r w:rsidRPr="00B02CF1">
        <w:rPr>
          <w:i/>
          <w:lang w:val="en-AU"/>
        </w:rPr>
        <w:t>At Risk Care Plans: A Way to Reduce Readmissions and Adverse Events</w:t>
      </w:r>
    </w:p>
    <w:p w:rsidR="00DB0331" w:rsidRDefault="00DB0331" w:rsidP="00320AA2">
      <w:pPr>
        <w:keepNext/>
        <w:keepLines/>
        <w:autoSpaceDE w:val="0"/>
        <w:autoSpaceDN w:val="0"/>
        <w:adjustRightInd w:val="0"/>
        <w:rPr>
          <w:lang w:val="en-AU"/>
        </w:rPr>
      </w:pPr>
      <w:proofErr w:type="spellStart"/>
      <w:r w:rsidRPr="00DB0331">
        <w:rPr>
          <w:lang w:val="en-AU"/>
        </w:rPr>
        <w:t>Bahle</w:t>
      </w:r>
      <w:proofErr w:type="spellEnd"/>
      <w:r w:rsidRPr="00DB0331">
        <w:rPr>
          <w:lang w:val="en-AU"/>
        </w:rPr>
        <w:t xml:space="preserve"> J, </w:t>
      </w:r>
      <w:proofErr w:type="spellStart"/>
      <w:r w:rsidRPr="00DB0331">
        <w:rPr>
          <w:lang w:val="en-AU"/>
        </w:rPr>
        <w:t>Majercik</w:t>
      </w:r>
      <w:proofErr w:type="spellEnd"/>
      <w:r w:rsidRPr="00DB0331">
        <w:rPr>
          <w:lang w:val="en-AU"/>
        </w:rPr>
        <w:t xml:space="preserve"> C, </w:t>
      </w:r>
      <w:proofErr w:type="spellStart"/>
      <w:r w:rsidRPr="00DB0331">
        <w:rPr>
          <w:lang w:val="en-AU"/>
        </w:rPr>
        <w:t>Ludwick</w:t>
      </w:r>
      <w:proofErr w:type="spellEnd"/>
      <w:r w:rsidRPr="00DB0331">
        <w:rPr>
          <w:lang w:val="en-AU"/>
        </w:rPr>
        <w:t xml:space="preserve"> R, </w:t>
      </w:r>
      <w:proofErr w:type="spellStart"/>
      <w:r w:rsidRPr="00DB0331">
        <w:rPr>
          <w:lang w:val="en-AU"/>
        </w:rPr>
        <w:t>Bukosky</w:t>
      </w:r>
      <w:proofErr w:type="spellEnd"/>
      <w:r w:rsidRPr="00DB0331">
        <w:rPr>
          <w:lang w:val="en-AU"/>
        </w:rPr>
        <w:t xml:space="preserve"> H, </w:t>
      </w:r>
      <w:proofErr w:type="spellStart"/>
      <w:r w:rsidRPr="00DB0331">
        <w:rPr>
          <w:lang w:val="en-AU"/>
        </w:rPr>
        <w:t>Frase</w:t>
      </w:r>
      <w:proofErr w:type="spellEnd"/>
      <w:r w:rsidRPr="00DB0331">
        <w:rPr>
          <w:lang w:val="en-AU"/>
        </w:rPr>
        <w:t xml:space="preserve"> D</w:t>
      </w:r>
    </w:p>
    <w:p w:rsidR="00320AA2" w:rsidRPr="00255EF8" w:rsidRDefault="00DB0331" w:rsidP="00320AA2">
      <w:pPr>
        <w:keepNext/>
        <w:keepLines/>
        <w:autoSpaceDE w:val="0"/>
        <w:autoSpaceDN w:val="0"/>
        <w:adjustRightInd w:val="0"/>
        <w:rPr>
          <w:lang w:val="en-AU"/>
        </w:rPr>
      </w:pPr>
      <w:r w:rsidRPr="00DB0331">
        <w:rPr>
          <w:lang w:val="en-AU"/>
        </w:rPr>
        <w:t xml:space="preserve">J </w:t>
      </w:r>
      <w:proofErr w:type="spellStart"/>
      <w:r w:rsidRPr="00DB0331">
        <w:rPr>
          <w:lang w:val="en-AU"/>
        </w:rPr>
        <w:t>Nurs</w:t>
      </w:r>
      <w:proofErr w:type="spellEnd"/>
      <w:r w:rsidRPr="00DB0331">
        <w:rPr>
          <w:lang w:val="en-AU"/>
        </w:rPr>
        <w:t xml:space="preserve"> Care Qual. 2014 Dec 10.</w:t>
      </w:r>
    </w:p>
    <w:tbl>
      <w:tblPr>
        <w:tblStyle w:val="TableGrid"/>
        <w:tblW w:w="0" w:type="auto"/>
        <w:tblInd w:w="288" w:type="dxa"/>
        <w:tblLayout w:type="fixed"/>
        <w:tblLook w:val="01E0" w:firstRow="1" w:lastRow="1" w:firstColumn="1" w:lastColumn="1" w:noHBand="0" w:noVBand="0"/>
      </w:tblPr>
      <w:tblGrid>
        <w:gridCol w:w="1080"/>
        <w:gridCol w:w="8280"/>
      </w:tblGrid>
      <w:tr w:rsidR="00320AA2" w:rsidRPr="00255EF8" w:rsidTr="00973D45">
        <w:tc>
          <w:tcPr>
            <w:tcW w:w="1080" w:type="dxa"/>
            <w:tcBorders>
              <w:top w:val="single" w:sz="4" w:space="0" w:color="auto"/>
              <w:left w:val="single" w:sz="4" w:space="0" w:color="auto"/>
              <w:bottom w:val="single" w:sz="4" w:space="0" w:color="auto"/>
              <w:right w:val="single" w:sz="4" w:space="0" w:color="auto"/>
            </w:tcBorders>
            <w:vAlign w:val="center"/>
          </w:tcPr>
          <w:p w:rsidR="00320AA2" w:rsidRPr="00255EF8" w:rsidRDefault="00320AA2" w:rsidP="00973D45">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20AA2" w:rsidRPr="00255EF8" w:rsidRDefault="00F41ED8" w:rsidP="00973D45">
            <w:pPr>
              <w:rPr>
                <w:lang w:val="en-AU"/>
              </w:rPr>
            </w:pPr>
            <w:hyperlink r:id="rId31" w:history="1">
              <w:r w:rsidR="00DB0331" w:rsidRPr="00A2066B">
                <w:rPr>
                  <w:rStyle w:val="Hyperlink"/>
                  <w:lang w:val="en-AU"/>
                </w:rPr>
                <w:t>http://dx.doi.org/10.1097/NCQ.0000000000000106</w:t>
              </w:r>
            </w:hyperlink>
          </w:p>
        </w:tc>
      </w:tr>
      <w:tr w:rsidR="00320AA2" w:rsidRPr="00255EF8" w:rsidTr="00973D45">
        <w:tc>
          <w:tcPr>
            <w:tcW w:w="1080" w:type="dxa"/>
            <w:tcBorders>
              <w:top w:val="single" w:sz="4" w:space="0" w:color="auto"/>
              <w:left w:val="single" w:sz="4" w:space="0" w:color="auto"/>
              <w:bottom w:val="single" w:sz="4" w:space="0" w:color="auto"/>
              <w:right w:val="single" w:sz="4" w:space="0" w:color="auto"/>
            </w:tcBorders>
            <w:vAlign w:val="center"/>
          </w:tcPr>
          <w:p w:rsidR="00320AA2" w:rsidRPr="00255EF8" w:rsidRDefault="00320AA2" w:rsidP="00973D4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20AA2" w:rsidRDefault="009C1B51" w:rsidP="009C1B51">
            <w:pPr>
              <w:rPr>
                <w:color w:val="333333"/>
                <w:shd w:val="clear" w:color="auto" w:fill="FFFFFF"/>
                <w:lang w:val="en-AU"/>
              </w:rPr>
            </w:pPr>
            <w:r>
              <w:rPr>
                <w:color w:val="333333"/>
                <w:shd w:val="clear" w:color="auto" w:fill="FFFFFF"/>
                <w:lang w:val="en-AU"/>
              </w:rPr>
              <w:t xml:space="preserve">Falls are a significant cause of harm in healthcare facilities. This paper describes one hospital’s </w:t>
            </w:r>
            <w:r w:rsidRPr="009C1B51">
              <w:rPr>
                <w:color w:val="333333"/>
                <w:shd w:val="clear" w:color="auto" w:fill="FFFFFF"/>
                <w:lang w:val="en-AU"/>
              </w:rPr>
              <w:t xml:space="preserve">development and </w:t>
            </w:r>
            <w:r>
              <w:rPr>
                <w:color w:val="333333"/>
                <w:shd w:val="clear" w:color="auto" w:fill="FFFFFF"/>
                <w:lang w:val="en-AU"/>
              </w:rPr>
              <w:t xml:space="preserve">implementation of a program that identified patients with a risk of calling and a </w:t>
            </w:r>
            <w:r w:rsidRPr="009C1B51">
              <w:rPr>
                <w:color w:val="333333"/>
                <w:shd w:val="clear" w:color="auto" w:fill="FFFFFF"/>
                <w:lang w:val="en-AU"/>
              </w:rPr>
              <w:t>targeted care plan that included enhancing care coordination, teamwork, and communication of care needs.</w:t>
            </w:r>
            <w:r>
              <w:rPr>
                <w:color w:val="333333"/>
                <w:shd w:val="clear" w:color="auto" w:fill="FFFFFF"/>
                <w:lang w:val="en-AU"/>
              </w:rPr>
              <w:t xml:space="preserve"> The authors argue that these intervention</w:t>
            </w:r>
            <w:r w:rsidRPr="009C1B51">
              <w:rPr>
                <w:color w:val="333333"/>
                <w:shd w:val="clear" w:color="auto" w:fill="FFFFFF"/>
                <w:lang w:val="en-AU"/>
              </w:rPr>
              <w:t xml:space="preserve">s </w:t>
            </w:r>
            <w:r>
              <w:rPr>
                <w:color w:val="333333"/>
                <w:shd w:val="clear" w:color="auto" w:fill="FFFFFF"/>
                <w:lang w:val="en-AU"/>
              </w:rPr>
              <w:t>have “</w:t>
            </w:r>
            <w:r w:rsidRPr="009C1B51">
              <w:rPr>
                <w:color w:val="333333"/>
                <w:shd w:val="clear" w:color="auto" w:fill="FFFFFF"/>
                <w:lang w:val="en-AU"/>
              </w:rPr>
              <w:t>dramatically reduced hospital readmissions, costs, and adverse events for high-risk adult inpatients</w:t>
            </w:r>
            <w:r>
              <w:rPr>
                <w:color w:val="333333"/>
                <w:shd w:val="clear" w:color="auto" w:fill="FFFFFF"/>
                <w:lang w:val="en-AU"/>
              </w:rPr>
              <w:t>”</w:t>
            </w:r>
            <w:r w:rsidRPr="009C1B51">
              <w:rPr>
                <w:color w:val="333333"/>
                <w:shd w:val="clear" w:color="auto" w:fill="FFFFFF"/>
                <w:lang w:val="en-AU"/>
              </w:rPr>
              <w:t xml:space="preserve"> in </w:t>
            </w:r>
            <w:r>
              <w:rPr>
                <w:color w:val="333333"/>
                <w:shd w:val="clear" w:color="auto" w:fill="FFFFFF"/>
                <w:lang w:val="en-AU"/>
              </w:rPr>
              <w:t xml:space="preserve">their </w:t>
            </w:r>
            <w:r w:rsidRPr="009C1B51">
              <w:rPr>
                <w:color w:val="333333"/>
                <w:shd w:val="clear" w:color="auto" w:fill="FFFFFF"/>
                <w:lang w:val="en-AU"/>
              </w:rPr>
              <w:t>community hospital.</w:t>
            </w:r>
          </w:p>
          <w:p w:rsidR="009C1B51" w:rsidRPr="00255EF8" w:rsidRDefault="009C1B51" w:rsidP="00973D45">
            <w:pPr>
              <w:rPr>
                <w:color w:val="333333"/>
                <w:shd w:val="clear" w:color="auto" w:fill="FFFFFF"/>
                <w:lang w:val="en-AU"/>
              </w:rPr>
            </w:pPr>
            <w:r>
              <w:rPr>
                <w:color w:val="333333"/>
                <w:shd w:val="clear" w:color="auto" w:fill="FFFFFF"/>
                <w:lang w:val="en-AU"/>
              </w:rPr>
              <w:t>Falls assessments and associated programs are relatively common in some hospital systems in recognition of the scale of the problems that falls can pose.</w:t>
            </w:r>
          </w:p>
        </w:tc>
      </w:tr>
    </w:tbl>
    <w:p w:rsidR="00320AA2" w:rsidRDefault="00320AA2" w:rsidP="00320AA2">
      <w:pPr>
        <w:keepLines/>
        <w:autoSpaceDE w:val="0"/>
        <w:autoSpaceDN w:val="0"/>
        <w:adjustRightInd w:val="0"/>
        <w:rPr>
          <w:lang w:val="en-AU"/>
        </w:rPr>
      </w:pPr>
    </w:p>
    <w:p w:rsidR="009C1B51" w:rsidRDefault="009C1B51" w:rsidP="00320AA2">
      <w:pPr>
        <w:keepLines/>
        <w:autoSpaceDE w:val="0"/>
        <w:autoSpaceDN w:val="0"/>
        <w:adjustRightInd w:val="0"/>
        <w:rPr>
          <w:lang w:val="en-AU"/>
        </w:rPr>
      </w:pPr>
      <w:r w:rsidRPr="00255EF8">
        <w:rPr>
          <w:lang w:val="en-AU"/>
        </w:rPr>
        <w:t>For information on the Commission’s work on</w:t>
      </w:r>
      <w:r>
        <w:rPr>
          <w:lang w:val="en-AU"/>
        </w:rPr>
        <w:t xml:space="preserve"> falls prevention, including the falls prevention guidelines see </w:t>
      </w:r>
      <w:hyperlink r:id="rId32" w:history="1">
        <w:r w:rsidRPr="00A2066B">
          <w:rPr>
            <w:rStyle w:val="Hyperlink"/>
            <w:lang w:val="en-AU"/>
          </w:rPr>
          <w:t>http://www.safetyandquality.gov.au/our-work/falls-prevention/</w:t>
        </w:r>
      </w:hyperlink>
      <w:r>
        <w:rPr>
          <w:lang w:val="en-AU"/>
        </w:rPr>
        <w:t xml:space="preserve"> </w:t>
      </w:r>
    </w:p>
    <w:p w:rsidR="00167A0E" w:rsidRDefault="00167A0E" w:rsidP="00167A0E">
      <w:pPr>
        <w:keepLines/>
        <w:autoSpaceDE w:val="0"/>
        <w:autoSpaceDN w:val="0"/>
        <w:adjustRightInd w:val="0"/>
        <w:rPr>
          <w:lang w:val="en-AU"/>
        </w:rPr>
      </w:pPr>
    </w:p>
    <w:p w:rsidR="00B80C80" w:rsidRPr="0091691E" w:rsidRDefault="00B80C80" w:rsidP="00B80C80">
      <w:pPr>
        <w:keepNext/>
        <w:rPr>
          <w:i/>
          <w:lang w:val="en-AU"/>
        </w:rPr>
      </w:pPr>
      <w:r w:rsidRPr="0091691E">
        <w:rPr>
          <w:i/>
          <w:lang w:val="en-AU"/>
        </w:rPr>
        <w:t>BMJ Quality and Safety</w:t>
      </w:r>
    </w:p>
    <w:p w:rsidR="00B80C80" w:rsidRPr="0091691E" w:rsidRDefault="00B80C80" w:rsidP="00B80C80">
      <w:pPr>
        <w:keepNext/>
        <w:rPr>
          <w:lang w:val="en-AU"/>
        </w:rPr>
      </w:pPr>
      <w:r>
        <w:rPr>
          <w:lang w:val="en-AU"/>
        </w:rPr>
        <w:t>March 2015, Vol. 24, Issue 3</w:t>
      </w:r>
    </w:p>
    <w:tbl>
      <w:tblPr>
        <w:tblStyle w:val="TableGrid"/>
        <w:tblW w:w="9360" w:type="dxa"/>
        <w:tblInd w:w="288" w:type="dxa"/>
        <w:tblLayout w:type="fixed"/>
        <w:tblLook w:val="04A0" w:firstRow="1" w:lastRow="0" w:firstColumn="1" w:lastColumn="0" w:noHBand="0" w:noVBand="1"/>
      </w:tblPr>
      <w:tblGrid>
        <w:gridCol w:w="1080"/>
        <w:gridCol w:w="8280"/>
      </w:tblGrid>
      <w:tr w:rsidR="00B80C80" w:rsidRPr="0091691E" w:rsidTr="00990BBC">
        <w:tc>
          <w:tcPr>
            <w:tcW w:w="1080" w:type="dxa"/>
          </w:tcPr>
          <w:p w:rsidR="00B80C80" w:rsidRPr="0091691E" w:rsidRDefault="00B80C80" w:rsidP="00990BBC">
            <w:pPr>
              <w:rPr>
                <w:lang w:val="en-AU"/>
              </w:rPr>
            </w:pPr>
            <w:r w:rsidRPr="0091691E">
              <w:rPr>
                <w:lang w:val="en-AU"/>
              </w:rPr>
              <w:t>URL</w:t>
            </w:r>
          </w:p>
        </w:tc>
        <w:tc>
          <w:tcPr>
            <w:tcW w:w="8280" w:type="dxa"/>
          </w:tcPr>
          <w:p w:rsidR="00B80C80" w:rsidRPr="0091691E" w:rsidRDefault="00F41ED8" w:rsidP="00B80C80">
            <w:pPr>
              <w:keepNext/>
              <w:rPr>
                <w:lang w:val="en-AU"/>
              </w:rPr>
            </w:pPr>
            <w:hyperlink r:id="rId33" w:history="1">
              <w:r w:rsidR="00B80C80" w:rsidRPr="00235568">
                <w:rPr>
                  <w:rStyle w:val="Hyperlink"/>
                  <w:lang w:val="en-AU"/>
                </w:rPr>
                <w:t>http://qualitysafety.bmj.com/content/24/3</w:t>
              </w:r>
            </w:hyperlink>
          </w:p>
        </w:tc>
      </w:tr>
      <w:tr w:rsidR="00B80C80" w:rsidRPr="0091691E" w:rsidTr="00990BBC">
        <w:tblPrEx>
          <w:tblLook w:val="01E0" w:firstRow="1" w:lastRow="1" w:firstColumn="1" w:lastColumn="1" w:noHBand="0" w:noVBand="0"/>
        </w:tblPrEx>
        <w:tc>
          <w:tcPr>
            <w:tcW w:w="1080" w:type="dxa"/>
            <w:vAlign w:val="center"/>
          </w:tcPr>
          <w:p w:rsidR="00B80C80" w:rsidRPr="0091691E" w:rsidRDefault="00B80C80" w:rsidP="00990BBC">
            <w:pPr>
              <w:rPr>
                <w:lang w:val="en-AU"/>
              </w:rPr>
            </w:pPr>
            <w:r w:rsidRPr="0091691E">
              <w:rPr>
                <w:lang w:val="en-AU"/>
              </w:rPr>
              <w:t>Notes</w:t>
            </w:r>
          </w:p>
        </w:tc>
        <w:tc>
          <w:tcPr>
            <w:tcW w:w="8280" w:type="dxa"/>
            <w:vAlign w:val="center"/>
          </w:tcPr>
          <w:p w:rsidR="00B80C80" w:rsidRPr="0091691E" w:rsidRDefault="00B80C80" w:rsidP="00990BBC">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B80C80" w:rsidRPr="0008278C" w:rsidRDefault="00B80C80" w:rsidP="00B80C80">
            <w:pPr>
              <w:numPr>
                <w:ilvl w:val="0"/>
                <w:numId w:val="26"/>
              </w:numPr>
              <w:rPr>
                <w:lang w:val="en-AU"/>
              </w:rPr>
            </w:pPr>
            <w:r w:rsidRPr="0008278C">
              <w:rPr>
                <w:lang w:val="en-AU"/>
              </w:rPr>
              <w:t xml:space="preserve">Editorial: </w:t>
            </w:r>
            <w:r w:rsidRPr="0008278C">
              <w:rPr>
                <w:b/>
                <w:lang w:val="en-AU"/>
              </w:rPr>
              <w:t>Assessing patient safety competencies</w:t>
            </w:r>
            <w:r w:rsidRPr="0008278C">
              <w:rPr>
                <w:lang w:val="en-AU"/>
              </w:rPr>
              <w:t xml:space="preserve"> using Objective Structured Clinical Exams: a new twist on an old tool </w:t>
            </w:r>
            <w:r w:rsidR="0008278C" w:rsidRPr="0008278C">
              <w:rPr>
                <w:lang w:val="en-AU"/>
              </w:rPr>
              <w:t>(</w:t>
            </w:r>
            <w:proofErr w:type="spellStart"/>
            <w:r w:rsidRPr="0008278C">
              <w:rPr>
                <w:lang w:val="en-AU"/>
              </w:rPr>
              <w:t>Lynfa</w:t>
            </w:r>
            <w:proofErr w:type="spellEnd"/>
            <w:r w:rsidRPr="0008278C">
              <w:rPr>
                <w:lang w:val="en-AU"/>
              </w:rPr>
              <w:t xml:space="preserve"> Stroud, </w:t>
            </w:r>
            <w:proofErr w:type="spellStart"/>
            <w:r w:rsidRPr="0008278C">
              <w:rPr>
                <w:lang w:val="en-AU"/>
              </w:rPr>
              <w:t>Arpana</w:t>
            </w:r>
            <w:proofErr w:type="spellEnd"/>
            <w:r w:rsidRPr="0008278C">
              <w:rPr>
                <w:lang w:val="en-AU"/>
              </w:rPr>
              <w:t xml:space="preserve"> R </w:t>
            </w:r>
            <w:proofErr w:type="spellStart"/>
            <w:r w:rsidRPr="0008278C">
              <w:rPr>
                <w:lang w:val="en-AU"/>
              </w:rPr>
              <w:t>Vidyarthi</w:t>
            </w:r>
            <w:proofErr w:type="spellEnd"/>
            <w:r w:rsidR="0008278C">
              <w:rPr>
                <w:lang w:val="en-AU"/>
              </w:rPr>
              <w:t>)</w:t>
            </w:r>
          </w:p>
          <w:p w:rsidR="00B80C80" w:rsidRPr="0008278C" w:rsidRDefault="0008278C" w:rsidP="00B80C80">
            <w:pPr>
              <w:numPr>
                <w:ilvl w:val="0"/>
                <w:numId w:val="26"/>
              </w:numPr>
              <w:rPr>
                <w:lang w:val="en-AU"/>
              </w:rPr>
            </w:pPr>
            <w:r w:rsidRPr="0008278C">
              <w:rPr>
                <w:lang w:val="en-AU"/>
              </w:rPr>
              <w:t xml:space="preserve">Editorial: </w:t>
            </w:r>
            <w:r w:rsidR="00B80C80" w:rsidRPr="0008278C">
              <w:rPr>
                <w:b/>
                <w:lang w:val="en-AU"/>
              </w:rPr>
              <w:t>Parent-activated medical emergency teams</w:t>
            </w:r>
            <w:r w:rsidR="00B80C80" w:rsidRPr="0008278C">
              <w:rPr>
                <w:lang w:val="en-AU"/>
              </w:rPr>
              <w:t xml:space="preserve">: a parent's perspective </w:t>
            </w:r>
            <w:r w:rsidRPr="0008278C">
              <w:rPr>
                <w:lang w:val="en-AU"/>
              </w:rPr>
              <w:t>(</w:t>
            </w:r>
            <w:r w:rsidR="00B80C80" w:rsidRPr="0008278C">
              <w:rPr>
                <w:lang w:val="en-AU"/>
              </w:rPr>
              <w:t xml:space="preserve">James </w:t>
            </w:r>
            <w:proofErr w:type="spellStart"/>
            <w:r w:rsidR="00B80C80" w:rsidRPr="0008278C">
              <w:rPr>
                <w:lang w:val="en-AU"/>
              </w:rPr>
              <w:t>Titcombe</w:t>
            </w:r>
            <w:proofErr w:type="spellEnd"/>
            <w:r>
              <w:rPr>
                <w:lang w:val="en-AU"/>
              </w:rPr>
              <w:t>)</w:t>
            </w:r>
          </w:p>
          <w:p w:rsidR="00B80C80" w:rsidRPr="0008278C" w:rsidRDefault="0008278C" w:rsidP="00B80C80">
            <w:pPr>
              <w:numPr>
                <w:ilvl w:val="0"/>
                <w:numId w:val="26"/>
              </w:numPr>
              <w:rPr>
                <w:lang w:val="en-AU"/>
              </w:rPr>
            </w:pPr>
            <w:r w:rsidRPr="0008278C">
              <w:rPr>
                <w:lang w:val="en-AU"/>
              </w:rPr>
              <w:t xml:space="preserve">Editorial: </w:t>
            </w:r>
            <w:r w:rsidR="00B80C80" w:rsidRPr="0008278C">
              <w:rPr>
                <w:lang w:val="en-AU"/>
              </w:rPr>
              <w:t xml:space="preserve">New SQUIRE </w:t>
            </w:r>
            <w:r w:rsidR="00B80C80" w:rsidRPr="0008278C">
              <w:rPr>
                <w:b/>
                <w:lang w:val="en-AU"/>
              </w:rPr>
              <w:t>publication guidelines</w:t>
            </w:r>
            <w:r w:rsidR="00B80C80" w:rsidRPr="0008278C">
              <w:rPr>
                <w:lang w:val="en-AU"/>
              </w:rPr>
              <w:t xml:space="preserve">: supporting nuanced reporting and reflection on complex interventions </w:t>
            </w:r>
            <w:r w:rsidRPr="0008278C">
              <w:rPr>
                <w:lang w:val="en-AU"/>
              </w:rPr>
              <w:t>(</w:t>
            </w:r>
            <w:r w:rsidR="00B80C80" w:rsidRPr="0008278C">
              <w:rPr>
                <w:lang w:val="en-AU"/>
              </w:rPr>
              <w:t xml:space="preserve">Louise Davies, Greg </w:t>
            </w:r>
            <w:proofErr w:type="spellStart"/>
            <w:r w:rsidR="00B80C80" w:rsidRPr="0008278C">
              <w:rPr>
                <w:lang w:val="en-AU"/>
              </w:rPr>
              <w:t>Ogrinc</w:t>
            </w:r>
            <w:proofErr w:type="spellEnd"/>
            <w:r>
              <w:rPr>
                <w:lang w:val="en-AU"/>
              </w:rPr>
              <w:t>)</w:t>
            </w:r>
          </w:p>
          <w:p w:rsidR="00B80C80" w:rsidRPr="0008278C" w:rsidRDefault="0008278C" w:rsidP="00B80C80">
            <w:pPr>
              <w:numPr>
                <w:ilvl w:val="0"/>
                <w:numId w:val="26"/>
              </w:numPr>
              <w:rPr>
                <w:lang w:val="en-AU"/>
              </w:rPr>
            </w:pPr>
            <w:r w:rsidRPr="0008278C">
              <w:rPr>
                <w:lang w:val="en-AU"/>
              </w:rPr>
              <w:t xml:space="preserve">Editorial: </w:t>
            </w:r>
            <w:r w:rsidR="00B80C80" w:rsidRPr="0008278C">
              <w:rPr>
                <w:lang w:val="en-AU"/>
              </w:rPr>
              <w:t xml:space="preserve">But I told you she was ill! The role of </w:t>
            </w:r>
            <w:r w:rsidR="00B80C80" w:rsidRPr="0008278C">
              <w:rPr>
                <w:b/>
                <w:lang w:val="en-AU"/>
              </w:rPr>
              <w:t>families</w:t>
            </w:r>
            <w:r w:rsidR="00B80C80" w:rsidRPr="0008278C">
              <w:rPr>
                <w:lang w:val="en-AU"/>
              </w:rPr>
              <w:t xml:space="preserve"> in </w:t>
            </w:r>
            <w:r w:rsidR="00B80C80" w:rsidRPr="0008278C">
              <w:rPr>
                <w:b/>
                <w:lang w:val="en-AU"/>
              </w:rPr>
              <w:t>preventing avoidable harm in children</w:t>
            </w:r>
            <w:r w:rsidR="00B80C80" w:rsidRPr="0008278C">
              <w:rPr>
                <w:lang w:val="en-AU"/>
              </w:rPr>
              <w:t xml:space="preserve"> </w:t>
            </w:r>
            <w:r w:rsidRPr="0008278C">
              <w:rPr>
                <w:lang w:val="en-AU"/>
              </w:rPr>
              <w:t>(</w:t>
            </w:r>
            <w:r w:rsidR="00B80C80" w:rsidRPr="0008278C">
              <w:rPr>
                <w:lang w:val="en-AU"/>
              </w:rPr>
              <w:t>Damian Roland</w:t>
            </w:r>
            <w:r>
              <w:rPr>
                <w:lang w:val="en-AU"/>
              </w:rPr>
              <w:t>)</w:t>
            </w:r>
          </w:p>
          <w:p w:rsidR="00B80C80" w:rsidRPr="0008278C" w:rsidRDefault="00B80C80" w:rsidP="00B80C80">
            <w:pPr>
              <w:numPr>
                <w:ilvl w:val="0"/>
                <w:numId w:val="26"/>
              </w:numPr>
              <w:rPr>
                <w:lang w:val="en-AU"/>
              </w:rPr>
            </w:pPr>
            <w:r w:rsidRPr="0008278C">
              <w:rPr>
                <w:lang w:val="en-AU"/>
              </w:rPr>
              <w:lastRenderedPageBreak/>
              <w:t xml:space="preserve">Development and testing of an objective structured clinical exam (OSCE) to </w:t>
            </w:r>
            <w:r w:rsidRPr="0008278C">
              <w:rPr>
                <w:b/>
                <w:lang w:val="en-AU"/>
              </w:rPr>
              <w:t>assess</w:t>
            </w:r>
            <w:r w:rsidRPr="0008278C">
              <w:rPr>
                <w:lang w:val="en-AU"/>
              </w:rPr>
              <w:t xml:space="preserve"> socio-cultural dimension</w:t>
            </w:r>
            <w:r w:rsidR="0008278C" w:rsidRPr="0008278C">
              <w:rPr>
                <w:lang w:val="en-AU"/>
              </w:rPr>
              <w:t xml:space="preserve">s of </w:t>
            </w:r>
            <w:r w:rsidR="0008278C" w:rsidRPr="0008278C">
              <w:rPr>
                <w:b/>
                <w:lang w:val="en-AU"/>
              </w:rPr>
              <w:t>patient safety competency</w:t>
            </w:r>
            <w:r w:rsidR="0008278C" w:rsidRPr="0008278C">
              <w:rPr>
                <w:lang w:val="en-AU"/>
              </w:rPr>
              <w:t xml:space="preserve"> (</w:t>
            </w:r>
            <w:proofErr w:type="spellStart"/>
            <w:r w:rsidRPr="0008278C">
              <w:rPr>
                <w:lang w:val="en-AU"/>
              </w:rPr>
              <w:t>Liane</w:t>
            </w:r>
            <w:proofErr w:type="spellEnd"/>
            <w:r w:rsidRPr="0008278C">
              <w:rPr>
                <w:lang w:val="en-AU"/>
              </w:rPr>
              <w:t xml:space="preserve"> R Ginsburg, Deborah </w:t>
            </w:r>
            <w:proofErr w:type="spellStart"/>
            <w:r w:rsidRPr="0008278C">
              <w:rPr>
                <w:lang w:val="en-AU"/>
              </w:rPr>
              <w:t>Tregunno</w:t>
            </w:r>
            <w:proofErr w:type="spellEnd"/>
            <w:r w:rsidRPr="0008278C">
              <w:rPr>
                <w:lang w:val="en-AU"/>
              </w:rPr>
              <w:t xml:space="preserve">, Peter G Norton, Sydney </w:t>
            </w:r>
            <w:proofErr w:type="spellStart"/>
            <w:r w:rsidRPr="0008278C">
              <w:rPr>
                <w:lang w:val="en-AU"/>
              </w:rPr>
              <w:t>Smee</w:t>
            </w:r>
            <w:proofErr w:type="spellEnd"/>
            <w:r w:rsidRPr="0008278C">
              <w:rPr>
                <w:lang w:val="en-AU"/>
              </w:rPr>
              <w:t xml:space="preserve">, Ingrid de </w:t>
            </w:r>
            <w:proofErr w:type="spellStart"/>
            <w:r w:rsidRPr="0008278C">
              <w:rPr>
                <w:lang w:val="en-AU"/>
              </w:rPr>
              <w:t>Vries</w:t>
            </w:r>
            <w:proofErr w:type="spellEnd"/>
            <w:r w:rsidRPr="0008278C">
              <w:rPr>
                <w:lang w:val="en-AU"/>
              </w:rPr>
              <w:t xml:space="preserve">, Stefanie S </w:t>
            </w:r>
            <w:proofErr w:type="spellStart"/>
            <w:r w:rsidRPr="0008278C">
              <w:rPr>
                <w:lang w:val="en-AU"/>
              </w:rPr>
              <w:t>Sebok</w:t>
            </w:r>
            <w:proofErr w:type="spellEnd"/>
            <w:r w:rsidRPr="0008278C">
              <w:rPr>
                <w:lang w:val="en-AU"/>
              </w:rPr>
              <w:t xml:space="preserve">, E G </w:t>
            </w:r>
            <w:proofErr w:type="spellStart"/>
            <w:r w:rsidRPr="0008278C">
              <w:rPr>
                <w:lang w:val="en-AU"/>
              </w:rPr>
              <w:t>VanDenKerkhof</w:t>
            </w:r>
            <w:proofErr w:type="spellEnd"/>
            <w:r w:rsidRPr="0008278C">
              <w:rPr>
                <w:lang w:val="en-AU"/>
              </w:rPr>
              <w:t xml:space="preserve">, M </w:t>
            </w:r>
            <w:proofErr w:type="spellStart"/>
            <w:r w:rsidRPr="0008278C">
              <w:rPr>
                <w:lang w:val="en-AU"/>
              </w:rPr>
              <w:t>Luctkar-Flude</w:t>
            </w:r>
            <w:proofErr w:type="spellEnd"/>
            <w:r w:rsidRPr="0008278C">
              <w:rPr>
                <w:lang w:val="en-AU"/>
              </w:rPr>
              <w:t xml:space="preserve">, J </w:t>
            </w:r>
            <w:proofErr w:type="spellStart"/>
            <w:r w:rsidRPr="0008278C">
              <w:rPr>
                <w:lang w:val="en-AU"/>
              </w:rPr>
              <w:t>Medves</w:t>
            </w:r>
            <w:proofErr w:type="spellEnd"/>
            <w:r w:rsidR="0008278C">
              <w:rPr>
                <w:lang w:val="en-AU"/>
              </w:rPr>
              <w:t>)</w:t>
            </w:r>
          </w:p>
          <w:p w:rsidR="00B80C80" w:rsidRPr="0008278C" w:rsidRDefault="00B80C80" w:rsidP="00B80C80">
            <w:pPr>
              <w:numPr>
                <w:ilvl w:val="0"/>
                <w:numId w:val="26"/>
              </w:numPr>
              <w:rPr>
                <w:lang w:val="en-AU"/>
              </w:rPr>
            </w:pPr>
            <w:r w:rsidRPr="0008278C">
              <w:rPr>
                <w:lang w:val="en-AU"/>
              </w:rPr>
              <w:t xml:space="preserve">Do </w:t>
            </w:r>
            <w:r w:rsidRPr="0008278C">
              <w:rPr>
                <w:b/>
                <w:lang w:val="en-AU"/>
              </w:rPr>
              <w:t>patient-reported outcomes</w:t>
            </w:r>
            <w:r w:rsidRPr="0008278C">
              <w:rPr>
                <w:lang w:val="en-AU"/>
              </w:rPr>
              <w:t xml:space="preserve"> offer a more sensitive method for comparing the outcomes of consultants than mortality? A multilevel analysis of routine data </w:t>
            </w:r>
            <w:r w:rsidR="0008278C" w:rsidRPr="0008278C">
              <w:rPr>
                <w:lang w:val="en-AU"/>
              </w:rPr>
              <w:t>(</w:t>
            </w:r>
            <w:r w:rsidRPr="0008278C">
              <w:rPr>
                <w:lang w:val="en-AU"/>
              </w:rPr>
              <w:t xml:space="preserve">Mira </w:t>
            </w:r>
            <w:proofErr w:type="spellStart"/>
            <w:r w:rsidRPr="0008278C">
              <w:rPr>
                <w:lang w:val="en-AU"/>
              </w:rPr>
              <w:t>Varagunam</w:t>
            </w:r>
            <w:proofErr w:type="spellEnd"/>
            <w:r w:rsidRPr="0008278C">
              <w:rPr>
                <w:lang w:val="en-AU"/>
              </w:rPr>
              <w:t>, Andrew Hutchings, Nick Black</w:t>
            </w:r>
            <w:r w:rsidR="0008278C">
              <w:rPr>
                <w:lang w:val="en-AU"/>
              </w:rPr>
              <w:t>)</w:t>
            </w:r>
          </w:p>
          <w:p w:rsidR="00B80C80" w:rsidRPr="0008278C" w:rsidRDefault="00B80C80" w:rsidP="00B80C80">
            <w:pPr>
              <w:numPr>
                <w:ilvl w:val="0"/>
                <w:numId w:val="26"/>
              </w:numPr>
              <w:rPr>
                <w:lang w:val="en-AU"/>
              </w:rPr>
            </w:pPr>
            <w:r w:rsidRPr="0008278C">
              <w:rPr>
                <w:lang w:val="en-AU"/>
              </w:rPr>
              <w:t xml:space="preserve">Developing and evaluating the success of a </w:t>
            </w:r>
            <w:r w:rsidRPr="0008278C">
              <w:rPr>
                <w:b/>
                <w:lang w:val="en-AU"/>
              </w:rPr>
              <w:t>family activated medical emergency team</w:t>
            </w:r>
            <w:r w:rsidRPr="0008278C">
              <w:rPr>
                <w:lang w:val="en-AU"/>
              </w:rPr>
              <w:t xml:space="preserve">: a quality improvement report </w:t>
            </w:r>
            <w:r w:rsidR="0008278C" w:rsidRPr="0008278C">
              <w:rPr>
                <w:lang w:val="en-AU"/>
              </w:rPr>
              <w:t>(</w:t>
            </w:r>
            <w:r w:rsidRPr="0008278C">
              <w:rPr>
                <w:lang w:val="en-AU"/>
              </w:rPr>
              <w:t xml:space="preserve">Patrick W Brady, Julie </w:t>
            </w:r>
            <w:proofErr w:type="spellStart"/>
            <w:r w:rsidRPr="0008278C">
              <w:rPr>
                <w:lang w:val="en-AU"/>
              </w:rPr>
              <w:t>Zix</w:t>
            </w:r>
            <w:proofErr w:type="spellEnd"/>
            <w:r w:rsidRPr="0008278C">
              <w:rPr>
                <w:lang w:val="en-AU"/>
              </w:rPr>
              <w:t xml:space="preserve">, Richard </w:t>
            </w:r>
            <w:proofErr w:type="spellStart"/>
            <w:r w:rsidRPr="0008278C">
              <w:rPr>
                <w:lang w:val="en-AU"/>
              </w:rPr>
              <w:t>Brilli</w:t>
            </w:r>
            <w:proofErr w:type="spellEnd"/>
            <w:r w:rsidRPr="0008278C">
              <w:rPr>
                <w:lang w:val="en-AU"/>
              </w:rPr>
              <w:t xml:space="preserve">, Derek S Wheeler, Kristie Griffith, Mary Jo </w:t>
            </w:r>
            <w:proofErr w:type="spellStart"/>
            <w:r w:rsidRPr="0008278C">
              <w:rPr>
                <w:lang w:val="en-AU"/>
              </w:rPr>
              <w:t>Giaccone</w:t>
            </w:r>
            <w:proofErr w:type="spellEnd"/>
            <w:r w:rsidRPr="0008278C">
              <w:rPr>
                <w:lang w:val="en-AU"/>
              </w:rPr>
              <w:t xml:space="preserve">, Kathy </w:t>
            </w:r>
            <w:proofErr w:type="spellStart"/>
            <w:r w:rsidRPr="0008278C">
              <w:rPr>
                <w:lang w:val="en-AU"/>
              </w:rPr>
              <w:t>Dressman</w:t>
            </w:r>
            <w:proofErr w:type="spellEnd"/>
            <w:r w:rsidRPr="0008278C">
              <w:rPr>
                <w:lang w:val="en-AU"/>
              </w:rPr>
              <w:t xml:space="preserve">, Uma </w:t>
            </w:r>
            <w:proofErr w:type="spellStart"/>
            <w:r w:rsidRPr="0008278C">
              <w:rPr>
                <w:lang w:val="en-AU"/>
              </w:rPr>
              <w:t>Kotagal</w:t>
            </w:r>
            <w:proofErr w:type="spellEnd"/>
            <w:r w:rsidRPr="0008278C">
              <w:rPr>
                <w:lang w:val="en-AU"/>
              </w:rPr>
              <w:t xml:space="preserve">, Stephen </w:t>
            </w:r>
            <w:proofErr w:type="spellStart"/>
            <w:r w:rsidRPr="0008278C">
              <w:rPr>
                <w:lang w:val="en-AU"/>
              </w:rPr>
              <w:t>Muething</w:t>
            </w:r>
            <w:proofErr w:type="spellEnd"/>
            <w:r w:rsidRPr="0008278C">
              <w:rPr>
                <w:lang w:val="en-AU"/>
              </w:rPr>
              <w:t xml:space="preserve">, Ken </w:t>
            </w:r>
            <w:proofErr w:type="spellStart"/>
            <w:r w:rsidRPr="0008278C">
              <w:rPr>
                <w:lang w:val="en-AU"/>
              </w:rPr>
              <w:t>Tegtmeyer</w:t>
            </w:r>
            <w:proofErr w:type="spellEnd"/>
            <w:r w:rsidR="0008278C">
              <w:rPr>
                <w:lang w:val="en-AU"/>
              </w:rPr>
              <w:t>)</w:t>
            </w:r>
          </w:p>
          <w:p w:rsidR="00B80C80" w:rsidRPr="0008278C" w:rsidRDefault="00B80C80" w:rsidP="00B80C80">
            <w:pPr>
              <w:numPr>
                <w:ilvl w:val="0"/>
                <w:numId w:val="26"/>
              </w:numPr>
              <w:rPr>
                <w:lang w:val="en-AU"/>
              </w:rPr>
            </w:pPr>
            <w:r w:rsidRPr="0008278C">
              <w:rPr>
                <w:b/>
                <w:lang w:val="en-AU"/>
              </w:rPr>
              <w:t>Clinically led performance management</w:t>
            </w:r>
            <w:r w:rsidRPr="0008278C">
              <w:rPr>
                <w:lang w:val="en-AU"/>
              </w:rPr>
              <w:t xml:space="preserve"> in secondary healthcare: evaluating the attitudes of medical and non-clinical managers </w:t>
            </w:r>
            <w:r w:rsidR="0008278C" w:rsidRPr="0008278C">
              <w:rPr>
                <w:lang w:val="en-AU"/>
              </w:rPr>
              <w:t>(</w:t>
            </w:r>
            <w:r w:rsidRPr="0008278C">
              <w:rPr>
                <w:lang w:val="en-AU"/>
              </w:rPr>
              <w:t xml:space="preserve">Timothy M </w:t>
            </w:r>
            <w:proofErr w:type="spellStart"/>
            <w:r w:rsidRPr="0008278C">
              <w:rPr>
                <w:lang w:val="en-AU"/>
              </w:rPr>
              <w:t>Trebble</w:t>
            </w:r>
            <w:proofErr w:type="spellEnd"/>
            <w:r w:rsidRPr="0008278C">
              <w:rPr>
                <w:lang w:val="en-AU"/>
              </w:rPr>
              <w:t>, Maureen Paul, Peter M Hockey, Nicola Heyworth, Rachael Humphrey, Timothy Powell, Nicholas Clarke</w:t>
            </w:r>
            <w:r w:rsidR="0008278C">
              <w:rPr>
                <w:lang w:val="en-AU"/>
              </w:rPr>
              <w:t>)</w:t>
            </w:r>
          </w:p>
          <w:p w:rsidR="00B80C80" w:rsidRPr="0008278C" w:rsidRDefault="00B80C80" w:rsidP="00B80C80">
            <w:pPr>
              <w:numPr>
                <w:ilvl w:val="0"/>
                <w:numId w:val="26"/>
              </w:numPr>
              <w:rPr>
                <w:lang w:val="en-AU"/>
              </w:rPr>
            </w:pPr>
            <w:r w:rsidRPr="0008278C">
              <w:rPr>
                <w:b/>
                <w:lang w:val="en-AU"/>
              </w:rPr>
              <w:t>Influenza vaccination</w:t>
            </w:r>
            <w:r w:rsidRPr="0008278C">
              <w:rPr>
                <w:lang w:val="en-AU"/>
              </w:rPr>
              <w:t xml:space="preserve"> rates for </w:t>
            </w:r>
            <w:r w:rsidRPr="0008278C">
              <w:rPr>
                <w:b/>
                <w:lang w:val="en-AU"/>
              </w:rPr>
              <w:t>hospitalised patients</w:t>
            </w:r>
            <w:r w:rsidRPr="0008278C">
              <w:rPr>
                <w:lang w:val="en-AU"/>
              </w:rPr>
              <w:t xml:space="preserve">: a multiyear quality improvement effort </w:t>
            </w:r>
            <w:r w:rsidR="0008278C" w:rsidRPr="0008278C">
              <w:rPr>
                <w:lang w:val="en-AU"/>
              </w:rPr>
              <w:t>(</w:t>
            </w:r>
            <w:r w:rsidRPr="0008278C">
              <w:rPr>
                <w:lang w:val="en-AU"/>
              </w:rPr>
              <w:t xml:space="preserve">Emily Suzanne Cohen, Greg </w:t>
            </w:r>
            <w:proofErr w:type="spellStart"/>
            <w:r w:rsidRPr="0008278C">
              <w:rPr>
                <w:lang w:val="en-AU"/>
              </w:rPr>
              <w:t>Ogrinc</w:t>
            </w:r>
            <w:proofErr w:type="spellEnd"/>
            <w:r w:rsidRPr="0008278C">
              <w:rPr>
                <w:lang w:val="en-AU"/>
              </w:rPr>
              <w:t xml:space="preserve">, Tom Taylor, Christine Brown, James </w:t>
            </w:r>
            <w:proofErr w:type="spellStart"/>
            <w:r w:rsidRPr="0008278C">
              <w:rPr>
                <w:lang w:val="en-AU"/>
              </w:rPr>
              <w:t>Geiling</w:t>
            </w:r>
            <w:proofErr w:type="spellEnd"/>
            <w:r w:rsidR="0008278C">
              <w:rPr>
                <w:lang w:val="en-AU"/>
              </w:rPr>
              <w:t>)</w:t>
            </w:r>
          </w:p>
          <w:p w:rsidR="00B80C80" w:rsidRPr="0091691E" w:rsidRDefault="00B80C80" w:rsidP="0008278C">
            <w:pPr>
              <w:numPr>
                <w:ilvl w:val="0"/>
                <w:numId w:val="26"/>
              </w:numPr>
              <w:rPr>
                <w:lang w:val="en-AU"/>
              </w:rPr>
            </w:pPr>
            <w:r w:rsidRPr="00B80C80">
              <w:rPr>
                <w:lang w:val="en-AU"/>
              </w:rPr>
              <w:t xml:space="preserve">Demystifying </w:t>
            </w:r>
            <w:r w:rsidRPr="0008278C">
              <w:rPr>
                <w:b/>
                <w:lang w:val="en-AU"/>
              </w:rPr>
              <w:t>the</w:t>
            </w:r>
            <w:r w:rsidR="0008278C" w:rsidRPr="0008278C">
              <w:rPr>
                <w:b/>
                <w:lang w:val="en-AU"/>
              </w:rPr>
              <w:t>ory</w:t>
            </w:r>
            <w:r w:rsidR="0008278C">
              <w:rPr>
                <w:lang w:val="en-AU"/>
              </w:rPr>
              <w:t xml:space="preserve"> and its </w:t>
            </w:r>
            <w:r w:rsidR="0008278C" w:rsidRPr="0008278C">
              <w:rPr>
                <w:b/>
                <w:lang w:val="en-AU"/>
              </w:rPr>
              <w:t>use in improvement</w:t>
            </w:r>
            <w:r w:rsidR="0008278C">
              <w:rPr>
                <w:lang w:val="en-AU"/>
              </w:rPr>
              <w:t xml:space="preserve"> (</w:t>
            </w:r>
            <w:r w:rsidRPr="00B80C80">
              <w:rPr>
                <w:lang w:val="en-AU"/>
              </w:rPr>
              <w:t xml:space="preserve">Frank Davidoff, Mary Dixon-Woods, Laura Leviton, Susan </w:t>
            </w:r>
            <w:proofErr w:type="spellStart"/>
            <w:r w:rsidRPr="00B80C80">
              <w:rPr>
                <w:lang w:val="en-AU"/>
              </w:rPr>
              <w:t>Michie</w:t>
            </w:r>
            <w:proofErr w:type="spellEnd"/>
            <w:r w:rsidR="0008278C">
              <w:rPr>
                <w:lang w:val="en-AU"/>
              </w:rPr>
              <w:t>)</w:t>
            </w:r>
          </w:p>
        </w:tc>
      </w:tr>
    </w:tbl>
    <w:p w:rsidR="00B80C80" w:rsidRDefault="00B80C80" w:rsidP="00980275">
      <w:pPr>
        <w:keepNext/>
        <w:keepLines/>
        <w:autoSpaceDE w:val="0"/>
        <w:autoSpaceDN w:val="0"/>
        <w:adjustRightInd w:val="0"/>
        <w:rPr>
          <w:i/>
          <w:lang w:val="en-AU"/>
        </w:rPr>
      </w:pPr>
    </w:p>
    <w:p w:rsidR="00DD6D12" w:rsidRPr="00255EF8" w:rsidRDefault="00DD6D12" w:rsidP="00DD6D12">
      <w:pPr>
        <w:keepNext/>
        <w:rPr>
          <w:lang w:val="en-AU"/>
        </w:rPr>
      </w:pPr>
      <w:r w:rsidRPr="00255EF8">
        <w:rPr>
          <w:i/>
          <w:lang w:val="en-AU"/>
        </w:rPr>
        <w:t xml:space="preserve">BMJ Quality and Safety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D6D12" w:rsidRPr="00255EF8" w:rsidTr="00ED597A">
        <w:tc>
          <w:tcPr>
            <w:tcW w:w="10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D6D12" w:rsidRPr="00255EF8" w:rsidRDefault="00F41ED8" w:rsidP="00ED597A">
            <w:pPr>
              <w:rPr>
                <w:lang w:val="en-AU"/>
              </w:rPr>
            </w:pPr>
            <w:hyperlink r:id="rId34" w:history="1">
              <w:r w:rsidR="00DD6D12" w:rsidRPr="00255EF8">
                <w:rPr>
                  <w:rStyle w:val="Hyperlink"/>
                  <w:lang w:val="en-AU"/>
                </w:rPr>
                <w:t>http://qualitysafety.bmj.com/content/early/recent</w:t>
              </w:r>
            </w:hyperlink>
          </w:p>
        </w:tc>
      </w:tr>
      <w:tr w:rsidR="00DD6D12" w:rsidRPr="00255EF8" w:rsidTr="00ED597A">
        <w:tc>
          <w:tcPr>
            <w:tcW w:w="10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i/>
                <w:lang w:val="en-AU"/>
              </w:rPr>
              <w:t>BMJ Quality and Safety</w:t>
            </w:r>
            <w:r w:rsidRPr="00255EF8">
              <w:rPr>
                <w:lang w:val="en-AU"/>
              </w:rPr>
              <w:t xml:space="preserve"> has published a number of ‘online first’ articles, including:</w:t>
            </w:r>
          </w:p>
          <w:p w:rsidR="003D2B7C" w:rsidRPr="00255EF8" w:rsidRDefault="00A27148" w:rsidP="00A27148">
            <w:pPr>
              <w:pStyle w:val="ListParagraph"/>
              <w:numPr>
                <w:ilvl w:val="0"/>
                <w:numId w:val="14"/>
              </w:numPr>
              <w:rPr>
                <w:lang w:val="en-AU"/>
              </w:rPr>
            </w:pPr>
            <w:r w:rsidRPr="00A27148">
              <w:rPr>
                <w:lang w:val="en-AU"/>
              </w:rPr>
              <w:t xml:space="preserve">The </w:t>
            </w:r>
            <w:r w:rsidRPr="00A27148">
              <w:rPr>
                <w:b/>
                <w:lang w:val="en-AU"/>
              </w:rPr>
              <w:t>quality of hospital work environments</w:t>
            </w:r>
            <w:r w:rsidRPr="00A27148">
              <w:rPr>
                <w:lang w:val="en-AU"/>
              </w:rPr>
              <w:t xml:space="preserve"> and </w:t>
            </w:r>
            <w:r w:rsidRPr="006D4BC4">
              <w:rPr>
                <w:b/>
                <w:lang w:val="en-AU"/>
              </w:rPr>
              <w:t>missed nursing care</w:t>
            </w:r>
            <w:r w:rsidRPr="00A27148">
              <w:rPr>
                <w:lang w:val="en-AU"/>
              </w:rPr>
              <w:t xml:space="preserve"> is linked to </w:t>
            </w:r>
            <w:r w:rsidRPr="00A27148">
              <w:rPr>
                <w:b/>
                <w:lang w:val="en-AU"/>
              </w:rPr>
              <w:t>heart failure readmissions</w:t>
            </w:r>
            <w:r w:rsidRPr="00A27148">
              <w:rPr>
                <w:lang w:val="en-AU"/>
              </w:rPr>
              <w:t xml:space="preserve">: a cross-sectional study of US hospitals </w:t>
            </w:r>
            <w:r>
              <w:rPr>
                <w:lang w:val="en-AU"/>
              </w:rPr>
              <w:t>(</w:t>
            </w:r>
            <w:r w:rsidRPr="00A27148">
              <w:rPr>
                <w:lang w:val="en-AU"/>
              </w:rPr>
              <w:t xml:space="preserve">J Margo Brooks </w:t>
            </w:r>
            <w:proofErr w:type="spellStart"/>
            <w:r w:rsidRPr="00A27148">
              <w:rPr>
                <w:lang w:val="en-AU"/>
              </w:rPr>
              <w:t>Carthon</w:t>
            </w:r>
            <w:proofErr w:type="spellEnd"/>
            <w:r w:rsidRPr="00A27148">
              <w:rPr>
                <w:lang w:val="en-AU"/>
              </w:rPr>
              <w:t xml:space="preserve">, Karen B </w:t>
            </w:r>
            <w:proofErr w:type="spellStart"/>
            <w:r w:rsidRPr="00A27148">
              <w:rPr>
                <w:lang w:val="en-AU"/>
              </w:rPr>
              <w:t>Lasater</w:t>
            </w:r>
            <w:proofErr w:type="spellEnd"/>
            <w:r w:rsidRPr="00A27148">
              <w:rPr>
                <w:lang w:val="en-AU"/>
              </w:rPr>
              <w:t xml:space="preserve">, Douglas M Sloane, Ann </w:t>
            </w:r>
            <w:proofErr w:type="spellStart"/>
            <w:r w:rsidRPr="00A27148">
              <w:rPr>
                <w:lang w:val="en-AU"/>
              </w:rPr>
              <w:t>Kutney</w:t>
            </w:r>
            <w:proofErr w:type="spellEnd"/>
            <w:r w:rsidRPr="00A27148">
              <w:rPr>
                <w:lang w:val="en-AU"/>
              </w:rPr>
              <w:t>-Lee</w:t>
            </w:r>
            <w:r>
              <w:rPr>
                <w:lang w:val="en-AU"/>
              </w:rPr>
              <w:t>)</w:t>
            </w:r>
          </w:p>
        </w:tc>
      </w:tr>
    </w:tbl>
    <w:p w:rsidR="00D2325E" w:rsidRPr="00255EF8" w:rsidRDefault="00D2325E" w:rsidP="00D2325E">
      <w:pPr>
        <w:keepLines/>
        <w:autoSpaceDE w:val="0"/>
        <w:autoSpaceDN w:val="0"/>
        <w:adjustRightInd w:val="0"/>
        <w:rPr>
          <w:lang w:val="en-AU"/>
        </w:rPr>
      </w:pPr>
    </w:p>
    <w:p w:rsidR="00755242" w:rsidRPr="00255EF8" w:rsidRDefault="00755242" w:rsidP="00755242">
      <w:pPr>
        <w:rPr>
          <w:lang w:val="en-AU"/>
        </w:rPr>
      </w:pPr>
      <w:r w:rsidRPr="00255EF8">
        <w:rPr>
          <w:i/>
          <w:lang w:val="en-AU"/>
        </w:rPr>
        <w:t xml:space="preserve">International Journal for Quality in Health Care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755242" w:rsidRPr="00255EF8"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255EF8" w:rsidRDefault="00755242" w:rsidP="009F1E32">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255EF8" w:rsidRDefault="00F41ED8" w:rsidP="009F1E32">
            <w:pPr>
              <w:rPr>
                <w:lang w:val="en-AU"/>
              </w:rPr>
            </w:pPr>
            <w:hyperlink r:id="rId35" w:history="1">
              <w:r w:rsidR="00755242" w:rsidRPr="00255EF8">
                <w:rPr>
                  <w:rStyle w:val="Hyperlink"/>
                  <w:lang w:val="en-AU"/>
                </w:rPr>
                <w:t>http://intqhc.oxfordjournals.org/content/early/recent?papetoc</w:t>
              </w:r>
            </w:hyperlink>
            <w:r w:rsidR="00755242" w:rsidRPr="00255EF8">
              <w:rPr>
                <w:lang w:val="en-AU"/>
              </w:rPr>
              <w:t xml:space="preserve"> </w:t>
            </w:r>
          </w:p>
        </w:tc>
      </w:tr>
      <w:tr w:rsidR="00755242" w:rsidRPr="00255EF8"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255EF8" w:rsidRDefault="00755242" w:rsidP="009F1E32">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255EF8" w:rsidRDefault="00755242" w:rsidP="009F1E32">
            <w:pPr>
              <w:rPr>
                <w:lang w:val="en-AU"/>
              </w:rPr>
            </w:pPr>
            <w:r w:rsidRPr="00255EF8">
              <w:rPr>
                <w:i/>
                <w:lang w:val="en-AU"/>
              </w:rPr>
              <w:t xml:space="preserve">International Journal for Quality in Health Care </w:t>
            </w:r>
            <w:r w:rsidRPr="00255EF8">
              <w:rPr>
                <w:lang w:val="en-AU"/>
              </w:rPr>
              <w:t>has published a number of ‘online first’ articles, including:</w:t>
            </w:r>
          </w:p>
          <w:p w:rsidR="00F6103B" w:rsidRPr="00255EF8" w:rsidRDefault="001F1A88" w:rsidP="001F1A88">
            <w:pPr>
              <w:pStyle w:val="ListParagraph"/>
              <w:numPr>
                <w:ilvl w:val="0"/>
                <w:numId w:val="14"/>
              </w:numPr>
              <w:rPr>
                <w:lang w:val="en-AU"/>
              </w:rPr>
            </w:pPr>
            <w:r w:rsidRPr="001F1A88">
              <w:rPr>
                <w:lang w:val="en-AU"/>
              </w:rPr>
              <w:t xml:space="preserve">Joint influence of </w:t>
            </w:r>
            <w:r w:rsidRPr="001F1A88">
              <w:rPr>
                <w:b/>
                <w:lang w:val="en-AU"/>
              </w:rPr>
              <w:t>patient-assessed chronic illness care</w:t>
            </w:r>
            <w:r w:rsidRPr="001F1A88">
              <w:rPr>
                <w:lang w:val="en-AU"/>
              </w:rPr>
              <w:t xml:space="preserve"> and </w:t>
            </w:r>
            <w:r w:rsidRPr="001F1A88">
              <w:rPr>
                <w:b/>
                <w:lang w:val="en-AU"/>
              </w:rPr>
              <w:t>patient activation</w:t>
            </w:r>
            <w:r w:rsidRPr="001F1A88">
              <w:rPr>
                <w:lang w:val="en-AU"/>
              </w:rPr>
              <w:t xml:space="preserve"> on glycaemic control in </w:t>
            </w:r>
            <w:r w:rsidRPr="001F1A88">
              <w:rPr>
                <w:b/>
                <w:lang w:val="en-AU"/>
              </w:rPr>
              <w:t>type 2 diabetes</w:t>
            </w:r>
            <w:r w:rsidRPr="001F1A88">
              <w:rPr>
                <w:lang w:val="en-AU"/>
              </w:rPr>
              <w:t xml:space="preserve"> (</w:t>
            </w:r>
            <w:proofErr w:type="spellStart"/>
            <w:r w:rsidRPr="001F1A88">
              <w:rPr>
                <w:lang w:val="en-AU"/>
              </w:rPr>
              <w:t>Eindra</w:t>
            </w:r>
            <w:proofErr w:type="spellEnd"/>
            <w:r w:rsidRPr="001F1A88">
              <w:rPr>
                <w:lang w:val="en-AU"/>
              </w:rPr>
              <w:t xml:space="preserve"> Aung, Maria Donald, Gail M. Williams, Joseph R. </w:t>
            </w:r>
            <w:proofErr w:type="spellStart"/>
            <w:r w:rsidRPr="001F1A88">
              <w:rPr>
                <w:lang w:val="en-AU"/>
              </w:rPr>
              <w:t>Coll</w:t>
            </w:r>
            <w:proofErr w:type="spellEnd"/>
            <w:r w:rsidRPr="001F1A88">
              <w:rPr>
                <w:lang w:val="en-AU"/>
              </w:rPr>
              <w:t xml:space="preserve">, and </w:t>
            </w:r>
            <w:proofErr w:type="spellStart"/>
            <w:r w:rsidRPr="001F1A88">
              <w:rPr>
                <w:lang w:val="en-AU"/>
              </w:rPr>
              <w:t>Suhail</w:t>
            </w:r>
            <w:proofErr w:type="spellEnd"/>
            <w:r w:rsidRPr="001F1A88">
              <w:rPr>
                <w:lang w:val="en-AU"/>
              </w:rPr>
              <w:t xml:space="preserve"> A R </w:t>
            </w:r>
            <w:proofErr w:type="spellStart"/>
            <w:r w:rsidRPr="001F1A88">
              <w:rPr>
                <w:lang w:val="en-AU"/>
              </w:rPr>
              <w:t>Doi</w:t>
            </w:r>
            <w:proofErr w:type="spellEnd"/>
            <w:r>
              <w:rPr>
                <w:lang w:val="en-AU"/>
              </w:rPr>
              <w:t>)</w:t>
            </w:r>
          </w:p>
        </w:tc>
      </w:tr>
    </w:tbl>
    <w:p w:rsidR="00755242" w:rsidRPr="00255EF8" w:rsidRDefault="00755242" w:rsidP="00755242">
      <w:pPr>
        <w:rPr>
          <w:lang w:val="en-AU"/>
        </w:rPr>
      </w:pPr>
    </w:p>
    <w:p w:rsidR="00590FB6" w:rsidRPr="00255EF8" w:rsidRDefault="00590FB6" w:rsidP="0029290B">
      <w:pPr>
        <w:widowControl w:val="0"/>
        <w:rPr>
          <w:b/>
          <w:lang w:val="en-AU"/>
        </w:rPr>
      </w:pPr>
      <w:r w:rsidRPr="00255EF8">
        <w:rPr>
          <w:b/>
          <w:lang w:val="en-AU"/>
        </w:rPr>
        <w:t>Online resources</w:t>
      </w:r>
    </w:p>
    <w:p w:rsidR="006012BC" w:rsidRDefault="006012BC" w:rsidP="0029290B">
      <w:pPr>
        <w:widowControl w:val="0"/>
        <w:rPr>
          <w:i/>
          <w:lang w:val="en-AU"/>
        </w:rPr>
      </w:pPr>
    </w:p>
    <w:p w:rsidR="002A7B20" w:rsidRDefault="002A7B20" w:rsidP="0029290B">
      <w:pPr>
        <w:widowControl w:val="0"/>
        <w:rPr>
          <w:i/>
          <w:lang w:val="en-AU"/>
        </w:rPr>
      </w:pPr>
      <w:r>
        <w:rPr>
          <w:i/>
          <w:lang w:val="en-AU"/>
        </w:rPr>
        <w:t xml:space="preserve">[WHO] </w:t>
      </w:r>
      <w:r w:rsidRPr="002A7B20">
        <w:rPr>
          <w:i/>
          <w:lang w:val="en-AU"/>
        </w:rPr>
        <w:t>Health literacy toolkit for low- and middle-income countries</w:t>
      </w:r>
    </w:p>
    <w:p w:rsidR="002A7B20" w:rsidRPr="002A7B20" w:rsidRDefault="00F41ED8" w:rsidP="0029290B">
      <w:pPr>
        <w:widowControl w:val="0"/>
        <w:rPr>
          <w:lang w:val="en-AU"/>
        </w:rPr>
      </w:pPr>
      <w:hyperlink r:id="rId36" w:history="1">
        <w:r w:rsidR="002A7B20" w:rsidRPr="002A7B20">
          <w:rPr>
            <w:rStyle w:val="Hyperlink"/>
            <w:lang w:val="en-AU"/>
          </w:rPr>
          <w:t>http://www.searo.who.int/entity/healthpromotion/documents/hl_tookit/en/</w:t>
        </w:r>
      </w:hyperlink>
    </w:p>
    <w:p w:rsidR="002A7B20" w:rsidRPr="002A7B20" w:rsidRDefault="008D2C81" w:rsidP="0029290B">
      <w:pPr>
        <w:widowControl w:val="0"/>
        <w:rPr>
          <w:lang w:val="en-AU"/>
        </w:rPr>
      </w:pPr>
      <w:r>
        <w:rPr>
          <w:lang w:val="en-AU"/>
        </w:rPr>
        <w:t>The World Health Organization (WHO) Regional Office for South-East Asia has released t</w:t>
      </w:r>
      <w:r w:rsidRPr="008D2C81">
        <w:rPr>
          <w:lang w:val="en-AU"/>
        </w:rPr>
        <w:t xml:space="preserve">his series of information sheets </w:t>
      </w:r>
      <w:r>
        <w:rPr>
          <w:lang w:val="en-AU"/>
        </w:rPr>
        <w:t xml:space="preserve">introducing </w:t>
      </w:r>
      <w:r w:rsidRPr="008D2C81">
        <w:rPr>
          <w:lang w:val="en-AU"/>
        </w:rPr>
        <w:t>health literacy, its relevance to public policy, and the ways it can be used to inform the promotion of good health, the prevention and management of communicable and non</w:t>
      </w:r>
      <w:r>
        <w:rPr>
          <w:lang w:val="en-AU"/>
        </w:rPr>
        <w:t>-</w:t>
      </w:r>
      <w:r w:rsidRPr="008D2C81">
        <w:rPr>
          <w:lang w:val="en-AU"/>
        </w:rPr>
        <w:t>communicable diseases, and the reduction of health inequities. It provides information and links to further resources to assist organizations and governments to incorporate health literacy responses into practice, service delivery systems, and policy.</w:t>
      </w:r>
    </w:p>
    <w:p w:rsidR="002A7B20" w:rsidRPr="008D2C81" w:rsidRDefault="002A7B20" w:rsidP="0029290B">
      <w:pPr>
        <w:widowControl w:val="0"/>
        <w:rPr>
          <w:lang w:val="en-AU"/>
        </w:rPr>
      </w:pPr>
    </w:p>
    <w:p w:rsidR="008D2C81" w:rsidRDefault="008D2C81" w:rsidP="0029290B">
      <w:pPr>
        <w:widowControl w:val="0"/>
        <w:rPr>
          <w:lang w:val="en-AU"/>
        </w:rPr>
      </w:pPr>
      <w:r w:rsidRPr="00255EF8">
        <w:rPr>
          <w:lang w:val="en-AU"/>
        </w:rPr>
        <w:t>For information on the Commission’s work on</w:t>
      </w:r>
      <w:r>
        <w:rPr>
          <w:lang w:val="en-AU"/>
        </w:rPr>
        <w:t xml:space="preserve"> health literacy, see </w:t>
      </w:r>
      <w:hyperlink r:id="rId37" w:history="1">
        <w:r w:rsidRPr="00397A9E">
          <w:rPr>
            <w:rStyle w:val="Hyperlink"/>
            <w:lang w:val="en-AU"/>
          </w:rPr>
          <w:t>http://www.safetyandquality.gov.au/our-work/patient-and-consumer-centred-care/health-literacy/</w:t>
        </w:r>
      </w:hyperlink>
    </w:p>
    <w:p w:rsidR="008D2C81" w:rsidRDefault="008D2C81" w:rsidP="0029290B">
      <w:pPr>
        <w:widowControl w:val="0"/>
        <w:rPr>
          <w:i/>
          <w:lang w:val="en-AU"/>
        </w:rPr>
      </w:pPr>
    </w:p>
    <w:p w:rsidR="004904F8" w:rsidRPr="00D6461D" w:rsidRDefault="00D6461D" w:rsidP="0029518F">
      <w:pPr>
        <w:rPr>
          <w:i/>
          <w:lang w:val="en-AU"/>
        </w:rPr>
      </w:pPr>
      <w:r w:rsidRPr="00D6461D">
        <w:rPr>
          <w:i/>
          <w:lang w:val="en-AU"/>
        </w:rPr>
        <w:t>[USA] The Digital Health Revolution</w:t>
      </w:r>
    </w:p>
    <w:p w:rsidR="00D6461D" w:rsidRDefault="00F41ED8" w:rsidP="0029518F">
      <w:pPr>
        <w:rPr>
          <w:lang w:val="en-AU"/>
        </w:rPr>
      </w:pPr>
      <w:hyperlink r:id="rId38" w:history="1">
        <w:r w:rsidR="00D6461D" w:rsidRPr="00475DAC">
          <w:rPr>
            <w:rStyle w:val="Hyperlink"/>
            <w:lang w:val="en-AU"/>
          </w:rPr>
          <w:t>http://www.commonwealthfund.org/digital-health-revolution/</w:t>
        </w:r>
      </w:hyperlink>
    </w:p>
    <w:p w:rsidR="00D6461D" w:rsidRPr="00D6461D" w:rsidRDefault="00D6461D" w:rsidP="00D6461D">
      <w:pPr>
        <w:rPr>
          <w:lang w:val="en-AU"/>
        </w:rPr>
      </w:pPr>
      <w:r>
        <w:rPr>
          <w:lang w:val="en-AU"/>
        </w:rPr>
        <w:t xml:space="preserve">The [US] Commonwealth Fund has published this ‘multimedia essay’ that looks at how digital technologies may yet change the way healthcare is delivered and experienced. In many other aspects of our lives technology has fundamentally altered the way we live (think of how you deal with your banking or how you communicate with other people and how much these have changed over the last 10 years), but in health this change has been much patchier with many of our interactions little changed. In this ‘essay’, the authors examine how digital technologies may change healthcare, including their </w:t>
      </w:r>
      <w:r w:rsidRPr="00D6461D">
        <w:rPr>
          <w:lang w:val="en-AU"/>
        </w:rPr>
        <w:t>potential to help achieve five important goals:</w:t>
      </w:r>
    </w:p>
    <w:p w:rsidR="00D6461D" w:rsidRPr="00D6461D" w:rsidRDefault="00D6461D" w:rsidP="00D6461D">
      <w:pPr>
        <w:pStyle w:val="ListParagraph"/>
        <w:numPr>
          <w:ilvl w:val="0"/>
          <w:numId w:val="14"/>
        </w:numPr>
        <w:rPr>
          <w:lang w:val="en-AU"/>
        </w:rPr>
      </w:pPr>
      <w:r w:rsidRPr="00D6461D">
        <w:rPr>
          <w:lang w:val="en-AU"/>
        </w:rPr>
        <w:t>helping patients become more e</w:t>
      </w:r>
      <w:r>
        <w:rPr>
          <w:lang w:val="en-AU"/>
        </w:rPr>
        <w:t>ngaged in their own care</w:t>
      </w:r>
    </w:p>
    <w:p w:rsidR="00D6461D" w:rsidRPr="00D6461D" w:rsidRDefault="00D6461D" w:rsidP="00D6461D">
      <w:pPr>
        <w:pStyle w:val="ListParagraph"/>
        <w:numPr>
          <w:ilvl w:val="0"/>
          <w:numId w:val="14"/>
        </w:numPr>
        <w:rPr>
          <w:lang w:val="en-AU"/>
        </w:rPr>
      </w:pPr>
      <w:r w:rsidRPr="00D6461D">
        <w:rPr>
          <w:lang w:val="en-AU"/>
        </w:rPr>
        <w:t xml:space="preserve">closing communication gaps </w:t>
      </w:r>
    </w:p>
    <w:p w:rsidR="00D6461D" w:rsidRPr="00D6461D" w:rsidRDefault="00D6461D" w:rsidP="00D6461D">
      <w:pPr>
        <w:pStyle w:val="ListParagraph"/>
        <w:numPr>
          <w:ilvl w:val="0"/>
          <w:numId w:val="14"/>
        </w:numPr>
        <w:rPr>
          <w:lang w:val="en-AU"/>
        </w:rPr>
      </w:pPr>
      <w:r w:rsidRPr="00D6461D">
        <w:rPr>
          <w:lang w:val="en-AU"/>
        </w:rPr>
        <w:t xml:space="preserve">identifying patients' needs and </w:t>
      </w:r>
      <w:r>
        <w:rPr>
          <w:lang w:val="en-AU"/>
        </w:rPr>
        <w:t>tailoring services to meet them</w:t>
      </w:r>
    </w:p>
    <w:p w:rsidR="00D6461D" w:rsidRPr="00D6461D" w:rsidRDefault="00D6461D" w:rsidP="00D6461D">
      <w:pPr>
        <w:pStyle w:val="ListParagraph"/>
        <w:numPr>
          <w:ilvl w:val="0"/>
          <w:numId w:val="14"/>
        </w:numPr>
        <w:rPr>
          <w:lang w:val="en-AU"/>
        </w:rPr>
      </w:pPr>
      <w:r w:rsidRPr="00D6461D">
        <w:rPr>
          <w:lang w:val="en-AU"/>
        </w:rPr>
        <w:t xml:space="preserve">enabling consumers to get care in </w:t>
      </w:r>
      <w:r>
        <w:rPr>
          <w:lang w:val="en-AU"/>
        </w:rPr>
        <w:t>convenient, cost-effective ways</w:t>
      </w:r>
    </w:p>
    <w:p w:rsidR="00D6461D" w:rsidRPr="00D6461D" w:rsidRDefault="00D6461D" w:rsidP="00D6461D">
      <w:pPr>
        <w:pStyle w:val="ListParagraph"/>
        <w:numPr>
          <w:ilvl w:val="0"/>
          <w:numId w:val="14"/>
        </w:numPr>
        <w:rPr>
          <w:lang w:val="en-AU"/>
        </w:rPr>
      </w:pPr>
      <w:proofErr w:type="gramStart"/>
      <w:r w:rsidRPr="00D6461D">
        <w:rPr>
          <w:lang w:val="en-AU"/>
        </w:rPr>
        <w:t>improving</w:t>
      </w:r>
      <w:proofErr w:type="gramEnd"/>
      <w:r w:rsidRPr="00D6461D">
        <w:rPr>
          <w:lang w:val="en-AU"/>
        </w:rPr>
        <w:t xml:space="preserve"> decision-making by consumers and providers.</w:t>
      </w:r>
    </w:p>
    <w:p w:rsidR="001849C7" w:rsidRPr="00255EF8" w:rsidRDefault="001849C7" w:rsidP="0029518F">
      <w:pPr>
        <w:rPr>
          <w:lang w:val="en-AU"/>
        </w:rPr>
      </w:pPr>
    </w:p>
    <w:p w:rsidR="00F76FA4" w:rsidRPr="00255EF8" w:rsidRDefault="00F76FA4" w:rsidP="0029518F">
      <w:pPr>
        <w:rPr>
          <w:lang w:val="en-AU"/>
        </w:rPr>
      </w:pPr>
    </w:p>
    <w:p w:rsidR="00B160EF" w:rsidRPr="00255EF8" w:rsidRDefault="00B160EF" w:rsidP="00B160EF">
      <w:pPr>
        <w:keepNext/>
        <w:pBdr>
          <w:top w:val="single" w:sz="4" w:space="1" w:color="auto"/>
        </w:pBdr>
        <w:rPr>
          <w:b/>
          <w:lang w:val="en-AU"/>
        </w:rPr>
      </w:pPr>
      <w:r w:rsidRPr="00255EF8">
        <w:rPr>
          <w:b/>
          <w:lang w:val="en-AU"/>
        </w:rPr>
        <w:t>Disclaimer</w:t>
      </w:r>
    </w:p>
    <w:p w:rsidR="00E41D2F" w:rsidRPr="00255EF8" w:rsidRDefault="00B160EF" w:rsidP="00B160EF">
      <w:pPr>
        <w:rPr>
          <w:lang w:val="en-AU"/>
        </w:rPr>
      </w:pPr>
      <w:r w:rsidRPr="00255EF8">
        <w:rPr>
          <w:i/>
          <w:lang w:val="en-AU"/>
        </w:rPr>
        <w:t xml:space="preserve">On the </w:t>
      </w:r>
      <w:r w:rsidR="001A66F9" w:rsidRPr="00255EF8">
        <w:rPr>
          <w:i/>
          <w:lang w:val="en-AU"/>
        </w:rPr>
        <w:t>R</w:t>
      </w:r>
      <w:r w:rsidRPr="00255EF8">
        <w:rPr>
          <w:i/>
          <w:lang w:val="en-AU"/>
        </w:rPr>
        <w:t>adar</w:t>
      </w:r>
      <w:r w:rsidRPr="00255EF8">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255EF8" w:rsidSect="005C5ABC">
      <w:headerReference w:type="even" r:id="rId39"/>
      <w:headerReference w:type="default" r:id="rId40"/>
      <w:footerReference w:type="even" r:id="rId41"/>
      <w:footerReference w:type="default" r:id="rId42"/>
      <w:headerReference w:type="first" r:id="rId43"/>
      <w:footerReference w:type="firs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D8" w:rsidRDefault="00F41ED8">
      <w:r>
        <w:separator/>
      </w:r>
    </w:p>
  </w:endnote>
  <w:endnote w:type="continuationSeparator" w:id="0">
    <w:p w:rsidR="00F41ED8" w:rsidRDefault="00F4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9290B">
      <w:rPr>
        <w:rStyle w:val="PageNumber"/>
        <w:noProof/>
      </w:rPr>
      <w:t>4</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320AA2">
      <w:t>1</w:t>
    </w:r>
    <w:r w:rsidR="00DA7FB7">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290B">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320AA2">
      <w:t xml:space="preserve"> Issue 210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AA2" w:rsidRDefault="00320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D8" w:rsidRDefault="00F41ED8">
      <w:r>
        <w:separator/>
      </w:r>
    </w:p>
  </w:footnote>
  <w:footnote w:type="continuationSeparator" w:id="0">
    <w:p w:rsidR="00F41ED8" w:rsidRDefault="00F41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AA2" w:rsidRDefault="00320A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AA2" w:rsidRDefault="00320A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AA2" w:rsidRDefault="00320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77C27"/>
    <w:multiLevelType w:val="hybridMultilevel"/>
    <w:tmpl w:val="4C2E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46496C"/>
    <w:multiLevelType w:val="hybridMultilevel"/>
    <w:tmpl w:val="17487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401049"/>
    <w:multiLevelType w:val="hybridMultilevel"/>
    <w:tmpl w:val="F99EB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3BD3CF4"/>
    <w:multiLevelType w:val="hybridMultilevel"/>
    <w:tmpl w:val="45A2B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4B40D2"/>
    <w:multiLevelType w:val="hybridMultilevel"/>
    <w:tmpl w:val="F5405C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E1024A6"/>
    <w:multiLevelType w:val="hybridMultilevel"/>
    <w:tmpl w:val="4C8AC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BF63F5"/>
    <w:multiLevelType w:val="hybridMultilevel"/>
    <w:tmpl w:val="7C5AF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62F4E8E"/>
    <w:multiLevelType w:val="hybridMultilevel"/>
    <w:tmpl w:val="DFF2E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7C06786"/>
    <w:multiLevelType w:val="hybridMultilevel"/>
    <w:tmpl w:val="93023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B8C6FE0"/>
    <w:multiLevelType w:val="hybridMultilevel"/>
    <w:tmpl w:val="825CA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461C5D"/>
    <w:multiLevelType w:val="hybridMultilevel"/>
    <w:tmpl w:val="A978D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A6552B"/>
    <w:multiLevelType w:val="hybridMultilevel"/>
    <w:tmpl w:val="180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6E059AE"/>
    <w:multiLevelType w:val="hybridMultilevel"/>
    <w:tmpl w:val="78CE0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BA86B75"/>
    <w:multiLevelType w:val="hybridMultilevel"/>
    <w:tmpl w:val="4B94D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714708"/>
    <w:multiLevelType w:val="hybridMultilevel"/>
    <w:tmpl w:val="A0CE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B901B1"/>
    <w:multiLevelType w:val="hybridMultilevel"/>
    <w:tmpl w:val="411675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0"/>
  </w:num>
  <w:num w:numId="15">
    <w:abstractNumId w:val="15"/>
  </w:num>
  <w:num w:numId="16">
    <w:abstractNumId w:val="22"/>
  </w:num>
  <w:num w:numId="17">
    <w:abstractNumId w:val="16"/>
  </w:num>
  <w:num w:numId="18">
    <w:abstractNumId w:val="30"/>
  </w:num>
  <w:num w:numId="19">
    <w:abstractNumId w:val="28"/>
  </w:num>
  <w:num w:numId="20">
    <w:abstractNumId w:val="21"/>
  </w:num>
  <w:num w:numId="21">
    <w:abstractNumId w:val="31"/>
  </w:num>
  <w:num w:numId="22">
    <w:abstractNumId w:val="17"/>
  </w:num>
  <w:num w:numId="23">
    <w:abstractNumId w:val="13"/>
  </w:num>
  <w:num w:numId="24">
    <w:abstractNumId w:val="10"/>
  </w:num>
  <w:num w:numId="25">
    <w:abstractNumId w:val="11"/>
  </w:num>
  <w:num w:numId="26">
    <w:abstractNumId w:val="26"/>
  </w:num>
  <w:num w:numId="27">
    <w:abstractNumId w:val="23"/>
  </w:num>
  <w:num w:numId="28">
    <w:abstractNumId w:val="24"/>
  </w:num>
  <w:num w:numId="29">
    <w:abstractNumId w:val="34"/>
  </w:num>
  <w:num w:numId="30">
    <w:abstractNumId w:val="18"/>
  </w:num>
  <w:num w:numId="31">
    <w:abstractNumId w:val="27"/>
  </w:num>
  <w:num w:numId="32">
    <w:abstractNumId w:val="14"/>
  </w:num>
  <w:num w:numId="33">
    <w:abstractNumId w:val="12"/>
  </w:num>
  <w:num w:numId="34">
    <w:abstractNumId w:val="29"/>
  </w:num>
  <w:num w:numId="35">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609"/>
    <w:rsid w:val="000618E2"/>
    <w:rsid w:val="00061B9C"/>
    <w:rsid w:val="00061C52"/>
    <w:rsid w:val="00061D38"/>
    <w:rsid w:val="0006203E"/>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78C"/>
    <w:rsid w:val="00082920"/>
    <w:rsid w:val="00082C4C"/>
    <w:rsid w:val="0008346E"/>
    <w:rsid w:val="000837A9"/>
    <w:rsid w:val="000838F1"/>
    <w:rsid w:val="00083A0B"/>
    <w:rsid w:val="00083BF6"/>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CE2"/>
    <w:rsid w:val="000A1D5F"/>
    <w:rsid w:val="000A203C"/>
    <w:rsid w:val="000A27A7"/>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CEA"/>
    <w:rsid w:val="000B5D1E"/>
    <w:rsid w:val="000B5DA6"/>
    <w:rsid w:val="000B5DF4"/>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89C"/>
    <w:rsid w:val="0011793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1F1"/>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08"/>
    <w:rsid w:val="00165CCD"/>
    <w:rsid w:val="00166073"/>
    <w:rsid w:val="001666BB"/>
    <w:rsid w:val="00166CB7"/>
    <w:rsid w:val="00166D23"/>
    <w:rsid w:val="00167240"/>
    <w:rsid w:val="001672B1"/>
    <w:rsid w:val="001678D7"/>
    <w:rsid w:val="00167A0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7085"/>
    <w:rsid w:val="0017715C"/>
    <w:rsid w:val="00177503"/>
    <w:rsid w:val="00177673"/>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12A7"/>
    <w:rsid w:val="001F1470"/>
    <w:rsid w:val="001F1557"/>
    <w:rsid w:val="001F1722"/>
    <w:rsid w:val="001F1A88"/>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2CC"/>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DBF"/>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EA"/>
    <w:rsid w:val="00222918"/>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5EF8"/>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90B"/>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B20"/>
    <w:rsid w:val="002A7C12"/>
    <w:rsid w:val="002B03BF"/>
    <w:rsid w:val="002B06DC"/>
    <w:rsid w:val="002B09F2"/>
    <w:rsid w:val="002B0AE8"/>
    <w:rsid w:val="002B0C21"/>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27D"/>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8D1"/>
    <w:rsid w:val="00315229"/>
    <w:rsid w:val="00315B49"/>
    <w:rsid w:val="00315F18"/>
    <w:rsid w:val="003164B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7718"/>
    <w:rsid w:val="0033796F"/>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2467"/>
    <w:rsid w:val="003525BA"/>
    <w:rsid w:val="00352EE4"/>
    <w:rsid w:val="003537CA"/>
    <w:rsid w:val="00353AAC"/>
    <w:rsid w:val="00353DBF"/>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7B"/>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C23"/>
    <w:rsid w:val="00395FCB"/>
    <w:rsid w:val="00396014"/>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A7D67"/>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A3D"/>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51C0"/>
    <w:rsid w:val="003D583F"/>
    <w:rsid w:val="003D5F68"/>
    <w:rsid w:val="003D6D09"/>
    <w:rsid w:val="003D7461"/>
    <w:rsid w:val="003D748D"/>
    <w:rsid w:val="003D7B9E"/>
    <w:rsid w:val="003E0026"/>
    <w:rsid w:val="003E0613"/>
    <w:rsid w:val="003E0BD9"/>
    <w:rsid w:val="003E0E7B"/>
    <w:rsid w:val="003E10D3"/>
    <w:rsid w:val="003E1313"/>
    <w:rsid w:val="003E16B6"/>
    <w:rsid w:val="003E17C6"/>
    <w:rsid w:val="003E1874"/>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75DB"/>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614"/>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A70"/>
    <w:rsid w:val="00487BEF"/>
    <w:rsid w:val="00487D8E"/>
    <w:rsid w:val="00487E76"/>
    <w:rsid w:val="00487F97"/>
    <w:rsid w:val="00487FFC"/>
    <w:rsid w:val="00490024"/>
    <w:rsid w:val="00490126"/>
    <w:rsid w:val="004904F8"/>
    <w:rsid w:val="00490662"/>
    <w:rsid w:val="0049091C"/>
    <w:rsid w:val="00490B91"/>
    <w:rsid w:val="00490D0D"/>
    <w:rsid w:val="00491166"/>
    <w:rsid w:val="00491450"/>
    <w:rsid w:val="0049149F"/>
    <w:rsid w:val="00491B42"/>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4D3"/>
    <w:rsid w:val="004A1534"/>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BE1"/>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D5A"/>
    <w:rsid w:val="005031DD"/>
    <w:rsid w:val="00503824"/>
    <w:rsid w:val="00503AAD"/>
    <w:rsid w:val="00503C54"/>
    <w:rsid w:val="00503CF4"/>
    <w:rsid w:val="00503DA0"/>
    <w:rsid w:val="00504108"/>
    <w:rsid w:val="0050410B"/>
    <w:rsid w:val="005047F1"/>
    <w:rsid w:val="0050490F"/>
    <w:rsid w:val="00504AF9"/>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3E"/>
    <w:rsid w:val="00534343"/>
    <w:rsid w:val="00534543"/>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3D3"/>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D9"/>
    <w:rsid w:val="005714DB"/>
    <w:rsid w:val="005714F6"/>
    <w:rsid w:val="005715C5"/>
    <w:rsid w:val="0057161D"/>
    <w:rsid w:val="00571896"/>
    <w:rsid w:val="00571B6D"/>
    <w:rsid w:val="00571C57"/>
    <w:rsid w:val="0057234B"/>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47F2"/>
    <w:rsid w:val="005E5227"/>
    <w:rsid w:val="005E522A"/>
    <w:rsid w:val="005E54B8"/>
    <w:rsid w:val="005E5AB0"/>
    <w:rsid w:val="005E6075"/>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3FEB"/>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C58"/>
    <w:rsid w:val="00616FE0"/>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9DF"/>
    <w:rsid w:val="00675A55"/>
    <w:rsid w:val="00675D65"/>
    <w:rsid w:val="006760AD"/>
    <w:rsid w:val="0067616A"/>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B53"/>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9D6"/>
    <w:rsid w:val="00712B67"/>
    <w:rsid w:val="00713DBD"/>
    <w:rsid w:val="00713E1E"/>
    <w:rsid w:val="00713F8C"/>
    <w:rsid w:val="00713FE5"/>
    <w:rsid w:val="007140EE"/>
    <w:rsid w:val="00714188"/>
    <w:rsid w:val="007145E0"/>
    <w:rsid w:val="00714695"/>
    <w:rsid w:val="007147D5"/>
    <w:rsid w:val="00714A3A"/>
    <w:rsid w:val="00715218"/>
    <w:rsid w:val="0071544C"/>
    <w:rsid w:val="00715A78"/>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30CF"/>
    <w:rsid w:val="007530F7"/>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75CC"/>
    <w:rsid w:val="007A7CD9"/>
    <w:rsid w:val="007B00E7"/>
    <w:rsid w:val="007B0270"/>
    <w:rsid w:val="007B0734"/>
    <w:rsid w:val="007B09C8"/>
    <w:rsid w:val="007B1B55"/>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8B8"/>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A13"/>
    <w:rsid w:val="007C5D5C"/>
    <w:rsid w:val="007C5E8C"/>
    <w:rsid w:val="007C6477"/>
    <w:rsid w:val="007C67DF"/>
    <w:rsid w:val="007C6BDD"/>
    <w:rsid w:val="007C6C51"/>
    <w:rsid w:val="007C6DC7"/>
    <w:rsid w:val="007C7532"/>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BC1"/>
    <w:rsid w:val="00850C56"/>
    <w:rsid w:val="00850E94"/>
    <w:rsid w:val="00850FAC"/>
    <w:rsid w:val="008510A1"/>
    <w:rsid w:val="008510A9"/>
    <w:rsid w:val="00851462"/>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962"/>
    <w:rsid w:val="00880BD7"/>
    <w:rsid w:val="008810CF"/>
    <w:rsid w:val="00881300"/>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984"/>
    <w:rsid w:val="008A4EBD"/>
    <w:rsid w:val="008A5B37"/>
    <w:rsid w:val="008A5D43"/>
    <w:rsid w:val="008A607F"/>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2C81"/>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5014"/>
    <w:rsid w:val="008F5054"/>
    <w:rsid w:val="008F5176"/>
    <w:rsid w:val="008F535D"/>
    <w:rsid w:val="008F5CB9"/>
    <w:rsid w:val="008F5E22"/>
    <w:rsid w:val="008F6173"/>
    <w:rsid w:val="008F66F1"/>
    <w:rsid w:val="008F6BE3"/>
    <w:rsid w:val="008F7A64"/>
    <w:rsid w:val="008F7D35"/>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3ED"/>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7BC"/>
    <w:rsid w:val="00934D16"/>
    <w:rsid w:val="00934F99"/>
    <w:rsid w:val="00935317"/>
    <w:rsid w:val="00935541"/>
    <w:rsid w:val="00935577"/>
    <w:rsid w:val="00935607"/>
    <w:rsid w:val="00935758"/>
    <w:rsid w:val="00935969"/>
    <w:rsid w:val="00935CAD"/>
    <w:rsid w:val="00935CEC"/>
    <w:rsid w:val="00935F3D"/>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3DF"/>
    <w:rsid w:val="0097155F"/>
    <w:rsid w:val="00971618"/>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B51"/>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618"/>
    <w:rsid w:val="009D7A2D"/>
    <w:rsid w:val="009D7FC9"/>
    <w:rsid w:val="009E02A4"/>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B66"/>
    <w:rsid w:val="00A020DD"/>
    <w:rsid w:val="00A0239A"/>
    <w:rsid w:val="00A027FD"/>
    <w:rsid w:val="00A02B5A"/>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148"/>
    <w:rsid w:val="00A27B1E"/>
    <w:rsid w:val="00A27C43"/>
    <w:rsid w:val="00A30315"/>
    <w:rsid w:val="00A30AB4"/>
    <w:rsid w:val="00A30DF9"/>
    <w:rsid w:val="00A30FCE"/>
    <w:rsid w:val="00A31632"/>
    <w:rsid w:val="00A318EA"/>
    <w:rsid w:val="00A31D03"/>
    <w:rsid w:val="00A31F7B"/>
    <w:rsid w:val="00A32C35"/>
    <w:rsid w:val="00A32C86"/>
    <w:rsid w:val="00A32D87"/>
    <w:rsid w:val="00A32DEB"/>
    <w:rsid w:val="00A332C2"/>
    <w:rsid w:val="00A33E2B"/>
    <w:rsid w:val="00A343D8"/>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8C4"/>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405E"/>
    <w:rsid w:val="00A84250"/>
    <w:rsid w:val="00A8443B"/>
    <w:rsid w:val="00A85446"/>
    <w:rsid w:val="00A8569F"/>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505D"/>
    <w:rsid w:val="00AC53EE"/>
    <w:rsid w:val="00AC5433"/>
    <w:rsid w:val="00AC597F"/>
    <w:rsid w:val="00AC6348"/>
    <w:rsid w:val="00AC63A2"/>
    <w:rsid w:val="00AC6A9B"/>
    <w:rsid w:val="00AC6D8D"/>
    <w:rsid w:val="00AC6F97"/>
    <w:rsid w:val="00AC701D"/>
    <w:rsid w:val="00AC7266"/>
    <w:rsid w:val="00AC7587"/>
    <w:rsid w:val="00AC7643"/>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5CE"/>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B5C"/>
    <w:rsid w:val="00AE7C44"/>
    <w:rsid w:val="00AE7CC4"/>
    <w:rsid w:val="00AF0782"/>
    <w:rsid w:val="00AF0866"/>
    <w:rsid w:val="00AF0B81"/>
    <w:rsid w:val="00AF0C1F"/>
    <w:rsid w:val="00AF0C38"/>
    <w:rsid w:val="00AF0E8D"/>
    <w:rsid w:val="00AF0F66"/>
    <w:rsid w:val="00AF0FCC"/>
    <w:rsid w:val="00AF10CB"/>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CF1"/>
    <w:rsid w:val="00B02ED8"/>
    <w:rsid w:val="00B02F81"/>
    <w:rsid w:val="00B03410"/>
    <w:rsid w:val="00B036CE"/>
    <w:rsid w:val="00B037D3"/>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D05"/>
    <w:rsid w:val="00B1605D"/>
    <w:rsid w:val="00B160EF"/>
    <w:rsid w:val="00B16335"/>
    <w:rsid w:val="00B16579"/>
    <w:rsid w:val="00B17087"/>
    <w:rsid w:val="00B17171"/>
    <w:rsid w:val="00B17286"/>
    <w:rsid w:val="00B1731F"/>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51B4"/>
    <w:rsid w:val="00B2532F"/>
    <w:rsid w:val="00B25663"/>
    <w:rsid w:val="00B259A6"/>
    <w:rsid w:val="00B26110"/>
    <w:rsid w:val="00B261D4"/>
    <w:rsid w:val="00B262A8"/>
    <w:rsid w:val="00B2638C"/>
    <w:rsid w:val="00B26582"/>
    <w:rsid w:val="00B26A21"/>
    <w:rsid w:val="00B26D2A"/>
    <w:rsid w:val="00B26D65"/>
    <w:rsid w:val="00B272FF"/>
    <w:rsid w:val="00B2747B"/>
    <w:rsid w:val="00B27493"/>
    <w:rsid w:val="00B278AE"/>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29"/>
    <w:rsid w:val="00B5745E"/>
    <w:rsid w:val="00B57511"/>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9DA"/>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D4A"/>
    <w:rsid w:val="00B768A5"/>
    <w:rsid w:val="00B77326"/>
    <w:rsid w:val="00B7762D"/>
    <w:rsid w:val="00B777D0"/>
    <w:rsid w:val="00B77F04"/>
    <w:rsid w:val="00B77F9B"/>
    <w:rsid w:val="00B77FBC"/>
    <w:rsid w:val="00B803E7"/>
    <w:rsid w:val="00B8075F"/>
    <w:rsid w:val="00B8085F"/>
    <w:rsid w:val="00B80BAB"/>
    <w:rsid w:val="00B80C80"/>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1D"/>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83"/>
    <w:rsid w:val="00BE36F4"/>
    <w:rsid w:val="00BE37AB"/>
    <w:rsid w:val="00BE3ACC"/>
    <w:rsid w:val="00BE3C51"/>
    <w:rsid w:val="00BE4092"/>
    <w:rsid w:val="00BE4213"/>
    <w:rsid w:val="00BE45DD"/>
    <w:rsid w:val="00BE494F"/>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4BA"/>
    <w:rsid w:val="00BF6A4F"/>
    <w:rsid w:val="00BF6DCF"/>
    <w:rsid w:val="00BF6FF5"/>
    <w:rsid w:val="00BF7553"/>
    <w:rsid w:val="00BF75FB"/>
    <w:rsid w:val="00BF79DA"/>
    <w:rsid w:val="00BF7F9D"/>
    <w:rsid w:val="00C0040B"/>
    <w:rsid w:val="00C00F87"/>
    <w:rsid w:val="00C01081"/>
    <w:rsid w:val="00C011B9"/>
    <w:rsid w:val="00C0132D"/>
    <w:rsid w:val="00C017EC"/>
    <w:rsid w:val="00C01CEA"/>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0B"/>
    <w:rsid w:val="00C373D8"/>
    <w:rsid w:val="00C373E0"/>
    <w:rsid w:val="00C37458"/>
    <w:rsid w:val="00C3780D"/>
    <w:rsid w:val="00C379CE"/>
    <w:rsid w:val="00C37B73"/>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C85"/>
    <w:rsid w:val="00C55E44"/>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5590"/>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983"/>
    <w:rsid w:val="00CB432B"/>
    <w:rsid w:val="00CB4765"/>
    <w:rsid w:val="00CB491A"/>
    <w:rsid w:val="00CB4CD1"/>
    <w:rsid w:val="00CB5760"/>
    <w:rsid w:val="00CB5918"/>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64FD"/>
    <w:rsid w:val="00CC65C4"/>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81A"/>
    <w:rsid w:val="00CE7DBE"/>
    <w:rsid w:val="00CE7F0F"/>
    <w:rsid w:val="00CF027E"/>
    <w:rsid w:val="00CF02E1"/>
    <w:rsid w:val="00CF0586"/>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AB3"/>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25E"/>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113"/>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B5C"/>
    <w:rsid w:val="00D54735"/>
    <w:rsid w:val="00D5474B"/>
    <w:rsid w:val="00D54C0B"/>
    <w:rsid w:val="00D54DC6"/>
    <w:rsid w:val="00D553FB"/>
    <w:rsid w:val="00D55905"/>
    <w:rsid w:val="00D56134"/>
    <w:rsid w:val="00D566A3"/>
    <w:rsid w:val="00D56931"/>
    <w:rsid w:val="00D56A75"/>
    <w:rsid w:val="00D57545"/>
    <w:rsid w:val="00D57592"/>
    <w:rsid w:val="00D60CBA"/>
    <w:rsid w:val="00D61363"/>
    <w:rsid w:val="00D613EA"/>
    <w:rsid w:val="00D61DCD"/>
    <w:rsid w:val="00D61E57"/>
    <w:rsid w:val="00D6226C"/>
    <w:rsid w:val="00D62454"/>
    <w:rsid w:val="00D6249C"/>
    <w:rsid w:val="00D6299D"/>
    <w:rsid w:val="00D62A26"/>
    <w:rsid w:val="00D62C3A"/>
    <w:rsid w:val="00D62FF9"/>
    <w:rsid w:val="00D63730"/>
    <w:rsid w:val="00D639C6"/>
    <w:rsid w:val="00D63CCB"/>
    <w:rsid w:val="00D6453B"/>
    <w:rsid w:val="00D64565"/>
    <w:rsid w:val="00D64608"/>
    <w:rsid w:val="00D6461D"/>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B2B"/>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A90"/>
    <w:rsid w:val="00DA7AD4"/>
    <w:rsid w:val="00DA7FB7"/>
    <w:rsid w:val="00DB0097"/>
    <w:rsid w:val="00DB0331"/>
    <w:rsid w:val="00DB0611"/>
    <w:rsid w:val="00DB0716"/>
    <w:rsid w:val="00DB0815"/>
    <w:rsid w:val="00DB0AE5"/>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EF7"/>
    <w:rsid w:val="00DD1012"/>
    <w:rsid w:val="00DD1259"/>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6FDE"/>
    <w:rsid w:val="00E07282"/>
    <w:rsid w:val="00E07AAD"/>
    <w:rsid w:val="00E07B58"/>
    <w:rsid w:val="00E07E84"/>
    <w:rsid w:val="00E07EDE"/>
    <w:rsid w:val="00E102B0"/>
    <w:rsid w:val="00E1048B"/>
    <w:rsid w:val="00E10A31"/>
    <w:rsid w:val="00E111DA"/>
    <w:rsid w:val="00E1132D"/>
    <w:rsid w:val="00E118B3"/>
    <w:rsid w:val="00E11C4C"/>
    <w:rsid w:val="00E11E0E"/>
    <w:rsid w:val="00E120EB"/>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4DB"/>
    <w:rsid w:val="00E2451D"/>
    <w:rsid w:val="00E245C8"/>
    <w:rsid w:val="00E24AED"/>
    <w:rsid w:val="00E24E76"/>
    <w:rsid w:val="00E24EDB"/>
    <w:rsid w:val="00E255A4"/>
    <w:rsid w:val="00E258D9"/>
    <w:rsid w:val="00E2592D"/>
    <w:rsid w:val="00E25D97"/>
    <w:rsid w:val="00E25DBC"/>
    <w:rsid w:val="00E26882"/>
    <w:rsid w:val="00E26945"/>
    <w:rsid w:val="00E26A89"/>
    <w:rsid w:val="00E27475"/>
    <w:rsid w:val="00E27686"/>
    <w:rsid w:val="00E278FC"/>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8FD"/>
    <w:rsid w:val="00E96E5B"/>
    <w:rsid w:val="00E971FC"/>
    <w:rsid w:val="00E9722D"/>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1118"/>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51B"/>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AB"/>
    <w:rsid w:val="00EE5B36"/>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66E"/>
    <w:rsid w:val="00F17850"/>
    <w:rsid w:val="00F17CCE"/>
    <w:rsid w:val="00F20458"/>
    <w:rsid w:val="00F20F59"/>
    <w:rsid w:val="00F2160D"/>
    <w:rsid w:val="00F2207E"/>
    <w:rsid w:val="00F22C87"/>
    <w:rsid w:val="00F22E37"/>
    <w:rsid w:val="00F232A1"/>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1ED8"/>
    <w:rsid w:val="00F425B0"/>
    <w:rsid w:val="00F425D1"/>
    <w:rsid w:val="00F42859"/>
    <w:rsid w:val="00F42EEF"/>
    <w:rsid w:val="00F43524"/>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C89"/>
    <w:rsid w:val="00F91D40"/>
    <w:rsid w:val="00F91D78"/>
    <w:rsid w:val="00F91D90"/>
    <w:rsid w:val="00F91F70"/>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45"/>
    <w:rsid w:val="00FA31E4"/>
    <w:rsid w:val="00FA362B"/>
    <w:rsid w:val="00FA3EF0"/>
    <w:rsid w:val="00FA3EFC"/>
    <w:rsid w:val="00FA40C4"/>
    <w:rsid w:val="00FA40C7"/>
    <w:rsid w:val="00FA43B5"/>
    <w:rsid w:val="00FA4467"/>
    <w:rsid w:val="00FA46F0"/>
    <w:rsid w:val="00FA4D35"/>
    <w:rsid w:val="00FA53E0"/>
    <w:rsid w:val="00FA56E1"/>
    <w:rsid w:val="00FA57FB"/>
    <w:rsid w:val="00FA5B0D"/>
    <w:rsid w:val="00FA62E9"/>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B90"/>
    <w:rsid w:val="00FB6C9B"/>
    <w:rsid w:val="00FB6E4B"/>
    <w:rsid w:val="00FB6FA6"/>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45E"/>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england.nhs.uk/wp-content/uploads/2015/01/improving-experiences-of-care.pdf" TargetMode="External"/><Relationship Id="rId26" Type="http://schemas.openxmlformats.org/officeDocument/2006/relationships/hyperlink" Target="http://www.safetyandquality.gov.au/our-work/shared-decision-makin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afetyandquality.gov.au/our-work/healthcare-associated-infection/" TargetMode="External"/><Relationship Id="rId34" Type="http://schemas.openxmlformats.org/officeDocument/2006/relationships/hyperlink" Target="http://qualitysafety.bmj.com/content/early/recent"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NSQHSStandards@safetyandquality.gov.au" TargetMode="External"/><Relationship Id="rId25" Type="http://schemas.openxmlformats.org/officeDocument/2006/relationships/hyperlink" Target="http://www.safetyandquality.gov.au/our-work/variation-in-health-care/" TargetMode="External"/><Relationship Id="rId33" Type="http://schemas.openxmlformats.org/officeDocument/2006/relationships/hyperlink" Target="http://qualitysafety.bmj.com/content/24/3" TargetMode="External"/><Relationship Id="rId38" Type="http://schemas.openxmlformats.org/officeDocument/2006/relationships/hyperlink" Target="http://www.commonwealthfund.org/digital-health-revolutio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fetyandquality.gov.au/our-work/accreditation-and-the-nsqhs-standards/current-consultations/" TargetMode="External"/><Relationship Id="rId20" Type="http://schemas.openxmlformats.org/officeDocument/2006/relationships/hyperlink" Target="http://dx.doi.org/10.1016/S1473-3099(14)70854-0" TargetMode="External"/><Relationship Id="rId29" Type="http://schemas.openxmlformats.org/officeDocument/2006/relationships/hyperlink" Target="http://dx.doi.org/10.1016/j.annemergmed.2014.11.01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377/hlthaff.2014.0983" TargetMode="External"/><Relationship Id="rId32" Type="http://schemas.openxmlformats.org/officeDocument/2006/relationships/hyperlink" Target="http://www.safetyandquality.gov.au/our-work/falls-prevention/" TargetMode="External"/><Relationship Id="rId37" Type="http://schemas.openxmlformats.org/officeDocument/2006/relationships/hyperlink" Target="http://www.safetyandquality.gov.au/our-work/patient-and-consumer-centred-care/health-literacy/"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86/s12875-014-0206-5" TargetMode="External"/><Relationship Id="rId28" Type="http://schemas.openxmlformats.org/officeDocument/2006/relationships/hyperlink" Target="http://dx.doi.org/10.1016/j.jamcollsurg.2014.09.018" TargetMode="External"/><Relationship Id="rId36" Type="http://schemas.openxmlformats.org/officeDocument/2006/relationships/hyperlink" Target="http://www.searo.who.int/entity/healthpromotion/documents/hl_tookit/en/"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097/acm.0000000000000610" TargetMode="External"/><Relationship Id="rId31" Type="http://schemas.openxmlformats.org/officeDocument/2006/relationships/hyperlink" Target="http://dx.doi.org/10.1097/NCQ.0000000000000106"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36/bmj.g6423" TargetMode="External"/><Relationship Id="rId27" Type="http://schemas.openxmlformats.org/officeDocument/2006/relationships/hyperlink" Target="http://dx.doi.org/10.1007/s00134-014-3601-4" TargetMode="External"/><Relationship Id="rId30" Type="http://schemas.openxmlformats.org/officeDocument/2006/relationships/hyperlink" Target="http://www.safetyandquality.gov.au/our-work/medication-safety/" TargetMode="External"/><Relationship Id="rId35" Type="http://schemas.openxmlformats.org/officeDocument/2006/relationships/hyperlink" Target="http://intqhc.oxfordjournals.org/content/early/recent?papetoc"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94CA0-58F8-4B16-A879-CE0D94CD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8</Pages>
  <Words>3610</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24141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24</cp:revision>
  <cp:lastPrinted>2013-06-06T03:47:00Z</cp:lastPrinted>
  <dcterms:created xsi:type="dcterms:W3CDTF">2015-02-08T20:34:00Z</dcterms:created>
  <dcterms:modified xsi:type="dcterms:W3CDTF">2015-02-15T06:44:00Z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