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55EF8" w:rsidRDefault="00824B99" w:rsidP="00A420BD">
      <w:pPr>
        <w:pStyle w:val="Heading1"/>
        <w:ind w:left="720" w:hanging="720"/>
        <w:jc w:val="both"/>
        <w:rPr>
          <w:rFonts w:ascii="Bookman Old Style" w:hAnsi="Bookman Old Style"/>
          <w:sz w:val="48"/>
          <w:szCs w:val="48"/>
          <w:lang w:val="en-AU"/>
        </w:rPr>
      </w:pPr>
      <w:r w:rsidRPr="00255EF8">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FD2ABB1" wp14:editId="70116F8D">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55EF8">
        <w:rPr>
          <w:rFonts w:ascii="Bookman Old Style" w:hAnsi="Bookman Old Style"/>
          <w:sz w:val="48"/>
          <w:szCs w:val="48"/>
          <w:lang w:val="en-AU"/>
        </w:rPr>
        <w:t>On the Radar</w:t>
      </w:r>
    </w:p>
    <w:p w:rsidR="00B160EF" w:rsidRPr="00255EF8" w:rsidRDefault="00715F47" w:rsidP="00B160EF">
      <w:pPr>
        <w:rPr>
          <w:color w:val="000000"/>
          <w:lang w:val="en-AU"/>
        </w:rPr>
      </w:pPr>
      <w:r w:rsidRPr="00255EF8">
        <w:rPr>
          <w:color w:val="000000"/>
          <w:lang w:val="en-AU"/>
        </w:rPr>
        <w:t xml:space="preserve">Issue </w:t>
      </w:r>
      <w:r w:rsidR="00755242" w:rsidRPr="00255EF8">
        <w:rPr>
          <w:color w:val="000000"/>
          <w:lang w:val="en-AU"/>
        </w:rPr>
        <w:t>2</w:t>
      </w:r>
      <w:r w:rsidR="00320AA2">
        <w:rPr>
          <w:color w:val="000000"/>
          <w:lang w:val="en-AU"/>
        </w:rPr>
        <w:t>1</w:t>
      </w:r>
      <w:r w:rsidR="00F61F35">
        <w:rPr>
          <w:color w:val="000000"/>
          <w:lang w:val="en-AU"/>
        </w:rPr>
        <w:t>7</w:t>
      </w:r>
    </w:p>
    <w:p w:rsidR="00755242" w:rsidRPr="00255EF8" w:rsidRDefault="00F61F35" w:rsidP="00B160EF">
      <w:pPr>
        <w:rPr>
          <w:lang w:val="en-AU"/>
        </w:rPr>
      </w:pPr>
      <w:r>
        <w:rPr>
          <w:lang w:val="en-AU"/>
        </w:rPr>
        <w:t xml:space="preserve">Tuesday </w:t>
      </w:r>
      <w:bookmarkStart w:id="0" w:name="_GoBack"/>
      <w:bookmarkEnd w:id="0"/>
      <w:r>
        <w:rPr>
          <w:lang w:val="en-AU"/>
        </w:rPr>
        <w:t>7 April</w:t>
      </w:r>
      <w:r w:rsidR="009233ED" w:rsidRPr="00255EF8">
        <w:rPr>
          <w:lang w:val="en-AU"/>
        </w:rPr>
        <w:t xml:space="preserve"> 2015</w:t>
      </w:r>
    </w:p>
    <w:p w:rsidR="00566895" w:rsidRPr="00255EF8" w:rsidRDefault="00566895" w:rsidP="00B160EF">
      <w:pPr>
        <w:rPr>
          <w:lang w:val="en-AU"/>
        </w:rPr>
      </w:pPr>
    </w:p>
    <w:p w:rsidR="00B160EF" w:rsidRPr="00255EF8" w:rsidRDefault="00B160EF" w:rsidP="00B160EF">
      <w:pPr>
        <w:rPr>
          <w:b/>
          <w:lang w:val="en-AU"/>
        </w:rPr>
      </w:pPr>
      <w:r w:rsidRPr="00255EF8">
        <w:rPr>
          <w:i/>
          <w:lang w:val="en-AU"/>
        </w:rPr>
        <w:t>On the Radar</w:t>
      </w:r>
      <w:r w:rsidRPr="00255EF8">
        <w:rPr>
          <w:lang w:val="en-AU"/>
        </w:rPr>
        <w:t xml:space="preserve"> is a summary of some of the recent publications in the areas of safety and quality in health care. Inclusion in this document is not an endorsement or recommendation of any publication or provider.</w:t>
      </w:r>
      <w:r w:rsidR="00594E21">
        <w:rPr>
          <w:lang w:val="en-AU"/>
        </w:rPr>
        <w:t xml:space="preserve"> </w:t>
      </w:r>
      <w:r w:rsidRPr="00255EF8">
        <w:rPr>
          <w:lang w:val="en-AU"/>
        </w:rPr>
        <w:t>Access to particular documents may depend on whether they are Open Access or not, and/or your individual or institutional access to subscription sites/services.</w:t>
      </w:r>
      <w:r w:rsidR="00F460A7" w:rsidRPr="00255EF8">
        <w:rPr>
          <w:lang w:val="en-AU"/>
        </w:rPr>
        <w:t xml:space="preserve"> Material that may require subscription is included as it is considered relevant.</w:t>
      </w:r>
    </w:p>
    <w:p w:rsidR="00B160EF" w:rsidRPr="00255EF8" w:rsidRDefault="00B160EF" w:rsidP="00B160EF">
      <w:pPr>
        <w:rPr>
          <w:lang w:val="en-AU"/>
        </w:rPr>
      </w:pPr>
    </w:p>
    <w:p w:rsidR="00230D83" w:rsidRPr="00255EF8" w:rsidRDefault="00B160EF" w:rsidP="0045757F">
      <w:pPr>
        <w:autoSpaceDE w:val="0"/>
        <w:rPr>
          <w:lang w:val="en-AU"/>
        </w:rPr>
      </w:pPr>
      <w:r w:rsidRPr="00255EF8">
        <w:rPr>
          <w:i/>
          <w:lang w:val="en-AU"/>
        </w:rPr>
        <w:t>On the Radar</w:t>
      </w:r>
      <w:r w:rsidRPr="00255EF8">
        <w:rPr>
          <w:lang w:val="en-AU"/>
        </w:rPr>
        <w:t xml:space="preserve"> is available </w:t>
      </w:r>
      <w:r w:rsidR="003D1E7A" w:rsidRPr="00255EF8">
        <w:rPr>
          <w:lang w:val="en-AU"/>
        </w:rPr>
        <w:t xml:space="preserve">online, </w:t>
      </w:r>
      <w:r w:rsidRPr="00255EF8">
        <w:rPr>
          <w:lang w:val="en-AU"/>
        </w:rPr>
        <w:t xml:space="preserve">via email or as a PDF document from </w:t>
      </w:r>
      <w:hyperlink r:id="rId10" w:history="1">
        <w:r w:rsidR="00230D83" w:rsidRPr="00255EF8">
          <w:rPr>
            <w:rStyle w:val="Hyperlink"/>
            <w:lang w:val="en-AU"/>
          </w:rPr>
          <w:t>http://www.safetyandquality.gov.au/publications-resources/on-the-radar/</w:t>
        </w:r>
      </w:hyperlink>
    </w:p>
    <w:p w:rsidR="0090536C" w:rsidRPr="00255EF8" w:rsidRDefault="0090536C" w:rsidP="0045757F">
      <w:pPr>
        <w:autoSpaceDE w:val="0"/>
        <w:rPr>
          <w:lang w:val="en-AU"/>
        </w:rPr>
      </w:pPr>
    </w:p>
    <w:p w:rsidR="00B160EF" w:rsidRPr="00255EF8" w:rsidRDefault="00B160EF" w:rsidP="0045757F">
      <w:pPr>
        <w:autoSpaceDE w:val="0"/>
        <w:rPr>
          <w:lang w:val="en-AU"/>
        </w:rPr>
      </w:pPr>
      <w:r w:rsidRPr="00255EF8">
        <w:rPr>
          <w:lang w:val="en-AU"/>
        </w:rPr>
        <w:t xml:space="preserve">If you would like to receive </w:t>
      </w:r>
      <w:r w:rsidRPr="00255EF8">
        <w:rPr>
          <w:i/>
          <w:lang w:val="en-AU"/>
        </w:rPr>
        <w:t>On the Radar</w:t>
      </w:r>
      <w:r w:rsidRPr="00255EF8">
        <w:rPr>
          <w:lang w:val="en-AU"/>
        </w:rPr>
        <w:t xml:space="preserve"> via email</w:t>
      </w:r>
      <w:r w:rsidR="003D7B9E" w:rsidRPr="00255EF8">
        <w:rPr>
          <w:lang w:val="en-AU"/>
        </w:rPr>
        <w:t>, you can</w:t>
      </w:r>
      <w:r w:rsidR="00F24F60" w:rsidRPr="00255EF8">
        <w:rPr>
          <w:lang w:val="en-AU"/>
        </w:rPr>
        <w:t xml:space="preserve"> subscribe on our website </w:t>
      </w:r>
      <w:hyperlink r:id="rId11" w:history="1">
        <w:r w:rsidR="00F24F60" w:rsidRPr="00255EF8">
          <w:rPr>
            <w:rStyle w:val="Hyperlink"/>
            <w:lang w:val="en-AU"/>
          </w:rPr>
          <w:t>http://www.safetyandquality.gov.au/</w:t>
        </w:r>
      </w:hyperlink>
      <w:r w:rsidR="003D7B9E" w:rsidRPr="00255EF8">
        <w:rPr>
          <w:lang w:val="en-AU"/>
        </w:rPr>
        <w:t xml:space="preserve"> or by emailing us at </w:t>
      </w:r>
      <w:r w:rsidR="003D7B9E" w:rsidRPr="00255EF8">
        <w:rPr>
          <w:rFonts w:ascii="ZWAdobeF" w:hAnsi="ZWAdobeF" w:cs="ZWAdobeF"/>
          <w:sz w:val="2"/>
          <w:szCs w:val="2"/>
          <w:lang w:val="en-AU"/>
        </w:rPr>
        <w:t>H</w:t>
      </w:r>
      <w:hyperlink r:id="rId12"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 xml:space="preserve">. </w:t>
      </w:r>
      <w:r w:rsidR="00E51D23" w:rsidRPr="00255EF8">
        <w:rPr>
          <w:lang w:val="en-AU"/>
        </w:rPr>
        <w:br/>
      </w:r>
      <w:r w:rsidR="003D7B9E" w:rsidRPr="00255EF8">
        <w:rPr>
          <w:lang w:val="en-AU"/>
        </w:rPr>
        <w:t xml:space="preserve">You can also send feedback and comments to </w:t>
      </w:r>
      <w:r w:rsidR="003D7B9E" w:rsidRPr="00255EF8">
        <w:rPr>
          <w:rFonts w:ascii="ZWAdobeF" w:hAnsi="ZWAdobeF" w:cs="ZWAdobeF"/>
          <w:sz w:val="2"/>
          <w:szCs w:val="2"/>
          <w:lang w:val="en-AU"/>
        </w:rPr>
        <w:t>H</w:t>
      </w:r>
      <w:hyperlink r:id="rId13"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w:t>
      </w:r>
    </w:p>
    <w:p w:rsidR="00B160EF" w:rsidRPr="00255EF8" w:rsidRDefault="00B160EF" w:rsidP="00837FC4">
      <w:pPr>
        <w:tabs>
          <w:tab w:val="left" w:pos="7773"/>
        </w:tabs>
        <w:rPr>
          <w:lang w:val="en-AU"/>
        </w:rPr>
      </w:pPr>
    </w:p>
    <w:p w:rsidR="00837FC4" w:rsidRPr="00255EF8" w:rsidRDefault="00B160EF" w:rsidP="004554DB">
      <w:pPr>
        <w:autoSpaceDE w:val="0"/>
        <w:rPr>
          <w:lang w:val="en-AU"/>
        </w:rPr>
      </w:pPr>
      <w:bookmarkStart w:id="1" w:name="OLE_LINK1"/>
      <w:r w:rsidRPr="00255EF8">
        <w:rPr>
          <w:lang w:val="en-AU"/>
        </w:rPr>
        <w:t xml:space="preserve">For information about the Commission and its programs and publications, please visit </w:t>
      </w:r>
      <w:hyperlink r:id="rId14" w:history="1">
        <w:r w:rsidR="00837FC4" w:rsidRPr="00255EF8">
          <w:rPr>
            <w:rStyle w:val="Hyperlink"/>
            <w:lang w:val="en-AU"/>
          </w:rPr>
          <w:t>http://www.safetyandquality.gov.au</w:t>
        </w:r>
      </w:hyperlink>
    </w:p>
    <w:p w:rsidR="009233ED" w:rsidRPr="00255EF8" w:rsidRDefault="004554DB" w:rsidP="004554DB">
      <w:pPr>
        <w:autoSpaceDE w:val="0"/>
        <w:rPr>
          <w:lang w:val="en-AU"/>
        </w:rPr>
      </w:pPr>
      <w:r w:rsidRPr="00255EF8">
        <w:rPr>
          <w:lang w:val="en-AU"/>
        </w:rPr>
        <w:t>You can also follow us on Twitter @ACSQHC.</w:t>
      </w:r>
    </w:p>
    <w:p w:rsidR="00210235" w:rsidRPr="00255EF8" w:rsidRDefault="00210235" w:rsidP="00210235">
      <w:pPr>
        <w:keepNext/>
        <w:pBdr>
          <w:top w:val="single" w:sz="4" w:space="1" w:color="auto"/>
        </w:pBdr>
        <w:rPr>
          <w:b/>
          <w:lang w:val="en-AU"/>
        </w:rPr>
      </w:pPr>
      <w:r w:rsidRPr="00255EF8">
        <w:rPr>
          <w:b/>
          <w:lang w:val="en-AU"/>
        </w:rPr>
        <w:t>On the Radar</w:t>
      </w:r>
    </w:p>
    <w:p w:rsidR="00340157" w:rsidRPr="00255EF8" w:rsidRDefault="00340157" w:rsidP="00210235">
      <w:pPr>
        <w:keepNext/>
        <w:pBdr>
          <w:top w:val="single" w:sz="4" w:space="1" w:color="auto"/>
        </w:pBdr>
        <w:rPr>
          <w:bCs/>
          <w:lang w:val="en-AU"/>
        </w:rPr>
      </w:pPr>
      <w:r w:rsidRPr="00255EF8">
        <w:rPr>
          <w:bCs/>
          <w:lang w:val="en-AU"/>
        </w:rPr>
        <w:t xml:space="preserve">Editor: </w:t>
      </w:r>
      <w:r w:rsidR="00C8085B" w:rsidRPr="00255EF8">
        <w:rPr>
          <w:bCs/>
          <w:lang w:val="en-AU"/>
        </w:rPr>
        <w:t xml:space="preserve">Dr </w:t>
      </w:r>
      <w:r w:rsidRPr="00255EF8">
        <w:rPr>
          <w:bCs/>
          <w:lang w:val="en-AU"/>
        </w:rPr>
        <w:t xml:space="preserve">Niall Johnson </w:t>
      </w:r>
      <w:hyperlink r:id="rId15" w:history="1">
        <w:r w:rsidRPr="00255EF8">
          <w:rPr>
            <w:rStyle w:val="Hyperlink"/>
            <w:bCs/>
            <w:lang w:val="en-AU"/>
          </w:rPr>
          <w:t>niall.johnson@safetyandquality.gov.au</w:t>
        </w:r>
      </w:hyperlink>
    </w:p>
    <w:p w:rsidR="009A35BE" w:rsidRPr="00255EF8" w:rsidRDefault="00210235" w:rsidP="00A8296D">
      <w:pPr>
        <w:keepNext/>
        <w:pBdr>
          <w:top w:val="single" w:sz="4" w:space="1" w:color="auto"/>
        </w:pBdr>
        <w:rPr>
          <w:shd w:val="clear" w:color="auto" w:fill="FFFFFF"/>
          <w:lang w:val="en-AU"/>
        </w:rPr>
      </w:pPr>
      <w:r w:rsidRPr="00255EF8">
        <w:rPr>
          <w:bCs/>
          <w:lang w:val="en-AU"/>
        </w:rPr>
        <w:t xml:space="preserve">Contributors: </w:t>
      </w:r>
      <w:r w:rsidR="0056339A" w:rsidRPr="00255EF8">
        <w:rPr>
          <w:bCs/>
          <w:lang w:val="en-AU"/>
        </w:rPr>
        <w:t>Niall Johnson</w:t>
      </w:r>
      <w:bookmarkEnd w:id="1"/>
    </w:p>
    <w:p w:rsidR="00F34D09" w:rsidRDefault="00F34D09" w:rsidP="00F34D09">
      <w:pPr>
        <w:rPr>
          <w:shd w:val="clear" w:color="auto" w:fill="FFFFFF"/>
          <w:lang w:val="en-AU"/>
        </w:rPr>
      </w:pPr>
    </w:p>
    <w:p w:rsidR="00CC4DDA" w:rsidRPr="00255EF8" w:rsidRDefault="00CC4DDA" w:rsidP="00CC4DDA">
      <w:pPr>
        <w:rPr>
          <w:b/>
          <w:shd w:val="clear" w:color="auto" w:fill="FFFFFF"/>
          <w:lang w:val="en-AU"/>
        </w:rPr>
      </w:pPr>
      <w:r w:rsidRPr="00255EF8">
        <w:rPr>
          <w:b/>
          <w:shd w:val="clear" w:color="auto" w:fill="FFFFFF"/>
          <w:lang w:val="en-AU"/>
        </w:rPr>
        <w:t>Report</w:t>
      </w:r>
      <w:r w:rsidR="00F52B72" w:rsidRPr="00255EF8">
        <w:rPr>
          <w:b/>
          <w:shd w:val="clear" w:color="auto" w:fill="FFFFFF"/>
          <w:lang w:val="en-AU"/>
        </w:rPr>
        <w:t>s</w:t>
      </w:r>
    </w:p>
    <w:p w:rsidR="00B673A5" w:rsidRPr="00D304E1" w:rsidRDefault="00B673A5" w:rsidP="00B673A5">
      <w:pPr>
        <w:keepNext/>
        <w:keepLines/>
        <w:autoSpaceDE w:val="0"/>
        <w:autoSpaceDN w:val="0"/>
        <w:adjustRightInd w:val="0"/>
        <w:rPr>
          <w:i/>
          <w:lang w:val="en-AU"/>
        </w:rPr>
      </w:pPr>
      <w:r w:rsidRPr="00D304E1">
        <w:rPr>
          <w:i/>
          <w:lang w:val="en-AU"/>
        </w:rPr>
        <w:t>Celebrating good care, championing outstanding care</w:t>
      </w:r>
    </w:p>
    <w:p w:rsidR="00B673A5" w:rsidRDefault="00B673A5" w:rsidP="00B673A5">
      <w:pPr>
        <w:keepNext/>
        <w:keepLines/>
        <w:autoSpaceDE w:val="0"/>
        <w:autoSpaceDN w:val="0"/>
        <w:adjustRightInd w:val="0"/>
        <w:rPr>
          <w:lang w:val="en-AU"/>
        </w:rPr>
      </w:pPr>
      <w:r>
        <w:rPr>
          <w:lang w:val="en-AU"/>
        </w:rPr>
        <w:t>Care Quality Commission</w:t>
      </w:r>
    </w:p>
    <w:p w:rsidR="00B673A5" w:rsidRPr="00D234ED" w:rsidRDefault="00B673A5" w:rsidP="00B673A5">
      <w:pPr>
        <w:keepNext/>
        <w:keepLines/>
        <w:autoSpaceDE w:val="0"/>
        <w:autoSpaceDN w:val="0"/>
        <w:adjustRightInd w:val="0"/>
        <w:rPr>
          <w:lang w:val="en-AU"/>
        </w:rPr>
      </w:pPr>
      <w:r w:rsidRPr="00B673A5">
        <w:rPr>
          <w:lang w:val="en-AU"/>
        </w:rPr>
        <w:t>Newcast</w:t>
      </w:r>
      <w:r>
        <w:rPr>
          <w:lang w:val="en-AU"/>
        </w:rPr>
        <w:t>l</w:t>
      </w:r>
      <w:r w:rsidRPr="00B673A5">
        <w:rPr>
          <w:lang w:val="en-AU"/>
        </w:rPr>
        <w:t xml:space="preserve">e </w:t>
      </w:r>
      <w:proofErr w:type="gramStart"/>
      <w:r w:rsidRPr="00B673A5">
        <w:rPr>
          <w:lang w:val="en-AU"/>
        </w:rPr>
        <w:t>Upon</w:t>
      </w:r>
      <w:proofErr w:type="gramEnd"/>
      <w:r w:rsidRPr="00B673A5">
        <w:rPr>
          <w:lang w:val="en-AU"/>
        </w:rPr>
        <w:t xml:space="preserve"> Tyne: Care Quality Commission; 2015. </w:t>
      </w:r>
      <w:proofErr w:type="gramStart"/>
      <w:r w:rsidRPr="00B673A5">
        <w:rPr>
          <w:lang w:val="en-AU"/>
        </w:rPr>
        <w:t>p. 44.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B673A5" w:rsidRPr="00255EF8" w:rsidTr="001C63B6">
        <w:tc>
          <w:tcPr>
            <w:tcW w:w="1080" w:type="dxa"/>
            <w:tcBorders>
              <w:top w:val="single" w:sz="4" w:space="0" w:color="auto"/>
              <w:left w:val="single" w:sz="4" w:space="0" w:color="auto"/>
              <w:bottom w:val="single" w:sz="4" w:space="0" w:color="auto"/>
              <w:right w:val="single" w:sz="4" w:space="0" w:color="auto"/>
            </w:tcBorders>
            <w:vAlign w:val="center"/>
          </w:tcPr>
          <w:p w:rsidR="00B673A5" w:rsidRPr="00255EF8" w:rsidRDefault="00B673A5" w:rsidP="001C63B6">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673A5" w:rsidRPr="00255EF8" w:rsidRDefault="00492BB6" w:rsidP="001C63B6">
            <w:pPr>
              <w:rPr>
                <w:lang w:val="en-AU"/>
              </w:rPr>
            </w:pPr>
            <w:hyperlink r:id="rId16" w:history="1">
              <w:r w:rsidR="00B673A5" w:rsidRPr="002847A7">
                <w:rPr>
                  <w:rStyle w:val="Hyperlink"/>
                  <w:lang w:val="en-AU"/>
                </w:rPr>
                <w:t>http://www.cqc.org.uk/content/celebrating-good-care-championing-outstanding-care-1</w:t>
              </w:r>
            </w:hyperlink>
          </w:p>
        </w:tc>
      </w:tr>
      <w:tr w:rsidR="00B673A5" w:rsidRPr="00255EF8" w:rsidTr="001C63B6">
        <w:tc>
          <w:tcPr>
            <w:tcW w:w="1080" w:type="dxa"/>
            <w:tcBorders>
              <w:top w:val="single" w:sz="4" w:space="0" w:color="auto"/>
              <w:left w:val="single" w:sz="4" w:space="0" w:color="auto"/>
              <w:bottom w:val="single" w:sz="4" w:space="0" w:color="auto"/>
              <w:right w:val="single" w:sz="4" w:space="0" w:color="auto"/>
            </w:tcBorders>
            <w:vAlign w:val="center"/>
          </w:tcPr>
          <w:p w:rsidR="00B673A5" w:rsidRPr="00255EF8" w:rsidRDefault="00B673A5" w:rsidP="001C63B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673A5" w:rsidRDefault="00B673A5" w:rsidP="001C63B6">
            <w:pPr>
              <w:rPr>
                <w:color w:val="333333"/>
                <w:shd w:val="clear" w:color="auto" w:fill="FFFFFF"/>
                <w:lang w:val="en-AU"/>
              </w:rPr>
            </w:pPr>
            <w:r>
              <w:rPr>
                <w:color w:val="333333"/>
                <w:shd w:val="clear" w:color="auto" w:fill="FFFFFF"/>
                <w:lang w:val="en-AU"/>
              </w:rPr>
              <w:t xml:space="preserve">This report from the English </w:t>
            </w:r>
            <w:r w:rsidRPr="00D304E1">
              <w:rPr>
                <w:color w:val="333333"/>
                <w:shd w:val="clear" w:color="auto" w:fill="FFFFFF"/>
                <w:lang w:val="en-AU"/>
              </w:rPr>
              <w:t>Care Quality Commission</w:t>
            </w:r>
            <w:r>
              <w:rPr>
                <w:color w:val="333333"/>
                <w:shd w:val="clear" w:color="auto" w:fill="FFFFFF"/>
                <w:lang w:val="en-AU"/>
              </w:rPr>
              <w:t xml:space="preserve"> (CQC)</w:t>
            </w:r>
            <w:r w:rsidRPr="00D304E1">
              <w:rPr>
                <w:color w:val="333333"/>
                <w:shd w:val="clear" w:color="auto" w:fill="FFFFFF"/>
                <w:lang w:val="en-AU"/>
              </w:rPr>
              <w:t xml:space="preserve"> examines what underpins high quality care</w:t>
            </w:r>
            <w:r>
              <w:rPr>
                <w:color w:val="333333"/>
                <w:shd w:val="clear" w:color="auto" w:fill="FFFFFF"/>
                <w:lang w:val="en-AU"/>
              </w:rPr>
              <w:t xml:space="preserve">. It includes </w:t>
            </w:r>
            <w:r w:rsidRPr="00D304E1">
              <w:rPr>
                <w:color w:val="333333"/>
                <w:shd w:val="clear" w:color="auto" w:fill="FFFFFF"/>
                <w:lang w:val="en-AU"/>
              </w:rPr>
              <w:t xml:space="preserve">short case studies illustrating some of the qualities shown by care providers that </w:t>
            </w:r>
            <w:r>
              <w:rPr>
                <w:color w:val="333333"/>
                <w:shd w:val="clear" w:color="auto" w:fill="FFFFFF"/>
                <w:lang w:val="en-AU"/>
              </w:rPr>
              <w:t xml:space="preserve">have been </w:t>
            </w:r>
            <w:r w:rsidRPr="00D304E1">
              <w:rPr>
                <w:color w:val="333333"/>
                <w:shd w:val="clear" w:color="auto" w:fill="FFFFFF"/>
                <w:lang w:val="en-AU"/>
              </w:rPr>
              <w:t xml:space="preserve">rated good or outstanding overall. It also shares the views of some people responsible for care quality and what they </w:t>
            </w:r>
            <w:r>
              <w:rPr>
                <w:color w:val="333333"/>
                <w:shd w:val="clear" w:color="auto" w:fill="FFFFFF"/>
                <w:lang w:val="en-AU"/>
              </w:rPr>
              <w:t xml:space="preserve">have </w:t>
            </w:r>
            <w:r w:rsidRPr="00D304E1">
              <w:rPr>
                <w:color w:val="333333"/>
                <w:shd w:val="clear" w:color="auto" w:fill="FFFFFF"/>
                <w:lang w:val="en-AU"/>
              </w:rPr>
              <w:t>do</w:t>
            </w:r>
            <w:r>
              <w:rPr>
                <w:color w:val="333333"/>
                <w:shd w:val="clear" w:color="auto" w:fill="FFFFFF"/>
                <w:lang w:val="en-AU"/>
              </w:rPr>
              <w:t xml:space="preserve">ne </w:t>
            </w:r>
            <w:r w:rsidRPr="00D304E1">
              <w:rPr>
                <w:color w:val="333333"/>
                <w:shd w:val="clear" w:color="auto" w:fill="FFFFFF"/>
                <w:lang w:val="en-AU"/>
              </w:rPr>
              <w:t>to drive improvement.</w:t>
            </w:r>
          </w:p>
          <w:p w:rsidR="00B673A5" w:rsidRPr="00D304E1" w:rsidRDefault="00B673A5" w:rsidP="001C63B6">
            <w:pPr>
              <w:rPr>
                <w:color w:val="333333"/>
                <w:shd w:val="clear" w:color="auto" w:fill="FFFFFF"/>
                <w:lang w:val="en-AU"/>
              </w:rPr>
            </w:pPr>
            <w:r>
              <w:rPr>
                <w:color w:val="333333"/>
                <w:shd w:val="clear" w:color="auto" w:fill="FFFFFF"/>
                <w:lang w:val="en-AU"/>
              </w:rPr>
              <w:t xml:space="preserve">The CQC note that </w:t>
            </w:r>
            <w:r w:rsidRPr="00D304E1">
              <w:rPr>
                <w:b/>
                <w:color w:val="333333"/>
                <w:shd w:val="clear" w:color="auto" w:fill="FFFFFF"/>
                <w:lang w:val="en-AU"/>
              </w:rPr>
              <w:t>three themes</w:t>
            </w:r>
            <w:r w:rsidRPr="00D304E1">
              <w:rPr>
                <w:color w:val="333333"/>
                <w:shd w:val="clear" w:color="auto" w:fill="FFFFFF"/>
                <w:lang w:val="en-AU"/>
              </w:rPr>
              <w:t xml:space="preserve"> </w:t>
            </w:r>
            <w:r>
              <w:rPr>
                <w:color w:val="333333"/>
                <w:shd w:val="clear" w:color="auto" w:fill="FFFFFF"/>
                <w:lang w:val="en-AU"/>
              </w:rPr>
              <w:t xml:space="preserve">have emerged </w:t>
            </w:r>
            <w:r w:rsidRPr="00D304E1">
              <w:rPr>
                <w:color w:val="333333"/>
                <w:shd w:val="clear" w:color="auto" w:fill="FFFFFF"/>
                <w:lang w:val="en-AU"/>
              </w:rPr>
              <w:t xml:space="preserve">as </w:t>
            </w:r>
            <w:r w:rsidRPr="00D304E1">
              <w:rPr>
                <w:b/>
                <w:color w:val="333333"/>
                <w:shd w:val="clear" w:color="auto" w:fill="FFFFFF"/>
                <w:lang w:val="en-AU"/>
              </w:rPr>
              <w:t>drivers of better quality of care</w:t>
            </w:r>
            <w:r w:rsidRPr="00D304E1">
              <w:rPr>
                <w:color w:val="333333"/>
                <w:shd w:val="clear" w:color="auto" w:fill="FFFFFF"/>
                <w:lang w:val="en-AU"/>
              </w:rPr>
              <w:t>:</w:t>
            </w:r>
          </w:p>
          <w:p w:rsidR="00B673A5" w:rsidRPr="00D304E1" w:rsidRDefault="00B673A5" w:rsidP="001C63B6">
            <w:pPr>
              <w:pStyle w:val="ListParagraph"/>
              <w:numPr>
                <w:ilvl w:val="0"/>
                <w:numId w:val="16"/>
              </w:numPr>
              <w:rPr>
                <w:color w:val="333333"/>
                <w:shd w:val="clear" w:color="auto" w:fill="FFFFFF"/>
                <w:lang w:val="en-AU"/>
              </w:rPr>
            </w:pPr>
            <w:r w:rsidRPr="00D304E1">
              <w:rPr>
                <w:color w:val="333333"/>
                <w:shd w:val="clear" w:color="auto" w:fill="FFFFFF"/>
                <w:lang w:val="en-AU"/>
              </w:rPr>
              <w:t xml:space="preserve">Care is </w:t>
            </w:r>
            <w:r w:rsidRPr="00D304E1">
              <w:rPr>
                <w:b/>
                <w:color w:val="333333"/>
                <w:shd w:val="clear" w:color="auto" w:fill="FFFFFF"/>
                <w:lang w:val="en-AU"/>
              </w:rPr>
              <w:t>person-centred</w:t>
            </w:r>
            <w:r w:rsidRPr="00D304E1">
              <w:rPr>
                <w:color w:val="333333"/>
                <w:shd w:val="clear" w:color="auto" w:fill="FFFFFF"/>
                <w:lang w:val="en-AU"/>
              </w:rPr>
              <w:t>, designed around the individual and includes their involvement.</w:t>
            </w:r>
          </w:p>
          <w:p w:rsidR="00B673A5" w:rsidRPr="00D304E1" w:rsidRDefault="00B673A5" w:rsidP="001C63B6">
            <w:pPr>
              <w:pStyle w:val="ListParagraph"/>
              <w:numPr>
                <w:ilvl w:val="0"/>
                <w:numId w:val="16"/>
              </w:numPr>
              <w:rPr>
                <w:color w:val="333333"/>
                <w:shd w:val="clear" w:color="auto" w:fill="FFFFFF"/>
                <w:lang w:val="en-AU"/>
              </w:rPr>
            </w:pPr>
            <w:r w:rsidRPr="00D304E1">
              <w:rPr>
                <w:color w:val="333333"/>
                <w:shd w:val="clear" w:color="auto" w:fill="FFFFFF"/>
                <w:lang w:val="en-AU"/>
              </w:rPr>
              <w:t xml:space="preserve">The importance of the </w:t>
            </w:r>
            <w:r w:rsidRPr="00D304E1">
              <w:rPr>
                <w:b/>
                <w:color w:val="333333"/>
                <w:shd w:val="clear" w:color="auto" w:fill="FFFFFF"/>
                <w:lang w:val="en-AU"/>
              </w:rPr>
              <w:t>line-of-sight</w:t>
            </w:r>
            <w:r w:rsidRPr="00D304E1">
              <w:rPr>
                <w:color w:val="333333"/>
                <w:shd w:val="clear" w:color="auto" w:fill="FFFFFF"/>
                <w:lang w:val="en-AU"/>
              </w:rPr>
              <w:t xml:space="preserve"> from senior leadership to the frontline staff and services.</w:t>
            </w:r>
          </w:p>
          <w:p w:rsidR="00B673A5" w:rsidRDefault="00B673A5" w:rsidP="001C63B6">
            <w:pPr>
              <w:pStyle w:val="ListParagraph"/>
              <w:numPr>
                <w:ilvl w:val="0"/>
                <w:numId w:val="16"/>
              </w:numPr>
              <w:rPr>
                <w:color w:val="333333"/>
                <w:shd w:val="clear" w:color="auto" w:fill="FFFFFF"/>
                <w:lang w:val="en-AU"/>
              </w:rPr>
            </w:pPr>
            <w:r w:rsidRPr="00D304E1">
              <w:rPr>
                <w:color w:val="333333"/>
                <w:shd w:val="clear" w:color="auto" w:fill="FFFFFF"/>
                <w:lang w:val="en-AU"/>
              </w:rPr>
              <w:t xml:space="preserve">Good care includes the provider checking on </w:t>
            </w:r>
            <w:r w:rsidRPr="00D304E1">
              <w:rPr>
                <w:b/>
                <w:color w:val="333333"/>
                <w:shd w:val="clear" w:color="auto" w:fill="FFFFFF"/>
                <w:lang w:val="en-AU"/>
              </w:rPr>
              <w:t>how well they are doing</w:t>
            </w:r>
            <w:r w:rsidRPr="00D304E1">
              <w:rPr>
                <w:color w:val="333333"/>
                <w:shd w:val="clear" w:color="auto" w:fill="FFFFFF"/>
                <w:lang w:val="en-AU"/>
              </w:rPr>
              <w:t>.</w:t>
            </w:r>
          </w:p>
          <w:p w:rsidR="00B673A5" w:rsidRPr="00D304E1" w:rsidRDefault="00B673A5" w:rsidP="001C63B6">
            <w:pPr>
              <w:rPr>
                <w:color w:val="333333"/>
                <w:shd w:val="clear" w:color="auto" w:fill="FFFFFF"/>
                <w:lang w:val="en-AU"/>
              </w:rPr>
            </w:pPr>
            <w:r>
              <w:rPr>
                <w:color w:val="333333"/>
                <w:shd w:val="clear" w:color="auto" w:fill="FFFFFF"/>
                <w:lang w:val="en-AU"/>
              </w:rPr>
              <w:t xml:space="preserve">It is also noted that better care tends to be found in </w:t>
            </w:r>
            <w:r w:rsidRPr="00D304E1">
              <w:rPr>
                <w:color w:val="333333"/>
                <w:shd w:val="clear" w:color="auto" w:fill="FFFFFF"/>
                <w:lang w:val="en-AU"/>
              </w:rPr>
              <w:t xml:space="preserve">services that </w:t>
            </w:r>
            <w:r>
              <w:rPr>
                <w:color w:val="333333"/>
                <w:shd w:val="clear" w:color="auto" w:fill="FFFFFF"/>
                <w:lang w:val="en-AU"/>
              </w:rPr>
              <w:t>“</w:t>
            </w:r>
            <w:r w:rsidRPr="00D304E1">
              <w:rPr>
                <w:color w:val="333333"/>
                <w:shd w:val="clear" w:color="auto" w:fill="FFFFFF"/>
                <w:lang w:val="en-AU"/>
              </w:rPr>
              <w:t xml:space="preserve">acknowledge there is </w:t>
            </w:r>
            <w:r w:rsidRPr="00D304E1">
              <w:rPr>
                <w:b/>
                <w:color w:val="333333"/>
                <w:shd w:val="clear" w:color="auto" w:fill="FFFFFF"/>
                <w:lang w:val="en-AU"/>
              </w:rPr>
              <w:t>always room for improvement</w:t>
            </w:r>
            <w:r w:rsidRPr="00D304E1">
              <w:rPr>
                <w:color w:val="333333"/>
                <w:shd w:val="clear" w:color="auto" w:fill="FFFFFF"/>
                <w:lang w:val="en-AU"/>
              </w:rPr>
              <w:t xml:space="preserve"> – they are proactive, seeking feedback on their services and learning from concerns and complaints</w:t>
            </w:r>
            <w:r>
              <w:rPr>
                <w:color w:val="333333"/>
                <w:shd w:val="clear" w:color="auto" w:fill="FFFFFF"/>
                <w:lang w:val="en-AU"/>
              </w:rPr>
              <w:t>”</w:t>
            </w:r>
            <w:r w:rsidRPr="00D304E1">
              <w:rPr>
                <w:color w:val="333333"/>
                <w:shd w:val="clear" w:color="auto" w:fill="FFFFFF"/>
                <w:lang w:val="en-AU"/>
              </w:rPr>
              <w:t>.</w:t>
            </w:r>
          </w:p>
        </w:tc>
      </w:tr>
    </w:tbl>
    <w:p w:rsidR="00C55AF8" w:rsidRPr="00C55AF8" w:rsidRDefault="00C55AF8" w:rsidP="00D234ED">
      <w:pPr>
        <w:keepNext/>
        <w:keepLines/>
        <w:autoSpaceDE w:val="0"/>
        <w:autoSpaceDN w:val="0"/>
        <w:adjustRightInd w:val="0"/>
        <w:rPr>
          <w:i/>
          <w:lang w:val="en-AU"/>
        </w:rPr>
      </w:pPr>
      <w:r w:rsidRPr="00C55AF8">
        <w:rPr>
          <w:i/>
          <w:lang w:val="en-AU"/>
        </w:rPr>
        <w:lastRenderedPageBreak/>
        <w:t xml:space="preserve">National Action Plan </w:t>
      </w:r>
      <w:proofErr w:type="gramStart"/>
      <w:r w:rsidRPr="00C55AF8">
        <w:rPr>
          <w:i/>
          <w:lang w:val="en-AU"/>
        </w:rPr>
        <w:t>For</w:t>
      </w:r>
      <w:proofErr w:type="gramEnd"/>
      <w:r w:rsidRPr="00C55AF8">
        <w:rPr>
          <w:i/>
          <w:lang w:val="en-AU"/>
        </w:rPr>
        <w:t xml:space="preserve"> Combating Antibiotic-Resistant Bacteria</w:t>
      </w:r>
    </w:p>
    <w:p w:rsidR="00D234ED" w:rsidRPr="00D234ED" w:rsidRDefault="00C55AF8" w:rsidP="00D234ED">
      <w:pPr>
        <w:keepNext/>
        <w:keepLines/>
        <w:autoSpaceDE w:val="0"/>
        <w:autoSpaceDN w:val="0"/>
        <w:adjustRightInd w:val="0"/>
        <w:rPr>
          <w:lang w:val="en-AU"/>
        </w:rPr>
      </w:pPr>
      <w:r w:rsidRPr="00C55AF8">
        <w:rPr>
          <w:lang w:val="en-AU"/>
        </w:rPr>
        <w:t>Washington D.C.: The White House</w:t>
      </w:r>
      <w:proofErr w:type="gramStart"/>
      <w:r w:rsidRPr="00C55AF8">
        <w:rPr>
          <w:lang w:val="en-AU"/>
        </w:rPr>
        <w:t>,;</w:t>
      </w:r>
      <w:proofErr w:type="gramEnd"/>
      <w:r w:rsidRPr="00C55AF8">
        <w:rPr>
          <w:lang w:val="en-AU"/>
        </w:rPr>
        <w:t xml:space="preserve"> 2015. </w:t>
      </w:r>
      <w:proofErr w:type="gramStart"/>
      <w:r w:rsidRPr="00C55AF8">
        <w:rPr>
          <w:lang w:val="en-AU"/>
        </w:rPr>
        <w:t>p. 63.</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40434" w:rsidRPr="00255EF8" w:rsidTr="00460722">
        <w:tc>
          <w:tcPr>
            <w:tcW w:w="1080" w:type="dxa"/>
            <w:tcBorders>
              <w:top w:val="single" w:sz="4" w:space="0" w:color="auto"/>
              <w:left w:val="single" w:sz="4" w:space="0" w:color="auto"/>
              <w:bottom w:val="single" w:sz="4" w:space="0" w:color="auto"/>
              <w:right w:val="single" w:sz="4" w:space="0" w:color="auto"/>
            </w:tcBorders>
            <w:vAlign w:val="center"/>
          </w:tcPr>
          <w:p w:rsidR="00340434" w:rsidRPr="00255EF8" w:rsidRDefault="00340434" w:rsidP="00460722">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55AF8" w:rsidRPr="00255EF8" w:rsidRDefault="00492BB6" w:rsidP="00C55AF8">
            <w:pPr>
              <w:rPr>
                <w:lang w:val="en-AU"/>
              </w:rPr>
            </w:pPr>
            <w:hyperlink r:id="rId17" w:history="1">
              <w:r w:rsidR="00C55AF8" w:rsidRPr="00AF5461">
                <w:rPr>
                  <w:rStyle w:val="Hyperlink"/>
                  <w:lang w:val="en-AU"/>
                </w:rPr>
                <w:t>https://www.whitehouse.gov/sites/default/files/docs/national_action_plan_for_combating_antibotic-resistant_bacteria.pdf</w:t>
              </w:r>
            </w:hyperlink>
          </w:p>
        </w:tc>
      </w:tr>
      <w:tr w:rsidR="00340434" w:rsidRPr="00255EF8" w:rsidTr="00460722">
        <w:tc>
          <w:tcPr>
            <w:tcW w:w="1080" w:type="dxa"/>
            <w:tcBorders>
              <w:top w:val="single" w:sz="4" w:space="0" w:color="auto"/>
              <w:left w:val="single" w:sz="4" w:space="0" w:color="auto"/>
              <w:bottom w:val="single" w:sz="4" w:space="0" w:color="auto"/>
              <w:right w:val="single" w:sz="4" w:space="0" w:color="auto"/>
            </w:tcBorders>
            <w:vAlign w:val="center"/>
          </w:tcPr>
          <w:p w:rsidR="00340434" w:rsidRPr="00255EF8" w:rsidRDefault="00340434" w:rsidP="00460722">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55AF8" w:rsidRPr="00C55AF8" w:rsidRDefault="00C55AF8" w:rsidP="00C55AF8">
            <w:pPr>
              <w:rPr>
                <w:color w:val="333333"/>
                <w:shd w:val="clear" w:color="auto" w:fill="FFFFFF"/>
                <w:lang w:val="en-AU"/>
              </w:rPr>
            </w:pPr>
            <w:r>
              <w:rPr>
                <w:color w:val="333333"/>
                <w:shd w:val="clear" w:color="auto" w:fill="FFFFFF"/>
                <w:lang w:val="en-AU"/>
              </w:rPr>
              <w:t>The US Government has released this latest element in its approach to antibiotic resistance. It is noted that while the document’s “</w:t>
            </w:r>
            <w:r w:rsidRPr="00C55AF8">
              <w:rPr>
                <w:color w:val="333333"/>
                <w:shd w:val="clear" w:color="auto" w:fill="FFFFFF"/>
                <w:lang w:val="en-AU"/>
              </w:rPr>
              <w:t>primary purpose is to guide activities by the U.S. Government</w:t>
            </w:r>
            <w:r>
              <w:rPr>
                <w:color w:val="333333"/>
                <w:shd w:val="clear" w:color="auto" w:fill="FFFFFF"/>
                <w:lang w:val="en-AU"/>
              </w:rPr>
              <w:t>”, it is also “</w:t>
            </w:r>
            <w:r w:rsidRPr="00C55AF8">
              <w:rPr>
                <w:color w:val="333333"/>
                <w:shd w:val="clear" w:color="auto" w:fill="FFFFFF"/>
                <w:lang w:val="en-AU"/>
              </w:rPr>
              <w:t>designed to guide action by public health, healthcare, and veterinary</w:t>
            </w:r>
            <w:r>
              <w:rPr>
                <w:color w:val="333333"/>
                <w:shd w:val="clear" w:color="auto" w:fill="FFFFFF"/>
                <w:lang w:val="en-AU"/>
              </w:rPr>
              <w:t xml:space="preserve"> </w:t>
            </w:r>
            <w:r w:rsidRPr="00C55AF8">
              <w:rPr>
                <w:color w:val="333333"/>
                <w:shd w:val="clear" w:color="auto" w:fill="FFFFFF"/>
                <w:lang w:val="en-AU"/>
              </w:rPr>
              <w:t>partners in a common effort to address urgent and serious drug-resistant threats that affect people</w:t>
            </w:r>
            <w:r>
              <w:rPr>
                <w:color w:val="333333"/>
                <w:shd w:val="clear" w:color="auto" w:fill="FFFFFF"/>
                <w:lang w:val="en-AU"/>
              </w:rPr>
              <w:t xml:space="preserve">” everywhere. </w:t>
            </w:r>
            <w:r w:rsidRPr="00C55AF8">
              <w:rPr>
                <w:color w:val="333333"/>
                <w:shd w:val="clear" w:color="auto" w:fill="FFFFFF"/>
                <w:lang w:val="en-AU"/>
              </w:rPr>
              <w:t xml:space="preserve"> </w:t>
            </w:r>
            <w:r>
              <w:rPr>
                <w:color w:val="333333"/>
                <w:shd w:val="clear" w:color="auto" w:fill="FFFFFF"/>
                <w:lang w:val="en-AU"/>
              </w:rPr>
              <w:t>The Plan also “</w:t>
            </w:r>
            <w:r w:rsidRPr="00C55AF8">
              <w:rPr>
                <w:color w:val="333333"/>
                <w:shd w:val="clear" w:color="auto" w:fill="FFFFFF"/>
                <w:lang w:val="en-AU"/>
              </w:rPr>
              <w:t>support</w:t>
            </w:r>
            <w:r>
              <w:rPr>
                <w:color w:val="333333"/>
                <w:shd w:val="clear" w:color="auto" w:fill="FFFFFF"/>
                <w:lang w:val="en-AU"/>
              </w:rPr>
              <w:t xml:space="preserve">s the </w:t>
            </w:r>
            <w:r w:rsidRPr="00C55AF8">
              <w:rPr>
                <w:color w:val="333333"/>
                <w:shd w:val="clear" w:color="auto" w:fill="FFFFFF"/>
                <w:lang w:val="en-AU"/>
              </w:rPr>
              <w:t>World Health</w:t>
            </w:r>
            <w:r>
              <w:rPr>
                <w:color w:val="333333"/>
                <w:shd w:val="clear" w:color="auto" w:fill="FFFFFF"/>
                <w:lang w:val="en-AU"/>
              </w:rPr>
              <w:t xml:space="preserve"> </w:t>
            </w:r>
            <w:r w:rsidRPr="00C55AF8">
              <w:rPr>
                <w:color w:val="333333"/>
                <w:shd w:val="clear" w:color="auto" w:fill="FFFFFF"/>
                <w:lang w:val="en-AU"/>
              </w:rPr>
              <w:t>Assembly resolution 67.25 (Antimicrobial Resistance), which urges countries to take urgent action at</w:t>
            </w:r>
            <w:r>
              <w:rPr>
                <w:color w:val="333333"/>
                <w:shd w:val="clear" w:color="auto" w:fill="FFFFFF"/>
                <w:lang w:val="en-AU"/>
              </w:rPr>
              <w:t xml:space="preserve"> </w:t>
            </w:r>
            <w:r w:rsidRPr="00C55AF8">
              <w:rPr>
                <w:color w:val="333333"/>
                <w:shd w:val="clear" w:color="auto" w:fill="FFFFFF"/>
                <w:lang w:val="en-AU"/>
              </w:rPr>
              <w:t>the national, regional, and local levels to combat resistance.</w:t>
            </w:r>
            <w:r>
              <w:rPr>
                <w:color w:val="333333"/>
                <w:shd w:val="clear" w:color="auto" w:fill="FFFFFF"/>
                <w:lang w:val="en-AU"/>
              </w:rPr>
              <w:t>”</w:t>
            </w:r>
          </w:p>
          <w:p w:rsidR="00C55AF8" w:rsidRPr="00C55AF8" w:rsidRDefault="00C55AF8" w:rsidP="00C55AF8">
            <w:pPr>
              <w:rPr>
                <w:color w:val="333333"/>
                <w:shd w:val="clear" w:color="auto" w:fill="FFFFFF"/>
                <w:lang w:val="en-AU"/>
              </w:rPr>
            </w:pPr>
            <w:r w:rsidRPr="00C55AF8">
              <w:rPr>
                <w:color w:val="333333"/>
                <w:shd w:val="clear" w:color="auto" w:fill="FFFFFF"/>
                <w:lang w:val="en-AU"/>
              </w:rPr>
              <w:t>The goals of the National Action Plan include:</w:t>
            </w:r>
          </w:p>
          <w:p w:rsidR="00C55AF8" w:rsidRPr="00C55AF8" w:rsidRDefault="00C55AF8" w:rsidP="00D3309B">
            <w:pPr>
              <w:pStyle w:val="ListParagraph"/>
              <w:numPr>
                <w:ilvl w:val="0"/>
                <w:numId w:val="15"/>
              </w:numPr>
              <w:rPr>
                <w:color w:val="333333"/>
                <w:shd w:val="clear" w:color="auto" w:fill="FFFFFF"/>
                <w:lang w:val="en-AU"/>
              </w:rPr>
            </w:pPr>
            <w:r w:rsidRPr="00C55AF8">
              <w:rPr>
                <w:color w:val="333333"/>
                <w:shd w:val="clear" w:color="auto" w:fill="FFFFFF"/>
                <w:lang w:val="en-AU"/>
              </w:rPr>
              <w:t>Slow the Emergence of Resistant Bacteria and Prevent the Spread of Resistant Infections</w:t>
            </w:r>
          </w:p>
          <w:p w:rsidR="00C55AF8" w:rsidRPr="00C55AF8" w:rsidRDefault="00C55AF8" w:rsidP="00D3309B">
            <w:pPr>
              <w:pStyle w:val="ListParagraph"/>
              <w:numPr>
                <w:ilvl w:val="0"/>
                <w:numId w:val="15"/>
              </w:numPr>
              <w:rPr>
                <w:color w:val="333333"/>
                <w:shd w:val="clear" w:color="auto" w:fill="FFFFFF"/>
                <w:lang w:val="en-AU"/>
              </w:rPr>
            </w:pPr>
            <w:r w:rsidRPr="00C55AF8">
              <w:rPr>
                <w:color w:val="333333"/>
                <w:shd w:val="clear" w:color="auto" w:fill="FFFFFF"/>
                <w:lang w:val="en-AU"/>
              </w:rPr>
              <w:t>Strengthen National One-Health Surveillance Efforts to Combat Resistance</w:t>
            </w:r>
          </w:p>
          <w:p w:rsidR="00C55AF8" w:rsidRPr="00C55AF8" w:rsidRDefault="00C55AF8" w:rsidP="00D3309B">
            <w:pPr>
              <w:pStyle w:val="ListParagraph"/>
              <w:numPr>
                <w:ilvl w:val="0"/>
                <w:numId w:val="15"/>
              </w:numPr>
              <w:rPr>
                <w:color w:val="333333"/>
                <w:shd w:val="clear" w:color="auto" w:fill="FFFFFF"/>
                <w:lang w:val="en-AU"/>
              </w:rPr>
            </w:pPr>
            <w:r w:rsidRPr="00C55AF8">
              <w:rPr>
                <w:color w:val="333333"/>
                <w:shd w:val="clear" w:color="auto" w:fill="FFFFFF"/>
                <w:lang w:val="en-AU"/>
              </w:rPr>
              <w:t>Advance Development and Use of Rapid and Innovative Diagnostic Tests for Identification and Characterization of Resistant Bacteria</w:t>
            </w:r>
          </w:p>
          <w:p w:rsidR="00C55AF8" w:rsidRDefault="00C55AF8" w:rsidP="00D3309B">
            <w:pPr>
              <w:pStyle w:val="ListParagraph"/>
              <w:numPr>
                <w:ilvl w:val="0"/>
                <w:numId w:val="15"/>
              </w:numPr>
              <w:rPr>
                <w:color w:val="333333"/>
                <w:shd w:val="clear" w:color="auto" w:fill="FFFFFF"/>
                <w:lang w:val="en-AU"/>
              </w:rPr>
            </w:pPr>
            <w:r w:rsidRPr="00C55AF8">
              <w:rPr>
                <w:color w:val="333333"/>
                <w:shd w:val="clear" w:color="auto" w:fill="FFFFFF"/>
                <w:lang w:val="en-AU"/>
              </w:rPr>
              <w:t>Accelerate Basic and Applied Research and Development for New Antibiotics, Other Therapeutics, and Vaccines</w:t>
            </w:r>
          </w:p>
          <w:p w:rsidR="00C55AF8" w:rsidRPr="00C55AF8" w:rsidRDefault="00C55AF8" w:rsidP="00D3309B">
            <w:pPr>
              <w:pStyle w:val="ListParagraph"/>
              <w:numPr>
                <w:ilvl w:val="0"/>
                <w:numId w:val="15"/>
              </w:numPr>
              <w:rPr>
                <w:color w:val="333333"/>
                <w:shd w:val="clear" w:color="auto" w:fill="FFFFFF"/>
                <w:lang w:val="en-AU"/>
              </w:rPr>
            </w:pPr>
            <w:r w:rsidRPr="00C55AF8">
              <w:rPr>
                <w:color w:val="333333"/>
                <w:shd w:val="clear" w:color="auto" w:fill="FFFFFF"/>
                <w:lang w:val="en-AU"/>
              </w:rPr>
              <w:t>Improve International Collaboration and Capacities for Antibiotic-resistance Prevention, Surveillance, Control, and Antibiotic Research and Development</w:t>
            </w:r>
          </w:p>
        </w:tc>
      </w:tr>
    </w:tbl>
    <w:p w:rsidR="005833F4" w:rsidRPr="005833F4" w:rsidRDefault="005833F4" w:rsidP="00CB3888">
      <w:pPr>
        <w:keepLines/>
        <w:autoSpaceDE w:val="0"/>
        <w:autoSpaceDN w:val="0"/>
        <w:adjustRightInd w:val="0"/>
        <w:rPr>
          <w:lang w:val="en-AU"/>
        </w:rPr>
      </w:pPr>
    </w:p>
    <w:p w:rsidR="00C55AF8" w:rsidRDefault="00C55AF8" w:rsidP="00C55AF8">
      <w:pPr>
        <w:keepLines/>
        <w:autoSpaceDE w:val="0"/>
        <w:autoSpaceDN w:val="0"/>
        <w:adjustRightInd w:val="0"/>
        <w:rPr>
          <w:lang w:val="en-AU"/>
        </w:rPr>
      </w:pPr>
      <w:r>
        <w:rPr>
          <w:lang w:val="en-AU"/>
        </w:rPr>
        <w:t xml:space="preserve">For information on the Commission’s work on healthcare associated infection, see </w:t>
      </w:r>
      <w:hyperlink r:id="rId18" w:history="1">
        <w:r w:rsidRPr="00D13CE1">
          <w:rPr>
            <w:rStyle w:val="Hyperlink"/>
            <w:lang w:val="en-AU"/>
          </w:rPr>
          <w:t>www.safetyandquality.gov.au/our-work/healthcare-associated-infection/</w:t>
        </w:r>
      </w:hyperlink>
      <w:r>
        <w:rPr>
          <w:lang w:val="en-AU"/>
        </w:rPr>
        <w:t xml:space="preserve"> </w:t>
      </w:r>
    </w:p>
    <w:p w:rsidR="00C55AF8" w:rsidRDefault="00C55AF8" w:rsidP="00C55AF8">
      <w:pPr>
        <w:keepLines/>
        <w:autoSpaceDE w:val="0"/>
        <w:autoSpaceDN w:val="0"/>
        <w:adjustRightInd w:val="0"/>
        <w:rPr>
          <w:lang w:val="en-AU"/>
        </w:rPr>
      </w:pPr>
    </w:p>
    <w:p w:rsidR="00814181" w:rsidRPr="00814181" w:rsidRDefault="00814181" w:rsidP="00814181">
      <w:pPr>
        <w:keepNext/>
        <w:keepLines/>
        <w:autoSpaceDE w:val="0"/>
        <w:autoSpaceDN w:val="0"/>
        <w:adjustRightInd w:val="0"/>
        <w:rPr>
          <w:i/>
          <w:lang w:val="en-AU"/>
        </w:rPr>
      </w:pPr>
      <w:r w:rsidRPr="00814181">
        <w:rPr>
          <w:i/>
          <w:lang w:val="en-AU"/>
        </w:rPr>
        <w:t>Combating Antibiotic Resistance: Polices to Promote Antimicrobial Stewardship Programs</w:t>
      </w:r>
    </w:p>
    <w:p w:rsidR="00814181" w:rsidRDefault="00814181" w:rsidP="00814181">
      <w:pPr>
        <w:keepNext/>
        <w:keepLines/>
        <w:autoSpaceDE w:val="0"/>
        <w:autoSpaceDN w:val="0"/>
        <w:adjustRightInd w:val="0"/>
        <w:rPr>
          <w:lang w:val="en-AU"/>
        </w:rPr>
      </w:pPr>
      <w:r w:rsidRPr="00814181">
        <w:rPr>
          <w:lang w:val="en-AU"/>
        </w:rPr>
        <w:t>Association of State and Territorial Health Officials</w:t>
      </w:r>
    </w:p>
    <w:p w:rsidR="00814181" w:rsidRPr="00D234ED" w:rsidRDefault="00814181" w:rsidP="00814181">
      <w:pPr>
        <w:keepNext/>
        <w:keepLines/>
        <w:autoSpaceDE w:val="0"/>
        <w:autoSpaceDN w:val="0"/>
        <w:adjustRightInd w:val="0"/>
        <w:rPr>
          <w:lang w:val="en-AU"/>
        </w:rPr>
      </w:pPr>
      <w:r w:rsidRPr="00814181">
        <w:rPr>
          <w:lang w:val="en-AU"/>
        </w:rPr>
        <w:t xml:space="preserve">Arlington, VA: ASTHO; 2015. </w:t>
      </w:r>
      <w:proofErr w:type="gramStart"/>
      <w:r w:rsidRPr="00814181">
        <w:rPr>
          <w:lang w:val="en-AU"/>
        </w:rPr>
        <w:t>p. 32.</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814181" w:rsidRPr="00255EF8" w:rsidTr="00953E74">
        <w:tc>
          <w:tcPr>
            <w:tcW w:w="1080" w:type="dxa"/>
            <w:tcBorders>
              <w:top w:val="single" w:sz="4" w:space="0" w:color="auto"/>
              <w:left w:val="single" w:sz="4" w:space="0" w:color="auto"/>
              <w:bottom w:val="single" w:sz="4" w:space="0" w:color="auto"/>
              <w:right w:val="single" w:sz="4" w:space="0" w:color="auto"/>
            </w:tcBorders>
            <w:vAlign w:val="center"/>
          </w:tcPr>
          <w:p w:rsidR="00814181" w:rsidRPr="00255EF8" w:rsidRDefault="00814181" w:rsidP="00953E74">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14181" w:rsidRPr="00255EF8" w:rsidRDefault="00492BB6" w:rsidP="00953E74">
            <w:pPr>
              <w:rPr>
                <w:lang w:val="en-AU"/>
              </w:rPr>
            </w:pPr>
            <w:hyperlink r:id="rId19" w:history="1">
              <w:r w:rsidR="00814181" w:rsidRPr="00AF5461">
                <w:rPr>
                  <w:rStyle w:val="Hyperlink"/>
                  <w:shd w:val="clear" w:color="auto" w:fill="FFFFFF"/>
                  <w:lang w:val="en-AU"/>
                </w:rPr>
                <w:t>http://www.astho.org/Antimicrobial-Stewardship/</w:t>
              </w:r>
            </w:hyperlink>
          </w:p>
        </w:tc>
      </w:tr>
      <w:tr w:rsidR="00814181" w:rsidRPr="00255EF8" w:rsidTr="00953E74">
        <w:tc>
          <w:tcPr>
            <w:tcW w:w="1080" w:type="dxa"/>
            <w:tcBorders>
              <w:top w:val="single" w:sz="4" w:space="0" w:color="auto"/>
              <w:left w:val="single" w:sz="4" w:space="0" w:color="auto"/>
              <w:bottom w:val="single" w:sz="4" w:space="0" w:color="auto"/>
              <w:right w:val="single" w:sz="4" w:space="0" w:color="auto"/>
            </w:tcBorders>
            <w:vAlign w:val="center"/>
          </w:tcPr>
          <w:p w:rsidR="00814181" w:rsidRPr="00255EF8" w:rsidRDefault="00814181" w:rsidP="00953E74">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14181" w:rsidRPr="00255EF8" w:rsidRDefault="00814181" w:rsidP="00814181">
            <w:pPr>
              <w:rPr>
                <w:color w:val="333333"/>
                <w:shd w:val="clear" w:color="auto" w:fill="FFFFFF"/>
                <w:lang w:val="en-AU"/>
              </w:rPr>
            </w:pPr>
            <w:r>
              <w:rPr>
                <w:color w:val="333333"/>
                <w:shd w:val="clear" w:color="auto" w:fill="FFFFFF"/>
                <w:lang w:val="en-AU"/>
              </w:rPr>
              <w:t xml:space="preserve">Also recently published is this report from the (US) </w:t>
            </w:r>
            <w:r w:rsidRPr="00814181">
              <w:rPr>
                <w:color w:val="333333"/>
                <w:shd w:val="clear" w:color="auto" w:fill="FFFFFF"/>
                <w:lang w:val="en-AU"/>
              </w:rPr>
              <w:t>Association of State and Territorial Health Officials</w:t>
            </w:r>
            <w:r>
              <w:rPr>
                <w:color w:val="333333"/>
                <w:shd w:val="clear" w:color="auto" w:fill="FFFFFF"/>
                <w:lang w:val="en-AU"/>
              </w:rPr>
              <w:t>. T</w:t>
            </w:r>
            <w:r w:rsidRPr="00814181">
              <w:rPr>
                <w:color w:val="333333"/>
                <w:shd w:val="clear" w:color="auto" w:fill="FFFFFF"/>
                <w:lang w:val="en-AU"/>
              </w:rPr>
              <w:t xml:space="preserve">his report describes current </w:t>
            </w:r>
            <w:r>
              <w:rPr>
                <w:color w:val="333333"/>
                <w:shd w:val="clear" w:color="auto" w:fill="FFFFFF"/>
                <w:lang w:val="en-AU"/>
              </w:rPr>
              <w:t xml:space="preserve">activities in the antimicrobial stewardship area being undertaken in the USA. The report describes </w:t>
            </w:r>
            <w:r w:rsidRPr="00814181">
              <w:rPr>
                <w:color w:val="333333"/>
                <w:shd w:val="clear" w:color="auto" w:fill="FFFFFF"/>
                <w:lang w:val="en-AU"/>
              </w:rPr>
              <w:t>a range of options for engagement, giving health agencies at all levels of capacity opportunities to develop or enhance stewardship policy and activities</w:t>
            </w:r>
            <w:r>
              <w:rPr>
                <w:color w:val="333333"/>
                <w:shd w:val="clear" w:color="auto" w:fill="FFFFFF"/>
                <w:lang w:val="en-AU"/>
              </w:rPr>
              <w:t>.</w:t>
            </w:r>
          </w:p>
        </w:tc>
      </w:tr>
    </w:tbl>
    <w:p w:rsidR="005833F4" w:rsidRPr="005833F4" w:rsidRDefault="005833F4" w:rsidP="00CB3888">
      <w:pPr>
        <w:keepLines/>
        <w:autoSpaceDE w:val="0"/>
        <w:autoSpaceDN w:val="0"/>
        <w:adjustRightInd w:val="0"/>
        <w:rPr>
          <w:lang w:val="en-AU"/>
        </w:rPr>
      </w:pPr>
    </w:p>
    <w:p w:rsidR="00BF1006" w:rsidRPr="005F52C2" w:rsidRDefault="005F52C2" w:rsidP="00B673A5">
      <w:pPr>
        <w:keepNext/>
        <w:autoSpaceDE w:val="0"/>
        <w:autoSpaceDN w:val="0"/>
        <w:adjustRightInd w:val="0"/>
        <w:rPr>
          <w:b/>
          <w:lang w:val="en-AU"/>
        </w:rPr>
      </w:pPr>
      <w:r w:rsidRPr="005F52C2">
        <w:rPr>
          <w:b/>
          <w:lang w:val="en-AU"/>
        </w:rPr>
        <w:t>Journal articles</w:t>
      </w:r>
    </w:p>
    <w:p w:rsidR="005F52C2" w:rsidRDefault="005F52C2" w:rsidP="005F52C2">
      <w:pPr>
        <w:keepNext/>
        <w:keepLines/>
        <w:autoSpaceDE w:val="0"/>
        <w:autoSpaceDN w:val="0"/>
        <w:adjustRightInd w:val="0"/>
        <w:rPr>
          <w:lang w:val="en-AU"/>
        </w:rPr>
      </w:pPr>
    </w:p>
    <w:p w:rsidR="00E822A1" w:rsidRPr="00E822A1" w:rsidRDefault="00E822A1" w:rsidP="00E822A1">
      <w:pPr>
        <w:keepNext/>
        <w:keepLines/>
        <w:autoSpaceDE w:val="0"/>
        <w:autoSpaceDN w:val="0"/>
        <w:adjustRightInd w:val="0"/>
        <w:rPr>
          <w:i/>
          <w:lang w:val="en-AU"/>
        </w:rPr>
      </w:pPr>
      <w:r w:rsidRPr="00E822A1">
        <w:rPr>
          <w:i/>
          <w:lang w:val="en-AU"/>
        </w:rPr>
        <w:t>Impact of Inpatient Harms on Hospital Finances and Patient Clinical Outcomes</w:t>
      </w:r>
    </w:p>
    <w:p w:rsidR="00E822A1" w:rsidRDefault="00E822A1" w:rsidP="00167BAE">
      <w:pPr>
        <w:keepNext/>
        <w:keepLines/>
        <w:autoSpaceDE w:val="0"/>
        <w:autoSpaceDN w:val="0"/>
        <w:adjustRightInd w:val="0"/>
        <w:rPr>
          <w:lang w:val="en-AU"/>
        </w:rPr>
      </w:pPr>
      <w:r w:rsidRPr="00E822A1">
        <w:rPr>
          <w:lang w:val="en-AU"/>
        </w:rPr>
        <w:t>Adler L, Yi D, Li M, McBroom B, Hauck L, Sammer C, et al.</w:t>
      </w:r>
    </w:p>
    <w:p w:rsidR="00167BAE" w:rsidRPr="00255EF8" w:rsidRDefault="00E822A1" w:rsidP="00167BAE">
      <w:pPr>
        <w:keepNext/>
        <w:keepLines/>
        <w:autoSpaceDE w:val="0"/>
        <w:autoSpaceDN w:val="0"/>
        <w:adjustRightInd w:val="0"/>
        <w:rPr>
          <w:lang w:val="en-AU"/>
        </w:rPr>
      </w:pPr>
      <w:proofErr w:type="gramStart"/>
      <w:r w:rsidRPr="00E822A1">
        <w:rPr>
          <w:lang w:val="en-AU"/>
        </w:rPr>
        <w:t>Journal of Patient Safety.</w:t>
      </w:r>
      <w:proofErr w:type="gramEnd"/>
      <w:r w:rsidRPr="00E822A1">
        <w:rPr>
          <w:lang w:val="en-AU"/>
        </w:rPr>
        <w:t xml:space="preserve"> </w:t>
      </w:r>
      <w:r>
        <w:rPr>
          <w:lang w:val="en-AU"/>
        </w:rPr>
        <w:t>2015 [epub]</w:t>
      </w:r>
    </w:p>
    <w:tbl>
      <w:tblPr>
        <w:tblStyle w:val="TableGrid"/>
        <w:tblW w:w="0" w:type="auto"/>
        <w:tblInd w:w="288" w:type="dxa"/>
        <w:tblLayout w:type="fixed"/>
        <w:tblLook w:val="01E0" w:firstRow="1" w:lastRow="1" w:firstColumn="1" w:lastColumn="1" w:noHBand="0" w:noVBand="0"/>
      </w:tblPr>
      <w:tblGrid>
        <w:gridCol w:w="1080"/>
        <w:gridCol w:w="8280"/>
      </w:tblGrid>
      <w:tr w:rsidR="00167BAE" w:rsidRPr="00255EF8" w:rsidTr="002F4185">
        <w:tc>
          <w:tcPr>
            <w:tcW w:w="1080" w:type="dxa"/>
            <w:tcBorders>
              <w:top w:val="single" w:sz="4" w:space="0" w:color="auto"/>
              <w:left w:val="single" w:sz="4" w:space="0" w:color="auto"/>
              <w:bottom w:val="single" w:sz="4" w:space="0" w:color="auto"/>
              <w:right w:val="single" w:sz="4" w:space="0" w:color="auto"/>
            </w:tcBorders>
            <w:vAlign w:val="center"/>
          </w:tcPr>
          <w:p w:rsidR="00167BAE" w:rsidRPr="00255EF8" w:rsidRDefault="00167BAE" w:rsidP="002F4185">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822A1" w:rsidRPr="00255EF8" w:rsidRDefault="00492BB6" w:rsidP="00D304E1">
            <w:pPr>
              <w:rPr>
                <w:lang w:val="en-AU"/>
              </w:rPr>
            </w:pPr>
            <w:hyperlink r:id="rId20" w:history="1">
              <w:r w:rsidR="00D304E1" w:rsidRPr="002847A7">
                <w:rPr>
                  <w:rStyle w:val="Hyperlink"/>
                  <w:lang w:val="en-AU"/>
                </w:rPr>
                <w:t>http://dx.doi.org/10.1097/PTS.0000000000000171</w:t>
              </w:r>
            </w:hyperlink>
          </w:p>
        </w:tc>
      </w:tr>
      <w:tr w:rsidR="00167BAE" w:rsidRPr="00255EF8" w:rsidTr="002F4185">
        <w:tc>
          <w:tcPr>
            <w:tcW w:w="1080" w:type="dxa"/>
            <w:tcBorders>
              <w:top w:val="single" w:sz="4" w:space="0" w:color="auto"/>
              <w:left w:val="single" w:sz="4" w:space="0" w:color="auto"/>
              <w:bottom w:val="single" w:sz="4" w:space="0" w:color="auto"/>
              <w:right w:val="single" w:sz="4" w:space="0" w:color="auto"/>
            </w:tcBorders>
            <w:vAlign w:val="center"/>
          </w:tcPr>
          <w:p w:rsidR="00167BAE" w:rsidRPr="00255EF8" w:rsidRDefault="00167BAE" w:rsidP="002F418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304E1" w:rsidRDefault="00D304E1" w:rsidP="00D304E1">
            <w:pPr>
              <w:rPr>
                <w:lang w:val="en-AU"/>
              </w:rPr>
            </w:pPr>
            <w:r>
              <w:rPr>
                <w:lang w:val="en-AU"/>
              </w:rPr>
              <w:t>The question of the costs of errors and harm to patients is oft raised. This study focused on a US health system and suggests that a culture of patient safety can deliver patient and financial benefits.</w:t>
            </w:r>
          </w:p>
          <w:p w:rsidR="00D304E1" w:rsidRDefault="00D304E1" w:rsidP="00D304E1">
            <w:pPr>
              <w:rPr>
                <w:lang w:val="en-AU"/>
              </w:rPr>
            </w:pPr>
            <w:r>
              <w:rPr>
                <w:lang w:val="en-AU"/>
              </w:rPr>
              <w:t xml:space="preserve">In some ways it seems obvious that a health system that minimises patient harm and errors will have reduced costs (from shorter length of stay, from not having to treat the consequences of errors, through the more efficient movement and increased patient throughput, etc.). </w:t>
            </w:r>
          </w:p>
          <w:p w:rsidR="00C4069D" w:rsidRDefault="00D304E1" w:rsidP="00D304E1">
            <w:pPr>
              <w:rPr>
                <w:lang w:val="en-AU"/>
              </w:rPr>
            </w:pPr>
            <w:r>
              <w:rPr>
                <w:lang w:val="en-AU"/>
              </w:rPr>
              <w:lastRenderedPageBreak/>
              <w:t xml:space="preserve">The reported study covered </w:t>
            </w:r>
            <w:r w:rsidRPr="00E822A1">
              <w:rPr>
                <w:lang w:val="en-AU"/>
              </w:rPr>
              <w:t xml:space="preserve">more than 21,000 patients treated </w:t>
            </w:r>
            <w:r>
              <w:rPr>
                <w:lang w:val="en-AU"/>
              </w:rPr>
              <w:t xml:space="preserve">in the </w:t>
            </w:r>
            <w:r w:rsidRPr="00E822A1">
              <w:rPr>
                <w:lang w:val="en-AU"/>
              </w:rPr>
              <w:t>24 hospitals</w:t>
            </w:r>
            <w:r>
              <w:rPr>
                <w:lang w:val="en-AU"/>
              </w:rPr>
              <w:t xml:space="preserve"> of a US health system </w:t>
            </w:r>
            <w:r w:rsidRPr="00E822A1">
              <w:rPr>
                <w:lang w:val="en-AU"/>
              </w:rPr>
              <w:t xml:space="preserve">between 2009 and 2012. </w:t>
            </w:r>
            <w:r>
              <w:rPr>
                <w:lang w:val="en-AU"/>
              </w:rPr>
              <w:t xml:space="preserve">The authors report </w:t>
            </w:r>
            <w:r w:rsidR="00C4069D">
              <w:rPr>
                <w:lang w:val="en-AU"/>
              </w:rPr>
              <w:t>15,610 (</w:t>
            </w:r>
            <w:r w:rsidR="00C4069D" w:rsidRPr="00C4069D">
              <w:rPr>
                <w:lang w:val="en-AU"/>
              </w:rPr>
              <w:t xml:space="preserve">74.3%) experienced no harm, 2818 (13.4%) experienced temporary harm, and 2579 </w:t>
            </w:r>
            <w:r w:rsidR="00C4069D" w:rsidRPr="00C4069D">
              <w:rPr>
                <w:b/>
                <w:lang w:val="en-AU"/>
              </w:rPr>
              <w:t>(12.3%) experienced harm</w:t>
            </w:r>
            <w:r w:rsidR="00C4069D" w:rsidRPr="00C4069D">
              <w:rPr>
                <w:lang w:val="en-AU"/>
              </w:rPr>
              <w:t xml:space="preserve">. </w:t>
            </w:r>
          </w:p>
          <w:p w:rsidR="00C4069D" w:rsidRDefault="00C4069D" w:rsidP="00D304E1">
            <w:pPr>
              <w:rPr>
                <w:lang w:val="en-AU"/>
              </w:rPr>
            </w:pPr>
            <w:r>
              <w:rPr>
                <w:lang w:val="en-AU"/>
              </w:rPr>
              <w:t>Their analysis suggests that:</w:t>
            </w:r>
          </w:p>
          <w:p w:rsidR="00C4069D" w:rsidRPr="00F1791B" w:rsidRDefault="00C4069D" w:rsidP="00F1791B">
            <w:pPr>
              <w:pStyle w:val="ListParagraph"/>
              <w:numPr>
                <w:ilvl w:val="0"/>
                <w:numId w:val="18"/>
              </w:numPr>
              <w:rPr>
                <w:lang w:val="en-AU"/>
              </w:rPr>
            </w:pPr>
            <w:r w:rsidRPr="00F1791B">
              <w:rPr>
                <w:lang w:val="en-AU"/>
              </w:rPr>
              <w:t>A patient with harm was estimated to have higher total cost ($4617), higher variable cost ($1774), lower contribution margin (-$1112), longer length of stay (2.6 d), higher mortality probability (59%), and higher 30-day readmission probability (74.4%).</w:t>
            </w:r>
          </w:p>
          <w:p w:rsidR="00C4069D" w:rsidRPr="00F1791B" w:rsidRDefault="00C4069D" w:rsidP="00F1791B">
            <w:pPr>
              <w:pStyle w:val="ListParagraph"/>
              <w:numPr>
                <w:ilvl w:val="0"/>
                <w:numId w:val="18"/>
              </w:numPr>
              <w:rPr>
                <w:lang w:val="en-AU"/>
              </w:rPr>
            </w:pPr>
            <w:r w:rsidRPr="00F1791B">
              <w:rPr>
                <w:lang w:val="en-AU"/>
              </w:rPr>
              <w:t>A patient with temporary harm was estimated to have higher total cost ($2187), higher variable cost ($800), lower contribution margin (-$669), longer length of stay (1.3 d), mortality probability not statistically different, and higher 30-day readmission probability (54.6%).</w:t>
            </w:r>
          </w:p>
          <w:p w:rsidR="00167BAE" w:rsidRPr="00F1791B" w:rsidRDefault="00C4069D" w:rsidP="00F1791B">
            <w:pPr>
              <w:pStyle w:val="ListParagraph"/>
              <w:numPr>
                <w:ilvl w:val="0"/>
                <w:numId w:val="18"/>
              </w:numPr>
              <w:rPr>
                <w:lang w:val="en-AU"/>
              </w:rPr>
            </w:pPr>
            <w:r w:rsidRPr="00F1791B">
              <w:rPr>
                <w:lang w:val="en-AU"/>
              </w:rPr>
              <w:t>Total health system reduction of harm was associated with a decrease of $108 million in total cost, $48 million in variable cost, an increase of contribution margin by $18 million, and savings of 60,000 inpatient care days.</w:t>
            </w:r>
          </w:p>
          <w:p w:rsidR="00C4069D" w:rsidRPr="005833F4" w:rsidRDefault="00C4069D" w:rsidP="00C4069D">
            <w:pPr>
              <w:rPr>
                <w:color w:val="333333"/>
                <w:shd w:val="clear" w:color="auto" w:fill="FFFFFF"/>
                <w:lang w:val="en-AU"/>
              </w:rPr>
            </w:pPr>
            <w:r>
              <w:rPr>
                <w:lang w:val="en-AU"/>
              </w:rPr>
              <w:t>The authors conclude that their “</w:t>
            </w:r>
            <w:r w:rsidRPr="00C4069D">
              <w:rPr>
                <w:lang w:val="en-AU"/>
              </w:rPr>
              <w:t>all-cause harm safety study indicates that inpatient harm has negative financial outcomes for hospitals and negative clinical outcomes for patients</w:t>
            </w:r>
            <w:r>
              <w:rPr>
                <w:lang w:val="en-AU"/>
              </w:rPr>
              <w:t>”</w:t>
            </w:r>
            <w:r w:rsidRPr="00C4069D">
              <w:rPr>
                <w:lang w:val="en-AU"/>
              </w:rPr>
              <w:t>.</w:t>
            </w:r>
          </w:p>
        </w:tc>
      </w:tr>
    </w:tbl>
    <w:p w:rsidR="00167BAE" w:rsidRDefault="00167BAE" w:rsidP="00167BAE">
      <w:pPr>
        <w:keepLines/>
        <w:autoSpaceDE w:val="0"/>
        <w:autoSpaceDN w:val="0"/>
        <w:adjustRightInd w:val="0"/>
        <w:rPr>
          <w:lang w:val="en-AU"/>
        </w:rPr>
      </w:pPr>
    </w:p>
    <w:p w:rsidR="0021343E" w:rsidRPr="0021343E" w:rsidRDefault="0021343E" w:rsidP="0021343E">
      <w:pPr>
        <w:keepNext/>
        <w:keepLines/>
        <w:autoSpaceDE w:val="0"/>
        <w:autoSpaceDN w:val="0"/>
        <w:adjustRightInd w:val="0"/>
        <w:rPr>
          <w:i/>
          <w:lang w:val="en-AU"/>
        </w:rPr>
      </w:pPr>
      <w:r w:rsidRPr="0021343E">
        <w:rPr>
          <w:i/>
          <w:lang w:val="en-AU"/>
        </w:rPr>
        <w:t>Reducing inappropriate polypharmacy: The process of deprescribing</w:t>
      </w:r>
    </w:p>
    <w:p w:rsidR="0021343E" w:rsidRDefault="0021343E" w:rsidP="00F61F35">
      <w:pPr>
        <w:keepNext/>
        <w:keepLines/>
        <w:autoSpaceDE w:val="0"/>
        <w:autoSpaceDN w:val="0"/>
        <w:adjustRightInd w:val="0"/>
        <w:rPr>
          <w:lang w:val="en-AU"/>
        </w:rPr>
      </w:pPr>
      <w:r w:rsidRPr="0021343E">
        <w:rPr>
          <w:lang w:val="en-AU"/>
        </w:rPr>
        <w:t>Scott IA, Hilmer SN, Reeve E, Potter KP, Le Couteur D, Rigby D, et al.</w:t>
      </w:r>
    </w:p>
    <w:p w:rsidR="00F61F35" w:rsidRPr="00255EF8" w:rsidRDefault="0021343E" w:rsidP="00F61F35">
      <w:pPr>
        <w:keepNext/>
        <w:keepLines/>
        <w:autoSpaceDE w:val="0"/>
        <w:autoSpaceDN w:val="0"/>
        <w:adjustRightInd w:val="0"/>
        <w:rPr>
          <w:lang w:val="en-AU"/>
        </w:rPr>
      </w:pPr>
      <w:proofErr w:type="gramStart"/>
      <w:r w:rsidRPr="0021343E">
        <w:rPr>
          <w:lang w:val="en-AU"/>
        </w:rPr>
        <w:t>JAMA Internal Medicine.</w:t>
      </w:r>
      <w:proofErr w:type="gramEnd"/>
      <w:r w:rsidRPr="0021343E">
        <w:rPr>
          <w:lang w:val="en-AU"/>
        </w:rPr>
        <w:t xml:space="preserve"> 2015.</w:t>
      </w:r>
    </w:p>
    <w:tbl>
      <w:tblPr>
        <w:tblStyle w:val="TableGrid"/>
        <w:tblW w:w="0" w:type="auto"/>
        <w:tblInd w:w="288" w:type="dxa"/>
        <w:tblLayout w:type="fixed"/>
        <w:tblLook w:val="01E0" w:firstRow="1" w:lastRow="1" w:firstColumn="1" w:lastColumn="1" w:noHBand="0" w:noVBand="0"/>
      </w:tblPr>
      <w:tblGrid>
        <w:gridCol w:w="1080"/>
        <w:gridCol w:w="8280"/>
      </w:tblGrid>
      <w:tr w:rsidR="00F61F35" w:rsidRPr="00255EF8" w:rsidTr="00953E74">
        <w:tc>
          <w:tcPr>
            <w:tcW w:w="1080" w:type="dxa"/>
            <w:tcBorders>
              <w:top w:val="single" w:sz="4" w:space="0" w:color="auto"/>
              <w:left w:val="single" w:sz="4" w:space="0" w:color="auto"/>
              <w:bottom w:val="single" w:sz="4" w:space="0" w:color="auto"/>
              <w:right w:val="single" w:sz="4" w:space="0" w:color="auto"/>
            </w:tcBorders>
            <w:vAlign w:val="center"/>
          </w:tcPr>
          <w:p w:rsidR="00F61F35" w:rsidRPr="00255EF8" w:rsidRDefault="00F61F35" w:rsidP="00953E74">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61F35" w:rsidRPr="00255EF8" w:rsidRDefault="00492BB6" w:rsidP="00953E74">
            <w:pPr>
              <w:rPr>
                <w:lang w:val="en-AU"/>
              </w:rPr>
            </w:pPr>
            <w:hyperlink r:id="rId21" w:history="1">
              <w:r w:rsidR="0021343E" w:rsidRPr="001B6A99">
                <w:rPr>
                  <w:rStyle w:val="Hyperlink"/>
                  <w:lang w:val="en-AU"/>
                </w:rPr>
                <w:t>http://dx.doi.org/10.1001/jamainternmed.2015.0324</w:t>
              </w:r>
            </w:hyperlink>
          </w:p>
        </w:tc>
      </w:tr>
      <w:tr w:rsidR="00F61F35" w:rsidRPr="00255EF8" w:rsidTr="00953E74">
        <w:tc>
          <w:tcPr>
            <w:tcW w:w="1080" w:type="dxa"/>
            <w:tcBorders>
              <w:top w:val="single" w:sz="4" w:space="0" w:color="auto"/>
              <w:left w:val="single" w:sz="4" w:space="0" w:color="auto"/>
              <w:bottom w:val="single" w:sz="4" w:space="0" w:color="auto"/>
              <w:right w:val="single" w:sz="4" w:space="0" w:color="auto"/>
            </w:tcBorders>
            <w:vAlign w:val="center"/>
          </w:tcPr>
          <w:p w:rsidR="00F61F35" w:rsidRPr="00255EF8" w:rsidRDefault="00F61F35" w:rsidP="00953E74">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61F35" w:rsidRDefault="0021343E" w:rsidP="00FF115D">
            <w:pPr>
              <w:rPr>
                <w:color w:val="333333"/>
                <w:shd w:val="clear" w:color="auto" w:fill="FFFFFF"/>
                <w:lang w:val="en-AU"/>
              </w:rPr>
            </w:pPr>
            <w:r>
              <w:rPr>
                <w:color w:val="333333"/>
                <w:shd w:val="clear" w:color="auto" w:fill="FFFFFF"/>
                <w:lang w:val="en-AU"/>
              </w:rPr>
              <w:t xml:space="preserve">Paper from a group of Australian clinicians/researchers </w:t>
            </w:r>
            <w:r w:rsidR="00FF115D">
              <w:rPr>
                <w:color w:val="333333"/>
                <w:shd w:val="clear" w:color="auto" w:fill="FFFFFF"/>
                <w:lang w:val="en-AU"/>
              </w:rPr>
              <w:t>on the issue of inappropriate (and potentially harmful) polypharmacy. Polypharmacy has been gaining recognition as a potential and real cause of harm in patients, particularly older patients.</w:t>
            </w:r>
            <w:r w:rsidR="00360760">
              <w:rPr>
                <w:color w:val="333333"/>
                <w:shd w:val="clear" w:color="auto" w:fill="FFFFFF"/>
                <w:lang w:val="en-AU"/>
              </w:rPr>
              <w:t xml:space="preserve"> However, deprescribing itself can led to harms and thus needs to be undertaken judiciously.</w:t>
            </w:r>
            <w:r w:rsidR="00FF115D">
              <w:rPr>
                <w:color w:val="333333"/>
                <w:shd w:val="clear" w:color="auto" w:fill="FFFFFF"/>
                <w:lang w:val="en-AU"/>
              </w:rPr>
              <w:t xml:space="preserve"> The authors propose a deprescribing protocol to aid in redu</w:t>
            </w:r>
            <w:r w:rsidR="00360760">
              <w:rPr>
                <w:color w:val="333333"/>
                <w:shd w:val="clear" w:color="auto" w:fill="FFFFFF"/>
                <w:lang w:val="en-AU"/>
              </w:rPr>
              <w:t>c</w:t>
            </w:r>
            <w:r w:rsidR="00FF115D">
              <w:rPr>
                <w:color w:val="333333"/>
                <w:shd w:val="clear" w:color="auto" w:fill="FFFFFF"/>
                <w:lang w:val="en-AU"/>
              </w:rPr>
              <w:t xml:space="preserve">ing </w:t>
            </w:r>
            <w:r w:rsidR="00FF115D" w:rsidRPr="00FF115D">
              <w:rPr>
                <w:color w:val="333333"/>
                <w:shd w:val="clear" w:color="auto" w:fill="FFFFFF"/>
                <w:lang w:val="en-AU"/>
              </w:rPr>
              <w:t>polypharmacy and improving patient outcomes</w:t>
            </w:r>
            <w:r w:rsidR="00FF115D">
              <w:rPr>
                <w:color w:val="333333"/>
                <w:shd w:val="clear" w:color="auto" w:fill="FFFFFF"/>
                <w:lang w:val="en-AU"/>
              </w:rPr>
              <w:t>. The protocol comprises 5 steps:</w:t>
            </w:r>
          </w:p>
          <w:p w:rsidR="00FF115D" w:rsidRPr="00FF115D" w:rsidRDefault="00FF115D" w:rsidP="00FF115D">
            <w:pPr>
              <w:pStyle w:val="ListParagraph"/>
              <w:numPr>
                <w:ilvl w:val="0"/>
                <w:numId w:val="19"/>
              </w:numPr>
              <w:rPr>
                <w:color w:val="333333"/>
                <w:shd w:val="clear" w:color="auto" w:fill="FFFFFF"/>
                <w:lang w:val="en-AU"/>
              </w:rPr>
            </w:pPr>
            <w:r w:rsidRPr="00FF115D">
              <w:rPr>
                <w:color w:val="333333"/>
                <w:shd w:val="clear" w:color="auto" w:fill="FFFFFF"/>
                <w:lang w:val="en-AU"/>
              </w:rPr>
              <w:t xml:space="preserve">ascertain all drugs the patient is currently taking and the reasons for each one; </w:t>
            </w:r>
          </w:p>
          <w:p w:rsidR="00FF115D" w:rsidRPr="00FF115D" w:rsidRDefault="00FF115D" w:rsidP="00FF115D">
            <w:pPr>
              <w:pStyle w:val="ListParagraph"/>
              <w:numPr>
                <w:ilvl w:val="0"/>
                <w:numId w:val="19"/>
              </w:numPr>
              <w:rPr>
                <w:color w:val="333333"/>
                <w:shd w:val="clear" w:color="auto" w:fill="FFFFFF"/>
                <w:lang w:val="en-AU"/>
              </w:rPr>
            </w:pPr>
            <w:r w:rsidRPr="00FF115D">
              <w:rPr>
                <w:color w:val="333333"/>
                <w:shd w:val="clear" w:color="auto" w:fill="FFFFFF"/>
                <w:lang w:val="en-AU"/>
              </w:rPr>
              <w:t>consider overall risk of drug-induced harm in individual patients in determining the required intensity of deprescribing intervention;</w:t>
            </w:r>
          </w:p>
          <w:p w:rsidR="00FF115D" w:rsidRPr="00FF115D" w:rsidRDefault="00FF115D" w:rsidP="00FF115D">
            <w:pPr>
              <w:pStyle w:val="ListParagraph"/>
              <w:numPr>
                <w:ilvl w:val="0"/>
                <w:numId w:val="19"/>
              </w:numPr>
              <w:rPr>
                <w:color w:val="333333"/>
                <w:shd w:val="clear" w:color="auto" w:fill="FFFFFF"/>
                <w:lang w:val="en-AU"/>
              </w:rPr>
            </w:pPr>
            <w:r w:rsidRPr="00FF115D">
              <w:rPr>
                <w:color w:val="333333"/>
                <w:shd w:val="clear" w:color="auto" w:fill="FFFFFF"/>
                <w:lang w:val="en-AU"/>
              </w:rPr>
              <w:t xml:space="preserve">assess each drug in regard to its current or future benefit potential compared with current or future harm or burden potential; </w:t>
            </w:r>
          </w:p>
          <w:p w:rsidR="00FF115D" w:rsidRPr="00FF115D" w:rsidRDefault="00FF115D" w:rsidP="00FF115D">
            <w:pPr>
              <w:pStyle w:val="ListParagraph"/>
              <w:numPr>
                <w:ilvl w:val="0"/>
                <w:numId w:val="19"/>
              </w:numPr>
              <w:rPr>
                <w:color w:val="333333"/>
                <w:shd w:val="clear" w:color="auto" w:fill="FFFFFF"/>
                <w:lang w:val="en-AU"/>
              </w:rPr>
            </w:pPr>
            <w:r w:rsidRPr="00FF115D">
              <w:rPr>
                <w:color w:val="333333"/>
                <w:shd w:val="clear" w:color="auto" w:fill="FFFFFF"/>
                <w:lang w:val="en-AU"/>
              </w:rPr>
              <w:t xml:space="preserve">prioritize drugs for discontinuation that have the lowest benefit-harm ratio and lowest likelihood of adverse withdrawal reactions or disease rebound syndromes; and </w:t>
            </w:r>
          </w:p>
          <w:p w:rsidR="00FF115D" w:rsidRPr="00FF115D" w:rsidRDefault="00FF115D" w:rsidP="00FF115D">
            <w:pPr>
              <w:pStyle w:val="ListParagraph"/>
              <w:numPr>
                <w:ilvl w:val="0"/>
                <w:numId w:val="19"/>
              </w:numPr>
              <w:rPr>
                <w:color w:val="333333"/>
                <w:shd w:val="clear" w:color="auto" w:fill="FFFFFF"/>
                <w:lang w:val="en-AU"/>
              </w:rPr>
            </w:pPr>
            <w:proofErr w:type="gramStart"/>
            <w:r w:rsidRPr="00FF115D">
              <w:rPr>
                <w:color w:val="333333"/>
                <w:shd w:val="clear" w:color="auto" w:fill="FFFFFF"/>
                <w:lang w:val="en-AU"/>
              </w:rPr>
              <w:t>implement</w:t>
            </w:r>
            <w:proofErr w:type="gramEnd"/>
            <w:r w:rsidRPr="00FF115D">
              <w:rPr>
                <w:color w:val="333333"/>
                <w:shd w:val="clear" w:color="auto" w:fill="FFFFFF"/>
                <w:lang w:val="en-AU"/>
              </w:rPr>
              <w:t xml:space="preserve"> a discontinuation regimen and monitor patients closely for improvement in outcomes or onset of adverse effects.</w:t>
            </w:r>
          </w:p>
        </w:tc>
      </w:tr>
    </w:tbl>
    <w:p w:rsidR="00F61F35" w:rsidRDefault="00F61F35" w:rsidP="00F61F35">
      <w:pPr>
        <w:keepLines/>
        <w:autoSpaceDE w:val="0"/>
        <w:autoSpaceDN w:val="0"/>
        <w:adjustRightInd w:val="0"/>
        <w:rPr>
          <w:lang w:val="en-AU"/>
        </w:rPr>
      </w:pPr>
    </w:p>
    <w:p w:rsidR="00336F19" w:rsidRDefault="00336F19" w:rsidP="00F61F35">
      <w:pPr>
        <w:keepLines/>
        <w:autoSpaceDE w:val="0"/>
        <w:autoSpaceDN w:val="0"/>
        <w:adjustRightInd w:val="0"/>
        <w:rPr>
          <w:lang w:val="en-AU"/>
        </w:rPr>
      </w:pPr>
      <w:r>
        <w:rPr>
          <w:lang w:val="en-AU"/>
        </w:rPr>
        <w:t xml:space="preserve">For information on the Commission’s work on medication safety, see </w:t>
      </w:r>
      <w:hyperlink r:id="rId22" w:history="1">
        <w:r w:rsidRPr="001B6A99">
          <w:rPr>
            <w:rStyle w:val="Hyperlink"/>
            <w:lang w:val="en-AU"/>
          </w:rPr>
          <w:t>http://www.safetyandquality.gov.au/our-work/medication-safety/</w:t>
        </w:r>
      </w:hyperlink>
    </w:p>
    <w:p w:rsidR="00336F19" w:rsidRDefault="00336F19" w:rsidP="00F61F35">
      <w:pPr>
        <w:keepLines/>
        <w:autoSpaceDE w:val="0"/>
        <w:autoSpaceDN w:val="0"/>
        <w:adjustRightInd w:val="0"/>
        <w:rPr>
          <w:lang w:val="en-AU"/>
        </w:rPr>
      </w:pPr>
    </w:p>
    <w:p w:rsidR="00687473" w:rsidRDefault="00687473">
      <w:pPr>
        <w:rPr>
          <w:i/>
          <w:lang w:val="en-AU"/>
        </w:rPr>
      </w:pPr>
      <w:r>
        <w:rPr>
          <w:i/>
          <w:lang w:val="en-AU"/>
        </w:rPr>
        <w:br w:type="page"/>
      </w:r>
    </w:p>
    <w:p w:rsidR="00360829" w:rsidRPr="00B26582" w:rsidRDefault="00360829" w:rsidP="00360829">
      <w:pPr>
        <w:keepLines/>
        <w:autoSpaceDE w:val="0"/>
        <w:autoSpaceDN w:val="0"/>
        <w:adjustRightInd w:val="0"/>
        <w:rPr>
          <w:i/>
          <w:lang w:val="en-AU"/>
        </w:rPr>
      </w:pPr>
      <w:r w:rsidRPr="00B26582">
        <w:rPr>
          <w:i/>
          <w:lang w:val="en-AU"/>
        </w:rPr>
        <w:lastRenderedPageBreak/>
        <w:t>Australian Health Review</w:t>
      </w:r>
    </w:p>
    <w:p w:rsidR="00360829" w:rsidRDefault="00360829" w:rsidP="00360829">
      <w:pPr>
        <w:keepLines/>
        <w:autoSpaceDE w:val="0"/>
        <w:autoSpaceDN w:val="0"/>
        <w:adjustRightInd w:val="0"/>
        <w:rPr>
          <w:lang w:val="en-AU"/>
        </w:rPr>
      </w:pPr>
      <w:proofErr w:type="gramStart"/>
      <w:r w:rsidRPr="00B26582">
        <w:rPr>
          <w:lang w:val="en-AU"/>
        </w:rPr>
        <w:t>Volume 39 Number</w:t>
      </w:r>
      <w:r>
        <w:rPr>
          <w:lang w:val="en-AU"/>
        </w:rPr>
        <w:t xml:space="preserve"> 2.</w:t>
      </w:r>
      <w:proofErr w:type="gramEnd"/>
      <w:r w:rsidRPr="00B26582">
        <w:rPr>
          <w:lang w:val="en-AU"/>
        </w:rPr>
        <w:t xml:space="preserve"> 2015</w:t>
      </w:r>
    </w:p>
    <w:tbl>
      <w:tblPr>
        <w:tblStyle w:val="TableGrid"/>
        <w:tblW w:w="0" w:type="auto"/>
        <w:tblInd w:w="288" w:type="dxa"/>
        <w:tblLayout w:type="fixed"/>
        <w:tblLook w:val="01E0" w:firstRow="1" w:lastRow="1" w:firstColumn="1" w:lastColumn="1" w:noHBand="0" w:noVBand="0"/>
      </w:tblPr>
      <w:tblGrid>
        <w:gridCol w:w="1080"/>
        <w:gridCol w:w="8280"/>
      </w:tblGrid>
      <w:tr w:rsidR="00360829" w:rsidRPr="00255EF8" w:rsidTr="00FA4C11">
        <w:tc>
          <w:tcPr>
            <w:tcW w:w="1080" w:type="dxa"/>
            <w:tcBorders>
              <w:top w:val="single" w:sz="4" w:space="0" w:color="auto"/>
              <w:left w:val="single" w:sz="4" w:space="0" w:color="auto"/>
              <w:bottom w:val="single" w:sz="4" w:space="0" w:color="auto"/>
              <w:right w:val="single" w:sz="4" w:space="0" w:color="auto"/>
            </w:tcBorders>
            <w:vAlign w:val="center"/>
          </w:tcPr>
          <w:p w:rsidR="00360829" w:rsidRPr="00255EF8" w:rsidRDefault="00360829" w:rsidP="00FA4C11">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60829" w:rsidRPr="00255EF8" w:rsidRDefault="00492BB6" w:rsidP="00360829">
            <w:pPr>
              <w:rPr>
                <w:lang w:val="en-AU"/>
              </w:rPr>
            </w:pPr>
            <w:hyperlink r:id="rId23" w:history="1">
              <w:r w:rsidR="00360829" w:rsidRPr="001B6A99">
                <w:rPr>
                  <w:rStyle w:val="Hyperlink"/>
                  <w:lang w:val="en-AU"/>
                </w:rPr>
                <w:t>http://www.publish.csiro.au/nid/270/issue/7467.htm</w:t>
              </w:r>
            </w:hyperlink>
          </w:p>
        </w:tc>
      </w:tr>
      <w:tr w:rsidR="00360829" w:rsidRPr="00255EF8" w:rsidTr="00FA4C11">
        <w:tc>
          <w:tcPr>
            <w:tcW w:w="1080" w:type="dxa"/>
            <w:tcBorders>
              <w:top w:val="single" w:sz="4" w:space="0" w:color="auto"/>
              <w:left w:val="single" w:sz="4" w:space="0" w:color="auto"/>
              <w:bottom w:val="single" w:sz="4" w:space="0" w:color="auto"/>
              <w:right w:val="single" w:sz="4" w:space="0" w:color="auto"/>
            </w:tcBorders>
            <w:vAlign w:val="center"/>
          </w:tcPr>
          <w:p w:rsidR="00360829" w:rsidRPr="00255EF8" w:rsidRDefault="00360829" w:rsidP="00FA4C11">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60829" w:rsidRDefault="00360829" w:rsidP="00FA4C11">
            <w:pPr>
              <w:rPr>
                <w:lang w:val="en-AU"/>
              </w:rPr>
            </w:pPr>
            <w:r>
              <w:rPr>
                <w:lang w:val="en-AU"/>
              </w:rPr>
              <w:t xml:space="preserve">A new issue of </w:t>
            </w:r>
            <w:r w:rsidRPr="004B0E69">
              <w:rPr>
                <w:i/>
                <w:lang w:val="en-AU"/>
              </w:rPr>
              <w:t>Australian Health Review</w:t>
            </w:r>
            <w:r>
              <w:rPr>
                <w:lang w:val="en-AU"/>
              </w:rPr>
              <w:t xml:space="preserve"> has been published. Articles in this issue of </w:t>
            </w:r>
            <w:r w:rsidRPr="004B0E69">
              <w:rPr>
                <w:i/>
                <w:lang w:val="en-AU"/>
              </w:rPr>
              <w:t>Australian Health Review</w:t>
            </w:r>
            <w:r>
              <w:rPr>
                <w:lang w:val="en-AU"/>
              </w:rPr>
              <w:t xml:space="preserve"> include:</w:t>
            </w:r>
          </w:p>
          <w:p w:rsidR="00360829" w:rsidRPr="00360829" w:rsidRDefault="00360829" w:rsidP="00360829">
            <w:pPr>
              <w:pStyle w:val="ListParagraph"/>
              <w:numPr>
                <w:ilvl w:val="0"/>
                <w:numId w:val="20"/>
              </w:numPr>
              <w:rPr>
                <w:lang w:val="en-AU" w:eastAsia="en-AU"/>
              </w:rPr>
            </w:pPr>
            <w:r w:rsidRPr="00360829">
              <w:rPr>
                <w:lang w:val="en-AU" w:eastAsia="en-AU"/>
              </w:rPr>
              <w:t xml:space="preserve">Which </w:t>
            </w:r>
            <w:r w:rsidRPr="00360829">
              <w:rPr>
                <w:b/>
                <w:lang w:val="en-AU" w:eastAsia="en-AU"/>
              </w:rPr>
              <w:t>dimensions of access</w:t>
            </w:r>
            <w:r w:rsidRPr="00360829">
              <w:rPr>
                <w:lang w:val="en-AU" w:eastAsia="en-AU"/>
              </w:rPr>
              <w:t xml:space="preserve"> are most important when rural residents decide to visit a general practitioner for non-emergency care? (Bernadette Ward, John Humphreys, Matthew McGrail, J</w:t>
            </w:r>
            <w:r>
              <w:rPr>
                <w:lang w:val="en-AU" w:eastAsia="en-AU"/>
              </w:rPr>
              <w:t xml:space="preserve"> Wakerman and M Chisholm)</w:t>
            </w:r>
          </w:p>
          <w:p w:rsidR="00360829" w:rsidRPr="00360829" w:rsidRDefault="00360829" w:rsidP="00360829">
            <w:pPr>
              <w:pStyle w:val="ListParagraph"/>
              <w:numPr>
                <w:ilvl w:val="0"/>
                <w:numId w:val="20"/>
              </w:numPr>
              <w:rPr>
                <w:lang w:val="en-AU" w:eastAsia="en-AU"/>
              </w:rPr>
            </w:pPr>
            <w:r w:rsidRPr="00360829">
              <w:rPr>
                <w:b/>
                <w:lang w:val="en-AU" w:eastAsia="en-AU"/>
              </w:rPr>
              <w:t>Organisational development</w:t>
            </w:r>
            <w:r w:rsidRPr="00360829">
              <w:rPr>
                <w:lang w:val="en-AU" w:eastAsia="en-AU"/>
              </w:rPr>
              <w:t xml:space="preserve"> in a rural hospital in Australia (Suzanne Young, Sandra Leggat, </w:t>
            </w:r>
            <w:r>
              <w:rPr>
                <w:lang w:val="en-AU" w:eastAsia="en-AU"/>
              </w:rPr>
              <w:t>Pauline Stanton and Tim Bartram)</w:t>
            </w:r>
          </w:p>
          <w:p w:rsidR="00360829" w:rsidRPr="00360829" w:rsidRDefault="00360829" w:rsidP="00360829">
            <w:pPr>
              <w:pStyle w:val="ListParagraph"/>
              <w:numPr>
                <w:ilvl w:val="0"/>
                <w:numId w:val="20"/>
              </w:numPr>
              <w:rPr>
                <w:lang w:val="en-AU" w:eastAsia="en-AU"/>
              </w:rPr>
            </w:pPr>
            <w:r w:rsidRPr="00360829">
              <w:rPr>
                <w:lang w:val="en-AU" w:eastAsia="en-AU"/>
              </w:rPr>
              <w:t xml:space="preserve">Relationship between </w:t>
            </w:r>
            <w:r w:rsidRPr="00360829">
              <w:rPr>
                <w:b/>
                <w:lang w:val="en-AU" w:eastAsia="en-AU"/>
              </w:rPr>
              <w:t xml:space="preserve">socioeconomic status and general practitioner visits </w:t>
            </w:r>
            <w:r w:rsidRPr="00360829">
              <w:rPr>
                <w:lang w:val="en-AU" w:eastAsia="en-AU"/>
              </w:rPr>
              <w:t xml:space="preserve">for children in the first 12 months of life: an Australian study (Xanthe A Golenko, Rania Shibl, Paul </w:t>
            </w:r>
            <w:r>
              <w:rPr>
                <w:lang w:val="en-AU" w:eastAsia="en-AU"/>
              </w:rPr>
              <w:t>A Scuffham and Cate M Cameron)</w:t>
            </w:r>
          </w:p>
          <w:p w:rsidR="00360829" w:rsidRPr="00360829" w:rsidRDefault="00360829" w:rsidP="00360829">
            <w:pPr>
              <w:pStyle w:val="ListParagraph"/>
              <w:numPr>
                <w:ilvl w:val="0"/>
                <w:numId w:val="20"/>
              </w:numPr>
              <w:rPr>
                <w:lang w:val="en-AU" w:eastAsia="en-AU"/>
              </w:rPr>
            </w:pPr>
            <w:r w:rsidRPr="00360829">
              <w:rPr>
                <w:b/>
                <w:lang w:val="en-AU" w:eastAsia="en-AU"/>
              </w:rPr>
              <w:t>Advance care planning in palliative care</w:t>
            </w:r>
            <w:r w:rsidRPr="00360829">
              <w:rPr>
                <w:lang w:val="en-AU" w:eastAsia="en-AU"/>
              </w:rPr>
              <w:t xml:space="preserve">: a national survey of health professionals and service managers (Marcus Sellars, William Silvester, Malcolm Masso and Claire E Johnson </w:t>
            </w:r>
            <w:r>
              <w:rPr>
                <w:lang w:val="en-AU" w:eastAsia="en-AU"/>
              </w:rPr>
              <w:t>)</w:t>
            </w:r>
          </w:p>
          <w:p w:rsidR="00360829" w:rsidRPr="00360829" w:rsidRDefault="00360829" w:rsidP="00360829">
            <w:pPr>
              <w:pStyle w:val="ListParagraph"/>
              <w:numPr>
                <w:ilvl w:val="0"/>
                <w:numId w:val="20"/>
              </w:numPr>
              <w:rPr>
                <w:lang w:val="en-AU" w:eastAsia="en-AU"/>
              </w:rPr>
            </w:pPr>
            <w:r w:rsidRPr="00360829">
              <w:rPr>
                <w:b/>
                <w:lang w:val="en-AU" w:eastAsia="en-AU"/>
              </w:rPr>
              <w:t>Palliative care</w:t>
            </w:r>
            <w:r w:rsidRPr="00360829">
              <w:rPr>
                <w:lang w:val="en-AU" w:eastAsia="en-AU"/>
              </w:rPr>
              <w:t xml:space="preserve"> health professionals’ experiences of caring for patients with </w:t>
            </w:r>
            <w:r w:rsidRPr="00360829">
              <w:rPr>
                <w:b/>
                <w:lang w:val="en-AU" w:eastAsia="en-AU"/>
              </w:rPr>
              <w:t>advance care directives</w:t>
            </w:r>
            <w:r w:rsidRPr="00360829">
              <w:rPr>
                <w:lang w:val="en-AU" w:eastAsia="en-AU"/>
              </w:rPr>
              <w:t xml:space="preserve"> (Claire E Johnson, Rachel Singer, Malcolm Masso, Marcu</w:t>
            </w:r>
            <w:r>
              <w:rPr>
                <w:lang w:val="en-AU" w:eastAsia="en-AU"/>
              </w:rPr>
              <w:t>s Sellars and William Silvester)</w:t>
            </w:r>
          </w:p>
          <w:p w:rsidR="00360829" w:rsidRPr="00360829" w:rsidRDefault="00360829" w:rsidP="00360829">
            <w:pPr>
              <w:pStyle w:val="ListParagraph"/>
              <w:numPr>
                <w:ilvl w:val="0"/>
                <w:numId w:val="20"/>
              </w:numPr>
              <w:rPr>
                <w:lang w:val="en-AU" w:eastAsia="en-AU"/>
              </w:rPr>
            </w:pPr>
            <w:r w:rsidRPr="00360829">
              <w:rPr>
                <w:b/>
                <w:lang w:val="en-AU" w:eastAsia="en-AU"/>
              </w:rPr>
              <w:t>Whiteboards and discharge traffic lights</w:t>
            </w:r>
            <w:r w:rsidRPr="00360829">
              <w:rPr>
                <w:lang w:val="en-AU" w:eastAsia="en-AU"/>
              </w:rPr>
              <w:t>: visual management in acute care (Lauri O'Brien,</w:t>
            </w:r>
            <w:r>
              <w:rPr>
                <w:lang w:val="en-AU" w:eastAsia="en-AU"/>
              </w:rPr>
              <w:t xml:space="preserve"> Jane Bassham and Melissa Lewis)</w:t>
            </w:r>
          </w:p>
          <w:p w:rsidR="00360829" w:rsidRPr="00360829" w:rsidRDefault="00360829" w:rsidP="00360829">
            <w:pPr>
              <w:pStyle w:val="ListParagraph"/>
              <w:numPr>
                <w:ilvl w:val="0"/>
                <w:numId w:val="20"/>
              </w:numPr>
              <w:rPr>
                <w:lang w:val="en-AU" w:eastAsia="en-AU"/>
              </w:rPr>
            </w:pPr>
            <w:r w:rsidRPr="00360829">
              <w:rPr>
                <w:lang w:val="en-AU" w:eastAsia="en-AU"/>
              </w:rPr>
              <w:t xml:space="preserve">Effectiveness of </w:t>
            </w:r>
            <w:r w:rsidRPr="00360829">
              <w:rPr>
                <w:b/>
                <w:lang w:val="en-AU" w:eastAsia="en-AU"/>
              </w:rPr>
              <w:t>clinical supervision</w:t>
            </w:r>
            <w:r w:rsidRPr="00360829">
              <w:rPr>
                <w:lang w:val="en-AU" w:eastAsia="en-AU"/>
              </w:rPr>
              <w:t xml:space="preserve"> of physiotherapists: a survey (David A Snowdon, Geraldine Millard and</w:t>
            </w:r>
            <w:r>
              <w:rPr>
                <w:lang w:val="en-AU" w:eastAsia="en-AU"/>
              </w:rPr>
              <w:t xml:space="preserve"> Nicholas F Taylor)</w:t>
            </w:r>
          </w:p>
          <w:p w:rsidR="00360829" w:rsidRPr="00360829" w:rsidRDefault="00360829" w:rsidP="00360829">
            <w:pPr>
              <w:pStyle w:val="ListParagraph"/>
              <w:numPr>
                <w:ilvl w:val="0"/>
                <w:numId w:val="20"/>
              </w:numPr>
              <w:rPr>
                <w:lang w:val="en-AU" w:eastAsia="en-AU"/>
              </w:rPr>
            </w:pPr>
            <w:r w:rsidRPr="00360829">
              <w:rPr>
                <w:b/>
                <w:lang w:val="en-AU" w:eastAsia="en-AU"/>
              </w:rPr>
              <w:t>Discharge communication</w:t>
            </w:r>
            <w:r w:rsidRPr="00360829">
              <w:rPr>
                <w:lang w:val="en-AU" w:eastAsia="en-AU"/>
              </w:rPr>
              <w:t xml:space="preserve"> from inpatient care: an audit of written medical discharge summary procedure against the new </w:t>
            </w:r>
            <w:r w:rsidRPr="003719FA">
              <w:rPr>
                <w:b/>
                <w:lang w:val="en-AU" w:eastAsia="en-AU"/>
              </w:rPr>
              <w:t>National Health Service Standard</w:t>
            </w:r>
            <w:r w:rsidRPr="00360829">
              <w:rPr>
                <w:lang w:val="en-AU" w:eastAsia="en-AU"/>
              </w:rPr>
              <w:t xml:space="preserve"> for clinical handover (Daniel Brooks Reid, Shaun R Parsons, Stephen D Gill and Andrew J</w:t>
            </w:r>
            <w:r>
              <w:rPr>
                <w:lang w:val="en-AU" w:eastAsia="en-AU"/>
              </w:rPr>
              <w:t xml:space="preserve"> Hughes)</w:t>
            </w:r>
          </w:p>
          <w:p w:rsidR="00360829" w:rsidRPr="00360829" w:rsidRDefault="00360829" w:rsidP="00360829">
            <w:pPr>
              <w:pStyle w:val="ListParagraph"/>
              <w:numPr>
                <w:ilvl w:val="0"/>
                <w:numId w:val="20"/>
              </w:numPr>
              <w:rPr>
                <w:lang w:val="en-AU" w:eastAsia="en-AU"/>
              </w:rPr>
            </w:pPr>
            <w:r w:rsidRPr="00360829">
              <w:rPr>
                <w:lang w:val="en-AU" w:eastAsia="en-AU"/>
              </w:rPr>
              <w:t xml:space="preserve">Dying in Australian hospitals: will a separate </w:t>
            </w:r>
            <w:r w:rsidRPr="00360829">
              <w:rPr>
                <w:b/>
                <w:lang w:val="en-AU" w:eastAsia="en-AU"/>
              </w:rPr>
              <w:t>national clinical standard</w:t>
            </w:r>
            <w:r w:rsidRPr="00360829">
              <w:rPr>
                <w:lang w:val="en-AU" w:eastAsia="en-AU"/>
              </w:rPr>
              <w:t xml:space="preserve"> improve the delivery of </w:t>
            </w:r>
            <w:r w:rsidRPr="00360829">
              <w:rPr>
                <w:b/>
                <w:lang w:val="en-AU" w:eastAsia="en-AU"/>
              </w:rPr>
              <w:t>quality care</w:t>
            </w:r>
            <w:r w:rsidRPr="00360829">
              <w:rPr>
                <w:lang w:val="en-AU" w:eastAsia="en-AU"/>
              </w:rPr>
              <w:t>? (Katherine Clark, Aileen Collier and David C Currow</w:t>
            </w:r>
            <w:r>
              <w:rPr>
                <w:lang w:val="en-AU" w:eastAsia="en-AU"/>
              </w:rPr>
              <w:t>)</w:t>
            </w:r>
          </w:p>
          <w:p w:rsidR="00360829" w:rsidRPr="00255EF8" w:rsidRDefault="00360829" w:rsidP="00360829">
            <w:pPr>
              <w:pStyle w:val="ListParagraph"/>
              <w:numPr>
                <w:ilvl w:val="0"/>
                <w:numId w:val="20"/>
              </w:numPr>
              <w:rPr>
                <w:lang w:val="en-AU" w:eastAsia="en-AU"/>
              </w:rPr>
            </w:pPr>
            <w:r w:rsidRPr="00360829">
              <w:rPr>
                <w:lang w:val="en-AU" w:eastAsia="en-AU"/>
              </w:rPr>
              <w:t xml:space="preserve">A better way to do this? Views of mental health nursing directors about preparation for </w:t>
            </w:r>
            <w:r w:rsidRPr="00360829">
              <w:rPr>
                <w:b/>
                <w:lang w:val="en-AU" w:eastAsia="en-AU"/>
              </w:rPr>
              <w:t>mental health nursing practice</w:t>
            </w:r>
            <w:r w:rsidRPr="00360829">
              <w:rPr>
                <w:lang w:val="en-AU" w:eastAsia="en-AU"/>
              </w:rPr>
              <w:t xml:space="preserve"> (</w:t>
            </w:r>
            <w:r>
              <w:rPr>
                <w:lang w:val="en-AU" w:eastAsia="en-AU"/>
              </w:rPr>
              <w:t>Brenda Happell)</w:t>
            </w:r>
          </w:p>
        </w:tc>
      </w:tr>
    </w:tbl>
    <w:p w:rsidR="00360829" w:rsidRDefault="00360829" w:rsidP="003A18E5">
      <w:pPr>
        <w:keepLines/>
        <w:autoSpaceDE w:val="0"/>
        <w:autoSpaceDN w:val="0"/>
        <w:adjustRightInd w:val="0"/>
        <w:rPr>
          <w:lang w:val="en-AU"/>
        </w:rPr>
      </w:pPr>
    </w:p>
    <w:p w:rsidR="005833F4" w:rsidRPr="00255EF8" w:rsidRDefault="005833F4" w:rsidP="005833F4">
      <w:pPr>
        <w:keepNext/>
        <w:rPr>
          <w:lang w:val="en-AU"/>
        </w:rPr>
      </w:pPr>
      <w:r w:rsidRPr="00255EF8">
        <w:rPr>
          <w:i/>
          <w:lang w:val="en-AU"/>
        </w:rPr>
        <w:t xml:space="preserve">BMJ Quality and Safety </w:t>
      </w:r>
      <w:r w:rsidRPr="00255EF8">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55EF8"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55EF8" w:rsidRDefault="005833F4" w:rsidP="00AF05F3">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55EF8" w:rsidRDefault="00492BB6" w:rsidP="00AF05F3">
            <w:pPr>
              <w:rPr>
                <w:lang w:val="en-AU"/>
              </w:rPr>
            </w:pPr>
            <w:hyperlink r:id="rId24" w:history="1">
              <w:r w:rsidR="005833F4" w:rsidRPr="00255EF8">
                <w:rPr>
                  <w:rStyle w:val="Hyperlink"/>
                  <w:lang w:val="en-AU"/>
                </w:rPr>
                <w:t>http://qualitysafety.bmj.com/content/early/recent</w:t>
              </w:r>
            </w:hyperlink>
          </w:p>
        </w:tc>
      </w:tr>
      <w:tr w:rsidR="005833F4" w:rsidRPr="00255EF8"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55EF8" w:rsidRDefault="005833F4" w:rsidP="00AF05F3">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55EF8" w:rsidRDefault="005833F4" w:rsidP="00AF05F3">
            <w:pPr>
              <w:rPr>
                <w:lang w:val="en-AU"/>
              </w:rPr>
            </w:pPr>
            <w:r w:rsidRPr="00255EF8">
              <w:rPr>
                <w:i/>
                <w:lang w:val="en-AU"/>
              </w:rPr>
              <w:t>BMJ Quality and Safety</w:t>
            </w:r>
            <w:r w:rsidRPr="00255EF8">
              <w:rPr>
                <w:lang w:val="en-AU"/>
              </w:rPr>
              <w:t xml:space="preserve"> has published a number of ‘online first’ articles, including:</w:t>
            </w:r>
          </w:p>
          <w:p w:rsidR="005833F4" w:rsidRDefault="003B7770" w:rsidP="003B7770">
            <w:pPr>
              <w:pStyle w:val="ListParagraph"/>
              <w:numPr>
                <w:ilvl w:val="0"/>
                <w:numId w:val="14"/>
              </w:numPr>
              <w:rPr>
                <w:lang w:val="en-AU"/>
              </w:rPr>
            </w:pPr>
            <w:r w:rsidRPr="003B7770">
              <w:rPr>
                <w:lang w:val="en-AU"/>
              </w:rPr>
              <w:t xml:space="preserve">Developing </w:t>
            </w:r>
            <w:r w:rsidRPr="003B7770">
              <w:rPr>
                <w:b/>
                <w:lang w:val="en-AU"/>
              </w:rPr>
              <w:t>person-centred analysis of harm</w:t>
            </w:r>
            <w:r w:rsidRPr="003B7770">
              <w:rPr>
                <w:lang w:val="en-AU"/>
              </w:rPr>
              <w:t xml:space="preserve"> in a </w:t>
            </w:r>
            <w:r w:rsidRPr="003B7770">
              <w:rPr>
                <w:b/>
                <w:lang w:val="en-AU"/>
              </w:rPr>
              <w:t>paediatric hospital</w:t>
            </w:r>
            <w:r>
              <w:rPr>
                <w:lang w:val="en-AU"/>
              </w:rPr>
              <w:t>: a quality improvement report (</w:t>
            </w:r>
            <w:r w:rsidRPr="003B7770">
              <w:rPr>
                <w:lang w:val="en-AU"/>
              </w:rPr>
              <w:t>Peter Lachman, Lynette Linkson, Trish Evans, Henning Clausen, Daljit Hothi</w:t>
            </w:r>
            <w:r>
              <w:rPr>
                <w:lang w:val="en-AU"/>
              </w:rPr>
              <w:t>)</w:t>
            </w:r>
          </w:p>
          <w:p w:rsidR="00F670EE" w:rsidRPr="00255EF8" w:rsidRDefault="00F670EE" w:rsidP="00F670EE">
            <w:pPr>
              <w:pStyle w:val="ListParagraph"/>
              <w:numPr>
                <w:ilvl w:val="0"/>
                <w:numId w:val="14"/>
              </w:numPr>
              <w:rPr>
                <w:lang w:val="en-AU"/>
              </w:rPr>
            </w:pPr>
            <w:r w:rsidRPr="00F670EE">
              <w:rPr>
                <w:lang w:val="en-AU"/>
              </w:rPr>
              <w:t xml:space="preserve">What to expect when you're </w:t>
            </w:r>
            <w:r w:rsidRPr="00F670EE">
              <w:rPr>
                <w:b/>
                <w:lang w:val="en-AU"/>
              </w:rPr>
              <w:t>evaluating healthcare improvement</w:t>
            </w:r>
            <w:r w:rsidRPr="00F670EE">
              <w:rPr>
                <w:lang w:val="en-AU"/>
              </w:rPr>
              <w:t>: a concordat approach to managing collaborati</w:t>
            </w:r>
            <w:r>
              <w:rPr>
                <w:lang w:val="en-AU"/>
              </w:rPr>
              <w:t>on and uncomfortable realities (</w:t>
            </w:r>
            <w:r w:rsidRPr="00F670EE">
              <w:rPr>
                <w:lang w:val="en-AU"/>
              </w:rPr>
              <w:t>Liz Brewster, Emma-Louise Aveling, Graham Martin, Carolyn Tarrant, Mary Dixon-Woods, The Safer Clinical Systems Phase 2 Core Group Collaboration &amp; Writing Committee</w:t>
            </w:r>
            <w:r>
              <w:rPr>
                <w:lang w:val="en-AU"/>
              </w:rPr>
              <w:t>)</w:t>
            </w:r>
          </w:p>
        </w:tc>
      </w:tr>
    </w:tbl>
    <w:p w:rsidR="00F61F35" w:rsidRPr="00255EF8" w:rsidRDefault="00F61F35" w:rsidP="00F61F35">
      <w:pPr>
        <w:keepLines/>
        <w:autoSpaceDE w:val="0"/>
        <w:autoSpaceDN w:val="0"/>
        <w:adjustRightInd w:val="0"/>
        <w:rPr>
          <w:lang w:val="en-AU"/>
        </w:rPr>
      </w:pPr>
    </w:p>
    <w:p w:rsidR="00687473" w:rsidRDefault="00687473">
      <w:pPr>
        <w:rPr>
          <w:b/>
          <w:lang w:val="en-AU"/>
        </w:rPr>
      </w:pPr>
      <w:r>
        <w:rPr>
          <w:b/>
          <w:lang w:val="en-AU"/>
        </w:rPr>
        <w:br w:type="page"/>
      </w:r>
    </w:p>
    <w:p w:rsidR="00590FB6" w:rsidRPr="00255EF8" w:rsidRDefault="00590FB6" w:rsidP="00036565">
      <w:pPr>
        <w:rPr>
          <w:b/>
          <w:lang w:val="en-AU"/>
        </w:rPr>
      </w:pPr>
      <w:r w:rsidRPr="00255EF8">
        <w:rPr>
          <w:b/>
          <w:lang w:val="en-AU"/>
        </w:rPr>
        <w:lastRenderedPageBreak/>
        <w:t>Online resources</w:t>
      </w:r>
    </w:p>
    <w:p w:rsidR="000668CC" w:rsidRDefault="000668CC" w:rsidP="0029518F">
      <w:pPr>
        <w:rPr>
          <w:lang w:val="en-AU"/>
        </w:rPr>
      </w:pPr>
    </w:p>
    <w:p w:rsidR="00D304E1" w:rsidRPr="00D304E1" w:rsidRDefault="00D304E1" w:rsidP="00D304E1">
      <w:pPr>
        <w:rPr>
          <w:i/>
          <w:lang w:val="en-AU"/>
        </w:rPr>
      </w:pPr>
      <w:r>
        <w:rPr>
          <w:i/>
          <w:lang w:val="en-AU"/>
        </w:rPr>
        <w:t xml:space="preserve">[UK] </w:t>
      </w:r>
      <w:r w:rsidRPr="00D304E1">
        <w:rPr>
          <w:i/>
          <w:lang w:val="en-AU"/>
        </w:rPr>
        <w:t>The code: professional standards of practice and behaviour for nurses and midwives</w:t>
      </w:r>
    </w:p>
    <w:p w:rsidR="00EE6723" w:rsidRDefault="00492BB6" w:rsidP="00EE6723">
      <w:pPr>
        <w:rPr>
          <w:lang w:val="en-AU"/>
        </w:rPr>
      </w:pPr>
      <w:hyperlink r:id="rId25" w:history="1">
        <w:r w:rsidR="00D304E1" w:rsidRPr="002847A7">
          <w:rPr>
            <w:rStyle w:val="Hyperlink"/>
            <w:lang w:val="en-AU"/>
          </w:rPr>
          <w:t>http://www.nmc-uk.org/The-Code/</w:t>
        </w:r>
      </w:hyperlink>
    </w:p>
    <w:p w:rsidR="00D304E1" w:rsidRDefault="00D304E1" w:rsidP="00D304E1">
      <w:pPr>
        <w:rPr>
          <w:lang w:val="en-AU"/>
        </w:rPr>
      </w:pPr>
      <w:r>
        <w:rPr>
          <w:lang w:val="en-AU"/>
        </w:rPr>
        <w:t xml:space="preserve">The UK </w:t>
      </w:r>
      <w:r w:rsidRPr="00D304E1">
        <w:rPr>
          <w:lang w:val="en-AU"/>
        </w:rPr>
        <w:t xml:space="preserve">Nursing &amp; Midwifery Council </w:t>
      </w:r>
      <w:r>
        <w:rPr>
          <w:lang w:val="en-AU"/>
        </w:rPr>
        <w:t>has released their updated</w:t>
      </w:r>
      <w:r w:rsidRPr="00D304E1">
        <w:rPr>
          <w:lang w:val="en-AU"/>
        </w:rPr>
        <w:t xml:space="preserve"> code of conduct</w:t>
      </w:r>
      <w:r>
        <w:rPr>
          <w:lang w:val="en-AU"/>
        </w:rPr>
        <w:t xml:space="preserve">. The code </w:t>
      </w:r>
      <w:r w:rsidRPr="00D304E1">
        <w:rPr>
          <w:lang w:val="en-AU"/>
        </w:rPr>
        <w:t>has been updated to reflect changes in contemporary professional nursing and midwifery practice and to reflect the public expectations of care</w:t>
      </w:r>
      <w:r>
        <w:rPr>
          <w:lang w:val="en-AU"/>
        </w:rPr>
        <w:t>.</w:t>
      </w:r>
    </w:p>
    <w:p w:rsidR="00D304E1" w:rsidRDefault="00D304E1" w:rsidP="00EE6723">
      <w:pPr>
        <w:rPr>
          <w:lang w:val="en-AU"/>
        </w:rPr>
      </w:pPr>
    </w:p>
    <w:p w:rsidR="00AE2D6D" w:rsidRDefault="00AE2D6D" w:rsidP="00AE2D6D">
      <w:pPr>
        <w:keepNext/>
        <w:rPr>
          <w:i/>
          <w:lang w:val="en-AU"/>
        </w:rPr>
      </w:pPr>
      <w:r>
        <w:rPr>
          <w:i/>
          <w:lang w:val="en-AU"/>
        </w:rPr>
        <w:t>[UK] NICE Evidence Updates</w:t>
      </w:r>
    </w:p>
    <w:p w:rsidR="00AE2D6D" w:rsidRDefault="00AE2D6D" w:rsidP="00AE2D6D">
      <w:pPr>
        <w:rPr>
          <w:lang w:val="en-AU"/>
        </w:rPr>
      </w:pPr>
      <w:r>
        <w:rPr>
          <w:lang w:val="en-AU"/>
        </w:rPr>
        <w:t xml:space="preserve">The UK’s National Institute for Health and Care Excellence (NICE) publishes updates on their </w:t>
      </w:r>
      <w:r w:rsidRPr="0086613B">
        <w:rPr>
          <w:lang w:val="en-AU"/>
        </w:rPr>
        <w:t xml:space="preserve">Evidence Updates </w:t>
      </w:r>
      <w:r>
        <w:rPr>
          <w:lang w:val="en-AU"/>
        </w:rPr>
        <w:t xml:space="preserve">site. The latest updates are </w:t>
      </w:r>
      <w:r w:rsidRPr="009233ED">
        <w:rPr>
          <w:lang w:val="en-AU"/>
        </w:rPr>
        <w:t>on</w:t>
      </w:r>
      <w:r>
        <w:rPr>
          <w:lang w:val="en-AU"/>
        </w:rPr>
        <w:t xml:space="preserve"> </w:t>
      </w:r>
      <w:r w:rsidRPr="00AE2D6D">
        <w:rPr>
          <w:lang w:val="en-AU"/>
        </w:rPr>
        <w:t>‘</w:t>
      </w:r>
      <w:r w:rsidRPr="00AE2D6D">
        <w:rPr>
          <w:b/>
          <w:lang w:val="en-AU"/>
        </w:rPr>
        <w:t>Occupational therapy and physical activity interventions to promote the mental wellbeing of older people in primary care and residential care</w:t>
      </w:r>
      <w:r w:rsidRPr="00AE2D6D">
        <w:rPr>
          <w:lang w:val="en-AU"/>
        </w:rPr>
        <w:t>’ and ‘</w:t>
      </w:r>
      <w:proofErr w:type="gramStart"/>
      <w:r w:rsidRPr="00AE2D6D">
        <w:rPr>
          <w:b/>
          <w:lang w:val="en-AU"/>
        </w:rPr>
        <w:t>Promoting</w:t>
      </w:r>
      <w:proofErr w:type="gramEnd"/>
      <w:r w:rsidRPr="00AE2D6D">
        <w:rPr>
          <w:b/>
          <w:lang w:val="en-AU"/>
        </w:rPr>
        <w:t xml:space="preserve"> physical activity for children and young people</w:t>
      </w:r>
      <w:r w:rsidRPr="00AE2D6D">
        <w:rPr>
          <w:lang w:val="en-AU"/>
        </w:rPr>
        <w:t>’</w:t>
      </w:r>
      <w:r>
        <w:rPr>
          <w:lang w:val="en-AU"/>
        </w:rPr>
        <w:t>.</w:t>
      </w:r>
    </w:p>
    <w:p w:rsidR="00AE2D6D" w:rsidRPr="00AE2D6D" w:rsidRDefault="00AE2D6D" w:rsidP="00AE2D6D">
      <w:pPr>
        <w:pStyle w:val="ListParagraph"/>
        <w:numPr>
          <w:ilvl w:val="0"/>
          <w:numId w:val="17"/>
        </w:numPr>
        <w:rPr>
          <w:lang w:val="en-AU"/>
        </w:rPr>
      </w:pPr>
      <w:r w:rsidRPr="00AE2D6D">
        <w:rPr>
          <w:i/>
          <w:lang w:val="en-AU"/>
        </w:rPr>
        <w:t>Occupational therapy and physical activity interventions to promote the mental wellbeing of older people in primary care and residential care</w:t>
      </w:r>
      <w:r>
        <w:rPr>
          <w:i/>
          <w:lang w:val="en-AU"/>
        </w:rPr>
        <w:t xml:space="preserve"> </w:t>
      </w:r>
      <w:hyperlink r:id="rId26" w:history="1">
        <w:r w:rsidRPr="00AE2D6D">
          <w:rPr>
            <w:rStyle w:val="Hyperlink"/>
            <w:lang w:val="en-AU"/>
          </w:rPr>
          <w:t>http://arms.evidence.nhs.uk/resources/hub/1043082/attachment</w:t>
        </w:r>
      </w:hyperlink>
      <w:r w:rsidRPr="00AE2D6D">
        <w:rPr>
          <w:lang w:val="en-AU"/>
        </w:rPr>
        <w:t xml:space="preserve"> </w:t>
      </w:r>
    </w:p>
    <w:p w:rsidR="00AE2D6D" w:rsidRPr="005827EC" w:rsidRDefault="00AE2D6D" w:rsidP="00AE2D6D">
      <w:pPr>
        <w:pStyle w:val="ListParagraph"/>
        <w:numPr>
          <w:ilvl w:val="0"/>
          <w:numId w:val="17"/>
        </w:numPr>
        <w:rPr>
          <w:lang w:val="en-AU"/>
        </w:rPr>
      </w:pPr>
      <w:r w:rsidRPr="00AE2D6D">
        <w:rPr>
          <w:i/>
          <w:lang w:val="en-AU"/>
        </w:rPr>
        <w:t>‘Promoting physical activity for children and young people</w:t>
      </w:r>
      <w:r>
        <w:rPr>
          <w:i/>
          <w:lang w:val="en-AU"/>
        </w:rPr>
        <w:t xml:space="preserve"> </w:t>
      </w:r>
      <w:hyperlink r:id="rId27" w:history="1">
        <w:r w:rsidRPr="005827EC">
          <w:rPr>
            <w:rStyle w:val="Hyperlink"/>
            <w:lang w:val="en-AU"/>
          </w:rPr>
          <w:t>http://www.nice.org.uk/guidance/ph17/evidence/promoting-physical-activity-for-children-and-young-people-evidence-update-march-20152</w:t>
        </w:r>
      </w:hyperlink>
      <w:r w:rsidRPr="005827EC">
        <w:rPr>
          <w:lang w:val="en-AU"/>
        </w:rPr>
        <w:t xml:space="preserve"> </w:t>
      </w:r>
    </w:p>
    <w:p w:rsidR="00D304E1" w:rsidRDefault="00D304E1" w:rsidP="00EE6723">
      <w:pPr>
        <w:rPr>
          <w:lang w:val="en-AU"/>
        </w:rPr>
      </w:pPr>
    </w:p>
    <w:p w:rsidR="00687473" w:rsidRPr="00255EF8" w:rsidRDefault="00687473" w:rsidP="00EE6723">
      <w:pPr>
        <w:rPr>
          <w:lang w:val="en-AU"/>
        </w:rPr>
      </w:pPr>
    </w:p>
    <w:p w:rsidR="00B160EF" w:rsidRPr="00255EF8" w:rsidRDefault="00B160EF" w:rsidP="00B160EF">
      <w:pPr>
        <w:keepNext/>
        <w:pBdr>
          <w:top w:val="single" w:sz="4" w:space="1" w:color="auto"/>
        </w:pBdr>
        <w:rPr>
          <w:b/>
          <w:lang w:val="en-AU"/>
        </w:rPr>
      </w:pPr>
      <w:r w:rsidRPr="00255EF8">
        <w:rPr>
          <w:b/>
          <w:lang w:val="en-AU"/>
        </w:rPr>
        <w:t>Disclaimer</w:t>
      </w:r>
    </w:p>
    <w:p w:rsidR="00E41D2F" w:rsidRPr="00255EF8" w:rsidRDefault="00B160EF" w:rsidP="00B160EF">
      <w:pPr>
        <w:rPr>
          <w:lang w:val="en-AU"/>
        </w:rPr>
      </w:pPr>
      <w:r w:rsidRPr="00255EF8">
        <w:rPr>
          <w:i/>
          <w:lang w:val="en-AU"/>
        </w:rPr>
        <w:t xml:space="preserve">On the </w:t>
      </w:r>
      <w:r w:rsidR="001A66F9" w:rsidRPr="00255EF8">
        <w:rPr>
          <w:i/>
          <w:lang w:val="en-AU"/>
        </w:rPr>
        <w:t>R</w:t>
      </w:r>
      <w:r w:rsidRPr="00255EF8">
        <w:rPr>
          <w:i/>
          <w:lang w:val="en-AU"/>
        </w:rPr>
        <w:t>adar</w:t>
      </w:r>
      <w:r w:rsidRPr="00255EF8">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255EF8" w:rsidSect="005C5ABC">
      <w:footerReference w:type="even" r:id="rId28"/>
      <w:footerReference w:type="default" r:id="rId2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BB6" w:rsidRDefault="00492BB6">
      <w:r>
        <w:separator/>
      </w:r>
    </w:p>
  </w:endnote>
  <w:endnote w:type="continuationSeparator" w:id="0">
    <w:p w:rsidR="00492BB6" w:rsidRDefault="0049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00F16">
      <w:rPr>
        <w:rStyle w:val="PageNumber"/>
        <w:noProof/>
      </w:rPr>
      <w:t>2</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w:t>
    </w:r>
    <w:r w:rsidR="00320AA2">
      <w:t>1</w:t>
    </w:r>
    <w:r w:rsidR="00F61F35">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0F16">
      <w:rPr>
        <w:rStyle w:val="PageNumber"/>
        <w:noProof/>
      </w:rPr>
      <w:t>1</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F61F35">
      <w:t xml:space="preserve"> Issue 217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BB6" w:rsidRDefault="00492BB6">
      <w:r>
        <w:separator/>
      </w:r>
    </w:p>
  </w:footnote>
  <w:footnote w:type="continuationSeparator" w:id="0">
    <w:p w:rsidR="00492BB6" w:rsidRDefault="00492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EE2EF4"/>
    <w:multiLevelType w:val="hybridMultilevel"/>
    <w:tmpl w:val="E18421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F63F5"/>
    <w:multiLevelType w:val="hybridMultilevel"/>
    <w:tmpl w:val="7FCE9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5C406BB"/>
    <w:multiLevelType w:val="hybridMultilevel"/>
    <w:tmpl w:val="C844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4762260"/>
    <w:multiLevelType w:val="hybridMultilevel"/>
    <w:tmpl w:val="C7FA4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95F0982"/>
    <w:multiLevelType w:val="hybridMultilevel"/>
    <w:tmpl w:val="D760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4"/>
  </w:num>
  <w:num w:numId="15">
    <w:abstractNumId w:val="18"/>
  </w:num>
  <w:num w:numId="16">
    <w:abstractNumId w:val="19"/>
  </w:num>
  <w:num w:numId="17">
    <w:abstractNumId w:val="10"/>
  </w:num>
  <w:num w:numId="18">
    <w:abstractNumId w:val="15"/>
  </w:num>
  <w:num w:numId="19">
    <w:abstractNumId w:val="12"/>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31FB"/>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565"/>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1C68"/>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609"/>
    <w:rsid w:val="000618E2"/>
    <w:rsid w:val="00061B9C"/>
    <w:rsid w:val="00061C52"/>
    <w:rsid w:val="00061D38"/>
    <w:rsid w:val="0006203E"/>
    <w:rsid w:val="00062372"/>
    <w:rsid w:val="000624DD"/>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9AF"/>
    <w:rsid w:val="00071527"/>
    <w:rsid w:val="00071BDA"/>
    <w:rsid w:val="00071CD2"/>
    <w:rsid w:val="00071E75"/>
    <w:rsid w:val="000720E2"/>
    <w:rsid w:val="00072770"/>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E8A"/>
    <w:rsid w:val="00080F45"/>
    <w:rsid w:val="00081003"/>
    <w:rsid w:val="000812CA"/>
    <w:rsid w:val="00081399"/>
    <w:rsid w:val="000813BB"/>
    <w:rsid w:val="00081A31"/>
    <w:rsid w:val="00082187"/>
    <w:rsid w:val="000823A3"/>
    <w:rsid w:val="00082764"/>
    <w:rsid w:val="0008278C"/>
    <w:rsid w:val="00082920"/>
    <w:rsid w:val="00082C4C"/>
    <w:rsid w:val="0008346E"/>
    <w:rsid w:val="00083515"/>
    <w:rsid w:val="000837A9"/>
    <w:rsid w:val="000838F1"/>
    <w:rsid w:val="00083A0B"/>
    <w:rsid w:val="00083BF6"/>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2EE5"/>
    <w:rsid w:val="000B341C"/>
    <w:rsid w:val="000B39B1"/>
    <w:rsid w:val="000B3AAB"/>
    <w:rsid w:val="000B3E98"/>
    <w:rsid w:val="000B40BA"/>
    <w:rsid w:val="000B41A3"/>
    <w:rsid w:val="000B424F"/>
    <w:rsid w:val="000B42C1"/>
    <w:rsid w:val="000B47B8"/>
    <w:rsid w:val="000B4CD7"/>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63C"/>
    <w:rsid w:val="000D7725"/>
    <w:rsid w:val="000D79F3"/>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CE1"/>
    <w:rsid w:val="000E6CF8"/>
    <w:rsid w:val="000E6F10"/>
    <w:rsid w:val="000E70D8"/>
    <w:rsid w:val="000E7677"/>
    <w:rsid w:val="000E7C75"/>
    <w:rsid w:val="000E7F27"/>
    <w:rsid w:val="000F0767"/>
    <w:rsid w:val="000F0829"/>
    <w:rsid w:val="000F0C90"/>
    <w:rsid w:val="000F0DAF"/>
    <w:rsid w:val="000F1530"/>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EE7"/>
    <w:rsid w:val="00121F28"/>
    <w:rsid w:val="00121F32"/>
    <w:rsid w:val="0012215A"/>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9A0"/>
    <w:rsid w:val="001859BD"/>
    <w:rsid w:val="00185C3D"/>
    <w:rsid w:val="00186263"/>
    <w:rsid w:val="00186A49"/>
    <w:rsid w:val="00186CC6"/>
    <w:rsid w:val="001873D0"/>
    <w:rsid w:val="001905FE"/>
    <w:rsid w:val="00190B31"/>
    <w:rsid w:val="00191212"/>
    <w:rsid w:val="001912ED"/>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1BA"/>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93B"/>
    <w:rsid w:val="001E70CC"/>
    <w:rsid w:val="001E74BF"/>
    <w:rsid w:val="001E75AC"/>
    <w:rsid w:val="001E76FD"/>
    <w:rsid w:val="001E786A"/>
    <w:rsid w:val="001E7EAC"/>
    <w:rsid w:val="001F01DE"/>
    <w:rsid w:val="001F01DF"/>
    <w:rsid w:val="001F0225"/>
    <w:rsid w:val="001F04A1"/>
    <w:rsid w:val="001F06F3"/>
    <w:rsid w:val="001F0748"/>
    <w:rsid w:val="001F0887"/>
    <w:rsid w:val="001F09EB"/>
    <w:rsid w:val="001F12A7"/>
    <w:rsid w:val="001F1470"/>
    <w:rsid w:val="001F1557"/>
    <w:rsid w:val="001F1722"/>
    <w:rsid w:val="001F1A88"/>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57D"/>
    <w:rsid w:val="0021465E"/>
    <w:rsid w:val="002148BC"/>
    <w:rsid w:val="002149FD"/>
    <w:rsid w:val="002150EA"/>
    <w:rsid w:val="002159C3"/>
    <w:rsid w:val="00216510"/>
    <w:rsid w:val="00216C46"/>
    <w:rsid w:val="00216EFD"/>
    <w:rsid w:val="00217022"/>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EA"/>
    <w:rsid w:val="00222918"/>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FF"/>
    <w:rsid w:val="002275A5"/>
    <w:rsid w:val="0022796D"/>
    <w:rsid w:val="00227DA4"/>
    <w:rsid w:val="00227DE5"/>
    <w:rsid w:val="00230628"/>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D77"/>
    <w:rsid w:val="00232FA8"/>
    <w:rsid w:val="00233756"/>
    <w:rsid w:val="0023380D"/>
    <w:rsid w:val="0023406B"/>
    <w:rsid w:val="00234624"/>
    <w:rsid w:val="00234740"/>
    <w:rsid w:val="002347B9"/>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539"/>
    <w:rsid w:val="0024779D"/>
    <w:rsid w:val="00247968"/>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51E3"/>
    <w:rsid w:val="00255271"/>
    <w:rsid w:val="00255AEA"/>
    <w:rsid w:val="00255EF8"/>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8743D"/>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B20"/>
    <w:rsid w:val="002A7C12"/>
    <w:rsid w:val="002B03BF"/>
    <w:rsid w:val="002B06DC"/>
    <w:rsid w:val="002B09F2"/>
    <w:rsid w:val="002B0AE8"/>
    <w:rsid w:val="002B0C21"/>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13D"/>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2817"/>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4E8C"/>
    <w:rsid w:val="002F51ED"/>
    <w:rsid w:val="002F5237"/>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DE2"/>
    <w:rsid w:val="00301F1F"/>
    <w:rsid w:val="0030331D"/>
    <w:rsid w:val="00303BD6"/>
    <w:rsid w:val="00304352"/>
    <w:rsid w:val="00304374"/>
    <w:rsid w:val="003043BF"/>
    <w:rsid w:val="003043FC"/>
    <w:rsid w:val="0030443A"/>
    <w:rsid w:val="0030496E"/>
    <w:rsid w:val="00304E40"/>
    <w:rsid w:val="00305203"/>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27D"/>
    <w:rsid w:val="003112D1"/>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8D1"/>
    <w:rsid w:val="00315229"/>
    <w:rsid w:val="00315B49"/>
    <w:rsid w:val="00315F18"/>
    <w:rsid w:val="003164B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2467"/>
    <w:rsid w:val="003525BA"/>
    <w:rsid w:val="00352EE4"/>
    <w:rsid w:val="003537CA"/>
    <w:rsid w:val="00353AAC"/>
    <w:rsid w:val="00353DBF"/>
    <w:rsid w:val="00353E62"/>
    <w:rsid w:val="00353F91"/>
    <w:rsid w:val="003541B3"/>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1268"/>
    <w:rsid w:val="003A18E5"/>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A7D67"/>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F29"/>
    <w:rsid w:val="003C1007"/>
    <w:rsid w:val="003C13F0"/>
    <w:rsid w:val="003C14B2"/>
    <w:rsid w:val="003C1C34"/>
    <w:rsid w:val="003C227B"/>
    <w:rsid w:val="003C2886"/>
    <w:rsid w:val="003C296B"/>
    <w:rsid w:val="003C29F3"/>
    <w:rsid w:val="003C32D6"/>
    <w:rsid w:val="003C39FB"/>
    <w:rsid w:val="003C3CA0"/>
    <w:rsid w:val="003C3DDA"/>
    <w:rsid w:val="003C3E5C"/>
    <w:rsid w:val="003C462E"/>
    <w:rsid w:val="003C46B0"/>
    <w:rsid w:val="003C470B"/>
    <w:rsid w:val="003C479E"/>
    <w:rsid w:val="003C4A3D"/>
    <w:rsid w:val="003C4CEA"/>
    <w:rsid w:val="003C4F9E"/>
    <w:rsid w:val="003C5377"/>
    <w:rsid w:val="003C5712"/>
    <w:rsid w:val="003C57B9"/>
    <w:rsid w:val="003C59FD"/>
    <w:rsid w:val="003C5CB6"/>
    <w:rsid w:val="003C678B"/>
    <w:rsid w:val="003C6DC0"/>
    <w:rsid w:val="003C7040"/>
    <w:rsid w:val="003C705F"/>
    <w:rsid w:val="003C7404"/>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51C0"/>
    <w:rsid w:val="003D583F"/>
    <w:rsid w:val="003D5F68"/>
    <w:rsid w:val="003D6D09"/>
    <w:rsid w:val="003D7461"/>
    <w:rsid w:val="003D748D"/>
    <w:rsid w:val="003D7778"/>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FF9"/>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EAF"/>
    <w:rsid w:val="004021F8"/>
    <w:rsid w:val="00402212"/>
    <w:rsid w:val="00402270"/>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6F74"/>
    <w:rsid w:val="004075DB"/>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BC6"/>
    <w:rsid w:val="00445FCE"/>
    <w:rsid w:val="00446549"/>
    <w:rsid w:val="00446603"/>
    <w:rsid w:val="004468E0"/>
    <w:rsid w:val="00446AD2"/>
    <w:rsid w:val="00446B31"/>
    <w:rsid w:val="00446BCF"/>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614"/>
    <w:rsid w:val="00464614"/>
    <w:rsid w:val="00464A8C"/>
    <w:rsid w:val="0046566A"/>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4FF"/>
    <w:rsid w:val="0047478C"/>
    <w:rsid w:val="00475124"/>
    <w:rsid w:val="0047560D"/>
    <w:rsid w:val="0047606C"/>
    <w:rsid w:val="0047663A"/>
    <w:rsid w:val="00477688"/>
    <w:rsid w:val="00477900"/>
    <w:rsid w:val="00477C6C"/>
    <w:rsid w:val="00480137"/>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A70"/>
    <w:rsid w:val="00487BEF"/>
    <w:rsid w:val="00487D8E"/>
    <w:rsid w:val="00487E76"/>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BF"/>
    <w:rsid w:val="004C6495"/>
    <w:rsid w:val="004C6933"/>
    <w:rsid w:val="004C6A00"/>
    <w:rsid w:val="004C78CF"/>
    <w:rsid w:val="004C7A99"/>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BE1"/>
    <w:rsid w:val="004E7C5C"/>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824"/>
    <w:rsid w:val="00503AAD"/>
    <w:rsid w:val="00503C54"/>
    <w:rsid w:val="00503CF4"/>
    <w:rsid w:val="00503DA0"/>
    <w:rsid w:val="00504108"/>
    <w:rsid w:val="0050410B"/>
    <w:rsid w:val="005047F1"/>
    <w:rsid w:val="0050490F"/>
    <w:rsid w:val="00504AF9"/>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300A"/>
    <w:rsid w:val="00513030"/>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6FA"/>
    <w:rsid w:val="00521AD7"/>
    <w:rsid w:val="00521D10"/>
    <w:rsid w:val="00522605"/>
    <w:rsid w:val="00522674"/>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3D3"/>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339A"/>
    <w:rsid w:val="00563647"/>
    <w:rsid w:val="00563767"/>
    <w:rsid w:val="005638E8"/>
    <w:rsid w:val="0056406C"/>
    <w:rsid w:val="00564135"/>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10"/>
    <w:rsid w:val="00576EB9"/>
    <w:rsid w:val="00577B2C"/>
    <w:rsid w:val="00580314"/>
    <w:rsid w:val="00580B17"/>
    <w:rsid w:val="00580D09"/>
    <w:rsid w:val="00580E03"/>
    <w:rsid w:val="005814DF"/>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3B0B"/>
    <w:rsid w:val="00594A7A"/>
    <w:rsid w:val="00594C79"/>
    <w:rsid w:val="00594E0C"/>
    <w:rsid w:val="00594E21"/>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1A2"/>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B63"/>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0FA"/>
    <w:rsid w:val="006012BC"/>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6BBC"/>
    <w:rsid w:val="006477D4"/>
    <w:rsid w:val="006478DF"/>
    <w:rsid w:val="006478F6"/>
    <w:rsid w:val="00647A9E"/>
    <w:rsid w:val="00647B76"/>
    <w:rsid w:val="00647C46"/>
    <w:rsid w:val="00650893"/>
    <w:rsid w:val="00650E40"/>
    <w:rsid w:val="00651095"/>
    <w:rsid w:val="006510B5"/>
    <w:rsid w:val="006510C3"/>
    <w:rsid w:val="006512D6"/>
    <w:rsid w:val="0065180A"/>
    <w:rsid w:val="00651ADC"/>
    <w:rsid w:val="00651D7C"/>
    <w:rsid w:val="00651E9C"/>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B53"/>
    <w:rsid w:val="006B3D6D"/>
    <w:rsid w:val="006B41EF"/>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C48"/>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8A6"/>
    <w:rsid w:val="0071291E"/>
    <w:rsid w:val="007129D6"/>
    <w:rsid w:val="00712B67"/>
    <w:rsid w:val="007136E8"/>
    <w:rsid w:val="00713DBD"/>
    <w:rsid w:val="00713E1E"/>
    <w:rsid w:val="00713F8C"/>
    <w:rsid w:val="00713FE5"/>
    <w:rsid w:val="007140EE"/>
    <w:rsid w:val="00714188"/>
    <w:rsid w:val="007145E0"/>
    <w:rsid w:val="00714695"/>
    <w:rsid w:val="007147D5"/>
    <w:rsid w:val="00714A3A"/>
    <w:rsid w:val="00715218"/>
    <w:rsid w:val="0071544C"/>
    <w:rsid w:val="00715A78"/>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4AD"/>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A22"/>
    <w:rsid w:val="00750CDB"/>
    <w:rsid w:val="00750F64"/>
    <w:rsid w:val="007513AD"/>
    <w:rsid w:val="007513D5"/>
    <w:rsid w:val="0075147B"/>
    <w:rsid w:val="00751CA2"/>
    <w:rsid w:val="00751E8F"/>
    <w:rsid w:val="0075219F"/>
    <w:rsid w:val="00752461"/>
    <w:rsid w:val="007527FF"/>
    <w:rsid w:val="007530CF"/>
    <w:rsid w:val="007530F7"/>
    <w:rsid w:val="007534F4"/>
    <w:rsid w:val="007535D5"/>
    <w:rsid w:val="00754324"/>
    <w:rsid w:val="00754475"/>
    <w:rsid w:val="00754530"/>
    <w:rsid w:val="007546C9"/>
    <w:rsid w:val="00754DC0"/>
    <w:rsid w:val="0075503A"/>
    <w:rsid w:val="00755242"/>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DE2"/>
    <w:rsid w:val="00766260"/>
    <w:rsid w:val="00766995"/>
    <w:rsid w:val="00767051"/>
    <w:rsid w:val="0076770B"/>
    <w:rsid w:val="00767986"/>
    <w:rsid w:val="007702AE"/>
    <w:rsid w:val="00770409"/>
    <w:rsid w:val="007704E6"/>
    <w:rsid w:val="007707AC"/>
    <w:rsid w:val="007707E6"/>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E1E"/>
    <w:rsid w:val="00774F87"/>
    <w:rsid w:val="00775300"/>
    <w:rsid w:val="00775530"/>
    <w:rsid w:val="0077581E"/>
    <w:rsid w:val="00775BB8"/>
    <w:rsid w:val="00775FBF"/>
    <w:rsid w:val="0077615F"/>
    <w:rsid w:val="0077618A"/>
    <w:rsid w:val="0077627B"/>
    <w:rsid w:val="0077637E"/>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70C"/>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36E"/>
    <w:rsid w:val="007A668E"/>
    <w:rsid w:val="007A67AD"/>
    <w:rsid w:val="007A68BB"/>
    <w:rsid w:val="007A6C01"/>
    <w:rsid w:val="007A75CC"/>
    <w:rsid w:val="007A7CD9"/>
    <w:rsid w:val="007B00E7"/>
    <w:rsid w:val="007B0270"/>
    <w:rsid w:val="007B0734"/>
    <w:rsid w:val="007B09C8"/>
    <w:rsid w:val="007B1B55"/>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7C5"/>
    <w:rsid w:val="007C08B8"/>
    <w:rsid w:val="007C0BCA"/>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5D9"/>
    <w:rsid w:val="007C5A13"/>
    <w:rsid w:val="007C5D5C"/>
    <w:rsid w:val="007C5E8C"/>
    <w:rsid w:val="007C6477"/>
    <w:rsid w:val="007C67DF"/>
    <w:rsid w:val="007C6BDD"/>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949"/>
    <w:rsid w:val="007D3C7F"/>
    <w:rsid w:val="007D3D72"/>
    <w:rsid w:val="007D4D8F"/>
    <w:rsid w:val="007D529B"/>
    <w:rsid w:val="007D5386"/>
    <w:rsid w:val="007D540C"/>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89"/>
    <w:rsid w:val="007E5A30"/>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6C77"/>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984"/>
    <w:rsid w:val="008A4EBD"/>
    <w:rsid w:val="008A5B37"/>
    <w:rsid w:val="008A5D43"/>
    <w:rsid w:val="008A607F"/>
    <w:rsid w:val="008A69F2"/>
    <w:rsid w:val="008A726C"/>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260"/>
    <w:rsid w:val="008C2914"/>
    <w:rsid w:val="008C2AAA"/>
    <w:rsid w:val="008C2BA6"/>
    <w:rsid w:val="008C30C6"/>
    <w:rsid w:val="008C3CB2"/>
    <w:rsid w:val="008C42CE"/>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12C"/>
    <w:rsid w:val="008E65D9"/>
    <w:rsid w:val="008E6864"/>
    <w:rsid w:val="008E6BD0"/>
    <w:rsid w:val="008E6CB5"/>
    <w:rsid w:val="008E6E91"/>
    <w:rsid w:val="008E6F2A"/>
    <w:rsid w:val="008E7964"/>
    <w:rsid w:val="008E7AB5"/>
    <w:rsid w:val="008E7FA9"/>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5014"/>
    <w:rsid w:val="008F5054"/>
    <w:rsid w:val="008F5176"/>
    <w:rsid w:val="008F535D"/>
    <w:rsid w:val="008F5CB9"/>
    <w:rsid w:val="008F5E22"/>
    <w:rsid w:val="008F6173"/>
    <w:rsid w:val="008F66F1"/>
    <w:rsid w:val="008F6BE3"/>
    <w:rsid w:val="008F7A64"/>
    <w:rsid w:val="008F7D35"/>
    <w:rsid w:val="00900ECD"/>
    <w:rsid w:val="00901324"/>
    <w:rsid w:val="00901B8B"/>
    <w:rsid w:val="00901BBB"/>
    <w:rsid w:val="00901CE3"/>
    <w:rsid w:val="00902108"/>
    <w:rsid w:val="009021FE"/>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3ED"/>
    <w:rsid w:val="0092374F"/>
    <w:rsid w:val="00923B13"/>
    <w:rsid w:val="00923C96"/>
    <w:rsid w:val="00923EB1"/>
    <w:rsid w:val="009243FA"/>
    <w:rsid w:val="0092440C"/>
    <w:rsid w:val="00924791"/>
    <w:rsid w:val="00924795"/>
    <w:rsid w:val="00924ADB"/>
    <w:rsid w:val="00924D7F"/>
    <w:rsid w:val="00924E21"/>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7BC"/>
    <w:rsid w:val="00934D16"/>
    <w:rsid w:val="00934F99"/>
    <w:rsid w:val="00935317"/>
    <w:rsid w:val="00935541"/>
    <w:rsid w:val="00935577"/>
    <w:rsid w:val="00935607"/>
    <w:rsid w:val="00935758"/>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322D"/>
    <w:rsid w:val="00983481"/>
    <w:rsid w:val="00983944"/>
    <w:rsid w:val="009840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1"/>
    <w:rsid w:val="009870AA"/>
    <w:rsid w:val="00987746"/>
    <w:rsid w:val="00987DD8"/>
    <w:rsid w:val="009909A7"/>
    <w:rsid w:val="00990F04"/>
    <w:rsid w:val="009910F6"/>
    <w:rsid w:val="0099164C"/>
    <w:rsid w:val="00991869"/>
    <w:rsid w:val="00991BB8"/>
    <w:rsid w:val="00991C79"/>
    <w:rsid w:val="00991CE7"/>
    <w:rsid w:val="00991E73"/>
    <w:rsid w:val="00991EEC"/>
    <w:rsid w:val="009924A6"/>
    <w:rsid w:val="009924D2"/>
    <w:rsid w:val="00993000"/>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D2C"/>
    <w:rsid w:val="009C106C"/>
    <w:rsid w:val="009C1292"/>
    <w:rsid w:val="009C1B1D"/>
    <w:rsid w:val="009C1B51"/>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34E4"/>
    <w:rsid w:val="009D3C85"/>
    <w:rsid w:val="009D3CCD"/>
    <w:rsid w:val="009D3EA0"/>
    <w:rsid w:val="009D434C"/>
    <w:rsid w:val="009D440F"/>
    <w:rsid w:val="009D46E0"/>
    <w:rsid w:val="009D5487"/>
    <w:rsid w:val="009D54D4"/>
    <w:rsid w:val="009D55E6"/>
    <w:rsid w:val="009D57B1"/>
    <w:rsid w:val="009D5B0A"/>
    <w:rsid w:val="009D614D"/>
    <w:rsid w:val="009D633A"/>
    <w:rsid w:val="009D63E1"/>
    <w:rsid w:val="009D6469"/>
    <w:rsid w:val="009D649A"/>
    <w:rsid w:val="009D6937"/>
    <w:rsid w:val="009D6B6E"/>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B66"/>
    <w:rsid w:val="00A020DD"/>
    <w:rsid w:val="00A0239A"/>
    <w:rsid w:val="00A027FD"/>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E3"/>
    <w:rsid w:val="00A26133"/>
    <w:rsid w:val="00A261D8"/>
    <w:rsid w:val="00A2653E"/>
    <w:rsid w:val="00A26C2C"/>
    <w:rsid w:val="00A27148"/>
    <w:rsid w:val="00A27B1E"/>
    <w:rsid w:val="00A27C43"/>
    <w:rsid w:val="00A30315"/>
    <w:rsid w:val="00A30AB4"/>
    <w:rsid w:val="00A30DF9"/>
    <w:rsid w:val="00A30FCE"/>
    <w:rsid w:val="00A31632"/>
    <w:rsid w:val="00A318EA"/>
    <w:rsid w:val="00A31D03"/>
    <w:rsid w:val="00A31F7B"/>
    <w:rsid w:val="00A32C35"/>
    <w:rsid w:val="00A32C86"/>
    <w:rsid w:val="00A32D87"/>
    <w:rsid w:val="00A32DEB"/>
    <w:rsid w:val="00A332C2"/>
    <w:rsid w:val="00A336E9"/>
    <w:rsid w:val="00A33E2B"/>
    <w:rsid w:val="00A343D8"/>
    <w:rsid w:val="00A34477"/>
    <w:rsid w:val="00A348C4"/>
    <w:rsid w:val="00A35119"/>
    <w:rsid w:val="00A3531A"/>
    <w:rsid w:val="00A35556"/>
    <w:rsid w:val="00A3612B"/>
    <w:rsid w:val="00A36504"/>
    <w:rsid w:val="00A36531"/>
    <w:rsid w:val="00A36585"/>
    <w:rsid w:val="00A36E82"/>
    <w:rsid w:val="00A37043"/>
    <w:rsid w:val="00A37266"/>
    <w:rsid w:val="00A372F2"/>
    <w:rsid w:val="00A3740F"/>
    <w:rsid w:val="00A37666"/>
    <w:rsid w:val="00A378AF"/>
    <w:rsid w:val="00A378C4"/>
    <w:rsid w:val="00A37A80"/>
    <w:rsid w:val="00A404CA"/>
    <w:rsid w:val="00A40A40"/>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D53"/>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EB"/>
    <w:rsid w:val="00A835F8"/>
    <w:rsid w:val="00A83604"/>
    <w:rsid w:val="00A83A35"/>
    <w:rsid w:val="00A83E18"/>
    <w:rsid w:val="00A83F08"/>
    <w:rsid w:val="00A83F9B"/>
    <w:rsid w:val="00A8405E"/>
    <w:rsid w:val="00A84250"/>
    <w:rsid w:val="00A8443B"/>
    <w:rsid w:val="00A85446"/>
    <w:rsid w:val="00A8569F"/>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505D"/>
    <w:rsid w:val="00AC53EE"/>
    <w:rsid w:val="00AC5433"/>
    <w:rsid w:val="00AC597F"/>
    <w:rsid w:val="00AC6348"/>
    <w:rsid w:val="00AC63A2"/>
    <w:rsid w:val="00AC6A9B"/>
    <w:rsid w:val="00AC6D8D"/>
    <w:rsid w:val="00AC6F97"/>
    <w:rsid w:val="00AC701D"/>
    <w:rsid w:val="00AC7266"/>
    <w:rsid w:val="00AC7587"/>
    <w:rsid w:val="00AC7643"/>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5CE"/>
    <w:rsid w:val="00AD5AF0"/>
    <w:rsid w:val="00AD5EB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90C"/>
    <w:rsid w:val="00AE7B5C"/>
    <w:rsid w:val="00AE7C44"/>
    <w:rsid w:val="00AE7CC4"/>
    <w:rsid w:val="00AF0782"/>
    <w:rsid w:val="00AF0866"/>
    <w:rsid w:val="00AF0B81"/>
    <w:rsid w:val="00AF0C1F"/>
    <w:rsid w:val="00AF0C38"/>
    <w:rsid w:val="00AF0E8D"/>
    <w:rsid w:val="00AF0F66"/>
    <w:rsid w:val="00AF0FCC"/>
    <w:rsid w:val="00AF10CB"/>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712"/>
    <w:rsid w:val="00AF7077"/>
    <w:rsid w:val="00AF7330"/>
    <w:rsid w:val="00AF7A6E"/>
    <w:rsid w:val="00B0000D"/>
    <w:rsid w:val="00B007A4"/>
    <w:rsid w:val="00B00D1F"/>
    <w:rsid w:val="00B01885"/>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D05"/>
    <w:rsid w:val="00B1605D"/>
    <w:rsid w:val="00B160EF"/>
    <w:rsid w:val="00B16335"/>
    <w:rsid w:val="00B16579"/>
    <w:rsid w:val="00B17087"/>
    <w:rsid w:val="00B17171"/>
    <w:rsid w:val="00B17286"/>
    <w:rsid w:val="00B1731F"/>
    <w:rsid w:val="00B17BF1"/>
    <w:rsid w:val="00B215BA"/>
    <w:rsid w:val="00B21C70"/>
    <w:rsid w:val="00B21CF7"/>
    <w:rsid w:val="00B221D2"/>
    <w:rsid w:val="00B221ED"/>
    <w:rsid w:val="00B225EE"/>
    <w:rsid w:val="00B227CD"/>
    <w:rsid w:val="00B22D6E"/>
    <w:rsid w:val="00B23308"/>
    <w:rsid w:val="00B235B5"/>
    <w:rsid w:val="00B238B5"/>
    <w:rsid w:val="00B23C20"/>
    <w:rsid w:val="00B23E76"/>
    <w:rsid w:val="00B241F2"/>
    <w:rsid w:val="00B251B4"/>
    <w:rsid w:val="00B2532F"/>
    <w:rsid w:val="00B25663"/>
    <w:rsid w:val="00B259A6"/>
    <w:rsid w:val="00B26110"/>
    <w:rsid w:val="00B261D4"/>
    <w:rsid w:val="00B262A8"/>
    <w:rsid w:val="00B2638C"/>
    <w:rsid w:val="00B26582"/>
    <w:rsid w:val="00B26A21"/>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CB9"/>
    <w:rsid w:val="00B32DF0"/>
    <w:rsid w:val="00B33826"/>
    <w:rsid w:val="00B33B91"/>
    <w:rsid w:val="00B34350"/>
    <w:rsid w:val="00B3449B"/>
    <w:rsid w:val="00B34583"/>
    <w:rsid w:val="00B3486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372"/>
    <w:rsid w:val="00B54D23"/>
    <w:rsid w:val="00B54E41"/>
    <w:rsid w:val="00B54F81"/>
    <w:rsid w:val="00B55754"/>
    <w:rsid w:val="00B55A54"/>
    <w:rsid w:val="00B55DFB"/>
    <w:rsid w:val="00B564C1"/>
    <w:rsid w:val="00B567B2"/>
    <w:rsid w:val="00B56824"/>
    <w:rsid w:val="00B569EB"/>
    <w:rsid w:val="00B56A3E"/>
    <w:rsid w:val="00B56BE0"/>
    <w:rsid w:val="00B56D29"/>
    <w:rsid w:val="00B5745E"/>
    <w:rsid w:val="00B57511"/>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531"/>
    <w:rsid w:val="00B63623"/>
    <w:rsid w:val="00B63769"/>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3A5"/>
    <w:rsid w:val="00B67470"/>
    <w:rsid w:val="00B6763B"/>
    <w:rsid w:val="00B67734"/>
    <w:rsid w:val="00B67750"/>
    <w:rsid w:val="00B67AC8"/>
    <w:rsid w:val="00B67D1E"/>
    <w:rsid w:val="00B70FA2"/>
    <w:rsid w:val="00B7111F"/>
    <w:rsid w:val="00B712AB"/>
    <w:rsid w:val="00B7143F"/>
    <w:rsid w:val="00B71611"/>
    <w:rsid w:val="00B719DA"/>
    <w:rsid w:val="00B71A2F"/>
    <w:rsid w:val="00B71DA0"/>
    <w:rsid w:val="00B723A9"/>
    <w:rsid w:val="00B72479"/>
    <w:rsid w:val="00B72495"/>
    <w:rsid w:val="00B726AA"/>
    <w:rsid w:val="00B727F8"/>
    <w:rsid w:val="00B72886"/>
    <w:rsid w:val="00B72FB0"/>
    <w:rsid w:val="00B73DC0"/>
    <w:rsid w:val="00B74819"/>
    <w:rsid w:val="00B749DB"/>
    <w:rsid w:val="00B75119"/>
    <w:rsid w:val="00B752DC"/>
    <w:rsid w:val="00B75604"/>
    <w:rsid w:val="00B7562E"/>
    <w:rsid w:val="00B7578F"/>
    <w:rsid w:val="00B75D4A"/>
    <w:rsid w:val="00B768A5"/>
    <w:rsid w:val="00B77326"/>
    <w:rsid w:val="00B7762D"/>
    <w:rsid w:val="00B777D0"/>
    <w:rsid w:val="00B77F04"/>
    <w:rsid w:val="00B77F9B"/>
    <w:rsid w:val="00B77FBC"/>
    <w:rsid w:val="00B803E7"/>
    <w:rsid w:val="00B8075F"/>
    <w:rsid w:val="00B8085F"/>
    <w:rsid w:val="00B80BAB"/>
    <w:rsid w:val="00B80C80"/>
    <w:rsid w:val="00B80F82"/>
    <w:rsid w:val="00B8117A"/>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7C4"/>
    <w:rsid w:val="00BA381D"/>
    <w:rsid w:val="00BA3885"/>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4BA"/>
    <w:rsid w:val="00BF6A4F"/>
    <w:rsid w:val="00BF6DCF"/>
    <w:rsid w:val="00BF6FF5"/>
    <w:rsid w:val="00BF7553"/>
    <w:rsid w:val="00BF75FB"/>
    <w:rsid w:val="00BF79DA"/>
    <w:rsid w:val="00BF7F9D"/>
    <w:rsid w:val="00C0040B"/>
    <w:rsid w:val="00C006DF"/>
    <w:rsid w:val="00C00F87"/>
    <w:rsid w:val="00C01081"/>
    <w:rsid w:val="00C011B9"/>
    <w:rsid w:val="00C0132D"/>
    <w:rsid w:val="00C017EC"/>
    <w:rsid w:val="00C01CEA"/>
    <w:rsid w:val="00C02272"/>
    <w:rsid w:val="00C02C36"/>
    <w:rsid w:val="00C03482"/>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74A"/>
    <w:rsid w:val="00CA598C"/>
    <w:rsid w:val="00CA5ADF"/>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760"/>
    <w:rsid w:val="00CB5918"/>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4E7"/>
    <w:rsid w:val="00CD575F"/>
    <w:rsid w:val="00CD5A45"/>
    <w:rsid w:val="00CD6461"/>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81A"/>
    <w:rsid w:val="00CE7DBE"/>
    <w:rsid w:val="00CE7F0F"/>
    <w:rsid w:val="00CF027E"/>
    <w:rsid w:val="00CF02E1"/>
    <w:rsid w:val="00CF0586"/>
    <w:rsid w:val="00CF058D"/>
    <w:rsid w:val="00CF0A9D"/>
    <w:rsid w:val="00CF0D14"/>
    <w:rsid w:val="00CF0D78"/>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AB3"/>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EF8"/>
    <w:rsid w:val="00D2101C"/>
    <w:rsid w:val="00D21100"/>
    <w:rsid w:val="00D215F1"/>
    <w:rsid w:val="00D21AC0"/>
    <w:rsid w:val="00D21F47"/>
    <w:rsid w:val="00D2206A"/>
    <w:rsid w:val="00D22EFE"/>
    <w:rsid w:val="00D2325E"/>
    <w:rsid w:val="00D234ED"/>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30113"/>
    <w:rsid w:val="00D303B6"/>
    <w:rsid w:val="00D304E1"/>
    <w:rsid w:val="00D30548"/>
    <w:rsid w:val="00D30654"/>
    <w:rsid w:val="00D30776"/>
    <w:rsid w:val="00D312D4"/>
    <w:rsid w:val="00D314EF"/>
    <w:rsid w:val="00D31841"/>
    <w:rsid w:val="00D31EC0"/>
    <w:rsid w:val="00D32257"/>
    <w:rsid w:val="00D324AE"/>
    <w:rsid w:val="00D32B20"/>
    <w:rsid w:val="00D32D07"/>
    <w:rsid w:val="00D3309B"/>
    <w:rsid w:val="00D33321"/>
    <w:rsid w:val="00D333B9"/>
    <w:rsid w:val="00D33526"/>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C0B"/>
    <w:rsid w:val="00D54DC6"/>
    <w:rsid w:val="00D553FB"/>
    <w:rsid w:val="00D55905"/>
    <w:rsid w:val="00D56134"/>
    <w:rsid w:val="00D566A3"/>
    <w:rsid w:val="00D56931"/>
    <w:rsid w:val="00D56A75"/>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730"/>
    <w:rsid w:val="00D639C6"/>
    <w:rsid w:val="00D63CCB"/>
    <w:rsid w:val="00D6453B"/>
    <w:rsid w:val="00D64565"/>
    <w:rsid w:val="00D64608"/>
    <w:rsid w:val="00D6461D"/>
    <w:rsid w:val="00D666B2"/>
    <w:rsid w:val="00D66BBB"/>
    <w:rsid w:val="00D66F4A"/>
    <w:rsid w:val="00D67CFC"/>
    <w:rsid w:val="00D67D03"/>
    <w:rsid w:val="00D70264"/>
    <w:rsid w:val="00D70AEE"/>
    <w:rsid w:val="00D70CA2"/>
    <w:rsid w:val="00D70E93"/>
    <w:rsid w:val="00D71272"/>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B2B"/>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4DB"/>
    <w:rsid w:val="00E2451D"/>
    <w:rsid w:val="00E245C8"/>
    <w:rsid w:val="00E24AED"/>
    <w:rsid w:val="00E24E76"/>
    <w:rsid w:val="00E24EDB"/>
    <w:rsid w:val="00E255A4"/>
    <w:rsid w:val="00E258D9"/>
    <w:rsid w:val="00E2592D"/>
    <w:rsid w:val="00E25D97"/>
    <w:rsid w:val="00E25DBC"/>
    <w:rsid w:val="00E26882"/>
    <w:rsid w:val="00E26945"/>
    <w:rsid w:val="00E26A89"/>
    <w:rsid w:val="00E27475"/>
    <w:rsid w:val="00E27686"/>
    <w:rsid w:val="00E278FC"/>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211"/>
    <w:rsid w:val="00E35974"/>
    <w:rsid w:val="00E35AC8"/>
    <w:rsid w:val="00E35D0E"/>
    <w:rsid w:val="00E3600D"/>
    <w:rsid w:val="00E3617A"/>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5231"/>
    <w:rsid w:val="00E85812"/>
    <w:rsid w:val="00E85897"/>
    <w:rsid w:val="00E85B88"/>
    <w:rsid w:val="00E861B5"/>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D08"/>
    <w:rsid w:val="00E97F9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AB6"/>
    <w:rsid w:val="00EA5BB6"/>
    <w:rsid w:val="00EA5E9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AF"/>
    <w:rsid w:val="00EF3096"/>
    <w:rsid w:val="00EF30C9"/>
    <w:rsid w:val="00EF4496"/>
    <w:rsid w:val="00EF47E5"/>
    <w:rsid w:val="00EF47F3"/>
    <w:rsid w:val="00EF49FF"/>
    <w:rsid w:val="00EF4A17"/>
    <w:rsid w:val="00EF50E8"/>
    <w:rsid w:val="00EF5132"/>
    <w:rsid w:val="00EF59D0"/>
    <w:rsid w:val="00EF62CE"/>
    <w:rsid w:val="00EF6DF0"/>
    <w:rsid w:val="00EF7B72"/>
    <w:rsid w:val="00EF7EEA"/>
    <w:rsid w:val="00F0011E"/>
    <w:rsid w:val="00F0018C"/>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BD0"/>
    <w:rsid w:val="00F47F00"/>
    <w:rsid w:val="00F501D9"/>
    <w:rsid w:val="00F501EF"/>
    <w:rsid w:val="00F508F7"/>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0EE"/>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4A"/>
    <w:rsid w:val="00F87778"/>
    <w:rsid w:val="00F8779F"/>
    <w:rsid w:val="00F90105"/>
    <w:rsid w:val="00F905D5"/>
    <w:rsid w:val="00F906C7"/>
    <w:rsid w:val="00F91C89"/>
    <w:rsid w:val="00F91D40"/>
    <w:rsid w:val="00F91D78"/>
    <w:rsid w:val="00F91D90"/>
    <w:rsid w:val="00F91F70"/>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45"/>
    <w:rsid w:val="00FA31E4"/>
    <w:rsid w:val="00FA362B"/>
    <w:rsid w:val="00FA3EF0"/>
    <w:rsid w:val="00FA3EFC"/>
    <w:rsid w:val="00FA40C4"/>
    <w:rsid w:val="00FA40C7"/>
    <w:rsid w:val="00FA43B5"/>
    <w:rsid w:val="00FA4467"/>
    <w:rsid w:val="00FA46F0"/>
    <w:rsid w:val="00FA4D35"/>
    <w:rsid w:val="00FA53E0"/>
    <w:rsid w:val="00FA553C"/>
    <w:rsid w:val="00FA56E1"/>
    <w:rsid w:val="00FA57FB"/>
    <w:rsid w:val="00FA5B0D"/>
    <w:rsid w:val="00FA62E9"/>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our-work/healthcare-associated-infection/" TargetMode="External"/><Relationship Id="rId26" Type="http://schemas.openxmlformats.org/officeDocument/2006/relationships/hyperlink" Target="http://arms.evidence.nhs.uk/resources/hub/1043082/attachment" TargetMode="External"/><Relationship Id="rId3" Type="http://schemas.openxmlformats.org/officeDocument/2006/relationships/styles" Target="styles.xml"/><Relationship Id="rId21" Type="http://schemas.openxmlformats.org/officeDocument/2006/relationships/hyperlink" Target="http://dx.doi.org/10.1001/jamainternmed.2015.0324"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whitehouse.gov/sites/default/files/docs/national_action_plan_for_combating_antibotic-resistant_bacteria.pdf" TargetMode="External"/><Relationship Id="rId25" Type="http://schemas.openxmlformats.org/officeDocument/2006/relationships/hyperlink" Target="http://www.nmc-uk.org/The-Code/" TargetMode="External"/><Relationship Id="rId2" Type="http://schemas.openxmlformats.org/officeDocument/2006/relationships/numbering" Target="numbering.xml"/><Relationship Id="rId16" Type="http://schemas.openxmlformats.org/officeDocument/2006/relationships/hyperlink" Target="http://www.cqc.org.uk/content/celebrating-good-care-championing-outstanding-care-1" TargetMode="External"/><Relationship Id="rId20" Type="http://schemas.openxmlformats.org/officeDocument/2006/relationships/hyperlink" Target="http://dx.doi.org/10.1097/PTS.000000000000017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qualitysafety.bmj.com/content/early/recent"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publish.csiro.au/nid/270/issue/7467.htm" TargetMode="External"/><Relationship Id="rId28" Type="http://schemas.openxmlformats.org/officeDocument/2006/relationships/footer" Target="footer1.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astho.org/Antimicrobial-Stewardship/"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our-work/medication-safety/" TargetMode="External"/><Relationship Id="rId27" Type="http://schemas.openxmlformats.org/officeDocument/2006/relationships/hyperlink" Target="http://www.nice.org.uk/guidance/ph17/evidence/promoting-physical-activity-for-children-and-young-people-evidence-update-march-2015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D029B-B7BD-4ACE-B2A7-08ECF230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5</Pages>
  <Words>1887</Words>
  <Characters>11794</Characters>
  <Application>Microsoft Office Word</Application>
  <DocSecurity>0</DocSecurity>
  <Lines>262</Lines>
  <Paragraphs>134</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13547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15</cp:revision>
  <cp:lastPrinted>2013-06-06T03:47:00Z</cp:lastPrinted>
  <dcterms:created xsi:type="dcterms:W3CDTF">2015-03-29T20:31:00Z</dcterms:created>
  <dcterms:modified xsi:type="dcterms:W3CDTF">2015-04-06T01:36:00Z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