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9172A4">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1F1CBA">
        <w:rPr>
          <w:color w:val="000000"/>
          <w:lang w:val="en-AU"/>
        </w:rPr>
        <w:t>66</w:t>
      </w:r>
    </w:p>
    <w:p w:rsidR="00755242" w:rsidRPr="002302EF" w:rsidRDefault="001F1CBA" w:rsidP="00B160EF">
      <w:pPr>
        <w:rPr>
          <w:lang w:val="en-AU"/>
        </w:rPr>
      </w:pPr>
      <w:r>
        <w:rPr>
          <w:lang w:val="en-AU"/>
        </w:rPr>
        <w:t>Tuesday 29</w:t>
      </w:r>
      <w:r w:rsidR="008E594E">
        <w:rPr>
          <w:lang w:val="en-AU"/>
        </w:rPr>
        <w:t xml:space="preserve"> March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AC792A">
        <w:rPr>
          <w:bCs/>
          <w:lang w:val="en-AU"/>
        </w:rPr>
        <w:t>, Alice Bhasale</w:t>
      </w:r>
    </w:p>
    <w:p w:rsidR="00061F1E" w:rsidRDefault="00061F1E" w:rsidP="00DA2466">
      <w:pPr>
        <w:keepNext/>
        <w:autoSpaceDE w:val="0"/>
        <w:autoSpaceDN w:val="0"/>
        <w:adjustRightInd w:val="0"/>
        <w:rPr>
          <w:b/>
          <w:lang w:val="en-AU"/>
        </w:rPr>
      </w:pPr>
    </w:p>
    <w:p w:rsidR="007C4252" w:rsidRDefault="007C4252" w:rsidP="007C4252">
      <w:pPr>
        <w:keepNext/>
        <w:keepLines/>
        <w:autoSpaceDE w:val="0"/>
        <w:autoSpaceDN w:val="0"/>
        <w:adjustRightInd w:val="0"/>
        <w:rPr>
          <w:b/>
          <w:lang w:val="en-AU"/>
        </w:rPr>
      </w:pPr>
      <w:r>
        <w:rPr>
          <w:b/>
          <w:lang w:val="en-AU"/>
        </w:rPr>
        <w:t>Reports</w:t>
      </w:r>
    </w:p>
    <w:p w:rsidR="007C4252" w:rsidRDefault="007C4252" w:rsidP="007C4252">
      <w:pPr>
        <w:keepNext/>
        <w:keepLines/>
        <w:autoSpaceDE w:val="0"/>
        <w:autoSpaceDN w:val="0"/>
        <w:adjustRightInd w:val="0"/>
        <w:rPr>
          <w:lang w:val="en-AU"/>
        </w:rPr>
      </w:pPr>
    </w:p>
    <w:p w:rsidR="00041C6C" w:rsidRPr="005A089E" w:rsidRDefault="005A089E" w:rsidP="005A089E">
      <w:pPr>
        <w:keepNext/>
        <w:keepLines/>
        <w:autoSpaceDE w:val="0"/>
        <w:autoSpaceDN w:val="0"/>
        <w:adjustRightInd w:val="0"/>
        <w:rPr>
          <w:i/>
          <w:lang w:val="en-AU"/>
        </w:rPr>
      </w:pPr>
      <w:r w:rsidRPr="005A089E">
        <w:rPr>
          <w:i/>
          <w:lang w:val="en-AU"/>
        </w:rPr>
        <w:t>Patient care: a unified approach. A case study report</w:t>
      </w:r>
    </w:p>
    <w:p w:rsidR="005A089E" w:rsidRPr="00574FD8" w:rsidRDefault="005A089E" w:rsidP="005A089E">
      <w:pPr>
        <w:keepNext/>
        <w:keepLines/>
        <w:autoSpaceDE w:val="0"/>
        <w:autoSpaceDN w:val="0"/>
        <w:adjustRightInd w:val="0"/>
        <w:rPr>
          <w:lang w:val="en-AU"/>
        </w:rPr>
      </w:pPr>
      <w:r w:rsidRPr="005A089E">
        <w:rPr>
          <w:lang w:val="en-AU"/>
        </w:rPr>
        <w:t xml:space="preserve">London: Royal College of General Practitioners and Royal College of Physicians; 2016. </w:t>
      </w:r>
      <w:proofErr w:type="gramStart"/>
      <w:r w:rsidRPr="005A089E">
        <w:rPr>
          <w:lang w:val="en-AU"/>
        </w:rPr>
        <w:t>p. 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F0B2E" w:rsidRPr="00255EF8"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0B2E" w:rsidRPr="00255EF8" w:rsidRDefault="00FB5BAC" w:rsidP="005A089E">
            <w:pPr>
              <w:rPr>
                <w:lang w:val="en-AU"/>
              </w:rPr>
            </w:pPr>
            <w:hyperlink r:id="rId16" w:history="1">
              <w:r w:rsidR="005A089E" w:rsidRPr="002624B3">
                <w:rPr>
                  <w:rStyle w:val="Hyperlink"/>
                  <w:lang w:val="en-AU"/>
                </w:rPr>
                <w:t>http://www.rcgp.org.uk/news/2016/march/one-size-does-not-fit-all-gps-and-physicians.aspx</w:t>
              </w:r>
            </w:hyperlink>
          </w:p>
        </w:tc>
      </w:tr>
      <w:tr w:rsidR="003F0B2E" w:rsidRPr="004147BB" w:rsidTr="00643C91">
        <w:tc>
          <w:tcPr>
            <w:tcW w:w="1080" w:type="dxa"/>
            <w:tcBorders>
              <w:top w:val="single" w:sz="4" w:space="0" w:color="auto"/>
              <w:left w:val="single" w:sz="4" w:space="0" w:color="auto"/>
              <w:bottom w:val="single" w:sz="4" w:space="0" w:color="auto"/>
              <w:right w:val="single" w:sz="4" w:space="0" w:color="auto"/>
            </w:tcBorders>
            <w:vAlign w:val="center"/>
          </w:tcPr>
          <w:p w:rsidR="003F0B2E" w:rsidRPr="00255EF8" w:rsidRDefault="003F0B2E" w:rsidP="00643C91">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278A" w:rsidRPr="002E278A" w:rsidRDefault="005A089E" w:rsidP="005A089E">
            <w:pPr>
              <w:rPr>
                <w:lang w:val="en-AU" w:eastAsia="en-AU"/>
              </w:rPr>
            </w:pPr>
            <w:r>
              <w:rPr>
                <w:lang w:val="en-AU" w:eastAsia="en-AU"/>
              </w:rPr>
              <w:t xml:space="preserve">Integrated care and the coordination and continuity of care are all seen as desirable for improving the care patients receive. They all tend to place primary care as the key for achieving these improvements. This report from the UK’s </w:t>
            </w:r>
            <w:r w:rsidRPr="005A089E">
              <w:rPr>
                <w:lang w:val="en-AU" w:eastAsia="en-AU"/>
              </w:rPr>
              <w:t>Royal College of General</w:t>
            </w:r>
            <w:r>
              <w:rPr>
                <w:lang w:val="en-AU" w:eastAsia="en-AU"/>
              </w:rPr>
              <w:t xml:space="preserve"> </w:t>
            </w:r>
            <w:r w:rsidRPr="005A089E">
              <w:rPr>
                <w:lang w:val="en-AU" w:eastAsia="en-AU"/>
              </w:rPr>
              <w:t xml:space="preserve">Practitioners (RCGP) </w:t>
            </w:r>
            <w:r>
              <w:rPr>
                <w:lang w:val="en-AU" w:eastAsia="en-AU"/>
              </w:rPr>
              <w:t xml:space="preserve">and </w:t>
            </w:r>
            <w:r w:rsidRPr="005A089E">
              <w:rPr>
                <w:lang w:val="en-AU" w:eastAsia="en-AU"/>
              </w:rPr>
              <w:t>Royal College of Physicians (RCP)</w:t>
            </w:r>
            <w:r>
              <w:rPr>
                <w:lang w:val="en-AU" w:eastAsia="en-AU"/>
              </w:rPr>
              <w:t xml:space="preserve"> presents a number of case studies “</w:t>
            </w:r>
            <w:r w:rsidRPr="005A089E">
              <w:rPr>
                <w:lang w:val="en-AU" w:eastAsia="en-AU"/>
              </w:rPr>
              <w:t>that exemplify how integration</w:t>
            </w:r>
            <w:r>
              <w:rPr>
                <w:lang w:val="en-AU" w:eastAsia="en-AU"/>
              </w:rPr>
              <w:t xml:space="preserve"> </w:t>
            </w:r>
            <w:r w:rsidRPr="005A089E">
              <w:rPr>
                <w:lang w:val="en-AU" w:eastAsia="en-AU"/>
              </w:rPr>
              <w:t>between GPs and physicians can be achieved. The case studies</w:t>
            </w:r>
            <w:r>
              <w:rPr>
                <w:lang w:val="en-AU" w:eastAsia="en-AU"/>
              </w:rPr>
              <w:t xml:space="preserve"> </w:t>
            </w:r>
            <w:r w:rsidRPr="005A089E">
              <w:rPr>
                <w:lang w:val="en-AU" w:eastAsia="en-AU"/>
              </w:rPr>
              <w:t>span a wide range of services in England and Wales, and cover a</w:t>
            </w:r>
            <w:r>
              <w:rPr>
                <w:lang w:val="en-AU" w:eastAsia="en-AU"/>
              </w:rPr>
              <w:t xml:space="preserve"> </w:t>
            </w:r>
            <w:r w:rsidRPr="005A089E">
              <w:rPr>
                <w:lang w:val="en-AU" w:eastAsia="en-AU"/>
              </w:rPr>
              <w:t>variety of learning points involving different specialties, different</w:t>
            </w:r>
            <w:r>
              <w:rPr>
                <w:lang w:val="en-AU" w:eastAsia="en-AU"/>
              </w:rPr>
              <w:t xml:space="preserve"> </w:t>
            </w:r>
            <w:r w:rsidRPr="005A089E">
              <w:rPr>
                <w:lang w:val="en-AU" w:eastAsia="en-AU"/>
              </w:rPr>
              <w:t>population groups and different ways of addressing complex</w:t>
            </w:r>
            <w:r>
              <w:rPr>
                <w:lang w:val="en-AU" w:eastAsia="en-AU"/>
              </w:rPr>
              <w:t xml:space="preserve"> </w:t>
            </w:r>
            <w:r w:rsidRPr="005A089E">
              <w:rPr>
                <w:lang w:val="en-AU" w:eastAsia="en-AU"/>
              </w:rPr>
              <w:t>issues. This report has been compiled to share learning from</w:t>
            </w:r>
            <w:r>
              <w:rPr>
                <w:lang w:val="en-AU" w:eastAsia="en-AU"/>
              </w:rPr>
              <w:t xml:space="preserve"> </w:t>
            </w:r>
            <w:r w:rsidRPr="005A089E">
              <w:rPr>
                <w:lang w:val="en-AU" w:eastAsia="en-AU"/>
              </w:rPr>
              <w:t>successful examples of integration, and to encourage GPs and</w:t>
            </w:r>
            <w:r>
              <w:rPr>
                <w:lang w:val="en-AU" w:eastAsia="en-AU"/>
              </w:rPr>
              <w:t xml:space="preserve"> </w:t>
            </w:r>
            <w:r w:rsidRPr="005A089E">
              <w:rPr>
                <w:lang w:val="en-AU" w:eastAsia="en-AU"/>
              </w:rPr>
              <w:t>physicians to reflect on their own practice.</w:t>
            </w:r>
            <w:r>
              <w:rPr>
                <w:lang w:val="en-AU" w:eastAsia="en-AU"/>
              </w:rPr>
              <w:t xml:space="preserve"> </w:t>
            </w:r>
            <w:r w:rsidRPr="005A089E">
              <w:rPr>
                <w:lang w:val="en-AU" w:eastAsia="en-AU"/>
              </w:rPr>
              <w:t>Many of the examples provided are disease specific, owing to</w:t>
            </w:r>
            <w:r>
              <w:rPr>
                <w:lang w:val="en-AU" w:eastAsia="en-AU"/>
              </w:rPr>
              <w:t xml:space="preserve"> </w:t>
            </w:r>
            <w:r w:rsidRPr="005A089E">
              <w:rPr>
                <w:lang w:val="en-AU" w:eastAsia="en-AU"/>
              </w:rPr>
              <w:t>the way in which secondary care is organised; however, around</w:t>
            </w:r>
            <w:r>
              <w:rPr>
                <w:lang w:val="en-AU" w:eastAsia="en-AU"/>
              </w:rPr>
              <w:t xml:space="preserve"> </w:t>
            </w:r>
            <w:r w:rsidRPr="005A089E">
              <w:rPr>
                <w:lang w:val="en-AU" w:eastAsia="en-AU"/>
              </w:rPr>
              <w:t>the country there are many innovative examples of more</w:t>
            </w:r>
            <w:r>
              <w:rPr>
                <w:lang w:val="en-AU" w:eastAsia="en-AU"/>
              </w:rPr>
              <w:t xml:space="preserve"> holistic treatment”.</w:t>
            </w:r>
          </w:p>
        </w:tc>
      </w:tr>
    </w:tbl>
    <w:p w:rsidR="00D10607" w:rsidRPr="00C740F2" w:rsidRDefault="00C740F2" w:rsidP="00E663A6">
      <w:pPr>
        <w:keepNext/>
        <w:keepLines/>
        <w:autoSpaceDE w:val="0"/>
        <w:autoSpaceDN w:val="0"/>
        <w:adjustRightInd w:val="0"/>
        <w:rPr>
          <w:i/>
          <w:lang w:val="en-AU"/>
        </w:rPr>
      </w:pPr>
      <w:r w:rsidRPr="00C740F2">
        <w:rPr>
          <w:i/>
          <w:lang w:val="en-AU"/>
        </w:rPr>
        <w:lastRenderedPageBreak/>
        <w:t>Saving babies' lives: a care bundle for reducing stillbirth</w:t>
      </w:r>
    </w:p>
    <w:p w:rsidR="00C740F2" w:rsidRPr="00574FD8" w:rsidRDefault="004A2179" w:rsidP="00C740F2">
      <w:pPr>
        <w:keepNext/>
        <w:keepLines/>
        <w:autoSpaceDE w:val="0"/>
        <w:autoSpaceDN w:val="0"/>
        <w:adjustRightInd w:val="0"/>
        <w:rPr>
          <w:lang w:val="en-AU"/>
        </w:rPr>
      </w:pPr>
      <w:r w:rsidRPr="004A2179">
        <w:rPr>
          <w:lang w:val="en-AU"/>
        </w:rPr>
        <w:t xml:space="preserve">London: NHS England; 2016. </w:t>
      </w:r>
      <w:proofErr w:type="gramStart"/>
      <w:r w:rsidRPr="004A2179">
        <w:rPr>
          <w:lang w:val="en-AU"/>
        </w:rPr>
        <w:t>p. 30.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740F2" w:rsidRPr="00255EF8" w:rsidTr="0034520A">
        <w:tc>
          <w:tcPr>
            <w:tcW w:w="1080" w:type="dxa"/>
            <w:tcBorders>
              <w:top w:val="single" w:sz="4" w:space="0" w:color="auto"/>
              <w:left w:val="single" w:sz="4" w:space="0" w:color="auto"/>
              <w:bottom w:val="single" w:sz="4" w:space="0" w:color="auto"/>
              <w:right w:val="single" w:sz="4" w:space="0" w:color="auto"/>
            </w:tcBorders>
            <w:vAlign w:val="center"/>
          </w:tcPr>
          <w:p w:rsidR="00C740F2" w:rsidRPr="00255EF8" w:rsidRDefault="00C740F2" w:rsidP="0034520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740F2" w:rsidRPr="00255EF8" w:rsidRDefault="00FB5BAC" w:rsidP="00C740F2">
            <w:pPr>
              <w:rPr>
                <w:lang w:val="en-AU"/>
              </w:rPr>
            </w:pPr>
            <w:hyperlink r:id="rId17" w:history="1">
              <w:r w:rsidR="00C740F2" w:rsidRPr="00006555">
                <w:rPr>
                  <w:rStyle w:val="Hyperlink"/>
                  <w:lang w:val="en-AU"/>
                </w:rPr>
                <w:t>https://www.england.nhs.uk/2016/03/stillbirths/</w:t>
              </w:r>
            </w:hyperlink>
          </w:p>
        </w:tc>
      </w:tr>
      <w:tr w:rsidR="00C740F2" w:rsidRPr="004147BB" w:rsidTr="0034520A">
        <w:tc>
          <w:tcPr>
            <w:tcW w:w="1080" w:type="dxa"/>
            <w:tcBorders>
              <w:top w:val="single" w:sz="4" w:space="0" w:color="auto"/>
              <w:left w:val="single" w:sz="4" w:space="0" w:color="auto"/>
              <w:bottom w:val="single" w:sz="4" w:space="0" w:color="auto"/>
              <w:right w:val="single" w:sz="4" w:space="0" w:color="auto"/>
            </w:tcBorders>
            <w:vAlign w:val="center"/>
          </w:tcPr>
          <w:p w:rsidR="00C740F2" w:rsidRPr="00255EF8" w:rsidRDefault="00C740F2" w:rsidP="0034520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740F2" w:rsidRDefault="00C740F2" w:rsidP="00C740F2">
            <w:pPr>
              <w:rPr>
                <w:lang w:val="en-AU" w:eastAsia="en-AU"/>
              </w:rPr>
            </w:pPr>
            <w:r>
              <w:rPr>
                <w:lang w:val="en-AU" w:eastAsia="en-AU"/>
              </w:rPr>
              <w:t>NHS England has produce</w:t>
            </w:r>
            <w:r w:rsidR="00002337">
              <w:rPr>
                <w:lang w:val="en-AU" w:eastAsia="en-AU"/>
              </w:rPr>
              <w:t>d</w:t>
            </w:r>
            <w:r>
              <w:rPr>
                <w:lang w:val="en-AU" w:eastAsia="en-AU"/>
              </w:rPr>
              <w:t xml:space="preserve"> this </w:t>
            </w:r>
            <w:r w:rsidRPr="00C740F2">
              <w:rPr>
                <w:lang w:val="en-AU" w:eastAsia="en-AU"/>
              </w:rPr>
              <w:t xml:space="preserve">guidance </w:t>
            </w:r>
            <w:r>
              <w:rPr>
                <w:lang w:val="en-AU" w:eastAsia="en-AU"/>
              </w:rPr>
              <w:t xml:space="preserve">as part of an effort to </w:t>
            </w:r>
            <w:r w:rsidRPr="00C740F2">
              <w:rPr>
                <w:lang w:val="en-AU" w:eastAsia="en-AU"/>
              </w:rPr>
              <w:t xml:space="preserve">halve the rate of stillbirths from 4.7 per thousand to 2.3 per thousand by 2030, potentially avoiding the tragedy of stillbirth for more than 1500 families every year. While the majority of women receive high quality care, there is around a 25 per cent variation in stillbirth rates across England. The guidance </w:t>
            </w:r>
            <w:r>
              <w:rPr>
                <w:lang w:val="en-AU" w:eastAsia="en-AU"/>
              </w:rPr>
              <w:t xml:space="preserve">seeks to ameliorate </w:t>
            </w:r>
            <w:r w:rsidRPr="00C740F2">
              <w:rPr>
                <w:lang w:val="en-AU" w:eastAsia="en-AU"/>
              </w:rPr>
              <w:t>this variation by bringing together four key elements of care based on best available evidence and practice in order to help reduce stillbirth rates.</w:t>
            </w:r>
            <w:r w:rsidR="004A2179">
              <w:rPr>
                <w:lang w:val="en-AU" w:eastAsia="en-AU"/>
              </w:rPr>
              <w:t xml:space="preserve"> The four elements are:</w:t>
            </w:r>
          </w:p>
          <w:p w:rsidR="004A2179" w:rsidRPr="004A2179" w:rsidRDefault="004A2179" w:rsidP="001F1856">
            <w:pPr>
              <w:pStyle w:val="ListParagraph"/>
              <w:numPr>
                <w:ilvl w:val="0"/>
                <w:numId w:val="17"/>
              </w:numPr>
              <w:rPr>
                <w:lang w:val="en-AU" w:eastAsia="en-AU"/>
              </w:rPr>
            </w:pPr>
            <w:r w:rsidRPr="004A2179">
              <w:rPr>
                <w:lang w:val="en-AU" w:eastAsia="en-AU"/>
              </w:rPr>
              <w:t>Reducing smoking in pregnancy</w:t>
            </w:r>
          </w:p>
          <w:p w:rsidR="004A2179" w:rsidRPr="004A2179" w:rsidRDefault="004A2179" w:rsidP="001F1856">
            <w:pPr>
              <w:pStyle w:val="ListParagraph"/>
              <w:numPr>
                <w:ilvl w:val="0"/>
                <w:numId w:val="17"/>
              </w:numPr>
              <w:rPr>
                <w:lang w:val="en-AU" w:eastAsia="en-AU"/>
              </w:rPr>
            </w:pPr>
            <w:r w:rsidRPr="004A2179">
              <w:rPr>
                <w:lang w:val="en-AU" w:eastAsia="en-AU"/>
              </w:rPr>
              <w:t>Risk assessment and surveillance for fetal growth restriction</w:t>
            </w:r>
          </w:p>
          <w:p w:rsidR="004A2179" w:rsidRPr="004A2179" w:rsidRDefault="004A2179" w:rsidP="001F1856">
            <w:pPr>
              <w:pStyle w:val="ListParagraph"/>
              <w:numPr>
                <w:ilvl w:val="0"/>
                <w:numId w:val="17"/>
              </w:numPr>
              <w:rPr>
                <w:lang w:val="en-AU" w:eastAsia="en-AU"/>
              </w:rPr>
            </w:pPr>
            <w:r w:rsidRPr="004A2179">
              <w:rPr>
                <w:lang w:val="en-AU" w:eastAsia="en-AU"/>
              </w:rPr>
              <w:t>Raising awar</w:t>
            </w:r>
            <w:r>
              <w:rPr>
                <w:lang w:val="en-AU" w:eastAsia="en-AU"/>
              </w:rPr>
              <w:t>eness of reduced fetal movement</w:t>
            </w:r>
          </w:p>
          <w:p w:rsidR="00C740F2" w:rsidRPr="002E278A" w:rsidRDefault="004A2179" w:rsidP="001F1856">
            <w:pPr>
              <w:pStyle w:val="ListParagraph"/>
              <w:numPr>
                <w:ilvl w:val="0"/>
                <w:numId w:val="17"/>
              </w:numPr>
              <w:rPr>
                <w:lang w:val="en-AU" w:eastAsia="en-AU"/>
              </w:rPr>
            </w:pPr>
            <w:r w:rsidRPr="004A2179">
              <w:rPr>
                <w:lang w:val="en-AU" w:eastAsia="en-AU"/>
              </w:rPr>
              <w:t>Effective fetal monitoring during lab</w:t>
            </w:r>
            <w:r>
              <w:rPr>
                <w:lang w:val="en-AU" w:eastAsia="en-AU"/>
              </w:rPr>
              <w:t>our</w:t>
            </w:r>
          </w:p>
        </w:tc>
      </w:tr>
    </w:tbl>
    <w:p w:rsidR="00C740F2" w:rsidRDefault="00C740F2" w:rsidP="00C740F2">
      <w:pPr>
        <w:keepNext/>
        <w:keepLines/>
        <w:autoSpaceDE w:val="0"/>
        <w:autoSpaceDN w:val="0"/>
        <w:adjustRightInd w:val="0"/>
        <w:rPr>
          <w:lang w:val="en-AU"/>
        </w:rPr>
      </w:pPr>
    </w:p>
    <w:p w:rsidR="00C95D9A" w:rsidRPr="00C95D9A" w:rsidRDefault="00C95D9A" w:rsidP="00C95D9A">
      <w:pPr>
        <w:keepNext/>
        <w:keepLines/>
        <w:autoSpaceDE w:val="0"/>
        <w:autoSpaceDN w:val="0"/>
        <w:adjustRightInd w:val="0"/>
        <w:rPr>
          <w:i/>
          <w:lang w:val="en-AU"/>
        </w:rPr>
      </w:pPr>
      <w:r w:rsidRPr="00C95D9A">
        <w:rPr>
          <w:i/>
          <w:lang w:val="en-AU"/>
        </w:rPr>
        <w:t>Patient Safety in Victorian Public Hospitals</w:t>
      </w:r>
    </w:p>
    <w:p w:rsidR="00C95D9A" w:rsidRDefault="00C95D9A" w:rsidP="00C95D9A">
      <w:pPr>
        <w:keepNext/>
        <w:keepLines/>
        <w:autoSpaceDE w:val="0"/>
        <w:autoSpaceDN w:val="0"/>
        <w:adjustRightInd w:val="0"/>
        <w:rPr>
          <w:lang w:val="en-AU"/>
        </w:rPr>
      </w:pPr>
      <w:r w:rsidRPr="00C95D9A">
        <w:rPr>
          <w:lang w:val="en-AU"/>
        </w:rPr>
        <w:t>Victorian Auditor-General</w:t>
      </w:r>
    </w:p>
    <w:p w:rsidR="00C95D9A" w:rsidRPr="00574FD8" w:rsidRDefault="00C95D9A" w:rsidP="00C95D9A">
      <w:pPr>
        <w:keepNext/>
        <w:keepLines/>
        <w:autoSpaceDE w:val="0"/>
        <w:autoSpaceDN w:val="0"/>
        <w:adjustRightInd w:val="0"/>
        <w:rPr>
          <w:lang w:val="en-AU"/>
        </w:rPr>
      </w:pPr>
      <w:r w:rsidRPr="00C95D9A">
        <w:rPr>
          <w:lang w:val="en-AU"/>
        </w:rPr>
        <w:t xml:space="preserve">Melbourne: Victorian Government Printer; 2016 March 2016. </w:t>
      </w:r>
      <w:proofErr w:type="gramStart"/>
      <w:r w:rsidRPr="00C95D9A">
        <w:rPr>
          <w:lang w:val="en-AU"/>
        </w:rPr>
        <w:t>64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95D9A" w:rsidRPr="00255EF8" w:rsidTr="0034520A">
        <w:tc>
          <w:tcPr>
            <w:tcW w:w="1080" w:type="dxa"/>
            <w:tcBorders>
              <w:top w:val="single" w:sz="4" w:space="0" w:color="auto"/>
              <w:left w:val="single" w:sz="4" w:space="0" w:color="auto"/>
              <w:bottom w:val="single" w:sz="4" w:space="0" w:color="auto"/>
              <w:right w:val="single" w:sz="4" w:space="0" w:color="auto"/>
            </w:tcBorders>
            <w:vAlign w:val="center"/>
          </w:tcPr>
          <w:p w:rsidR="00C95D9A" w:rsidRPr="00255EF8" w:rsidRDefault="00C95D9A" w:rsidP="0034520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95D9A" w:rsidRPr="00255EF8" w:rsidRDefault="00FB5BAC" w:rsidP="0034520A">
            <w:pPr>
              <w:rPr>
                <w:lang w:val="en-AU"/>
              </w:rPr>
            </w:pPr>
            <w:hyperlink r:id="rId18" w:history="1">
              <w:r w:rsidR="00C95D9A" w:rsidRPr="00006555">
                <w:rPr>
                  <w:rStyle w:val="Hyperlink"/>
                  <w:lang w:val="en-AU"/>
                </w:rPr>
                <w:t>http://www.audit.vic.gov.au/reports_and_publications/latest_reports/2015-16/20160323-patient-safety.aspx</w:t>
              </w:r>
            </w:hyperlink>
          </w:p>
        </w:tc>
      </w:tr>
      <w:tr w:rsidR="00C95D9A" w:rsidRPr="004147BB" w:rsidTr="0034520A">
        <w:tc>
          <w:tcPr>
            <w:tcW w:w="1080" w:type="dxa"/>
            <w:tcBorders>
              <w:top w:val="single" w:sz="4" w:space="0" w:color="auto"/>
              <w:left w:val="single" w:sz="4" w:space="0" w:color="auto"/>
              <w:bottom w:val="single" w:sz="4" w:space="0" w:color="auto"/>
              <w:right w:val="single" w:sz="4" w:space="0" w:color="auto"/>
            </w:tcBorders>
            <w:vAlign w:val="center"/>
          </w:tcPr>
          <w:p w:rsidR="00C95D9A" w:rsidRPr="00255EF8" w:rsidRDefault="00C95D9A" w:rsidP="0034520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65C55" w:rsidRDefault="00C95D9A" w:rsidP="00C95D9A">
            <w:pPr>
              <w:rPr>
                <w:lang w:val="en-AU" w:eastAsia="en-AU"/>
              </w:rPr>
            </w:pPr>
            <w:r>
              <w:rPr>
                <w:lang w:val="en-AU" w:eastAsia="en-AU"/>
              </w:rPr>
              <w:t>The Victorian Auditor-General’s Office ha</w:t>
            </w:r>
            <w:r w:rsidR="00773223">
              <w:rPr>
                <w:lang w:val="en-AU" w:eastAsia="en-AU"/>
              </w:rPr>
              <w:t>s</w:t>
            </w:r>
            <w:r>
              <w:rPr>
                <w:lang w:val="en-AU" w:eastAsia="en-AU"/>
              </w:rPr>
              <w:t xml:space="preserve"> released this report on their most recent audit of patient safety in Victorian hospitals. </w:t>
            </w:r>
            <w:r w:rsidRPr="00C95D9A">
              <w:rPr>
                <w:lang w:val="en-AU" w:eastAsia="en-AU"/>
              </w:rPr>
              <w:t>Th</w:t>
            </w:r>
            <w:r>
              <w:rPr>
                <w:lang w:val="en-AU" w:eastAsia="en-AU"/>
              </w:rPr>
              <w:t xml:space="preserve">e audit </w:t>
            </w:r>
            <w:r w:rsidRPr="00C95D9A">
              <w:rPr>
                <w:lang w:val="en-AU" w:eastAsia="en-AU"/>
              </w:rPr>
              <w:t>included assessing how effectively health services manage patient safety and whether they are adequately supported by the Department of Health &amp; Human Services (DHHS), as the health system manager, and the Victorian Managed Insurance Authority (VMIA), which provides insurance and risk management advice to public health services.</w:t>
            </w:r>
            <w:r w:rsidR="00865C55">
              <w:rPr>
                <w:lang w:val="en-AU" w:eastAsia="en-AU"/>
              </w:rPr>
              <w:t xml:space="preserve"> </w:t>
            </w:r>
            <w:r>
              <w:rPr>
                <w:lang w:val="en-AU" w:eastAsia="en-AU"/>
              </w:rPr>
              <w:t>The audit found that “</w:t>
            </w:r>
            <w:r w:rsidRPr="00C95D9A">
              <w:rPr>
                <w:lang w:val="en-AU" w:eastAsia="en-AU"/>
              </w:rPr>
              <w:t xml:space="preserve">there have been systemic failures by DHHS, indicating a lack of effective leadership and oversight which collectively pose an unacceptably high risk to patient safety. </w:t>
            </w:r>
            <w:r>
              <w:rPr>
                <w:lang w:val="en-AU" w:eastAsia="en-AU"/>
              </w:rPr>
              <w:t>…</w:t>
            </w:r>
            <w:r w:rsidRPr="00C95D9A">
              <w:rPr>
                <w:lang w:val="en-AU" w:eastAsia="en-AU"/>
              </w:rPr>
              <w:t>These include failing to comply with its patient safety framework, not having an effective statewide incident reporting system and not using patient safety data effectively to identify overall patient safety trends. DHHS is not giving sufficient priority to patient safety. In doing so, it is failing to adequately protect the safety of hospital patients.</w:t>
            </w:r>
            <w:r>
              <w:rPr>
                <w:lang w:val="en-AU" w:eastAsia="en-AU"/>
              </w:rPr>
              <w:t>”</w:t>
            </w:r>
          </w:p>
          <w:p w:rsidR="00733555" w:rsidRDefault="00733555" w:rsidP="00C95D9A">
            <w:pPr>
              <w:rPr>
                <w:lang w:val="en-AU" w:eastAsia="en-AU"/>
              </w:rPr>
            </w:pPr>
            <w:r w:rsidRPr="00733555">
              <w:rPr>
                <w:lang w:val="en-AU" w:eastAsia="en-AU"/>
              </w:rPr>
              <w:t>The rep</w:t>
            </w:r>
            <w:r>
              <w:rPr>
                <w:lang w:val="en-AU" w:eastAsia="en-AU"/>
              </w:rPr>
              <w:t>ort included 13 recommendations:</w:t>
            </w:r>
          </w:p>
          <w:p w:rsidR="00C95D9A" w:rsidRPr="00C95D9A" w:rsidRDefault="00C95D9A" w:rsidP="00C95D9A">
            <w:pPr>
              <w:rPr>
                <w:lang w:val="en-AU" w:eastAsia="en-AU"/>
              </w:rPr>
            </w:pPr>
            <w:r w:rsidRPr="00C95D9A">
              <w:rPr>
                <w:lang w:val="en-AU" w:eastAsia="en-AU"/>
              </w:rPr>
              <w:t>That the Department of Health &amp; Human Services, as a matter of priority:</w:t>
            </w:r>
          </w:p>
          <w:p w:rsidR="00C95D9A" w:rsidRPr="00C95D9A" w:rsidRDefault="00C95D9A" w:rsidP="001F1856">
            <w:pPr>
              <w:pStyle w:val="ListParagraph"/>
              <w:numPr>
                <w:ilvl w:val="0"/>
                <w:numId w:val="18"/>
              </w:numPr>
              <w:rPr>
                <w:lang w:val="en-AU" w:eastAsia="en-AU"/>
              </w:rPr>
            </w:pPr>
            <w:r w:rsidRPr="00C95D9A">
              <w:rPr>
                <w:lang w:val="en-AU" w:eastAsia="en-AU"/>
              </w:rPr>
              <w:t>reviews, updates and complies with its 2011 Adverse Events Framework, including incorporating a robust data intelligence strategy</w:t>
            </w:r>
          </w:p>
          <w:p w:rsidR="00C95D9A" w:rsidRPr="00C95D9A" w:rsidRDefault="00C95D9A" w:rsidP="001F1856">
            <w:pPr>
              <w:pStyle w:val="ListParagraph"/>
              <w:numPr>
                <w:ilvl w:val="0"/>
                <w:numId w:val="18"/>
              </w:numPr>
              <w:rPr>
                <w:lang w:val="en-AU" w:eastAsia="en-AU"/>
              </w:rPr>
            </w:pPr>
            <w:r w:rsidRPr="00C95D9A">
              <w:rPr>
                <w:lang w:val="en-AU" w:eastAsia="en-AU"/>
              </w:rPr>
              <w:t>implements an effective statewide clinical incident reporting system</w:t>
            </w:r>
          </w:p>
          <w:p w:rsidR="00C95D9A" w:rsidRPr="00C95D9A" w:rsidRDefault="00C95D9A" w:rsidP="001F1856">
            <w:pPr>
              <w:pStyle w:val="ListParagraph"/>
              <w:numPr>
                <w:ilvl w:val="0"/>
                <w:numId w:val="18"/>
              </w:numPr>
              <w:rPr>
                <w:lang w:val="en-AU" w:eastAsia="en-AU"/>
              </w:rPr>
            </w:pPr>
            <w:r w:rsidRPr="00C95D9A">
              <w:rPr>
                <w:lang w:val="en-AU" w:eastAsia="en-AU"/>
              </w:rPr>
              <w:t>aggregates, integrates and systematically analyses the clinical incident data it receives from different sources</w:t>
            </w:r>
          </w:p>
          <w:p w:rsidR="00C95D9A" w:rsidRPr="00C95D9A" w:rsidRDefault="00C95D9A" w:rsidP="001F1856">
            <w:pPr>
              <w:pStyle w:val="ListParagraph"/>
              <w:numPr>
                <w:ilvl w:val="0"/>
                <w:numId w:val="18"/>
              </w:numPr>
              <w:rPr>
                <w:lang w:val="en-AU" w:eastAsia="en-AU"/>
              </w:rPr>
            </w:pPr>
            <w:r w:rsidRPr="00C95D9A">
              <w:rPr>
                <w:lang w:val="en-AU" w:eastAsia="en-AU"/>
              </w:rPr>
              <w:t>implements a process for health services to report both sentinel events and an absence of sentinel events</w:t>
            </w:r>
          </w:p>
          <w:p w:rsidR="00C95D9A" w:rsidRPr="00C95D9A" w:rsidRDefault="00C95D9A" w:rsidP="001F1856">
            <w:pPr>
              <w:pStyle w:val="ListParagraph"/>
              <w:numPr>
                <w:ilvl w:val="0"/>
                <w:numId w:val="18"/>
              </w:numPr>
              <w:rPr>
                <w:lang w:val="en-AU" w:eastAsia="en-AU"/>
              </w:rPr>
            </w:pPr>
            <w:r w:rsidRPr="00C95D9A">
              <w:rPr>
                <w:lang w:val="en-AU" w:eastAsia="en-AU"/>
              </w:rPr>
              <w:t>promptly disseminates lessons learnt from sentinel events to health services</w:t>
            </w:r>
          </w:p>
          <w:p w:rsidR="00C95D9A" w:rsidRPr="00C95D9A" w:rsidRDefault="00C95D9A" w:rsidP="001F1856">
            <w:pPr>
              <w:pStyle w:val="ListParagraph"/>
              <w:numPr>
                <w:ilvl w:val="0"/>
                <w:numId w:val="18"/>
              </w:numPr>
              <w:rPr>
                <w:lang w:val="en-AU" w:eastAsia="en-AU"/>
              </w:rPr>
            </w:pPr>
            <w:r w:rsidRPr="00C95D9A">
              <w:rPr>
                <w:lang w:val="en-AU" w:eastAsia="en-AU"/>
              </w:rPr>
              <w:t>includes meaningful indicators in its performance assessment score, such as morbidity and mortality rates</w:t>
            </w:r>
          </w:p>
          <w:p w:rsidR="00C95D9A" w:rsidRPr="00C95D9A" w:rsidRDefault="00C95D9A" w:rsidP="001F1856">
            <w:pPr>
              <w:pStyle w:val="ListParagraph"/>
              <w:numPr>
                <w:ilvl w:val="0"/>
                <w:numId w:val="18"/>
              </w:numPr>
              <w:rPr>
                <w:lang w:val="en-AU" w:eastAsia="en-AU"/>
              </w:rPr>
            </w:pPr>
            <w:proofErr w:type="gramStart"/>
            <w:r w:rsidRPr="00C95D9A">
              <w:rPr>
                <w:lang w:val="en-AU" w:eastAsia="en-AU"/>
              </w:rPr>
              <w:t>shares</w:t>
            </w:r>
            <w:proofErr w:type="gramEnd"/>
            <w:r w:rsidRPr="00C95D9A">
              <w:rPr>
                <w:lang w:val="en-AU" w:eastAsia="en-AU"/>
              </w:rPr>
              <w:t xml:space="preserve"> patient safety data with other government agencies that have a stake in improving patient safety.</w:t>
            </w:r>
          </w:p>
          <w:p w:rsidR="00C95D9A" w:rsidRDefault="00C95D9A" w:rsidP="00C95D9A">
            <w:pPr>
              <w:rPr>
                <w:lang w:val="en-AU" w:eastAsia="en-AU"/>
              </w:rPr>
            </w:pPr>
            <w:r w:rsidRPr="00C95D9A">
              <w:rPr>
                <w:lang w:val="en-AU" w:eastAsia="en-AU"/>
              </w:rPr>
              <w:t xml:space="preserve">That health services: </w:t>
            </w:r>
          </w:p>
          <w:p w:rsidR="00C95D9A" w:rsidRPr="00C95D9A" w:rsidRDefault="00C95D9A" w:rsidP="001F1856">
            <w:pPr>
              <w:pStyle w:val="ListParagraph"/>
              <w:numPr>
                <w:ilvl w:val="0"/>
                <w:numId w:val="18"/>
              </w:numPr>
              <w:rPr>
                <w:lang w:val="en-AU" w:eastAsia="en-AU"/>
              </w:rPr>
            </w:pPr>
            <w:r w:rsidRPr="00C95D9A">
              <w:rPr>
                <w:lang w:val="en-AU" w:eastAsia="en-AU"/>
              </w:rPr>
              <w:t>ensure timely feedback is provided to those who report incidents on the recommendations from incident investigations and the outcome of actions implemented</w:t>
            </w:r>
          </w:p>
          <w:p w:rsidR="00C95D9A" w:rsidRPr="00C95D9A" w:rsidRDefault="00C95D9A" w:rsidP="001F1856">
            <w:pPr>
              <w:pStyle w:val="ListParagraph"/>
              <w:numPr>
                <w:ilvl w:val="0"/>
                <w:numId w:val="18"/>
              </w:numPr>
              <w:rPr>
                <w:lang w:val="en-AU" w:eastAsia="en-AU"/>
              </w:rPr>
            </w:pPr>
            <w:r w:rsidRPr="00C95D9A">
              <w:rPr>
                <w:lang w:val="en-AU" w:eastAsia="en-AU"/>
              </w:rPr>
              <w:lastRenderedPageBreak/>
              <w:t>evaluate all recommendations from incident investigations for effectiveness to assess whether they are appropriate, are achieving the intended results and are sustainable, as per the Department of Health &amp; Human Services’ revised Victorian health incident management policy and guide</w:t>
            </w:r>
          </w:p>
          <w:p w:rsidR="00C95D9A" w:rsidRPr="00C95D9A" w:rsidRDefault="00C95D9A" w:rsidP="001F1856">
            <w:pPr>
              <w:pStyle w:val="ListParagraph"/>
              <w:numPr>
                <w:ilvl w:val="0"/>
                <w:numId w:val="18"/>
              </w:numPr>
              <w:rPr>
                <w:lang w:val="en-AU" w:eastAsia="en-AU"/>
              </w:rPr>
            </w:pPr>
            <w:r w:rsidRPr="00C95D9A">
              <w:rPr>
                <w:lang w:val="en-AU" w:eastAsia="en-AU"/>
              </w:rPr>
              <w:t>ensure review of ISR3 and ISR4 patient safety incidents to identify all risk-prevention opportunities to better quantify and understand the prevalence and impact of these incidents</w:t>
            </w:r>
          </w:p>
          <w:p w:rsidR="00C95D9A" w:rsidRPr="00C95D9A" w:rsidRDefault="00C95D9A" w:rsidP="001F1856">
            <w:pPr>
              <w:pStyle w:val="ListParagraph"/>
              <w:numPr>
                <w:ilvl w:val="0"/>
                <w:numId w:val="18"/>
              </w:numPr>
              <w:rPr>
                <w:lang w:val="en-AU" w:eastAsia="en-AU"/>
              </w:rPr>
            </w:pPr>
            <w:proofErr w:type="gramStart"/>
            <w:r w:rsidRPr="00C95D9A">
              <w:rPr>
                <w:lang w:val="en-AU" w:eastAsia="en-AU"/>
              </w:rPr>
              <w:t>ensure</w:t>
            </w:r>
            <w:proofErr w:type="gramEnd"/>
            <w:r w:rsidRPr="00C95D9A">
              <w:rPr>
                <w:lang w:val="en-AU" w:eastAsia="en-AU"/>
              </w:rPr>
              <w:t xml:space="preserve"> that incident investigations comply with the Department of Health &amp; Human Services’ policy and guidance.</w:t>
            </w:r>
          </w:p>
          <w:p w:rsidR="00C95D9A" w:rsidRPr="00C95D9A" w:rsidRDefault="00C95D9A" w:rsidP="00C95D9A">
            <w:pPr>
              <w:rPr>
                <w:lang w:val="en-AU" w:eastAsia="en-AU"/>
              </w:rPr>
            </w:pPr>
            <w:r w:rsidRPr="00C95D9A">
              <w:rPr>
                <w:lang w:val="en-AU" w:eastAsia="en-AU"/>
              </w:rPr>
              <w:t>That the Department of Health &amp; Human Services, as a matter of priority:</w:t>
            </w:r>
          </w:p>
          <w:p w:rsidR="00C95D9A" w:rsidRDefault="00C95D9A" w:rsidP="001F1856">
            <w:pPr>
              <w:pStyle w:val="ListParagraph"/>
              <w:numPr>
                <w:ilvl w:val="0"/>
                <w:numId w:val="18"/>
              </w:numPr>
              <w:rPr>
                <w:lang w:val="en-AU" w:eastAsia="en-AU"/>
              </w:rPr>
            </w:pPr>
            <w:r w:rsidRPr="00C95D9A">
              <w:rPr>
                <w:lang w:val="en-AU" w:eastAsia="en-AU"/>
              </w:rPr>
              <w:t>in collaboration with health services, improves training in incident investigations, including comprehensive root cause analysis, in-depth case review training programs and review of lower severity incidents</w:t>
            </w:r>
          </w:p>
          <w:p w:rsidR="00C95D9A" w:rsidRPr="00C95D9A" w:rsidRDefault="00C95D9A" w:rsidP="001F1856">
            <w:pPr>
              <w:pStyle w:val="ListParagraph"/>
              <w:numPr>
                <w:ilvl w:val="0"/>
                <w:numId w:val="18"/>
              </w:numPr>
              <w:rPr>
                <w:lang w:val="en-AU" w:eastAsia="en-AU"/>
              </w:rPr>
            </w:pPr>
            <w:proofErr w:type="gramStart"/>
            <w:r w:rsidRPr="00C95D9A">
              <w:rPr>
                <w:lang w:val="en-AU" w:eastAsia="en-AU"/>
              </w:rPr>
              <w:t>reviews</w:t>
            </w:r>
            <w:proofErr w:type="gramEnd"/>
            <w:r w:rsidRPr="00C95D9A">
              <w:rPr>
                <w:lang w:val="en-AU" w:eastAsia="en-AU"/>
              </w:rPr>
              <w:t xml:space="preserve"> its 2011 Victorian health incident management policy and associated guide, including developing guidance on evaluating the effectiveness of recommended actions from investigations.</w:t>
            </w:r>
          </w:p>
        </w:tc>
      </w:tr>
    </w:tbl>
    <w:p w:rsidR="00C95D9A" w:rsidRDefault="00C95D9A" w:rsidP="00C95D9A">
      <w:pPr>
        <w:keepNext/>
        <w:keepLines/>
        <w:autoSpaceDE w:val="0"/>
        <w:autoSpaceDN w:val="0"/>
        <w:adjustRightInd w:val="0"/>
        <w:rPr>
          <w:lang w:val="en-AU"/>
        </w:rPr>
      </w:pPr>
    </w:p>
    <w:p w:rsidR="00C740F2" w:rsidRDefault="00C740F2" w:rsidP="00E663A6">
      <w:pPr>
        <w:keepNext/>
        <w:keepLines/>
        <w:autoSpaceDE w:val="0"/>
        <w:autoSpaceDN w:val="0"/>
        <w:adjustRightInd w:val="0"/>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40773F" w:rsidRDefault="0040773F" w:rsidP="007C4252">
      <w:pPr>
        <w:keepNext/>
        <w:keepLines/>
        <w:autoSpaceDE w:val="0"/>
        <w:autoSpaceDN w:val="0"/>
        <w:adjustRightInd w:val="0"/>
        <w:rPr>
          <w:lang w:val="en-AU"/>
        </w:rPr>
      </w:pPr>
    </w:p>
    <w:p w:rsidR="00865C55" w:rsidRPr="006C1C14" w:rsidRDefault="00865C55" w:rsidP="00865C55">
      <w:pPr>
        <w:keepNext/>
        <w:keepLines/>
        <w:autoSpaceDE w:val="0"/>
        <w:autoSpaceDN w:val="0"/>
        <w:adjustRightInd w:val="0"/>
        <w:rPr>
          <w:i/>
          <w:lang w:val="en-AU"/>
        </w:rPr>
      </w:pPr>
      <w:r w:rsidRPr="006C1C14">
        <w:rPr>
          <w:i/>
          <w:lang w:val="en-AU"/>
        </w:rPr>
        <w:t>The Burns Registry of Australia and New Zealand: progressing the evidence base for burn care</w:t>
      </w:r>
    </w:p>
    <w:p w:rsidR="00865C55" w:rsidRDefault="00865C55" w:rsidP="00865C55">
      <w:pPr>
        <w:keepNext/>
        <w:keepLines/>
        <w:autoSpaceDE w:val="0"/>
        <w:autoSpaceDN w:val="0"/>
        <w:adjustRightInd w:val="0"/>
        <w:rPr>
          <w:lang w:val="en-AU"/>
        </w:rPr>
      </w:pPr>
      <w:r w:rsidRPr="006C1C14">
        <w:rPr>
          <w:lang w:val="en-AU"/>
        </w:rPr>
        <w:t xml:space="preserve">Cleland H, Greenwood JE, Wood FM, Read DJ, She RW, Maitz P, et al. </w:t>
      </w:r>
    </w:p>
    <w:p w:rsidR="00865C55" w:rsidRPr="005B6694" w:rsidRDefault="00865C55" w:rsidP="00865C55">
      <w:pPr>
        <w:keepNext/>
        <w:keepLines/>
        <w:autoSpaceDE w:val="0"/>
        <w:autoSpaceDN w:val="0"/>
        <w:adjustRightInd w:val="0"/>
        <w:rPr>
          <w:lang w:val="en-AU"/>
        </w:rPr>
      </w:pPr>
      <w:proofErr w:type="gramStart"/>
      <w:r w:rsidRPr="006C1C14">
        <w:rPr>
          <w:lang w:val="en-AU"/>
        </w:rPr>
        <w:t>Medical Journal of Australia.</w:t>
      </w:r>
      <w:proofErr w:type="gramEnd"/>
      <w:r w:rsidRPr="006C1C14">
        <w:rPr>
          <w:lang w:val="en-AU"/>
        </w:rPr>
        <w:t xml:space="preserve"> 2016</w:t>
      </w:r>
      <w:proofErr w:type="gramStart"/>
      <w:r w:rsidRPr="006C1C14">
        <w:rPr>
          <w:lang w:val="en-AU"/>
        </w:rPr>
        <w:t>;204</w:t>
      </w:r>
      <w:proofErr w:type="gramEnd"/>
      <w:r w:rsidRPr="006C1C14">
        <w:rPr>
          <w:lang w:val="en-AU"/>
        </w:rPr>
        <w:t>(5):195.</w:t>
      </w:r>
    </w:p>
    <w:tbl>
      <w:tblPr>
        <w:tblStyle w:val="TableGrid"/>
        <w:tblW w:w="0" w:type="auto"/>
        <w:tblInd w:w="288" w:type="dxa"/>
        <w:tblLayout w:type="fixed"/>
        <w:tblLook w:val="01E0" w:firstRow="1" w:lastRow="1" w:firstColumn="1" w:lastColumn="1" w:noHBand="0" w:noVBand="0"/>
      </w:tblPr>
      <w:tblGrid>
        <w:gridCol w:w="1080"/>
        <w:gridCol w:w="8280"/>
      </w:tblGrid>
      <w:tr w:rsidR="00865C55" w:rsidRPr="00255EF8" w:rsidTr="00CF3299">
        <w:tc>
          <w:tcPr>
            <w:tcW w:w="1080" w:type="dxa"/>
            <w:tcBorders>
              <w:top w:val="single" w:sz="4" w:space="0" w:color="auto"/>
              <w:left w:val="single" w:sz="4" w:space="0" w:color="auto"/>
              <w:bottom w:val="single" w:sz="4" w:space="0" w:color="auto"/>
              <w:right w:val="single" w:sz="4" w:space="0" w:color="auto"/>
            </w:tcBorders>
            <w:vAlign w:val="center"/>
          </w:tcPr>
          <w:p w:rsidR="00865C55" w:rsidRPr="005B6694" w:rsidRDefault="00865C55" w:rsidP="00CF3299">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65C55" w:rsidRPr="005B6694" w:rsidRDefault="00FB5BAC" w:rsidP="00CF3299">
            <w:pPr>
              <w:shd w:val="clear" w:color="auto" w:fill="FFFFFF"/>
              <w:rPr>
                <w:rStyle w:val="Hyperlink"/>
              </w:rPr>
            </w:pPr>
            <w:hyperlink r:id="rId19" w:history="1">
              <w:r w:rsidR="00865C55" w:rsidRPr="004E2481">
                <w:rPr>
                  <w:rStyle w:val="Hyperlink"/>
                </w:rPr>
                <w:t>http://dx.doi.org/10.5694/mja15.00989</w:t>
              </w:r>
            </w:hyperlink>
          </w:p>
        </w:tc>
      </w:tr>
      <w:tr w:rsidR="00865C55" w:rsidRPr="004147BB" w:rsidTr="00CF3299">
        <w:tc>
          <w:tcPr>
            <w:tcW w:w="1080" w:type="dxa"/>
            <w:tcBorders>
              <w:top w:val="single" w:sz="4" w:space="0" w:color="auto"/>
              <w:left w:val="single" w:sz="4" w:space="0" w:color="auto"/>
              <w:bottom w:val="single" w:sz="4" w:space="0" w:color="auto"/>
              <w:right w:val="single" w:sz="4" w:space="0" w:color="auto"/>
            </w:tcBorders>
            <w:vAlign w:val="center"/>
          </w:tcPr>
          <w:p w:rsidR="00865C55" w:rsidRPr="00255EF8" w:rsidRDefault="00865C55" w:rsidP="00CF3299">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65C55" w:rsidRDefault="00865C55" w:rsidP="00CF3299">
            <w:pPr>
              <w:rPr>
                <w:lang w:val="en-AU" w:eastAsia="en-AU"/>
              </w:rPr>
            </w:pPr>
            <w:r>
              <w:rPr>
                <w:lang w:val="en-AU" w:eastAsia="en-AU"/>
              </w:rPr>
              <w:t xml:space="preserve">Paper describing the outcomes and variation in burns treatment in Australia and New Zealand as revealed in the data gathered in the first four years of the Burns Registry of Australian and New Zealand. The registry </w:t>
            </w:r>
            <w:r w:rsidRPr="00C828C4">
              <w:rPr>
                <w:lang w:val="en-AU" w:eastAsia="en-AU"/>
              </w:rPr>
              <w:t>was launched in 2009 with the primary aim of improving the quality of burn care in the two countries.</w:t>
            </w:r>
            <w:r>
              <w:rPr>
                <w:lang w:val="en-AU" w:eastAsia="en-AU"/>
              </w:rPr>
              <w:t xml:space="preserve"> Collecting and analysing data from burns units in both countries, the registry has </w:t>
            </w:r>
            <w:r w:rsidRPr="00C828C4">
              <w:rPr>
                <w:lang w:val="en-AU" w:eastAsia="en-AU"/>
              </w:rPr>
              <w:t xml:space="preserve">identified </w:t>
            </w:r>
            <w:r>
              <w:rPr>
                <w:lang w:val="en-AU" w:eastAsia="en-AU"/>
              </w:rPr>
              <w:t>“</w:t>
            </w:r>
            <w:r w:rsidRPr="00B17406">
              <w:rPr>
                <w:b/>
                <w:lang w:val="en-AU" w:eastAsia="en-AU"/>
              </w:rPr>
              <w:t>considerable variation in practice</w:t>
            </w:r>
            <w:r w:rsidRPr="00C828C4">
              <w:rPr>
                <w:lang w:val="en-AU" w:eastAsia="en-AU"/>
              </w:rPr>
              <w:t xml:space="preserve"> in areas fundamental to the treatment of burn injury, and also provides evidence of </w:t>
            </w:r>
            <w:r w:rsidRPr="00B17406">
              <w:rPr>
                <w:b/>
                <w:lang w:val="en-AU" w:eastAsia="en-AU"/>
              </w:rPr>
              <w:t>significant variations in outcomes</w:t>
            </w:r>
            <w:r w:rsidRPr="00C828C4">
              <w:rPr>
                <w:lang w:val="en-AU" w:eastAsia="en-AU"/>
              </w:rPr>
              <w:t xml:space="preserve"> that are not explained by simple differences in casemix alone.</w:t>
            </w:r>
            <w:r>
              <w:rPr>
                <w:lang w:val="en-AU" w:eastAsia="en-AU"/>
              </w:rPr>
              <w:t>” The authors note that “i</w:t>
            </w:r>
            <w:r w:rsidRPr="00C828C4">
              <w:rPr>
                <w:lang w:val="en-AU" w:eastAsia="en-AU"/>
              </w:rPr>
              <w:t xml:space="preserve">n response to the findings reported here, ANZBA </w:t>
            </w:r>
            <w:r>
              <w:rPr>
                <w:lang w:val="en-AU" w:eastAsia="en-AU"/>
              </w:rPr>
              <w:t>[</w:t>
            </w:r>
            <w:r w:rsidRPr="00C828C4">
              <w:rPr>
                <w:lang w:val="en-AU" w:eastAsia="en-AU"/>
              </w:rPr>
              <w:t>Australian and New Zealand Burn Association</w:t>
            </w:r>
            <w:r>
              <w:rPr>
                <w:lang w:val="en-AU" w:eastAsia="en-AU"/>
              </w:rPr>
              <w:t xml:space="preserve">] </w:t>
            </w:r>
            <w:r w:rsidRPr="00C828C4">
              <w:rPr>
                <w:lang w:val="en-AU" w:eastAsia="en-AU"/>
              </w:rPr>
              <w:t xml:space="preserve">launched the Burns Quality Improvement Program (BQIP) in 2013. This program will use data generated by BRANZ to develop </w:t>
            </w:r>
            <w:r w:rsidRPr="00B17406">
              <w:rPr>
                <w:b/>
                <w:lang w:val="en-AU" w:eastAsia="en-AU"/>
              </w:rPr>
              <w:t>evidence-based standards of care</w:t>
            </w:r>
            <w:r w:rsidRPr="00C828C4">
              <w:rPr>
                <w:lang w:val="en-AU" w:eastAsia="en-AU"/>
              </w:rPr>
              <w:t xml:space="preserve"> (few of which are currently available for burn care) and to provide a framework that drives change.</w:t>
            </w:r>
            <w:r>
              <w:rPr>
                <w:lang w:val="en-AU" w:eastAsia="en-AU"/>
              </w:rPr>
              <w:t>”</w:t>
            </w:r>
          </w:p>
          <w:p w:rsidR="00865C55" w:rsidRPr="00D609D8" w:rsidRDefault="00865C55" w:rsidP="00CF3299">
            <w:pPr>
              <w:rPr>
                <w:lang w:val="en-AU" w:eastAsia="en-AU"/>
              </w:rPr>
            </w:pPr>
            <w:r>
              <w:rPr>
                <w:lang w:val="en-AU" w:eastAsia="en-AU"/>
              </w:rPr>
              <w:t>In many ways this is a clear exemplar of how a clinical quality registry can be developed to provide a mechanism for better understanding practice and improving treatment and outcomes for patients through high ascertainment and the collection and analysis of data relating to ‘real world’ patients. The authors observe in their conclusion that these “</w:t>
            </w:r>
            <w:r w:rsidRPr="0089234B">
              <w:rPr>
                <w:lang w:val="en-AU" w:eastAsia="en-AU"/>
              </w:rPr>
              <w:t>results demonstrate the feasibility of collecting data, as well as the need for such data, given the evidence of variations in practice and outcomes that we identified. The information provided by BRANZ provides a unique opportunity for significantly improving the quality of care for burns patients in Australia and New Zealand.</w:t>
            </w:r>
            <w:r>
              <w:rPr>
                <w:lang w:val="en-AU" w:eastAsia="en-AU"/>
              </w:rPr>
              <w:t>”</w:t>
            </w:r>
          </w:p>
        </w:tc>
      </w:tr>
    </w:tbl>
    <w:p w:rsidR="00865C55" w:rsidRDefault="00865C55" w:rsidP="00865C55">
      <w:pPr>
        <w:rPr>
          <w:lang w:val="en-AU"/>
        </w:rPr>
      </w:pPr>
    </w:p>
    <w:p w:rsidR="00865C55" w:rsidRDefault="00865C55" w:rsidP="00865C55">
      <w:pPr>
        <w:rPr>
          <w:lang w:val="en-AU"/>
        </w:rPr>
      </w:pPr>
      <w:r w:rsidRPr="00EA6F18">
        <w:rPr>
          <w:lang w:val="en-AU"/>
        </w:rPr>
        <w:t>For information on the Commission’s work on</w:t>
      </w:r>
      <w:r>
        <w:rPr>
          <w:lang w:val="en-AU"/>
        </w:rPr>
        <w:t xml:space="preserve"> clinical quality registries, including the </w:t>
      </w:r>
      <w:r w:rsidRPr="0089234B">
        <w:rPr>
          <w:i/>
          <w:lang w:val="en-AU"/>
        </w:rPr>
        <w:t>Framework for Australian Clinical Quality Registries</w:t>
      </w:r>
      <w:r>
        <w:rPr>
          <w:lang w:val="en-AU"/>
        </w:rPr>
        <w:t xml:space="preserve"> and the </w:t>
      </w:r>
      <w:r w:rsidRPr="0089234B">
        <w:rPr>
          <w:i/>
          <w:lang w:val="en-AU"/>
        </w:rPr>
        <w:t>Strategic and Operating Principles for Australian Clinical Quality Registries</w:t>
      </w:r>
      <w:r>
        <w:rPr>
          <w:lang w:val="en-AU"/>
        </w:rPr>
        <w:t xml:space="preserve">, see </w:t>
      </w:r>
      <w:hyperlink r:id="rId20" w:history="1">
        <w:r w:rsidRPr="004E2481">
          <w:rPr>
            <w:rStyle w:val="Hyperlink"/>
            <w:lang w:val="en-AU"/>
          </w:rPr>
          <w:t>http://www.safetyandquality.gov.au/our-work/information-strategy/clinical-quality-registries/</w:t>
        </w:r>
      </w:hyperlink>
    </w:p>
    <w:p w:rsidR="00B17406" w:rsidRPr="00B51EA2" w:rsidRDefault="00B17406" w:rsidP="00B17406">
      <w:pPr>
        <w:keepNext/>
        <w:keepLines/>
        <w:autoSpaceDE w:val="0"/>
        <w:autoSpaceDN w:val="0"/>
        <w:adjustRightInd w:val="0"/>
        <w:rPr>
          <w:i/>
          <w:lang w:val="en-AU"/>
        </w:rPr>
      </w:pPr>
      <w:r w:rsidRPr="00B51EA2">
        <w:rPr>
          <w:i/>
          <w:lang w:val="en-AU"/>
        </w:rPr>
        <w:lastRenderedPageBreak/>
        <w:t>From tokenism to empowerment: progressing patient and public involvement in healthcare improvement</w:t>
      </w:r>
    </w:p>
    <w:p w:rsidR="00B17406" w:rsidRDefault="00B17406" w:rsidP="00B17406">
      <w:pPr>
        <w:keepNext/>
        <w:keepLines/>
        <w:autoSpaceDE w:val="0"/>
        <w:autoSpaceDN w:val="0"/>
        <w:adjustRightInd w:val="0"/>
        <w:rPr>
          <w:lang w:val="en-AU"/>
        </w:rPr>
      </w:pPr>
      <w:proofErr w:type="spellStart"/>
      <w:r w:rsidRPr="00B51EA2">
        <w:rPr>
          <w:lang w:val="en-AU"/>
        </w:rPr>
        <w:t>Ocloo</w:t>
      </w:r>
      <w:proofErr w:type="spellEnd"/>
      <w:r w:rsidRPr="00B51EA2">
        <w:rPr>
          <w:lang w:val="en-AU"/>
        </w:rPr>
        <w:t xml:space="preserve"> J, Matthews R</w:t>
      </w:r>
    </w:p>
    <w:p w:rsidR="00B17406" w:rsidRPr="005B6694" w:rsidRDefault="00B17406" w:rsidP="00B17406">
      <w:pPr>
        <w:keepNext/>
        <w:keepLines/>
        <w:autoSpaceDE w:val="0"/>
        <w:autoSpaceDN w:val="0"/>
        <w:adjustRightInd w:val="0"/>
        <w:rPr>
          <w:lang w:val="en-AU"/>
        </w:rPr>
      </w:pPr>
      <w:proofErr w:type="gramStart"/>
      <w:r w:rsidRPr="00B51EA2">
        <w:rPr>
          <w:lang w:val="en-AU"/>
        </w:rPr>
        <w:t>BMJ Quality &amp; Safety.</w:t>
      </w:r>
      <w:proofErr w:type="gramEnd"/>
      <w:r w:rsidRPr="00B51EA2">
        <w:rPr>
          <w:lang w:val="en-AU"/>
        </w:rPr>
        <w:t xml:space="preserve"> </w:t>
      </w:r>
      <w:proofErr w:type="gramStart"/>
      <w:r w:rsidRPr="00B51EA2">
        <w:rPr>
          <w:lang w:val="en-AU"/>
        </w:rPr>
        <w:t>2016</w:t>
      </w:r>
      <w:r>
        <w:rPr>
          <w:lang w:val="en-AU"/>
        </w:rPr>
        <w:t xml:space="preserve"> [epub]</w:t>
      </w:r>
      <w:r w:rsidRPr="00B51EA2">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B17406" w:rsidRPr="00255EF8"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5B6694" w:rsidRDefault="00B17406" w:rsidP="006B175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F5B3C" w:rsidRDefault="009F5B3C" w:rsidP="006B1753">
            <w:pPr>
              <w:shd w:val="clear" w:color="auto" w:fill="FFFFFF"/>
              <w:rPr>
                <w:rStyle w:val="Hyperlink"/>
              </w:rPr>
            </w:pPr>
            <w:hyperlink r:id="rId21" w:history="1">
              <w:r w:rsidRPr="005714BE">
                <w:rPr>
                  <w:rStyle w:val="Hyperlink"/>
                </w:rPr>
                <w:t>http://qualitysafety.bmj.com/content/early/2016/03/18/bmjqs-2015-004839.abstract</w:t>
              </w:r>
            </w:hyperlink>
          </w:p>
          <w:p w:rsidR="00B17406" w:rsidRPr="005B6694" w:rsidRDefault="00B17406" w:rsidP="006B1753">
            <w:pPr>
              <w:shd w:val="clear" w:color="auto" w:fill="FFFFFF"/>
              <w:rPr>
                <w:rStyle w:val="Hyperlink"/>
              </w:rPr>
            </w:pPr>
            <w:r>
              <w:rPr>
                <w:rStyle w:val="Hyperlink"/>
              </w:rPr>
              <w:t>http://dx.doi.org/</w:t>
            </w:r>
            <w:r w:rsidRPr="009721C4">
              <w:rPr>
                <w:rStyle w:val="Hyperlink"/>
              </w:rPr>
              <w:t>10.1136/bmjqs-2015-004839</w:t>
            </w:r>
          </w:p>
        </w:tc>
      </w:tr>
      <w:tr w:rsidR="00B17406" w:rsidRPr="004147BB"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255EF8" w:rsidRDefault="00B17406" w:rsidP="006B175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406" w:rsidRDefault="00B17406" w:rsidP="006B1753">
            <w:pPr>
              <w:rPr>
                <w:lang w:val="en-AU" w:eastAsia="en-AU"/>
              </w:rPr>
            </w:pPr>
            <w:r>
              <w:rPr>
                <w:lang w:val="en-AU" w:eastAsia="en-AU"/>
              </w:rPr>
              <w:t>The authors of this paper assert that to date patient and public involvement (PPI) in healthcare has tended to be too narrow, patchy and slow, peripheral and “tends to be concentrated at the lowest levels of involvement”. They argue that “</w:t>
            </w:r>
            <w:r w:rsidRPr="00A30400">
              <w:rPr>
                <w:lang w:val="en-AU" w:eastAsia="en-AU"/>
              </w:rPr>
              <w:t>Patients and the wider public can be involved at most stages of healthcare, and this can have a number of benefits</w:t>
            </w:r>
            <w:r>
              <w:rPr>
                <w:lang w:val="en-AU" w:eastAsia="en-AU"/>
              </w:rPr>
              <w:t>.” Arguing that attention to the potential role of patients, families, carers and the public should be broadened they also call for the “</w:t>
            </w:r>
            <w:r w:rsidRPr="00A30400">
              <w:rPr>
                <w:lang w:val="en-AU" w:eastAsia="en-AU"/>
              </w:rPr>
              <w:t>adoption of models and frameworks that enable power and decision-making to be shared more equitably with patients and the public in designing, planning and co-producing healthcare</w:t>
            </w:r>
            <w:r>
              <w:rPr>
                <w:lang w:val="en-AU" w:eastAsia="en-AU"/>
              </w:rPr>
              <w:t>.”</w:t>
            </w:r>
          </w:p>
          <w:p w:rsidR="00440922" w:rsidRDefault="00B17406" w:rsidP="00440922">
            <w:pPr>
              <w:keepNext/>
            </w:pPr>
            <w:r>
              <w:rPr>
                <w:noProof/>
                <w:lang w:val="en-AU" w:eastAsia="en-AU"/>
              </w:rPr>
              <w:drawing>
                <wp:inline distT="0" distB="0" distL="0" distR="0" wp14:anchorId="6EC28311" wp14:editId="372B04BC">
                  <wp:extent cx="5124450" cy="576961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24450" cy="5769617"/>
                          </a:xfrm>
                          <a:prstGeom prst="rect">
                            <a:avLst/>
                          </a:prstGeom>
                        </pic:spPr>
                      </pic:pic>
                    </a:graphicData>
                  </a:graphic>
                </wp:inline>
              </w:drawing>
            </w:r>
          </w:p>
          <w:p w:rsidR="00B17406" w:rsidRPr="00D609D8" w:rsidRDefault="00440922" w:rsidP="00440922">
            <w:pPr>
              <w:pStyle w:val="Caption"/>
              <w:rPr>
                <w:lang w:val="en-AU" w:eastAsia="en-AU"/>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672D07">
              <w:t>A multidimensional framework for patient and family engagement in health and healthcare</w:t>
            </w:r>
          </w:p>
        </w:tc>
      </w:tr>
    </w:tbl>
    <w:p w:rsidR="00B17406" w:rsidRDefault="00B17406" w:rsidP="00B17406">
      <w:pPr>
        <w:rPr>
          <w:lang w:val="en-AU"/>
        </w:rPr>
      </w:pPr>
    </w:p>
    <w:p w:rsidR="00B17406" w:rsidRDefault="00B17406" w:rsidP="00B17406">
      <w:pPr>
        <w:rPr>
          <w:rStyle w:val="Hyperlink"/>
          <w:lang w:val="en-AU"/>
        </w:rPr>
      </w:pPr>
      <w:r w:rsidRPr="00EA6F18">
        <w:rPr>
          <w:lang w:val="en-AU"/>
        </w:rPr>
        <w:lastRenderedPageBreak/>
        <w:t>For information on the Commission’s work on</w:t>
      </w:r>
      <w:r>
        <w:rPr>
          <w:lang w:val="en-AU"/>
        </w:rPr>
        <w:t xml:space="preserve"> patient and consumer centred care, see </w:t>
      </w:r>
      <w:hyperlink r:id="rId23" w:history="1">
        <w:r w:rsidRPr="0075415C">
          <w:rPr>
            <w:rStyle w:val="Hyperlink"/>
            <w:lang w:val="en-AU"/>
          </w:rPr>
          <w:t>http://www.safetyandquality.gov.au/our-work/patient-and-consumer-centred-care/</w:t>
        </w:r>
      </w:hyperlink>
    </w:p>
    <w:p w:rsidR="00B17406" w:rsidRDefault="00B17406" w:rsidP="00B17406">
      <w:pPr>
        <w:rPr>
          <w:lang w:val="en-AU"/>
        </w:rPr>
      </w:pPr>
    </w:p>
    <w:p w:rsidR="00B17406" w:rsidRPr="009721C4" w:rsidRDefault="00B17406" w:rsidP="00B17406">
      <w:pPr>
        <w:keepNext/>
        <w:keepLines/>
        <w:autoSpaceDE w:val="0"/>
        <w:autoSpaceDN w:val="0"/>
        <w:adjustRightInd w:val="0"/>
        <w:rPr>
          <w:i/>
          <w:lang w:val="en-AU"/>
        </w:rPr>
      </w:pPr>
      <w:r w:rsidRPr="009721C4">
        <w:rPr>
          <w:i/>
          <w:lang w:val="en-AU"/>
        </w:rPr>
        <w:t>Re-examining high reliability: actively organising for safety</w:t>
      </w:r>
    </w:p>
    <w:p w:rsidR="00B17406" w:rsidRDefault="00B17406" w:rsidP="00B17406">
      <w:pPr>
        <w:keepNext/>
        <w:keepLines/>
        <w:autoSpaceDE w:val="0"/>
        <w:autoSpaceDN w:val="0"/>
        <w:adjustRightInd w:val="0"/>
        <w:rPr>
          <w:lang w:val="en-AU"/>
        </w:rPr>
      </w:pPr>
      <w:r w:rsidRPr="009721C4">
        <w:rPr>
          <w:lang w:val="en-AU"/>
        </w:rPr>
        <w:t>Sutcliffe KM, Paine L, Pronovost PJ</w:t>
      </w:r>
    </w:p>
    <w:p w:rsidR="00B17406" w:rsidRPr="005B6694" w:rsidRDefault="00B17406" w:rsidP="00B17406">
      <w:pPr>
        <w:keepNext/>
        <w:keepLines/>
        <w:autoSpaceDE w:val="0"/>
        <w:autoSpaceDN w:val="0"/>
        <w:adjustRightInd w:val="0"/>
        <w:rPr>
          <w:lang w:val="en-AU"/>
        </w:rPr>
      </w:pPr>
      <w:proofErr w:type="gramStart"/>
      <w:r w:rsidRPr="009721C4">
        <w:rPr>
          <w:lang w:val="en-AU"/>
        </w:rPr>
        <w:t>BMJ Quality &amp; Safety.</w:t>
      </w:r>
      <w:proofErr w:type="gramEnd"/>
      <w:r w:rsidRPr="009721C4">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B17406" w:rsidRPr="00255EF8"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5B6694" w:rsidRDefault="00B17406" w:rsidP="006B175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17406" w:rsidRPr="005B6694" w:rsidRDefault="00B17406" w:rsidP="006B1753">
            <w:pPr>
              <w:shd w:val="clear" w:color="auto" w:fill="FFFFFF"/>
              <w:rPr>
                <w:rStyle w:val="Hyperlink"/>
              </w:rPr>
            </w:pPr>
            <w:r>
              <w:rPr>
                <w:rStyle w:val="Hyperlink"/>
              </w:rPr>
              <w:t>http://dx.doi.org/</w:t>
            </w:r>
            <w:r w:rsidRPr="009721C4">
              <w:rPr>
                <w:rStyle w:val="Hyperlink"/>
              </w:rPr>
              <w:t>10.1136/bmjqs-2015-004698</w:t>
            </w:r>
          </w:p>
        </w:tc>
      </w:tr>
      <w:tr w:rsidR="00B17406" w:rsidRPr="004147BB"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255EF8" w:rsidRDefault="00B17406" w:rsidP="006B175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406" w:rsidRPr="00D609D8" w:rsidRDefault="00B17406" w:rsidP="001C5039">
            <w:pPr>
              <w:rPr>
                <w:lang w:val="en-AU" w:eastAsia="en-AU"/>
              </w:rPr>
            </w:pPr>
            <w:r>
              <w:rPr>
                <w:lang w:val="en-AU" w:eastAsia="en-AU"/>
              </w:rPr>
              <w:t>This ‘Viewpoint’ piece summarises the push for hospitals (and other health facilities) to be ‘high reliability organisations’ (HROs). In this discussion the authors make the observation that for healthcare, resilience may be a more important element in resilience than anticipation (standardisation). They also note that “</w:t>
            </w:r>
            <w:r w:rsidRPr="009721C4">
              <w:rPr>
                <w:lang w:val="en-AU" w:eastAsia="en-AU"/>
              </w:rPr>
              <w:t>Highly reliable organisations develop capabilities to</w:t>
            </w:r>
            <w:r>
              <w:rPr>
                <w:lang w:val="en-AU" w:eastAsia="en-AU"/>
              </w:rPr>
              <w:t xml:space="preserve"> </w:t>
            </w:r>
            <w:r w:rsidRPr="009721C4">
              <w:rPr>
                <w:lang w:val="en-AU" w:eastAsia="en-AU"/>
              </w:rPr>
              <w:t>detect, contain, cope with and rebound from the inevitable</w:t>
            </w:r>
            <w:r>
              <w:rPr>
                <w:lang w:val="en-AU" w:eastAsia="en-AU"/>
              </w:rPr>
              <w:t xml:space="preserve"> </w:t>
            </w:r>
            <w:r w:rsidRPr="009721C4">
              <w:rPr>
                <w:lang w:val="en-AU" w:eastAsia="en-AU"/>
              </w:rPr>
              <w:t>risks and hazards that are part of an indeterminate</w:t>
            </w:r>
            <w:r>
              <w:rPr>
                <w:lang w:val="en-AU" w:eastAsia="en-AU"/>
              </w:rPr>
              <w:t xml:space="preserve"> </w:t>
            </w:r>
            <w:r w:rsidRPr="009721C4">
              <w:rPr>
                <w:lang w:val="en-AU" w:eastAsia="en-AU"/>
              </w:rPr>
              <w:t>world, the healthcare world. The hallmark of</w:t>
            </w:r>
            <w:r>
              <w:rPr>
                <w:lang w:val="en-AU" w:eastAsia="en-AU"/>
              </w:rPr>
              <w:t xml:space="preserve"> </w:t>
            </w:r>
            <w:r w:rsidRPr="009721C4">
              <w:rPr>
                <w:lang w:val="en-AU" w:eastAsia="en-AU"/>
              </w:rPr>
              <w:t>an HRO is not that it is error free but that errors do</w:t>
            </w:r>
            <w:r>
              <w:rPr>
                <w:lang w:val="en-AU" w:eastAsia="en-AU"/>
              </w:rPr>
              <w:t xml:space="preserve"> </w:t>
            </w:r>
            <w:r w:rsidRPr="009721C4">
              <w:rPr>
                <w:lang w:val="en-AU" w:eastAsia="en-AU"/>
              </w:rPr>
              <w:t xml:space="preserve">not disable it. In a healthcare context, an </w:t>
            </w:r>
            <w:r w:rsidRPr="009721C4">
              <w:rPr>
                <w:b/>
                <w:lang w:val="en-AU" w:eastAsia="en-AU"/>
              </w:rPr>
              <w:t>HRO would not be error free, it would be harm free</w:t>
            </w:r>
            <w:r>
              <w:rPr>
                <w:lang w:val="en-AU" w:eastAsia="en-AU"/>
              </w:rPr>
              <w:t>.” [my emphasis]</w:t>
            </w:r>
            <w:r w:rsidR="001C5039">
              <w:rPr>
                <w:lang w:val="en-AU" w:eastAsia="en-AU"/>
              </w:rPr>
              <w:t xml:space="preserve"> T</w:t>
            </w:r>
            <w:r>
              <w:rPr>
                <w:lang w:val="en-AU" w:eastAsia="en-AU"/>
              </w:rPr>
              <w:t>he</w:t>
            </w:r>
            <w:r w:rsidR="001C5039">
              <w:rPr>
                <w:lang w:val="en-AU" w:eastAsia="en-AU"/>
              </w:rPr>
              <w:t xml:space="preserve"> authors</w:t>
            </w:r>
            <w:r>
              <w:rPr>
                <w:lang w:val="en-AU" w:eastAsia="en-AU"/>
              </w:rPr>
              <w:t xml:space="preserve"> go on to discuss a number of important aspects to highly reliable health organisations, including high-performance work practices, trust and respect, heedful inter-relations and the culture and climate of high reliability and safety.</w:t>
            </w:r>
          </w:p>
        </w:tc>
      </w:tr>
    </w:tbl>
    <w:p w:rsidR="00B17406" w:rsidRDefault="00B17406" w:rsidP="007C4252">
      <w:pPr>
        <w:keepNext/>
        <w:keepLines/>
        <w:autoSpaceDE w:val="0"/>
        <w:autoSpaceDN w:val="0"/>
        <w:adjustRightInd w:val="0"/>
        <w:rPr>
          <w:lang w:val="en-AU"/>
        </w:rPr>
      </w:pPr>
    </w:p>
    <w:p w:rsidR="00B17406" w:rsidRPr="006C1C14" w:rsidRDefault="00B17406" w:rsidP="00B17406">
      <w:pPr>
        <w:keepNext/>
        <w:keepLines/>
        <w:autoSpaceDE w:val="0"/>
        <w:autoSpaceDN w:val="0"/>
        <w:adjustRightInd w:val="0"/>
        <w:rPr>
          <w:i/>
          <w:lang w:val="en-AU"/>
        </w:rPr>
      </w:pPr>
      <w:r w:rsidRPr="006C1C14">
        <w:rPr>
          <w:i/>
          <w:lang w:val="en-AU"/>
        </w:rPr>
        <w:t>Identifying low-value care: the Royal Australasian College of Physicians’ EVOLVE initiative</w:t>
      </w:r>
    </w:p>
    <w:p w:rsidR="00B17406" w:rsidRDefault="00B17406" w:rsidP="00B17406">
      <w:pPr>
        <w:keepNext/>
        <w:keepLines/>
        <w:autoSpaceDE w:val="0"/>
        <w:autoSpaceDN w:val="0"/>
        <w:adjustRightInd w:val="0"/>
        <w:rPr>
          <w:lang w:val="en-AU"/>
        </w:rPr>
      </w:pPr>
      <w:r w:rsidRPr="006C1C14">
        <w:rPr>
          <w:lang w:val="en-AU"/>
        </w:rPr>
        <w:t xml:space="preserve">Soon J, Buchbinder R, Close J, Hill C, Allan S, </w:t>
      </w:r>
      <w:proofErr w:type="spellStart"/>
      <w:r w:rsidRPr="006C1C14">
        <w:rPr>
          <w:lang w:val="en-AU"/>
        </w:rPr>
        <w:t>Turnour</w:t>
      </w:r>
      <w:proofErr w:type="spellEnd"/>
      <w:r w:rsidRPr="006C1C14">
        <w:rPr>
          <w:lang w:val="en-AU"/>
        </w:rPr>
        <w:t xml:space="preserve"> C</w:t>
      </w:r>
    </w:p>
    <w:p w:rsidR="00B17406" w:rsidRPr="005B6694" w:rsidRDefault="00B17406" w:rsidP="00B17406">
      <w:pPr>
        <w:keepNext/>
        <w:keepLines/>
        <w:autoSpaceDE w:val="0"/>
        <w:autoSpaceDN w:val="0"/>
        <w:adjustRightInd w:val="0"/>
        <w:rPr>
          <w:lang w:val="en-AU"/>
        </w:rPr>
      </w:pPr>
      <w:proofErr w:type="gramStart"/>
      <w:r w:rsidRPr="006C1C14">
        <w:rPr>
          <w:lang w:val="en-AU"/>
        </w:rPr>
        <w:t>Medical Journal of Australia.</w:t>
      </w:r>
      <w:proofErr w:type="gramEnd"/>
      <w:r w:rsidRPr="006C1C14">
        <w:rPr>
          <w:lang w:val="en-AU"/>
        </w:rPr>
        <w:t xml:space="preserve"> 2016</w:t>
      </w:r>
      <w:proofErr w:type="gramStart"/>
      <w:r w:rsidRPr="006C1C14">
        <w:rPr>
          <w:lang w:val="en-AU"/>
        </w:rPr>
        <w:t>;204</w:t>
      </w:r>
      <w:proofErr w:type="gramEnd"/>
      <w:r w:rsidRPr="006C1C14">
        <w:rPr>
          <w:lang w:val="en-AU"/>
        </w:rPr>
        <w:t>(5):180-1.</w:t>
      </w:r>
    </w:p>
    <w:tbl>
      <w:tblPr>
        <w:tblStyle w:val="TableGrid"/>
        <w:tblW w:w="0" w:type="auto"/>
        <w:tblInd w:w="288" w:type="dxa"/>
        <w:tblLayout w:type="fixed"/>
        <w:tblLook w:val="01E0" w:firstRow="1" w:lastRow="1" w:firstColumn="1" w:lastColumn="1" w:noHBand="0" w:noVBand="0"/>
      </w:tblPr>
      <w:tblGrid>
        <w:gridCol w:w="1080"/>
        <w:gridCol w:w="8280"/>
      </w:tblGrid>
      <w:tr w:rsidR="00B17406" w:rsidRPr="00255EF8"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5B6694" w:rsidRDefault="00B17406" w:rsidP="006B1753">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17406" w:rsidRPr="005B6694" w:rsidRDefault="00FB5BAC" w:rsidP="006B1753">
            <w:pPr>
              <w:shd w:val="clear" w:color="auto" w:fill="FFFFFF"/>
              <w:rPr>
                <w:rStyle w:val="Hyperlink"/>
              </w:rPr>
            </w:pPr>
            <w:hyperlink r:id="rId24" w:history="1">
              <w:r w:rsidR="00B17406" w:rsidRPr="004E2481">
                <w:rPr>
                  <w:rStyle w:val="Hyperlink"/>
                </w:rPr>
                <w:t>http://dx.doi.org/10.5694/mja15.01398</w:t>
              </w:r>
            </w:hyperlink>
          </w:p>
        </w:tc>
      </w:tr>
      <w:tr w:rsidR="00B17406" w:rsidRPr="004147BB" w:rsidTr="006B1753">
        <w:tc>
          <w:tcPr>
            <w:tcW w:w="1080" w:type="dxa"/>
            <w:tcBorders>
              <w:top w:val="single" w:sz="4" w:space="0" w:color="auto"/>
              <w:left w:val="single" w:sz="4" w:space="0" w:color="auto"/>
              <w:bottom w:val="single" w:sz="4" w:space="0" w:color="auto"/>
              <w:right w:val="single" w:sz="4" w:space="0" w:color="auto"/>
            </w:tcBorders>
            <w:vAlign w:val="center"/>
          </w:tcPr>
          <w:p w:rsidR="00B17406" w:rsidRPr="00255EF8" w:rsidRDefault="00B17406" w:rsidP="006B175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5C03" w:rsidRDefault="00BE5C03" w:rsidP="00BE5C03">
            <w:pPr>
              <w:rPr>
                <w:lang w:val="en-AU" w:eastAsia="en-AU"/>
              </w:rPr>
            </w:pPr>
            <w:r w:rsidRPr="00BE5C03">
              <w:rPr>
                <w:lang w:val="en-AU" w:eastAsia="en-AU"/>
              </w:rPr>
              <w:t>This early report from the EVOLVE initiative grapples with some key challenges</w:t>
            </w:r>
            <w:r>
              <w:rPr>
                <w:lang w:val="en-AU" w:eastAsia="en-AU"/>
              </w:rPr>
              <w:t>,</w:t>
            </w:r>
            <w:r w:rsidRPr="00BE5C03">
              <w:rPr>
                <w:lang w:val="en-AU" w:eastAsia="en-AU"/>
              </w:rPr>
              <w:t xml:space="preserve"> so far</w:t>
            </w:r>
            <w:r>
              <w:rPr>
                <w:lang w:val="en-AU" w:eastAsia="en-AU"/>
              </w:rPr>
              <w:t>,</w:t>
            </w:r>
            <w:r w:rsidRPr="00BE5C03">
              <w:rPr>
                <w:lang w:val="en-AU" w:eastAsia="en-AU"/>
              </w:rPr>
              <w:t xml:space="preserve"> in efforts by 20 clinical specialities to </w:t>
            </w:r>
            <w:r w:rsidR="00555F74">
              <w:rPr>
                <w:lang w:val="en-AU" w:eastAsia="en-AU"/>
              </w:rPr>
              <w:t xml:space="preserve">develop a </w:t>
            </w:r>
            <w:r w:rsidRPr="00BE5C03">
              <w:rPr>
                <w:lang w:val="en-AU" w:eastAsia="en-AU"/>
              </w:rPr>
              <w:t xml:space="preserve">list of five items </w:t>
            </w:r>
            <w:r w:rsidR="00555F74">
              <w:rPr>
                <w:lang w:val="en-AU" w:eastAsia="en-AU"/>
              </w:rPr>
              <w:t xml:space="preserve">of </w:t>
            </w:r>
            <w:r w:rsidRPr="00BE5C03">
              <w:rPr>
                <w:lang w:val="en-AU" w:eastAsia="en-AU"/>
              </w:rPr>
              <w:t>low-value care in their domains of practice. Using a common framework</w:t>
            </w:r>
            <w:r>
              <w:rPr>
                <w:lang w:val="en-AU" w:eastAsia="en-AU"/>
              </w:rPr>
              <w:t xml:space="preserve"> and</w:t>
            </w:r>
            <w:r w:rsidRPr="00BE5C03">
              <w:rPr>
                <w:lang w:val="en-AU" w:eastAsia="en-AU"/>
              </w:rPr>
              <w:t xml:space="preserve"> principles, specialties had some flexibility in how they obtained consensus through </w:t>
            </w:r>
            <w:r>
              <w:rPr>
                <w:lang w:val="en-AU" w:eastAsia="en-AU"/>
              </w:rPr>
              <w:t xml:space="preserve">the mandated </w:t>
            </w:r>
            <w:r w:rsidRPr="00BE5C03">
              <w:rPr>
                <w:lang w:val="en-AU" w:eastAsia="en-AU"/>
              </w:rPr>
              <w:t xml:space="preserve">survey-based Delphi process. </w:t>
            </w:r>
          </w:p>
          <w:p w:rsidR="00BE5C03" w:rsidRPr="00BE5C03" w:rsidRDefault="00BE5C03" w:rsidP="00BE5C03">
            <w:pPr>
              <w:rPr>
                <w:lang w:val="en-AU" w:eastAsia="en-AU"/>
              </w:rPr>
            </w:pPr>
            <w:r w:rsidRPr="00BE5C03">
              <w:rPr>
                <w:lang w:val="en-AU" w:eastAsia="en-AU"/>
              </w:rPr>
              <w:t>Challenges identified included:</w:t>
            </w:r>
          </w:p>
          <w:p w:rsidR="00BE5C03" w:rsidRPr="00BE5C03" w:rsidRDefault="00BE5C03" w:rsidP="001F1856">
            <w:pPr>
              <w:pStyle w:val="ListParagraph"/>
              <w:numPr>
                <w:ilvl w:val="0"/>
                <w:numId w:val="16"/>
              </w:numPr>
              <w:rPr>
                <w:lang w:val="en-AU" w:eastAsia="en-AU"/>
              </w:rPr>
            </w:pPr>
            <w:r w:rsidRPr="00BE5C03">
              <w:rPr>
                <w:lang w:val="en-AU" w:eastAsia="en-AU"/>
              </w:rPr>
              <w:t>possible selection bias in the list of low-value practices, and related limited clinical buy-in to the list, if survey participation is not sufficiently representative of the professional body</w:t>
            </w:r>
          </w:p>
          <w:p w:rsidR="00BE5C03" w:rsidRPr="00BE5C03" w:rsidRDefault="00BE5C03" w:rsidP="001F1856">
            <w:pPr>
              <w:pStyle w:val="ListParagraph"/>
              <w:numPr>
                <w:ilvl w:val="0"/>
                <w:numId w:val="16"/>
              </w:numPr>
              <w:rPr>
                <w:lang w:val="en-AU" w:eastAsia="en-AU"/>
              </w:rPr>
            </w:pPr>
            <w:r w:rsidRPr="00BE5C03">
              <w:rPr>
                <w:lang w:val="en-AU" w:eastAsia="en-AU"/>
              </w:rPr>
              <w:t xml:space="preserve">data </w:t>
            </w:r>
            <w:r>
              <w:rPr>
                <w:lang w:val="en-AU" w:eastAsia="en-AU"/>
              </w:rPr>
              <w:t xml:space="preserve">deficiencies, </w:t>
            </w:r>
            <w:r w:rsidRPr="00BE5C03">
              <w:rPr>
                <w:lang w:val="en-AU" w:eastAsia="en-AU"/>
              </w:rPr>
              <w:t xml:space="preserve">making it difficult to determine if </w:t>
            </w:r>
            <w:r>
              <w:rPr>
                <w:lang w:val="en-AU" w:eastAsia="en-AU"/>
              </w:rPr>
              <w:t xml:space="preserve">particular practices are </w:t>
            </w:r>
            <w:r w:rsidRPr="00BE5C03">
              <w:rPr>
                <w:lang w:val="en-AU" w:eastAsia="en-AU"/>
              </w:rPr>
              <w:t>common, increasing, or</w:t>
            </w:r>
            <w:r w:rsidR="009E615D" w:rsidRPr="00BE5C03">
              <w:rPr>
                <w:lang w:val="en-AU" w:eastAsia="en-AU"/>
              </w:rPr>
              <w:t xml:space="preserve"> inappropriate</w:t>
            </w:r>
            <w:r w:rsidRPr="00BE5C03">
              <w:rPr>
                <w:lang w:val="en-AU" w:eastAsia="en-AU"/>
              </w:rPr>
              <w:t xml:space="preserve"> </w:t>
            </w:r>
            <w:r>
              <w:rPr>
                <w:lang w:val="en-AU" w:eastAsia="en-AU"/>
              </w:rPr>
              <w:t>(</w:t>
            </w:r>
            <w:r w:rsidR="009E615D">
              <w:rPr>
                <w:lang w:val="en-AU" w:eastAsia="en-AU"/>
              </w:rPr>
              <w:t xml:space="preserve">e.g. </w:t>
            </w:r>
            <w:r>
              <w:rPr>
                <w:lang w:val="en-AU" w:eastAsia="en-AU"/>
              </w:rPr>
              <w:t>due to a lack of information about indication for use)</w:t>
            </w:r>
            <w:r w:rsidRPr="00BE5C03">
              <w:rPr>
                <w:lang w:val="en-AU" w:eastAsia="en-AU"/>
              </w:rPr>
              <w:t xml:space="preserve"> </w:t>
            </w:r>
          </w:p>
          <w:p w:rsidR="00BE5C03" w:rsidRPr="00BE5C03" w:rsidRDefault="00BE5C03" w:rsidP="001F1856">
            <w:pPr>
              <w:pStyle w:val="ListParagraph"/>
              <w:numPr>
                <w:ilvl w:val="0"/>
                <w:numId w:val="16"/>
              </w:numPr>
              <w:rPr>
                <w:lang w:val="en-AU" w:eastAsia="en-AU"/>
              </w:rPr>
            </w:pPr>
            <w:proofErr w:type="gramStart"/>
            <w:r w:rsidRPr="00BE5C03">
              <w:rPr>
                <w:lang w:val="en-AU" w:eastAsia="en-AU"/>
              </w:rPr>
              <w:t>the</w:t>
            </w:r>
            <w:proofErr w:type="gramEnd"/>
            <w:r w:rsidRPr="00BE5C03">
              <w:rPr>
                <w:lang w:val="en-AU" w:eastAsia="en-AU"/>
              </w:rPr>
              <w:t xml:space="preserve"> process being specialist-dominated, for which cooperation with Choosing Wisely Australia led by NPS MedicineWise is noted as one  remedy.</w:t>
            </w:r>
          </w:p>
          <w:p w:rsidR="00BE5C03" w:rsidRPr="00BE5C03" w:rsidRDefault="009E615D" w:rsidP="00BE5C03">
            <w:pPr>
              <w:rPr>
                <w:lang w:val="en-AU" w:eastAsia="en-AU"/>
              </w:rPr>
            </w:pPr>
            <w:r>
              <w:rPr>
                <w:lang w:val="en-AU" w:eastAsia="en-AU"/>
              </w:rPr>
              <w:t>F</w:t>
            </w:r>
            <w:r w:rsidR="00BE5C03" w:rsidRPr="00BE5C03">
              <w:rPr>
                <w:lang w:val="en-AU" w:eastAsia="en-AU"/>
              </w:rPr>
              <w:t xml:space="preserve">inal thorny challenges relate to </w:t>
            </w:r>
          </w:p>
          <w:p w:rsidR="00BE5C03" w:rsidRPr="009E615D" w:rsidRDefault="00BE5C03" w:rsidP="001F1856">
            <w:pPr>
              <w:pStyle w:val="ListParagraph"/>
              <w:numPr>
                <w:ilvl w:val="0"/>
                <w:numId w:val="16"/>
              </w:numPr>
              <w:rPr>
                <w:lang w:val="en-AU" w:eastAsia="en-AU"/>
              </w:rPr>
            </w:pPr>
            <w:r w:rsidRPr="009E615D">
              <w:rPr>
                <w:lang w:val="en-AU" w:eastAsia="en-AU"/>
              </w:rPr>
              <w:t xml:space="preserve">implementation, and the difficulty of translating a list of items into clinician and consumer behaviour change </w:t>
            </w:r>
          </w:p>
          <w:p w:rsidR="00B17406" w:rsidRPr="009E615D" w:rsidRDefault="00BE5C03" w:rsidP="001F1856">
            <w:pPr>
              <w:pStyle w:val="ListParagraph"/>
              <w:numPr>
                <w:ilvl w:val="0"/>
                <w:numId w:val="16"/>
              </w:numPr>
              <w:rPr>
                <w:lang w:val="en-AU" w:eastAsia="en-AU"/>
              </w:rPr>
            </w:pPr>
            <w:proofErr w:type="gramStart"/>
            <w:r w:rsidRPr="009E615D">
              <w:rPr>
                <w:lang w:val="en-AU" w:eastAsia="en-AU"/>
              </w:rPr>
              <w:t>determining</w:t>
            </w:r>
            <w:proofErr w:type="gramEnd"/>
            <w:r w:rsidRPr="009E615D">
              <w:rPr>
                <w:lang w:val="en-AU" w:eastAsia="en-AU"/>
              </w:rPr>
              <w:t xml:space="preserve"> whether treatments and procedures that represent low</w:t>
            </w:r>
            <w:r w:rsidR="009E615D">
              <w:rPr>
                <w:lang w:val="en-AU" w:eastAsia="en-AU"/>
              </w:rPr>
              <w:t xml:space="preserve"> </w:t>
            </w:r>
            <w:r w:rsidRPr="009E615D">
              <w:rPr>
                <w:lang w:val="en-AU" w:eastAsia="en-AU"/>
              </w:rPr>
              <w:t>value in a specific clinical context, are of no value ever, and hence should not be subsidised (in the context of the MBS review).</w:t>
            </w:r>
          </w:p>
        </w:tc>
      </w:tr>
    </w:tbl>
    <w:p w:rsidR="00B17406" w:rsidRDefault="00B17406" w:rsidP="00B17406">
      <w:pPr>
        <w:rPr>
          <w:lang w:val="en-AU"/>
        </w:rPr>
      </w:pPr>
    </w:p>
    <w:p w:rsidR="00AC792A" w:rsidRPr="00AC792A" w:rsidRDefault="00AC792A" w:rsidP="00AC792A">
      <w:pPr>
        <w:keepNext/>
        <w:keepLines/>
        <w:autoSpaceDE w:val="0"/>
        <w:autoSpaceDN w:val="0"/>
        <w:adjustRightInd w:val="0"/>
        <w:rPr>
          <w:i/>
          <w:lang w:val="en-AU"/>
        </w:rPr>
      </w:pPr>
      <w:r w:rsidRPr="00AC792A">
        <w:rPr>
          <w:i/>
          <w:lang w:val="en-AU"/>
        </w:rPr>
        <w:lastRenderedPageBreak/>
        <w:t>Effectiveness of the Koorliny Moort out-of-hospital health care program for Aboriginal and Torres Strait Islander children in Western Australia</w:t>
      </w:r>
    </w:p>
    <w:p w:rsidR="00AC792A" w:rsidRDefault="00AC792A" w:rsidP="001F1CBA">
      <w:pPr>
        <w:keepNext/>
        <w:keepLines/>
        <w:autoSpaceDE w:val="0"/>
        <w:autoSpaceDN w:val="0"/>
        <w:adjustRightInd w:val="0"/>
        <w:rPr>
          <w:lang w:val="en-AU"/>
        </w:rPr>
      </w:pPr>
      <w:proofErr w:type="spellStart"/>
      <w:r w:rsidRPr="00AC792A">
        <w:rPr>
          <w:lang w:val="en-AU"/>
        </w:rPr>
        <w:t>Cresp</w:t>
      </w:r>
      <w:proofErr w:type="spellEnd"/>
      <w:r w:rsidRPr="00AC792A">
        <w:rPr>
          <w:lang w:val="en-AU"/>
        </w:rPr>
        <w:t xml:space="preserve"> R, Clarke K, </w:t>
      </w:r>
      <w:proofErr w:type="spellStart"/>
      <w:r w:rsidRPr="00AC792A">
        <w:rPr>
          <w:lang w:val="en-AU"/>
        </w:rPr>
        <w:t>McAuley</w:t>
      </w:r>
      <w:proofErr w:type="spellEnd"/>
      <w:r w:rsidRPr="00AC792A">
        <w:rPr>
          <w:lang w:val="en-AU"/>
        </w:rPr>
        <w:t xml:space="preserve"> KE, </w:t>
      </w:r>
      <w:proofErr w:type="spellStart"/>
      <w:r w:rsidRPr="00AC792A">
        <w:rPr>
          <w:lang w:val="en-AU"/>
        </w:rPr>
        <w:t>McAullay</w:t>
      </w:r>
      <w:proofErr w:type="spellEnd"/>
      <w:r w:rsidRPr="00AC792A">
        <w:rPr>
          <w:lang w:val="en-AU"/>
        </w:rPr>
        <w:t xml:space="preserve"> D, Moylan CA, Peter S, et al</w:t>
      </w:r>
    </w:p>
    <w:p w:rsidR="001F1CBA" w:rsidRPr="005B6694" w:rsidRDefault="00AC792A" w:rsidP="001F1CBA">
      <w:pPr>
        <w:keepNext/>
        <w:keepLines/>
        <w:autoSpaceDE w:val="0"/>
        <w:autoSpaceDN w:val="0"/>
        <w:adjustRightInd w:val="0"/>
        <w:rPr>
          <w:lang w:val="en-AU"/>
        </w:rPr>
      </w:pPr>
      <w:proofErr w:type="gramStart"/>
      <w:r w:rsidRPr="00AC792A">
        <w:rPr>
          <w:lang w:val="en-AU"/>
        </w:rPr>
        <w:t>Medical Journal of Australia.</w:t>
      </w:r>
      <w:proofErr w:type="gramEnd"/>
      <w:r w:rsidRPr="00AC792A">
        <w:rPr>
          <w:lang w:val="en-AU"/>
        </w:rPr>
        <w:t xml:space="preserve"> 2016</w:t>
      </w:r>
      <w:proofErr w:type="gramStart"/>
      <w:r w:rsidRPr="00AC792A">
        <w:rPr>
          <w:lang w:val="en-AU"/>
        </w:rPr>
        <w:t>;204</w:t>
      </w:r>
      <w:proofErr w:type="gramEnd"/>
      <w:r w:rsidRPr="00AC792A">
        <w:rPr>
          <w:lang w:val="en-AU"/>
        </w:rPr>
        <w:t>(5):197.</w:t>
      </w:r>
    </w:p>
    <w:tbl>
      <w:tblPr>
        <w:tblStyle w:val="TableGrid"/>
        <w:tblW w:w="0" w:type="auto"/>
        <w:tblInd w:w="288" w:type="dxa"/>
        <w:tblLayout w:type="fixed"/>
        <w:tblLook w:val="01E0" w:firstRow="1" w:lastRow="1" w:firstColumn="1" w:lastColumn="1" w:noHBand="0" w:noVBand="0"/>
      </w:tblPr>
      <w:tblGrid>
        <w:gridCol w:w="1080"/>
        <w:gridCol w:w="8280"/>
      </w:tblGrid>
      <w:tr w:rsidR="001F1CBA" w:rsidRPr="00255EF8"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5B6694" w:rsidRDefault="001F1CBA" w:rsidP="00411D1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5B6694" w:rsidRDefault="00FB5BAC" w:rsidP="00411D1A">
            <w:pPr>
              <w:shd w:val="clear" w:color="auto" w:fill="FFFFFF"/>
              <w:rPr>
                <w:rStyle w:val="Hyperlink"/>
              </w:rPr>
            </w:pPr>
            <w:hyperlink r:id="rId25" w:history="1">
              <w:r w:rsidR="00714622" w:rsidRPr="00006555">
                <w:rPr>
                  <w:rStyle w:val="Hyperlink"/>
                </w:rPr>
                <w:t>http://dx.doi.org/10.5694/mja15.00827</w:t>
              </w:r>
            </w:hyperlink>
          </w:p>
        </w:tc>
      </w:tr>
      <w:tr w:rsidR="001F1CBA" w:rsidRPr="004147BB"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55EF8" w:rsidRDefault="001F1CBA" w:rsidP="00411D1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615D" w:rsidRPr="009E615D" w:rsidRDefault="009E615D" w:rsidP="009E615D">
            <w:pPr>
              <w:rPr>
                <w:lang w:val="en-AU" w:eastAsia="en-AU"/>
              </w:rPr>
            </w:pPr>
            <w:r w:rsidRPr="009E615D">
              <w:rPr>
                <w:lang w:val="en-AU" w:eastAsia="en-AU"/>
              </w:rPr>
              <w:t xml:space="preserve">Implementing a culturally appropriate, consumer-centred, coordinated program of care led by Aboriginal Service Providers, </w:t>
            </w:r>
            <w:r>
              <w:rPr>
                <w:lang w:val="en-AU" w:eastAsia="en-AU"/>
              </w:rPr>
              <w:t xml:space="preserve">significantly </w:t>
            </w:r>
            <w:r w:rsidRPr="009E615D">
              <w:rPr>
                <w:lang w:val="en-AU" w:eastAsia="en-AU"/>
              </w:rPr>
              <w:t>improve</w:t>
            </w:r>
            <w:r>
              <w:rPr>
                <w:lang w:val="en-AU" w:eastAsia="en-AU"/>
              </w:rPr>
              <w:t>d</w:t>
            </w:r>
            <w:r w:rsidRPr="009E615D">
              <w:rPr>
                <w:lang w:val="en-AU" w:eastAsia="en-AU"/>
              </w:rPr>
              <w:t xml:space="preserve"> health care access in </w:t>
            </w:r>
            <w:r w:rsidR="00555F74">
              <w:rPr>
                <w:lang w:val="en-AU" w:eastAsia="en-AU"/>
              </w:rPr>
              <w:t xml:space="preserve">the </w:t>
            </w:r>
            <w:r w:rsidRPr="009E615D">
              <w:rPr>
                <w:lang w:val="en-AU" w:eastAsia="en-AU"/>
              </w:rPr>
              <w:t>three WA regions in which 70% of all Aboriginal children in WA reside. The Koorliny Moort</w:t>
            </w:r>
            <w:r w:rsidR="00513D5B">
              <w:rPr>
                <w:lang w:val="en-AU" w:eastAsia="en-AU"/>
              </w:rPr>
              <w:t xml:space="preserve"> </w:t>
            </w:r>
            <w:r w:rsidRPr="009E615D">
              <w:rPr>
                <w:lang w:val="en-AU" w:eastAsia="en-AU"/>
              </w:rPr>
              <w:t>(“walking with families”) program was designed to address disparities in accessing health care for Aboriginal children, who frequently present to hospital later than preferred, and are most often admitted directly from the Emergency Department (ED). Failing to attend appointments or leaving the ED without being seen</w:t>
            </w:r>
            <w:r>
              <w:rPr>
                <w:lang w:val="en-AU" w:eastAsia="en-AU"/>
              </w:rPr>
              <w:t>,</w:t>
            </w:r>
            <w:r w:rsidRPr="009E615D">
              <w:rPr>
                <w:lang w:val="en-AU" w:eastAsia="en-AU"/>
              </w:rPr>
              <w:t xml:space="preserve"> </w:t>
            </w:r>
            <w:r>
              <w:rPr>
                <w:lang w:val="en-AU" w:eastAsia="en-AU"/>
              </w:rPr>
              <w:t xml:space="preserve">are </w:t>
            </w:r>
            <w:r w:rsidRPr="009E615D">
              <w:rPr>
                <w:lang w:val="en-AU" w:eastAsia="en-AU"/>
              </w:rPr>
              <w:t>reportedly more frequent in this population.</w:t>
            </w:r>
          </w:p>
          <w:p w:rsidR="001F1CBA" w:rsidRPr="00D609D8" w:rsidRDefault="009E615D" w:rsidP="009E615D">
            <w:pPr>
              <w:rPr>
                <w:lang w:val="en-AU" w:eastAsia="en-AU"/>
              </w:rPr>
            </w:pPr>
            <w:r w:rsidRPr="009E615D">
              <w:rPr>
                <w:lang w:val="en-AU" w:eastAsia="en-AU"/>
              </w:rPr>
              <w:t xml:space="preserve">The program </w:t>
            </w:r>
            <w:r>
              <w:rPr>
                <w:lang w:val="en-AU" w:eastAsia="en-AU"/>
              </w:rPr>
              <w:t xml:space="preserve">analysed results </w:t>
            </w:r>
            <w:r w:rsidRPr="009E615D">
              <w:rPr>
                <w:lang w:val="en-AU" w:eastAsia="en-AU"/>
              </w:rPr>
              <w:t>for 942 children in 4 years</w:t>
            </w:r>
            <w:r>
              <w:rPr>
                <w:lang w:val="en-AU" w:eastAsia="en-AU"/>
              </w:rPr>
              <w:t>, with</w:t>
            </w:r>
            <w:r w:rsidRPr="009E615D">
              <w:rPr>
                <w:lang w:val="en-AU" w:eastAsia="en-AU"/>
              </w:rPr>
              <w:t xml:space="preserve"> each child act</w:t>
            </w:r>
            <w:r>
              <w:rPr>
                <w:lang w:val="en-AU" w:eastAsia="en-AU"/>
              </w:rPr>
              <w:t>ing</w:t>
            </w:r>
            <w:r w:rsidRPr="009E615D">
              <w:rPr>
                <w:lang w:val="en-AU" w:eastAsia="en-AU"/>
              </w:rPr>
              <w:t xml:space="preserve"> as their own control</w:t>
            </w:r>
            <w:r>
              <w:rPr>
                <w:lang w:val="en-AU" w:eastAsia="en-AU"/>
              </w:rPr>
              <w:t xml:space="preserve"> pre- and post- referral to Koorliny Moort</w:t>
            </w:r>
            <w:r w:rsidRPr="009E615D">
              <w:rPr>
                <w:lang w:val="en-AU" w:eastAsia="en-AU"/>
              </w:rPr>
              <w:t xml:space="preserve">. Significant changes included a 53% reduced rate of ED presentations, a 30% reduced rate of hospitalisation and reduced mean length of stay. Rates of non-attended appointments also decreased. The authors concluded that it </w:t>
            </w:r>
            <w:r w:rsidRPr="00555F74">
              <w:rPr>
                <w:lang w:val="en-AU" w:eastAsia="en-AU"/>
              </w:rPr>
              <w:t>“is possible to positively influence the health-seeking behaviour of families of Aboriginal children by engaging Aboriginal people in their health care, providing effective communication between health service providers, and delivering a coordinated program of care led by Aboriginal service providers.”</w:t>
            </w:r>
          </w:p>
        </w:tc>
      </w:tr>
    </w:tbl>
    <w:p w:rsidR="001F1CBA" w:rsidRDefault="001F1CBA" w:rsidP="001F1CBA">
      <w:pPr>
        <w:rPr>
          <w:lang w:val="en-AU"/>
        </w:rPr>
      </w:pPr>
    </w:p>
    <w:p w:rsidR="00B17406" w:rsidRPr="00B17406" w:rsidRDefault="00B17406" w:rsidP="00B17406">
      <w:pPr>
        <w:keepNext/>
        <w:keepLines/>
        <w:autoSpaceDE w:val="0"/>
        <w:autoSpaceDN w:val="0"/>
        <w:adjustRightInd w:val="0"/>
        <w:rPr>
          <w:i/>
          <w:lang w:val="en-AU"/>
        </w:rPr>
      </w:pPr>
      <w:r w:rsidRPr="00B17406">
        <w:rPr>
          <w:i/>
          <w:lang w:val="en-AU"/>
        </w:rPr>
        <w:t>Preparing for Home: a before-and-after study to investigate the effects of a neonatal discharge package aimed at increasing parental knowledge, understanding and confidence in caring for their preterm infant before and after discharge from hospital</w:t>
      </w:r>
    </w:p>
    <w:p w:rsidR="00B17406" w:rsidRDefault="00B17406" w:rsidP="001F1CBA">
      <w:pPr>
        <w:keepNext/>
        <w:keepLines/>
        <w:autoSpaceDE w:val="0"/>
        <w:autoSpaceDN w:val="0"/>
        <w:adjustRightInd w:val="0"/>
        <w:rPr>
          <w:lang w:val="en-AU"/>
        </w:rPr>
      </w:pPr>
      <w:r w:rsidRPr="00B17406">
        <w:rPr>
          <w:lang w:val="en-AU"/>
        </w:rPr>
        <w:t xml:space="preserve">Ingram J, Blair PS, Powell JE, </w:t>
      </w:r>
      <w:proofErr w:type="spellStart"/>
      <w:r w:rsidRPr="00B17406">
        <w:rPr>
          <w:lang w:val="en-AU"/>
        </w:rPr>
        <w:t>Manns</w:t>
      </w:r>
      <w:proofErr w:type="spellEnd"/>
      <w:r w:rsidRPr="00B17406">
        <w:rPr>
          <w:lang w:val="en-AU"/>
        </w:rPr>
        <w:t xml:space="preserve"> S, Burden H, </w:t>
      </w:r>
      <w:proofErr w:type="spellStart"/>
      <w:r w:rsidRPr="00B17406">
        <w:rPr>
          <w:lang w:val="en-AU"/>
        </w:rPr>
        <w:t>Pontin</w:t>
      </w:r>
      <w:proofErr w:type="spellEnd"/>
      <w:r w:rsidRPr="00B17406">
        <w:rPr>
          <w:lang w:val="en-AU"/>
        </w:rPr>
        <w:t xml:space="preserve"> D, et al. </w:t>
      </w:r>
    </w:p>
    <w:p w:rsidR="001F1CBA" w:rsidRPr="005B6694" w:rsidRDefault="00B17406" w:rsidP="001F1CBA">
      <w:pPr>
        <w:keepNext/>
        <w:keepLines/>
        <w:autoSpaceDE w:val="0"/>
        <w:autoSpaceDN w:val="0"/>
        <w:adjustRightInd w:val="0"/>
        <w:rPr>
          <w:lang w:val="en-AU"/>
        </w:rPr>
      </w:pPr>
      <w:proofErr w:type="gramStart"/>
      <w:r w:rsidRPr="00B17406">
        <w:rPr>
          <w:lang w:val="en-AU"/>
        </w:rPr>
        <w:t>Health Services and Delivery Research.</w:t>
      </w:r>
      <w:proofErr w:type="gramEnd"/>
      <w:r w:rsidRPr="00B17406">
        <w:rPr>
          <w:lang w:val="en-AU"/>
        </w:rPr>
        <w:t xml:space="preserve"> 2016 March 2016</w:t>
      </w:r>
      <w:proofErr w:type="gramStart"/>
      <w:r w:rsidRPr="00B17406">
        <w:rPr>
          <w:lang w:val="en-AU"/>
        </w:rPr>
        <w:t>;4</w:t>
      </w:r>
      <w:proofErr w:type="gramEnd"/>
      <w:r w:rsidRPr="00B17406">
        <w:rPr>
          <w:lang w:val="en-AU"/>
        </w:rPr>
        <w:t>(10).</w:t>
      </w:r>
    </w:p>
    <w:tbl>
      <w:tblPr>
        <w:tblStyle w:val="TableGrid"/>
        <w:tblW w:w="0" w:type="auto"/>
        <w:tblInd w:w="288" w:type="dxa"/>
        <w:tblLayout w:type="fixed"/>
        <w:tblLook w:val="01E0" w:firstRow="1" w:lastRow="1" w:firstColumn="1" w:lastColumn="1" w:noHBand="0" w:noVBand="0"/>
      </w:tblPr>
      <w:tblGrid>
        <w:gridCol w:w="1080"/>
        <w:gridCol w:w="8280"/>
      </w:tblGrid>
      <w:tr w:rsidR="001F1CBA" w:rsidRPr="00255EF8"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5B6694" w:rsidRDefault="001F1CBA" w:rsidP="00411D1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5B6694" w:rsidRDefault="00FB5BAC" w:rsidP="00411D1A">
            <w:pPr>
              <w:shd w:val="clear" w:color="auto" w:fill="FFFFFF"/>
              <w:rPr>
                <w:rStyle w:val="Hyperlink"/>
              </w:rPr>
            </w:pPr>
            <w:hyperlink r:id="rId26" w:history="1">
              <w:r w:rsidR="00B17406" w:rsidRPr="002624B3">
                <w:rPr>
                  <w:rStyle w:val="Hyperlink"/>
                </w:rPr>
                <w:t>http://dx.doi.org/10.3310/hsdr04100</w:t>
              </w:r>
            </w:hyperlink>
          </w:p>
        </w:tc>
      </w:tr>
      <w:tr w:rsidR="001F1CBA" w:rsidRPr="004147BB"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55EF8" w:rsidRDefault="001F1CBA" w:rsidP="00411D1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406" w:rsidRPr="00B17406" w:rsidRDefault="00B17406" w:rsidP="00B17406">
            <w:pPr>
              <w:rPr>
                <w:lang w:val="en-AU" w:eastAsia="en-AU"/>
              </w:rPr>
            </w:pPr>
            <w:r>
              <w:rPr>
                <w:lang w:val="en-AU" w:eastAsia="en-AU"/>
              </w:rPr>
              <w:t xml:space="preserve">This item reports on a the </w:t>
            </w:r>
            <w:r w:rsidRPr="00B17406">
              <w:rPr>
                <w:lang w:val="en-AU" w:eastAsia="en-AU"/>
              </w:rPr>
              <w:t>implement</w:t>
            </w:r>
            <w:r>
              <w:rPr>
                <w:lang w:val="en-AU" w:eastAsia="en-AU"/>
              </w:rPr>
              <w:t xml:space="preserve">ation of </w:t>
            </w:r>
            <w:r w:rsidRPr="00B17406">
              <w:rPr>
                <w:lang w:val="en-AU" w:eastAsia="en-AU"/>
              </w:rPr>
              <w:t xml:space="preserve">a parent-orientated discharge planning approach (Train-to-Home package) for preterm infants </w:t>
            </w:r>
            <w:r>
              <w:rPr>
                <w:lang w:val="en-AU" w:eastAsia="en-AU"/>
              </w:rPr>
              <w:t xml:space="preserve">in four neonatal units in south-western England </w:t>
            </w:r>
            <w:r w:rsidRPr="00B17406">
              <w:rPr>
                <w:lang w:val="en-AU" w:eastAsia="en-AU"/>
              </w:rPr>
              <w:t xml:space="preserve">and </w:t>
            </w:r>
            <w:r>
              <w:rPr>
                <w:lang w:val="en-AU" w:eastAsia="en-AU"/>
              </w:rPr>
              <w:t xml:space="preserve">also looks at </w:t>
            </w:r>
            <w:r w:rsidRPr="00B17406">
              <w:rPr>
                <w:lang w:val="en-AU" w:eastAsia="en-AU"/>
              </w:rPr>
              <w:t xml:space="preserve">the effects on parental self-efficacy scores, infants’ </w:t>
            </w:r>
            <w:r>
              <w:rPr>
                <w:lang w:val="en-AU" w:eastAsia="en-AU"/>
              </w:rPr>
              <w:t>length of stay (</w:t>
            </w:r>
            <w:r w:rsidRPr="00B17406">
              <w:rPr>
                <w:lang w:val="en-AU" w:eastAsia="en-AU"/>
              </w:rPr>
              <w:t>LOS</w:t>
            </w:r>
            <w:r>
              <w:rPr>
                <w:lang w:val="en-AU" w:eastAsia="en-AU"/>
              </w:rPr>
              <w:t>)</w:t>
            </w:r>
            <w:r w:rsidRPr="00B17406">
              <w:rPr>
                <w:lang w:val="en-AU" w:eastAsia="en-AU"/>
              </w:rPr>
              <w:t xml:space="preserve"> and change in costs associated with use of health-care resources in the 8 weeks after discharge, before and after implementation.</w:t>
            </w:r>
            <w:r>
              <w:rPr>
                <w:lang w:val="en-AU" w:eastAsia="en-AU"/>
              </w:rPr>
              <w:t xml:space="preserve"> The report found that t</w:t>
            </w:r>
            <w:r w:rsidRPr="00B17406">
              <w:rPr>
                <w:lang w:val="en-AU" w:eastAsia="en-AU"/>
              </w:rPr>
              <w:t xml:space="preserve">he </w:t>
            </w:r>
            <w:r>
              <w:rPr>
                <w:lang w:val="en-AU" w:eastAsia="en-AU"/>
              </w:rPr>
              <w:t>“</w:t>
            </w:r>
            <w:r w:rsidRPr="00B17406">
              <w:rPr>
                <w:lang w:val="en-AU" w:eastAsia="en-AU"/>
              </w:rPr>
              <w:t xml:space="preserve">very early discharge of most babies made further shortening of LOS very difficult to achieve. Despite the lack of change of the parental self-efficacy scores, parents reported that their </w:t>
            </w:r>
            <w:r w:rsidRPr="00B17406">
              <w:rPr>
                <w:b/>
                <w:lang w:val="en-AU" w:eastAsia="en-AU"/>
              </w:rPr>
              <w:t>understanding and confidence in caring</w:t>
            </w:r>
            <w:r w:rsidRPr="00B17406">
              <w:rPr>
                <w:lang w:val="en-AU" w:eastAsia="en-AU"/>
              </w:rPr>
              <w:t xml:space="preserve"> for their infants were </w:t>
            </w:r>
            <w:r w:rsidRPr="00B17406">
              <w:rPr>
                <w:b/>
                <w:lang w:val="en-AU" w:eastAsia="en-AU"/>
              </w:rPr>
              <w:t>improved</w:t>
            </w:r>
            <w:r w:rsidRPr="00B17406">
              <w:rPr>
                <w:lang w:val="en-AU" w:eastAsia="en-AU"/>
              </w:rPr>
              <w:t xml:space="preserve"> by the Train-to-Home package, and the </w:t>
            </w:r>
            <w:r w:rsidRPr="00B17406">
              <w:rPr>
                <w:b/>
                <w:lang w:val="en-AU" w:eastAsia="en-AU"/>
              </w:rPr>
              <w:t>reduction in ED attendance and associated costs</w:t>
            </w:r>
            <w:r w:rsidRPr="00B17406">
              <w:rPr>
                <w:lang w:val="en-AU" w:eastAsia="en-AU"/>
              </w:rPr>
              <w:t xml:space="preserve"> supports this assessment.</w:t>
            </w:r>
            <w:r>
              <w:rPr>
                <w:lang w:val="en-AU" w:eastAsia="en-AU"/>
              </w:rPr>
              <w:t>”</w:t>
            </w:r>
          </w:p>
          <w:p w:rsidR="00B17406" w:rsidRPr="00D609D8" w:rsidRDefault="00B17406" w:rsidP="00B17406">
            <w:pPr>
              <w:rPr>
                <w:lang w:val="en-AU" w:eastAsia="en-AU"/>
              </w:rPr>
            </w:pPr>
            <w:r>
              <w:rPr>
                <w:lang w:val="en-AU" w:eastAsia="en-AU"/>
              </w:rPr>
              <w:t xml:space="preserve">As with most </w:t>
            </w:r>
            <w:r w:rsidR="001C5039">
              <w:rPr>
                <w:lang w:val="en-AU" w:eastAsia="en-AU"/>
              </w:rPr>
              <w:t xml:space="preserve">(all?) </w:t>
            </w:r>
            <w:r>
              <w:rPr>
                <w:lang w:val="en-AU" w:eastAsia="en-AU"/>
              </w:rPr>
              <w:t>HSDR papers, a plan English summary is provided along with the scientific summary, protocol and full report (144 pages).</w:t>
            </w:r>
          </w:p>
        </w:tc>
      </w:tr>
    </w:tbl>
    <w:p w:rsidR="001F1CBA" w:rsidRDefault="001F1CBA" w:rsidP="001F1CBA">
      <w:pPr>
        <w:rPr>
          <w:lang w:val="en-AU"/>
        </w:rPr>
      </w:pPr>
    </w:p>
    <w:p w:rsidR="00856E9D" w:rsidRPr="00856E9D" w:rsidRDefault="00856E9D" w:rsidP="00856E9D">
      <w:pPr>
        <w:keepNext/>
        <w:keepLines/>
        <w:autoSpaceDE w:val="0"/>
        <w:autoSpaceDN w:val="0"/>
        <w:adjustRightInd w:val="0"/>
        <w:rPr>
          <w:i/>
          <w:lang w:val="en-AU"/>
        </w:rPr>
      </w:pPr>
      <w:r w:rsidRPr="00856E9D">
        <w:rPr>
          <w:i/>
          <w:lang w:val="en-AU"/>
        </w:rPr>
        <w:t>Pharmacy-led medication reconciliation programmes at hospital transitions: a systematic review and meta-analysis</w:t>
      </w:r>
    </w:p>
    <w:p w:rsidR="00856E9D" w:rsidRDefault="00856E9D" w:rsidP="001F1CBA">
      <w:pPr>
        <w:keepNext/>
        <w:keepLines/>
        <w:autoSpaceDE w:val="0"/>
        <w:autoSpaceDN w:val="0"/>
        <w:adjustRightInd w:val="0"/>
        <w:rPr>
          <w:lang w:val="en-AU"/>
        </w:rPr>
      </w:pPr>
      <w:proofErr w:type="spellStart"/>
      <w:r w:rsidRPr="00856E9D">
        <w:rPr>
          <w:lang w:val="en-AU"/>
        </w:rPr>
        <w:t>Mekonne</w:t>
      </w:r>
      <w:r>
        <w:rPr>
          <w:lang w:val="en-AU"/>
        </w:rPr>
        <w:t>n</w:t>
      </w:r>
      <w:proofErr w:type="spellEnd"/>
      <w:r>
        <w:rPr>
          <w:lang w:val="en-AU"/>
        </w:rPr>
        <w:t xml:space="preserve"> AB, McLachlan AJ, Brien J</w:t>
      </w:r>
    </w:p>
    <w:p w:rsidR="001F1CBA" w:rsidRPr="005B6694" w:rsidRDefault="00856E9D" w:rsidP="001F1CBA">
      <w:pPr>
        <w:keepNext/>
        <w:keepLines/>
        <w:autoSpaceDE w:val="0"/>
        <w:autoSpaceDN w:val="0"/>
        <w:adjustRightInd w:val="0"/>
        <w:rPr>
          <w:lang w:val="en-AU"/>
        </w:rPr>
      </w:pPr>
      <w:proofErr w:type="gramStart"/>
      <w:r w:rsidRPr="00856E9D">
        <w:rPr>
          <w:lang w:val="en-AU"/>
        </w:rPr>
        <w:t>Journal of Clinical Pharmacy and Therapeutics.</w:t>
      </w:r>
      <w:proofErr w:type="gramEnd"/>
      <w:r w:rsidRPr="00856E9D">
        <w:rPr>
          <w:lang w:val="en-AU"/>
        </w:rPr>
        <w:t xml:space="preserve"> </w:t>
      </w:r>
      <w:proofErr w:type="gramStart"/>
      <w:r w:rsidRPr="00856E9D">
        <w:rPr>
          <w:lang w:val="en-AU"/>
        </w:rPr>
        <w:t>2016</w:t>
      </w:r>
      <w:r>
        <w:rPr>
          <w:lang w:val="en-AU"/>
        </w:rPr>
        <w:t xml:space="preserve"> [epub]</w:t>
      </w:r>
      <w:r w:rsidRPr="00856E9D">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F1CBA" w:rsidRPr="00255EF8"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5B6694" w:rsidRDefault="001F1CBA" w:rsidP="00411D1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5B6694" w:rsidRDefault="00FB5BAC" w:rsidP="00411D1A">
            <w:pPr>
              <w:shd w:val="clear" w:color="auto" w:fill="FFFFFF"/>
              <w:rPr>
                <w:rStyle w:val="Hyperlink"/>
              </w:rPr>
            </w:pPr>
            <w:hyperlink r:id="rId27" w:history="1">
              <w:r w:rsidR="00856E9D" w:rsidRPr="005714BE">
                <w:rPr>
                  <w:rStyle w:val="Hyperlink"/>
                </w:rPr>
                <w:t>http://dx.doi.org/10.1111/jcpt.12364</w:t>
              </w:r>
            </w:hyperlink>
          </w:p>
        </w:tc>
      </w:tr>
      <w:tr w:rsidR="001F1CBA" w:rsidRPr="004147BB"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55EF8" w:rsidRDefault="001F1CBA" w:rsidP="00411D1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7FE0" w:rsidRDefault="00856E9D" w:rsidP="00E17587">
            <w:pPr>
              <w:rPr>
                <w:lang w:val="en-AU" w:eastAsia="en-AU"/>
              </w:rPr>
            </w:pPr>
            <w:r>
              <w:rPr>
                <w:lang w:val="en-AU" w:eastAsia="en-AU"/>
              </w:rPr>
              <w:t xml:space="preserve">Adding to the literature on medication reconciliation is this review and meta-analysis that focused on </w:t>
            </w:r>
            <w:r w:rsidRPr="00856E9D">
              <w:rPr>
                <w:lang w:val="en-AU" w:eastAsia="en-AU"/>
              </w:rPr>
              <w:t>the impact of pharmacy-led medication reconciliation interventions on medication discrepancies at hospital transitions</w:t>
            </w:r>
            <w:r>
              <w:rPr>
                <w:lang w:val="en-AU" w:eastAsia="en-AU"/>
              </w:rPr>
              <w:t xml:space="preserve">. </w:t>
            </w:r>
          </w:p>
          <w:p w:rsidR="00856E9D" w:rsidRPr="00D609D8" w:rsidRDefault="00856E9D" w:rsidP="00E17587">
            <w:pPr>
              <w:rPr>
                <w:lang w:val="en-AU" w:eastAsia="en-AU"/>
              </w:rPr>
            </w:pPr>
            <w:r>
              <w:rPr>
                <w:lang w:val="en-AU" w:eastAsia="en-AU"/>
              </w:rPr>
              <w:lastRenderedPageBreak/>
              <w:t xml:space="preserve">The review used 19 studies (11 of which were </w:t>
            </w:r>
            <w:r w:rsidRPr="00856E9D">
              <w:rPr>
                <w:lang w:val="en-AU" w:eastAsia="en-AU"/>
              </w:rPr>
              <w:t>randomi</w:t>
            </w:r>
            <w:r>
              <w:rPr>
                <w:lang w:val="en-AU" w:eastAsia="en-AU"/>
              </w:rPr>
              <w:t>s</w:t>
            </w:r>
            <w:r w:rsidRPr="00856E9D">
              <w:rPr>
                <w:lang w:val="en-AU" w:eastAsia="en-AU"/>
              </w:rPr>
              <w:t>ed controlled trials</w:t>
            </w:r>
            <w:r>
              <w:rPr>
                <w:lang w:val="en-AU" w:eastAsia="en-AU"/>
              </w:rPr>
              <w:t xml:space="preserve">) </w:t>
            </w:r>
            <w:r w:rsidRPr="00856E9D">
              <w:rPr>
                <w:lang w:val="en-AU" w:eastAsia="en-AU"/>
              </w:rPr>
              <w:t>involv</w:t>
            </w:r>
            <w:r>
              <w:rPr>
                <w:lang w:val="en-AU" w:eastAsia="en-AU"/>
              </w:rPr>
              <w:t>ing</w:t>
            </w:r>
            <w:r w:rsidRPr="00856E9D">
              <w:rPr>
                <w:lang w:val="en-AU" w:eastAsia="en-AU"/>
              </w:rPr>
              <w:t xml:space="preserve"> a total of 15 525 adult patients</w:t>
            </w:r>
            <w:r>
              <w:rPr>
                <w:lang w:val="en-AU" w:eastAsia="en-AU"/>
              </w:rPr>
              <w:t>. The authors report that “</w:t>
            </w:r>
            <w:r w:rsidRPr="00856E9D">
              <w:rPr>
                <w:b/>
                <w:lang w:val="en-AU" w:eastAsia="en-AU"/>
              </w:rPr>
              <w:t>Pharmacy-led medication reconciliation</w:t>
            </w:r>
            <w:r w:rsidRPr="00856E9D">
              <w:rPr>
                <w:lang w:val="en-AU" w:eastAsia="en-AU"/>
              </w:rPr>
              <w:t xml:space="preserve"> interventions were found to be an effective strategy to </w:t>
            </w:r>
            <w:r w:rsidRPr="00856E9D">
              <w:rPr>
                <w:b/>
                <w:lang w:val="en-AU" w:eastAsia="en-AU"/>
              </w:rPr>
              <w:t>reduce medication discrepancies</w:t>
            </w:r>
            <w:r w:rsidRPr="00856E9D">
              <w:rPr>
                <w:lang w:val="en-AU" w:eastAsia="en-AU"/>
              </w:rPr>
              <w:t xml:space="preserve">, and had a greater impact when conducted at </w:t>
            </w:r>
            <w:bookmarkStart w:id="1" w:name="_GoBack"/>
            <w:bookmarkEnd w:id="1"/>
            <w:r w:rsidRPr="00856E9D">
              <w:rPr>
                <w:lang w:val="en-AU" w:eastAsia="en-AU"/>
              </w:rPr>
              <w:t>either admission or discharge but were less effective during multiple transitions in care.</w:t>
            </w:r>
            <w:r>
              <w:rPr>
                <w:lang w:val="en-AU" w:eastAsia="en-AU"/>
              </w:rPr>
              <w:t>”</w:t>
            </w:r>
          </w:p>
        </w:tc>
      </w:tr>
    </w:tbl>
    <w:p w:rsidR="001F1CBA" w:rsidRDefault="001F1CBA" w:rsidP="001F1CBA">
      <w:pPr>
        <w:rPr>
          <w:lang w:val="en-AU"/>
        </w:rPr>
      </w:pPr>
    </w:p>
    <w:p w:rsidR="00856E9D" w:rsidRDefault="00856E9D" w:rsidP="001F1CBA">
      <w:pPr>
        <w:rPr>
          <w:lang w:val="en-AU"/>
        </w:rPr>
      </w:pPr>
      <w:r w:rsidRPr="00EA6F18">
        <w:rPr>
          <w:lang w:val="en-AU"/>
        </w:rPr>
        <w:t>For information on the Commission’s work on</w:t>
      </w:r>
      <w:r>
        <w:rPr>
          <w:lang w:val="en-AU"/>
        </w:rPr>
        <w:t xml:space="preserve"> medication safety, including medication reconciliation, see </w:t>
      </w:r>
      <w:hyperlink r:id="rId28" w:history="1">
        <w:r w:rsidRPr="005714BE">
          <w:rPr>
            <w:rStyle w:val="Hyperlink"/>
            <w:lang w:val="en-AU"/>
          </w:rPr>
          <w:t>http://www.safetyandquality.gov.au/our-work/medication-safety/</w:t>
        </w:r>
      </w:hyperlink>
    </w:p>
    <w:p w:rsidR="001F1CBA" w:rsidRDefault="001F1CBA" w:rsidP="001F1CBA">
      <w:pPr>
        <w:keepNext/>
        <w:keepLines/>
        <w:autoSpaceDE w:val="0"/>
        <w:autoSpaceDN w:val="0"/>
        <w:adjustRightInd w:val="0"/>
        <w:rPr>
          <w:lang w:val="en-AU"/>
        </w:rPr>
      </w:pPr>
    </w:p>
    <w:p w:rsidR="00865C55" w:rsidRPr="00865C55" w:rsidRDefault="00865C55" w:rsidP="00865C55">
      <w:pPr>
        <w:keepNext/>
        <w:keepLines/>
        <w:autoSpaceDE w:val="0"/>
        <w:autoSpaceDN w:val="0"/>
        <w:adjustRightInd w:val="0"/>
        <w:rPr>
          <w:i/>
          <w:lang w:val="en-AU"/>
        </w:rPr>
      </w:pPr>
      <w:r w:rsidRPr="00865C55">
        <w:rPr>
          <w:i/>
          <w:lang w:val="en-AU"/>
        </w:rPr>
        <w:t>Factors that drive team participation in surgical safety checks: a prospective study</w:t>
      </w:r>
    </w:p>
    <w:p w:rsidR="00865C55" w:rsidRDefault="00865C55" w:rsidP="001F1CBA">
      <w:pPr>
        <w:keepNext/>
        <w:keepLines/>
        <w:autoSpaceDE w:val="0"/>
        <w:autoSpaceDN w:val="0"/>
        <w:adjustRightInd w:val="0"/>
        <w:rPr>
          <w:lang w:val="en-AU"/>
        </w:rPr>
      </w:pPr>
      <w:r w:rsidRPr="00865C55">
        <w:rPr>
          <w:lang w:val="en-AU"/>
        </w:rPr>
        <w:t>Gillespie BM, Withers TK, La</w:t>
      </w:r>
      <w:r>
        <w:rPr>
          <w:lang w:val="en-AU"/>
        </w:rPr>
        <w:t>vin J, Gardiner T, Marshall AP</w:t>
      </w:r>
    </w:p>
    <w:p w:rsidR="00865C55" w:rsidRPr="005B6694" w:rsidRDefault="00865C55" w:rsidP="001F1CBA">
      <w:pPr>
        <w:keepNext/>
        <w:keepLines/>
        <w:autoSpaceDE w:val="0"/>
        <w:autoSpaceDN w:val="0"/>
        <w:adjustRightInd w:val="0"/>
        <w:rPr>
          <w:lang w:val="en-AU"/>
        </w:rPr>
      </w:pPr>
      <w:proofErr w:type="gramStart"/>
      <w:r w:rsidRPr="00865C55">
        <w:rPr>
          <w:lang w:val="en-AU"/>
        </w:rPr>
        <w:t>Patient Safety in Surgery.</w:t>
      </w:r>
      <w:proofErr w:type="gramEnd"/>
      <w:r w:rsidRPr="00865C55">
        <w:rPr>
          <w:lang w:val="en-AU"/>
        </w:rPr>
        <w:t xml:space="preserve"> 2016</w:t>
      </w:r>
      <w:proofErr w:type="gramStart"/>
      <w:r w:rsidRPr="00865C55">
        <w:rPr>
          <w:lang w:val="en-AU"/>
        </w:rPr>
        <w:t>;10</w:t>
      </w:r>
      <w:proofErr w:type="gramEnd"/>
      <w:r w:rsidRPr="00865C55">
        <w:rPr>
          <w:lang w:val="en-AU"/>
        </w:rPr>
        <w:t>(1):1-9.</w:t>
      </w:r>
    </w:p>
    <w:tbl>
      <w:tblPr>
        <w:tblStyle w:val="TableGrid"/>
        <w:tblW w:w="0" w:type="auto"/>
        <w:tblInd w:w="288" w:type="dxa"/>
        <w:tblLayout w:type="fixed"/>
        <w:tblLook w:val="01E0" w:firstRow="1" w:lastRow="1" w:firstColumn="1" w:lastColumn="1" w:noHBand="0" w:noVBand="0"/>
      </w:tblPr>
      <w:tblGrid>
        <w:gridCol w:w="1080"/>
        <w:gridCol w:w="8280"/>
      </w:tblGrid>
      <w:tr w:rsidR="001F1CBA" w:rsidRPr="00255EF8"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5B6694" w:rsidRDefault="001F1CBA" w:rsidP="00411D1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5B6694" w:rsidRDefault="00FB5BAC" w:rsidP="00411D1A">
            <w:pPr>
              <w:shd w:val="clear" w:color="auto" w:fill="FFFFFF"/>
              <w:rPr>
                <w:rStyle w:val="Hyperlink"/>
              </w:rPr>
            </w:pPr>
            <w:hyperlink r:id="rId29" w:history="1">
              <w:r w:rsidR="00865C55" w:rsidRPr="005714BE">
                <w:rPr>
                  <w:rStyle w:val="Hyperlink"/>
                </w:rPr>
                <w:t>http://dx.doi.org/10.1186/s13037-015-0090-5</w:t>
              </w:r>
            </w:hyperlink>
          </w:p>
        </w:tc>
      </w:tr>
      <w:tr w:rsidR="001F1CBA" w:rsidRPr="004147BB"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55EF8" w:rsidRDefault="001F1CBA" w:rsidP="00411D1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D609D8" w:rsidRDefault="001932B2" w:rsidP="001932B2">
            <w:pPr>
              <w:rPr>
                <w:lang w:val="en-AU" w:eastAsia="en-AU"/>
              </w:rPr>
            </w:pPr>
            <w:r>
              <w:rPr>
                <w:lang w:val="en-AU" w:eastAsia="en-AU"/>
              </w:rPr>
              <w:t xml:space="preserve">This study – based on observations of 10 </w:t>
            </w:r>
            <w:r w:rsidRPr="001932B2">
              <w:rPr>
                <w:lang w:val="en-AU" w:eastAsia="en-AU"/>
              </w:rPr>
              <w:t>surgical teams and semi-structured interviews with 70 participants from nursing, surgery and anaesthetics, and the community</w:t>
            </w:r>
            <w:r>
              <w:rPr>
                <w:lang w:val="en-AU" w:eastAsia="en-AU"/>
              </w:rPr>
              <w:t xml:space="preserve"> – sought to </w:t>
            </w:r>
            <w:r w:rsidRPr="001932B2">
              <w:rPr>
                <w:lang w:val="en-AU" w:eastAsia="en-AU"/>
              </w:rPr>
              <w:t>identify and describe factors that drive team participation in safety checks in surgery.</w:t>
            </w:r>
            <w:r>
              <w:rPr>
                <w:lang w:val="en-AU" w:eastAsia="en-AU"/>
              </w:rPr>
              <w:t xml:space="preserve"> The conclusions that the authors drew from the observations and their analyses were “</w:t>
            </w:r>
            <w:r w:rsidRPr="001932B2">
              <w:rPr>
                <w:b/>
                <w:lang w:val="en-AU" w:eastAsia="en-AU"/>
              </w:rPr>
              <w:t>Team participation</w:t>
            </w:r>
            <w:r w:rsidRPr="001932B2">
              <w:rPr>
                <w:lang w:val="en-AU" w:eastAsia="en-AU"/>
              </w:rPr>
              <w:t xml:space="preserve"> in safety checks depends on a convergence of intertwined factors; namely, </w:t>
            </w:r>
            <w:r w:rsidRPr="001932B2">
              <w:rPr>
                <w:b/>
                <w:lang w:val="en-AU" w:eastAsia="en-AU"/>
              </w:rPr>
              <w:t>team attributes</w:t>
            </w:r>
            <w:r w:rsidRPr="001932B2">
              <w:rPr>
                <w:lang w:val="en-AU" w:eastAsia="en-AU"/>
              </w:rPr>
              <w:t xml:space="preserve">, </w:t>
            </w:r>
            <w:r w:rsidRPr="001932B2">
              <w:rPr>
                <w:b/>
                <w:lang w:val="en-AU" w:eastAsia="en-AU"/>
              </w:rPr>
              <w:t>communication strategies</w:t>
            </w:r>
            <w:r w:rsidRPr="001932B2">
              <w:rPr>
                <w:lang w:val="en-AU" w:eastAsia="en-AU"/>
              </w:rPr>
              <w:t xml:space="preserve"> and </w:t>
            </w:r>
            <w:r w:rsidRPr="001932B2">
              <w:rPr>
                <w:b/>
                <w:lang w:val="en-AU" w:eastAsia="en-AU"/>
              </w:rPr>
              <w:t>checking processes</w:t>
            </w:r>
            <w:r w:rsidRPr="001932B2">
              <w:rPr>
                <w:lang w:val="en-AU" w:eastAsia="en-AU"/>
              </w:rPr>
              <w:t xml:space="preserve">. A whole-of-team approach to participation in surgical safety checks is far more complex when considering the factors that drive participation. Strategies to increase participation in safety checks need to </w:t>
            </w:r>
            <w:r w:rsidRPr="001932B2">
              <w:rPr>
                <w:b/>
                <w:lang w:val="en-AU" w:eastAsia="en-AU"/>
              </w:rPr>
              <w:t>target professional communication practices</w:t>
            </w:r>
            <w:r w:rsidRPr="001932B2">
              <w:rPr>
                <w:lang w:val="en-AU" w:eastAsia="en-AU"/>
              </w:rPr>
              <w:t xml:space="preserve"> and </w:t>
            </w:r>
            <w:r w:rsidRPr="001932B2">
              <w:rPr>
                <w:b/>
                <w:lang w:val="en-AU" w:eastAsia="en-AU"/>
              </w:rPr>
              <w:t>work processes</w:t>
            </w:r>
            <w:r w:rsidRPr="001932B2">
              <w:rPr>
                <w:lang w:val="en-AU" w:eastAsia="en-AU"/>
              </w:rPr>
              <w:t xml:space="preserve"> such as workflow which curtail team members’ ability to participate.</w:t>
            </w:r>
            <w:r>
              <w:rPr>
                <w:lang w:val="en-AU" w:eastAsia="en-AU"/>
              </w:rPr>
              <w:t>”</w:t>
            </w:r>
          </w:p>
        </w:tc>
      </w:tr>
    </w:tbl>
    <w:p w:rsidR="001F1CBA" w:rsidRDefault="001F1CBA" w:rsidP="001F1CBA">
      <w:pPr>
        <w:rPr>
          <w:lang w:val="en-AU"/>
        </w:rPr>
      </w:pPr>
    </w:p>
    <w:p w:rsidR="00BE7212" w:rsidRPr="00EC1B1B" w:rsidRDefault="00BE7212" w:rsidP="00BE7212">
      <w:pPr>
        <w:keepLines/>
        <w:autoSpaceDE w:val="0"/>
        <w:autoSpaceDN w:val="0"/>
        <w:adjustRightInd w:val="0"/>
        <w:rPr>
          <w:i/>
          <w:lang w:val="en-AU"/>
        </w:rPr>
      </w:pPr>
      <w:proofErr w:type="spellStart"/>
      <w:r w:rsidRPr="00EC1B1B">
        <w:rPr>
          <w:i/>
          <w:lang w:val="en-AU"/>
        </w:rPr>
        <w:t>HealthcarePapers</w:t>
      </w:r>
      <w:proofErr w:type="spellEnd"/>
    </w:p>
    <w:p w:rsidR="00BE7212" w:rsidRDefault="00BE7212" w:rsidP="00BE7212">
      <w:pPr>
        <w:keepLines/>
        <w:autoSpaceDE w:val="0"/>
        <w:autoSpaceDN w:val="0"/>
        <w:adjustRightInd w:val="0"/>
        <w:rPr>
          <w:lang w:val="en-AU"/>
        </w:rPr>
      </w:pPr>
      <w:r>
        <w:rPr>
          <w:lang w:val="en-AU"/>
        </w:rPr>
        <w:t>Vol. 15 Special Issue 2016</w:t>
      </w:r>
    </w:p>
    <w:tbl>
      <w:tblPr>
        <w:tblStyle w:val="TableGrid"/>
        <w:tblW w:w="0" w:type="auto"/>
        <w:tblInd w:w="288" w:type="dxa"/>
        <w:tblLayout w:type="fixed"/>
        <w:tblLook w:val="01E0" w:firstRow="1" w:lastRow="1" w:firstColumn="1" w:lastColumn="1" w:noHBand="0" w:noVBand="0"/>
      </w:tblPr>
      <w:tblGrid>
        <w:gridCol w:w="1080"/>
        <w:gridCol w:w="8280"/>
      </w:tblGrid>
      <w:tr w:rsidR="00BE7212" w:rsidRPr="00255EF8" w:rsidTr="006B1753">
        <w:tc>
          <w:tcPr>
            <w:tcW w:w="1080" w:type="dxa"/>
            <w:tcBorders>
              <w:top w:val="single" w:sz="4" w:space="0" w:color="auto"/>
              <w:left w:val="single" w:sz="4" w:space="0" w:color="auto"/>
              <w:bottom w:val="single" w:sz="4" w:space="0" w:color="auto"/>
              <w:right w:val="single" w:sz="4" w:space="0" w:color="auto"/>
            </w:tcBorders>
            <w:vAlign w:val="center"/>
          </w:tcPr>
          <w:p w:rsidR="00BE7212" w:rsidRPr="00255EF8" w:rsidRDefault="00BE7212" w:rsidP="006B175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54157" w:rsidRPr="00255EF8" w:rsidRDefault="00FB5BAC" w:rsidP="00454157">
            <w:pPr>
              <w:rPr>
                <w:lang w:val="en-AU"/>
              </w:rPr>
            </w:pPr>
            <w:hyperlink r:id="rId30" w:history="1">
              <w:r w:rsidR="00B51EA2" w:rsidRPr="002624B3">
                <w:rPr>
                  <w:rStyle w:val="Hyperlink"/>
                  <w:lang w:val="en-AU"/>
                </w:rPr>
                <w:t>http://www.longwoods.com/publications/healthcarepapers/24405</w:t>
              </w:r>
            </w:hyperlink>
          </w:p>
        </w:tc>
      </w:tr>
      <w:tr w:rsidR="00BE7212" w:rsidRPr="004147BB" w:rsidTr="006B1753">
        <w:tc>
          <w:tcPr>
            <w:tcW w:w="1080" w:type="dxa"/>
            <w:tcBorders>
              <w:top w:val="single" w:sz="4" w:space="0" w:color="auto"/>
              <w:left w:val="single" w:sz="4" w:space="0" w:color="auto"/>
              <w:bottom w:val="single" w:sz="4" w:space="0" w:color="auto"/>
              <w:right w:val="single" w:sz="4" w:space="0" w:color="auto"/>
            </w:tcBorders>
            <w:vAlign w:val="center"/>
          </w:tcPr>
          <w:p w:rsidR="00BE7212" w:rsidRPr="00255EF8" w:rsidRDefault="00BE7212" w:rsidP="006B1753">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7212" w:rsidRDefault="00BE7212" w:rsidP="006B1753">
            <w:pPr>
              <w:rPr>
                <w:lang w:val="en-AU" w:eastAsia="en-AU"/>
              </w:rPr>
            </w:pPr>
            <w:r>
              <w:rPr>
                <w:lang w:val="en-AU" w:eastAsia="en-AU"/>
              </w:rPr>
              <w:t xml:space="preserve">A special issue of </w:t>
            </w:r>
            <w:proofErr w:type="spellStart"/>
            <w:r w:rsidRPr="00EC1B1B">
              <w:rPr>
                <w:i/>
                <w:lang w:val="en-AU" w:eastAsia="en-AU"/>
              </w:rPr>
              <w:t>HealthcarePapers</w:t>
            </w:r>
            <w:proofErr w:type="spellEnd"/>
            <w:r>
              <w:rPr>
                <w:lang w:val="en-AU" w:eastAsia="en-AU"/>
              </w:rPr>
              <w:t xml:space="preserve"> has been published with the theme ‘</w:t>
            </w:r>
            <w:r w:rsidRPr="00BE7212">
              <w:rPr>
                <w:lang w:val="en-AU" w:eastAsia="en-AU"/>
              </w:rPr>
              <w:t>A Collaborative Approach to a Chronic Care Problem</w:t>
            </w:r>
            <w:r>
              <w:rPr>
                <w:lang w:val="en-AU" w:eastAsia="en-AU"/>
              </w:rPr>
              <w:t xml:space="preserve">’. Articles in this special issue of </w:t>
            </w:r>
            <w:proofErr w:type="spellStart"/>
            <w:r w:rsidRPr="00EC1B1B">
              <w:rPr>
                <w:i/>
                <w:lang w:val="en-AU" w:eastAsia="en-AU"/>
              </w:rPr>
              <w:t>HealthcarePapers</w:t>
            </w:r>
            <w:proofErr w:type="spellEnd"/>
            <w:r>
              <w:rPr>
                <w:lang w:val="en-AU" w:eastAsia="en-AU"/>
              </w:rPr>
              <w:t xml:space="preserve"> include:</w:t>
            </w:r>
          </w:p>
          <w:p w:rsidR="00BE7212" w:rsidRPr="00BE7212" w:rsidRDefault="00BE7212" w:rsidP="001F1856">
            <w:pPr>
              <w:pStyle w:val="ListParagraph"/>
              <w:numPr>
                <w:ilvl w:val="0"/>
                <w:numId w:val="16"/>
              </w:numPr>
              <w:rPr>
                <w:lang w:val="en-AU" w:eastAsia="en-AU"/>
              </w:rPr>
            </w:pPr>
            <w:r w:rsidRPr="00BE7212">
              <w:rPr>
                <w:lang w:val="en-AU" w:eastAsia="en-AU"/>
              </w:rPr>
              <w:t xml:space="preserve">The </w:t>
            </w:r>
            <w:r w:rsidRPr="00753FB0">
              <w:rPr>
                <w:b/>
                <w:lang w:val="en-AU" w:eastAsia="en-AU"/>
              </w:rPr>
              <w:t>Atlantic Healthcare Collaboration</w:t>
            </w:r>
            <w:r w:rsidRPr="00BE7212">
              <w:rPr>
                <w:lang w:val="en-AU" w:eastAsia="en-AU"/>
              </w:rPr>
              <w:t xml:space="preserve">: Is it Time to Challenge the </w:t>
            </w:r>
            <w:r w:rsidRPr="00BE7212">
              <w:rPr>
                <w:b/>
                <w:lang w:val="en-AU" w:eastAsia="en-AU"/>
              </w:rPr>
              <w:t>West–East Health Gradient</w:t>
            </w:r>
            <w:r w:rsidRPr="00BE7212">
              <w:rPr>
                <w:lang w:val="en-AU" w:eastAsia="en-AU"/>
              </w:rPr>
              <w:t xml:space="preserve"> in Canada? (Terrence Sullivan</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A </w:t>
            </w:r>
            <w:r w:rsidRPr="00BE7212">
              <w:rPr>
                <w:b/>
                <w:lang w:val="en-AU" w:eastAsia="en-AU"/>
              </w:rPr>
              <w:t>Collaborative Approach to a Chronic Care Problem</w:t>
            </w:r>
            <w:r w:rsidRPr="00BE7212">
              <w:rPr>
                <w:lang w:val="en-AU" w:eastAsia="en-AU"/>
              </w:rPr>
              <w:t xml:space="preserve"> (Jennifer Y Verma, Jean-Louis Denis, Stephen Samis, F Champagne and M O'Neil</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A First Step on the Journey to </w:t>
            </w:r>
            <w:r w:rsidRPr="00BE7212">
              <w:rPr>
                <w:b/>
                <w:lang w:val="en-AU" w:eastAsia="en-AU"/>
              </w:rPr>
              <w:t>High-Quality Chronic Illness Care</w:t>
            </w:r>
            <w:r w:rsidRPr="00BE7212">
              <w:rPr>
                <w:lang w:val="en-AU" w:eastAsia="en-AU"/>
              </w:rPr>
              <w:t xml:space="preserve"> (Edward H Wagner</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System-Level Reform in </w:t>
            </w:r>
            <w:r w:rsidRPr="00BE7212">
              <w:rPr>
                <w:b/>
                <w:lang w:val="en-AU" w:eastAsia="en-AU"/>
              </w:rPr>
              <w:t>Healthcare Delivery</w:t>
            </w:r>
            <w:r w:rsidRPr="00BE7212">
              <w:rPr>
                <w:lang w:val="en-AU" w:eastAsia="en-AU"/>
              </w:rPr>
              <w:t xml:space="preserve"> for Patients and Populations Living With</w:t>
            </w:r>
            <w:r w:rsidRPr="00BE7212">
              <w:rPr>
                <w:b/>
                <w:lang w:val="en-AU" w:eastAsia="en-AU"/>
              </w:rPr>
              <w:t xml:space="preserve"> Chronic Disease</w:t>
            </w:r>
            <w:r w:rsidRPr="00BE7212">
              <w:rPr>
                <w:lang w:val="en-AU" w:eastAsia="en-AU"/>
              </w:rPr>
              <w:t xml:space="preserve"> (Richard Wedge and Hon. Douglas W Currie</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 </w:t>
            </w:r>
            <w:r w:rsidRPr="00BE7212">
              <w:rPr>
                <w:b/>
                <w:lang w:val="en-AU" w:eastAsia="en-AU"/>
              </w:rPr>
              <w:t>Collaborative Approach</w:t>
            </w:r>
            <w:r w:rsidRPr="00BE7212">
              <w:rPr>
                <w:lang w:val="en-AU" w:eastAsia="en-AU"/>
              </w:rPr>
              <w:t xml:space="preserve"> to a </w:t>
            </w:r>
            <w:r w:rsidRPr="00BE7212">
              <w:rPr>
                <w:b/>
                <w:lang w:val="en-AU" w:eastAsia="en-AU"/>
              </w:rPr>
              <w:t>Chronic Care</w:t>
            </w:r>
            <w:r w:rsidRPr="00BE7212">
              <w:rPr>
                <w:lang w:val="en-AU" w:eastAsia="en-AU"/>
              </w:rPr>
              <w:t xml:space="preserve"> Problem: An Academic Mentor’s Point of View (Michael Vallis</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Evaluating a </w:t>
            </w:r>
            <w:r w:rsidRPr="00BE7212">
              <w:rPr>
                <w:b/>
                <w:lang w:val="en-AU" w:eastAsia="en-AU"/>
              </w:rPr>
              <w:t>Chronic Disease Management Improvement Collaboration</w:t>
            </w:r>
            <w:r w:rsidRPr="00BE7212">
              <w:rPr>
                <w:lang w:val="en-AU" w:eastAsia="en-AU"/>
              </w:rPr>
              <w:t xml:space="preserve">: Lessons in Design and Implementation Fundamentals (Kaye Phillips, Claudia Amar and </w:t>
            </w:r>
            <w:proofErr w:type="spellStart"/>
            <w:r w:rsidRPr="00BE7212">
              <w:rPr>
                <w:lang w:val="en-AU" w:eastAsia="en-AU"/>
              </w:rPr>
              <w:t>Keesa</w:t>
            </w:r>
            <w:proofErr w:type="spellEnd"/>
            <w:r w:rsidRPr="00BE7212">
              <w:rPr>
                <w:lang w:val="en-AU" w:eastAsia="en-AU"/>
              </w:rPr>
              <w:t xml:space="preserve"> </w:t>
            </w:r>
            <w:proofErr w:type="spellStart"/>
            <w:r w:rsidRPr="00BE7212">
              <w:rPr>
                <w:lang w:val="en-AU" w:eastAsia="en-AU"/>
              </w:rPr>
              <w:t>Elicksen</w:t>
            </w:r>
            <w:proofErr w:type="spellEnd"/>
            <w:r w:rsidRPr="00BE7212">
              <w:rPr>
                <w:lang w:val="en-AU" w:eastAsia="en-AU"/>
              </w:rPr>
              <w:t>-Jensen</w:t>
            </w:r>
            <w:r>
              <w:rPr>
                <w:lang w:val="en-AU" w:eastAsia="en-AU"/>
              </w:rPr>
              <w:t>)</w:t>
            </w:r>
          </w:p>
          <w:p w:rsidR="00BE7212" w:rsidRPr="00BE7212" w:rsidRDefault="00BE7212" w:rsidP="001F1856">
            <w:pPr>
              <w:pStyle w:val="ListParagraph"/>
              <w:numPr>
                <w:ilvl w:val="0"/>
                <w:numId w:val="16"/>
              </w:numPr>
              <w:rPr>
                <w:lang w:val="en-AU" w:eastAsia="en-AU"/>
              </w:rPr>
            </w:pPr>
            <w:r w:rsidRPr="00BE7212">
              <w:rPr>
                <w:lang w:val="en-AU" w:eastAsia="en-AU"/>
              </w:rPr>
              <w:t xml:space="preserve">Meeting the </w:t>
            </w:r>
            <w:r w:rsidRPr="00BE7212">
              <w:rPr>
                <w:b/>
                <w:lang w:val="en-AU" w:eastAsia="en-AU"/>
              </w:rPr>
              <w:t>Challenge of</w:t>
            </w:r>
            <w:r w:rsidRPr="00BE7212">
              <w:rPr>
                <w:lang w:val="en-AU" w:eastAsia="en-AU"/>
              </w:rPr>
              <w:t xml:space="preserve"> </w:t>
            </w:r>
            <w:r w:rsidRPr="00BE7212">
              <w:rPr>
                <w:b/>
                <w:lang w:val="en-AU" w:eastAsia="en-AU"/>
              </w:rPr>
              <w:t>Chronic Conditions</w:t>
            </w:r>
            <w:r w:rsidRPr="00BE7212">
              <w:rPr>
                <w:lang w:val="en-AU" w:eastAsia="en-AU"/>
              </w:rPr>
              <w:t xml:space="preserve"> in a Sustainable Manner: Building on the AHC Learning (Pedro Delgado</w:t>
            </w:r>
            <w:r>
              <w:rPr>
                <w:lang w:val="en-AU" w:eastAsia="en-AU"/>
              </w:rPr>
              <w:t>)</w:t>
            </w:r>
          </w:p>
          <w:p w:rsidR="00BE7212" w:rsidRDefault="00BE7212" w:rsidP="001F1856">
            <w:pPr>
              <w:pStyle w:val="ListParagraph"/>
              <w:numPr>
                <w:ilvl w:val="0"/>
                <w:numId w:val="16"/>
              </w:numPr>
              <w:rPr>
                <w:lang w:val="en-AU" w:eastAsia="en-AU"/>
              </w:rPr>
            </w:pPr>
            <w:r w:rsidRPr="00BE7212">
              <w:rPr>
                <w:lang w:val="en-AU" w:eastAsia="en-AU"/>
              </w:rPr>
              <w:t xml:space="preserve">A Last Word on </w:t>
            </w:r>
            <w:r w:rsidRPr="00BE7212">
              <w:rPr>
                <w:b/>
                <w:lang w:val="en-AU" w:eastAsia="en-AU"/>
              </w:rPr>
              <w:t>Collaborating for Lasting Change</w:t>
            </w:r>
            <w:r>
              <w:rPr>
                <w:lang w:val="en-AU" w:eastAsia="en-AU"/>
              </w:rPr>
              <w:t xml:space="preserve"> (</w:t>
            </w:r>
            <w:r w:rsidRPr="00BE7212">
              <w:rPr>
                <w:lang w:val="en-AU" w:eastAsia="en-AU"/>
              </w:rPr>
              <w:t>Jennifer Y Verma, Stephen Samis, Jean-Louis Denis, Maureen O'Neil and F Champagne</w:t>
            </w:r>
            <w:r>
              <w:rPr>
                <w:lang w:val="en-AU" w:eastAsia="en-AU"/>
              </w:rPr>
              <w:t>)</w:t>
            </w:r>
          </w:p>
          <w:p w:rsidR="00440922" w:rsidRDefault="00440922" w:rsidP="00440922">
            <w:pPr>
              <w:keepNext/>
            </w:pPr>
            <w:r>
              <w:rPr>
                <w:noProof/>
                <w:lang w:val="en-AU" w:eastAsia="en-AU"/>
              </w:rPr>
              <w:lastRenderedPageBreak/>
              <w:drawing>
                <wp:inline distT="0" distB="0" distL="0" distR="0" wp14:anchorId="6D5C9979" wp14:editId="1478ACBF">
                  <wp:extent cx="5118100" cy="450272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17461" cy="4502164"/>
                          </a:xfrm>
                          <a:prstGeom prst="rect">
                            <a:avLst/>
                          </a:prstGeom>
                        </pic:spPr>
                      </pic:pic>
                    </a:graphicData>
                  </a:graphic>
                </wp:inline>
              </w:drawing>
            </w:r>
          </w:p>
          <w:p w:rsidR="00440922" w:rsidRPr="00440922" w:rsidRDefault="00440922" w:rsidP="00440922">
            <w:pPr>
              <w:pStyle w:val="Caption"/>
              <w:rPr>
                <w:lang w:val="en-AU" w:eastAsia="en-AU"/>
              </w:rPr>
            </w:pPr>
            <w:r>
              <w:t xml:space="preserve">Figure </w:t>
            </w:r>
            <w:r>
              <w:fldChar w:fldCharType="begin"/>
            </w:r>
            <w:r>
              <w:instrText xml:space="preserve"> SEQ Figure \* ARABIC </w:instrText>
            </w:r>
            <w:r>
              <w:fldChar w:fldCharType="separate"/>
            </w:r>
            <w:r>
              <w:rPr>
                <w:noProof/>
              </w:rPr>
              <w:t>2</w:t>
            </w:r>
            <w:r>
              <w:fldChar w:fldCharType="end"/>
            </w:r>
            <w:r>
              <w:t>. Canadian Foundation for Healthcare Improvement's Six levers for accelerating healthcare improvement</w:t>
            </w:r>
          </w:p>
        </w:tc>
      </w:tr>
    </w:tbl>
    <w:p w:rsidR="00BE7212" w:rsidRDefault="00BE7212" w:rsidP="001C7C18">
      <w:pPr>
        <w:rPr>
          <w:lang w:val="en-AU" w:eastAsia="en-AU"/>
        </w:rPr>
      </w:pPr>
    </w:p>
    <w:p w:rsidR="00B02F6E" w:rsidRPr="002302EF" w:rsidRDefault="00B02F6E" w:rsidP="00B02F6E">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2302EF" w:rsidRDefault="00FB5BAC" w:rsidP="00511790">
            <w:pPr>
              <w:rPr>
                <w:lang w:val="en-AU"/>
              </w:rPr>
            </w:pPr>
            <w:hyperlink r:id="rId32" w:history="1">
              <w:r w:rsidR="00B02F6E" w:rsidRPr="002302EF">
                <w:rPr>
                  <w:rStyle w:val="Hyperlink"/>
                  <w:lang w:val="en-AU"/>
                </w:rPr>
                <w:t>http://qualitysafety.bmj.com/content/early/recent</w:t>
              </w:r>
            </w:hyperlink>
          </w:p>
        </w:tc>
      </w:tr>
      <w:tr w:rsidR="00B02F6E" w:rsidRPr="002302EF" w:rsidTr="00511790">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511790">
            <w:pPr>
              <w:rPr>
                <w:lang w:val="en-AU"/>
              </w:rPr>
            </w:pPr>
            <w:r>
              <w:br w:type="page"/>
            </w: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511790">
            <w:pPr>
              <w:rPr>
                <w:lang w:val="en-AU"/>
              </w:rPr>
            </w:pPr>
            <w:r w:rsidRPr="002302EF">
              <w:rPr>
                <w:i/>
                <w:lang w:val="en-AU"/>
              </w:rPr>
              <w:t>BMJ Quality and Safety</w:t>
            </w:r>
            <w:r w:rsidRPr="002302EF">
              <w:rPr>
                <w:lang w:val="en-AU"/>
              </w:rPr>
              <w:t xml:space="preserve"> has published a number of ‘online first’ articles, including:</w:t>
            </w:r>
          </w:p>
          <w:p w:rsidR="00583C5A" w:rsidRPr="00583C5A" w:rsidRDefault="00583C5A" w:rsidP="00583C5A">
            <w:pPr>
              <w:pStyle w:val="ListParagraph"/>
              <w:numPr>
                <w:ilvl w:val="0"/>
                <w:numId w:val="14"/>
              </w:numPr>
              <w:rPr>
                <w:lang w:val="en-AU"/>
              </w:rPr>
            </w:pPr>
            <w:r w:rsidRPr="00583C5A">
              <w:rPr>
                <w:lang w:val="en-AU"/>
              </w:rPr>
              <w:t xml:space="preserve">From tokenism to empowerment: progressing </w:t>
            </w:r>
            <w:r w:rsidRPr="00583C5A">
              <w:rPr>
                <w:b/>
                <w:lang w:val="en-AU"/>
              </w:rPr>
              <w:t>patient and public involvement in healthcare improvement</w:t>
            </w:r>
            <w:r w:rsidRPr="00583C5A">
              <w:rPr>
                <w:lang w:val="en-AU"/>
              </w:rPr>
              <w:t xml:space="preserve"> (J</w:t>
            </w:r>
            <w:r>
              <w:rPr>
                <w:lang w:val="en-AU"/>
              </w:rPr>
              <w:t xml:space="preserve">osephine </w:t>
            </w:r>
            <w:proofErr w:type="spellStart"/>
            <w:r>
              <w:rPr>
                <w:lang w:val="en-AU"/>
              </w:rPr>
              <w:t>Ocloo</w:t>
            </w:r>
            <w:proofErr w:type="spellEnd"/>
            <w:r>
              <w:rPr>
                <w:lang w:val="en-AU"/>
              </w:rPr>
              <w:t>, Rachel Matthews)</w:t>
            </w:r>
          </w:p>
          <w:p w:rsidR="00AF1C8D" w:rsidRDefault="00583C5A" w:rsidP="00583C5A">
            <w:pPr>
              <w:pStyle w:val="ListParagraph"/>
              <w:numPr>
                <w:ilvl w:val="0"/>
                <w:numId w:val="14"/>
              </w:numPr>
              <w:rPr>
                <w:lang w:val="en-AU"/>
              </w:rPr>
            </w:pPr>
            <w:r w:rsidRPr="00583C5A">
              <w:rPr>
                <w:lang w:val="en-AU"/>
              </w:rPr>
              <w:t xml:space="preserve">A cross-sectional observational study of high override rates of </w:t>
            </w:r>
            <w:r w:rsidRPr="00583C5A">
              <w:rPr>
                <w:b/>
                <w:lang w:val="en-AU"/>
              </w:rPr>
              <w:t>drug allergy alerts</w:t>
            </w:r>
            <w:r w:rsidRPr="00583C5A">
              <w:rPr>
                <w:lang w:val="en-AU"/>
              </w:rPr>
              <w:t xml:space="preserve"> in inpatient and outpatient settings, and opportunities for improvement (Sarah Patricia Slight, Patrick E Beeler, Diane L </w:t>
            </w:r>
            <w:proofErr w:type="spellStart"/>
            <w:r w:rsidRPr="00583C5A">
              <w:rPr>
                <w:lang w:val="en-AU"/>
              </w:rPr>
              <w:t>Seger</w:t>
            </w:r>
            <w:proofErr w:type="spellEnd"/>
            <w:r w:rsidRPr="00583C5A">
              <w:rPr>
                <w:lang w:val="en-AU"/>
              </w:rPr>
              <w:t xml:space="preserve">, Mary G Amato, </w:t>
            </w:r>
            <w:proofErr w:type="spellStart"/>
            <w:r w:rsidRPr="00583C5A">
              <w:rPr>
                <w:lang w:val="en-AU"/>
              </w:rPr>
              <w:t>Qoua</w:t>
            </w:r>
            <w:proofErr w:type="spellEnd"/>
            <w:r w:rsidRPr="00583C5A">
              <w:rPr>
                <w:lang w:val="en-AU"/>
              </w:rPr>
              <w:t xml:space="preserve"> L Her, Michael </w:t>
            </w:r>
            <w:proofErr w:type="spellStart"/>
            <w:r w:rsidRPr="00583C5A">
              <w:rPr>
                <w:lang w:val="en-AU"/>
              </w:rPr>
              <w:t>Swerdloff</w:t>
            </w:r>
            <w:proofErr w:type="spellEnd"/>
            <w:r w:rsidRPr="00583C5A">
              <w:rPr>
                <w:lang w:val="en-AU"/>
              </w:rPr>
              <w:t xml:space="preserve">, Olivia </w:t>
            </w:r>
            <w:proofErr w:type="spellStart"/>
            <w:r w:rsidRPr="00583C5A">
              <w:rPr>
                <w:lang w:val="en-AU"/>
              </w:rPr>
              <w:t>Dalleur</w:t>
            </w:r>
            <w:proofErr w:type="spellEnd"/>
            <w:r w:rsidRPr="00583C5A">
              <w:rPr>
                <w:lang w:val="en-AU"/>
              </w:rPr>
              <w:t xml:space="preserve">, Karen C </w:t>
            </w:r>
            <w:proofErr w:type="spellStart"/>
            <w:r w:rsidRPr="00583C5A">
              <w:rPr>
                <w:lang w:val="en-AU"/>
              </w:rPr>
              <w:t>Nanji</w:t>
            </w:r>
            <w:proofErr w:type="spellEnd"/>
            <w:r w:rsidRPr="00583C5A">
              <w:rPr>
                <w:lang w:val="en-AU"/>
              </w:rPr>
              <w:t xml:space="preserve">, </w:t>
            </w:r>
            <w:proofErr w:type="spellStart"/>
            <w:r w:rsidRPr="00583C5A">
              <w:rPr>
                <w:lang w:val="en-AU"/>
              </w:rPr>
              <w:t>InSook</w:t>
            </w:r>
            <w:proofErr w:type="spellEnd"/>
            <w:r w:rsidRPr="00583C5A">
              <w:rPr>
                <w:lang w:val="en-AU"/>
              </w:rPr>
              <w:t xml:space="preserve"> Cho, N </w:t>
            </w:r>
            <w:proofErr w:type="spellStart"/>
            <w:r w:rsidRPr="00583C5A">
              <w:rPr>
                <w:lang w:val="en-AU"/>
              </w:rPr>
              <w:t>Maniam</w:t>
            </w:r>
            <w:proofErr w:type="spellEnd"/>
            <w:r w:rsidRPr="00583C5A">
              <w:rPr>
                <w:lang w:val="en-AU"/>
              </w:rPr>
              <w:t xml:space="preserve">, T </w:t>
            </w:r>
            <w:proofErr w:type="spellStart"/>
            <w:r w:rsidRPr="00583C5A">
              <w:rPr>
                <w:lang w:val="en-AU"/>
              </w:rPr>
              <w:t>Eguale</w:t>
            </w:r>
            <w:proofErr w:type="spellEnd"/>
            <w:r w:rsidRPr="00583C5A">
              <w:rPr>
                <w:lang w:val="en-AU"/>
              </w:rPr>
              <w:t xml:space="preserve">, J M </w:t>
            </w:r>
            <w:proofErr w:type="spellStart"/>
            <w:r w:rsidRPr="00583C5A">
              <w:rPr>
                <w:lang w:val="en-AU"/>
              </w:rPr>
              <w:t>Fiskio</w:t>
            </w:r>
            <w:proofErr w:type="spellEnd"/>
            <w:r w:rsidRPr="00583C5A">
              <w:rPr>
                <w:lang w:val="en-AU"/>
              </w:rPr>
              <w:t>, P C Dykes, D W Bates</w:t>
            </w:r>
            <w:r>
              <w:rPr>
                <w:lang w:val="en-AU"/>
              </w:rPr>
              <w:t>)</w:t>
            </w:r>
          </w:p>
          <w:p w:rsidR="00FF2105" w:rsidRPr="00D755FC" w:rsidRDefault="00B51EA2" w:rsidP="002E4D59">
            <w:pPr>
              <w:pStyle w:val="ListParagraph"/>
              <w:numPr>
                <w:ilvl w:val="0"/>
                <w:numId w:val="14"/>
              </w:numPr>
              <w:rPr>
                <w:lang w:val="en-AU"/>
              </w:rPr>
            </w:pPr>
            <w:r w:rsidRPr="00B51EA2">
              <w:rPr>
                <w:b/>
                <w:lang w:val="en-AU"/>
              </w:rPr>
              <w:t>Re-examining high reliability</w:t>
            </w:r>
            <w:r w:rsidRPr="00B51EA2">
              <w:rPr>
                <w:lang w:val="en-AU"/>
              </w:rPr>
              <w:t>: actively organising for safety</w:t>
            </w:r>
            <w:r>
              <w:rPr>
                <w:lang w:val="en-AU"/>
              </w:rPr>
              <w:t xml:space="preserve"> (</w:t>
            </w:r>
            <w:r w:rsidRPr="00B51EA2">
              <w:rPr>
                <w:lang w:val="en-AU"/>
              </w:rPr>
              <w:t>Kathleen M Sutcliffe, Lori Paine, Peter J Pronovost</w:t>
            </w:r>
            <w:r>
              <w:rPr>
                <w:lang w:val="en-AU"/>
              </w:rPr>
              <w:t>)</w:t>
            </w:r>
          </w:p>
        </w:tc>
      </w:tr>
    </w:tbl>
    <w:p w:rsidR="00B02F6E" w:rsidRDefault="00B02F6E" w:rsidP="00B02F6E">
      <w:pPr>
        <w:keepLines/>
        <w:autoSpaceDE w:val="0"/>
        <w:autoSpaceDN w:val="0"/>
        <w:adjustRightInd w:val="0"/>
        <w:rPr>
          <w:lang w:val="en-AU"/>
        </w:rPr>
      </w:pPr>
    </w:p>
    <w:p w:rsidR="001F1CBA" w:rsidRPr="002302EF" w:rsidRDefault="001F1CBA" w:rsidP="001F1CBA">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F1CBA" w:rsidRPr="002302EF"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2302EF" w:rsidRDefault="00FB5BAC" w:rsidP="00411D1A">
            <w:pPr>
              <w:rPr>
                <w:lang w:val="en-AU"/>
              </w:rPr>
            </w:pPr>
            <w:hyperlink r:id="rId33" w:history="1">
              <w:r w:rsidR="001F1CBA" w:rsidRPr="002302EF">
                <w:rPr>
                  <w:rStyle w:val="Hyperlink"/>
                  <w:lang w:val="en-AU"/>
                </w:rPr>
                <w:t>http://intqhc.oxfordjournals.org/content/early/recent?papetoc</w:t>
              </w:r>
            </w:hyperlink>
          </w:p>
        </w:tc>
      </w:tr>
      <w:tr w:rsidR="001F1CBA" w:rsidRPr="002302EF" w:rsidTr="00411D1A">
        <w:tc>
          <w:tcPr>
            <w:tcW w:w="10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1CBA" w:rsidRPr="002302EF" w:rsidRDefault="001F1CBA" w:rsidP="00411D1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C80D23" w:rsidRPr="007D328E" w:rsidRDefault="00C80D23" w:rsidP="00C80D23">
            <w:pPr>
              <w:pStyle w:val="ListParagraph"/>
              <w:numPr>
                <w:ilvl w:val="0"/>
                <w:numId w:val="14"/>
              </w:numPr>
              <w:rPr>
                <w:lang w:val="en-AU"/>
              </w:rPr>
            </w:pPr>
            <w:proofErr w:type="spellStart"/>
            <w:r w:rsidRPr="007D328E">
              <w:rPr>
                <w:lang w:val="en-AU"/>
              </w:rPr>
              <w:t>SIMulation</w:t>
            </w:r>
            <w:proofErr w:type="spellEnd"/>
            <w:r w:rsidRPr="007D328E">
              <w:rPr>
                <w:lang w:val="en-AU"/>
              </w:rPr>
              <w:t xml:space="preserve"> of </w:t>
            </w:r>
            <w:r w:rsidRPr="007D328E">
              <w:rPr>
                <w:b/>
                <w:lang w:val="en-AU"/>
              </w:rPr>
              <w:t>Medication Error</w:t>
            </w:r>
            <w:r w:rsidRPr="007D328E">
              <w:rPr>
                <w:lang w:val="en-AU"/>
              </w:rPr>
              <w:t xml:space="preserve"> induced by Clinical Trial drug </w:t>
            </w:r>
            <w:proofErr w:type="spellStart"/>
            <w:r w:rsidRPr="007D328E">
              <w:rPr>
                <w:lang w:val="en-AU"/>
              </w:rPr>
              <w:t>labeling</w:t>
            </w:r>
            <w:proofErr w:type="spellEnd"/>
            <w:r w:rsidRPr="007D328E">
              <w:rPr>
                <w:lang w:val="en-AU"/>
              </w:rPr>
              <w:t xml:space="preserve">: the SIMME-CT study (Cecile </w:t>
            </w:r>
            <w:proofErr w:type="spellStart"/>
            <w:r w:rsidRPr="007D328E">
              <w:rPr>
                <w:lang w:val="en-AU"/>
              </w:rPr>
              <w:t>Dollinger</w:t>
            </w:r>
            <w:proofErr w:type="spellEnd"/>
            <w:r w:rsidRPr="007D328E">
              <w:rPr>
                <w:lang w:val="en-AU"/>
              </w:rPr>
              <w:t xml:space="preserve">, </w:t>
            </w:r>
            <w:proofErr w:type="spellStart"/>
            <w:r w:rsidRPr="007D328E">
              <w:rPr>
                <w:lang w:val="en-AU"/>
              </w:rPr>
              <w:t>Vérane</w:t>
            </w:r>
            <w:proofErr w:type="spellEnd"/>
            <w:r w:rsidRPr="007D328E">
              <w:rPr>
                <w:lang w:val="en-AU"/>
              </w:rPr>
              <w:t xml:space="preserve"> </w:t>
            </w:r>
            <w:proofErr w:type="spellStart"/>
            <w:r w:rsidRPr="007D328E">
              <w:rPr>
                <w:lang w:val="en-AU"/>
              </w:rPr>
              <w:t>Schwiertz</w:t>
            </w:r>
            <w:proofErr w:type="spellEnd"/>
            <w:r w:rsidRPr="007D328E">
              <w:rPr>
                <w:lang w:val="en-AU"/>
              </w:rPr>
              <w:t xml:space="preserve">, Laura </w:t>
            </w:r>
            <w:proofErr w:type="spellStart"/>
            <w:r w:rsidRPr="007D328E">
              <w:rPr>
                <w:lang w:val="en-AU"/>
              </w:rPr>
              <w:t>Sarfati</w:t>
            </w:r>
            <w:proofErr w:type="spellEnd"/>
            <w:r w:rsidRPr="007D328E">
              <w:rPr>
                <w:lang w:val="en-AU"/>
              </w:rPr>
              <w:t xml:space="preserve">, </w:t>
            </w:r>
            <w:proofErr w:type="spellStart"/>
            <w:r w:rsidRPr="007D328E">
              <w:rPr>
                <w:lang w:val="en-AU"/>
              </w:rPr>
              <w:t>Chloé</w:t>
            </w:r>
            <w:proofErr w:type="spellEnd"/>
            <w:r w:rsidRPr="007D328E">
              <w:rPr>
                <w:lang w:val="en-AU"/>
              </w:rPr>
              <w:t xml:space="preserve"> </w:t>
            </w:r>
            <w:proofErr w:type="spellStart"/>
            <w:r w:rsidRPr="007D328E">
              <w:rPr>
                <w:lang w:val="en-AU"/>
              </w:rPr>
              <w:t>Gourc-Berthod</w:t>
            </w:r>
            <w:proofErr w:type="spellEnd"/>
            <w:r w:rsidRPr="007D328E">
              <w:rPr>
                <w:lang w:val="en-AU"/>
              </w:rPr>
              <w:t xml:space="preserve">, M-G </w:t>
            </w:r>
            <w:proofErr w:type="spellStart"/>
            <w:r w:rsidRPr="007D328E">
              <w:rPr>
                <w:lang w:val="en-AU"/>
              </w:rPr>
              <w:t>Guédat</w:t>
            </w:r>
            <w:proofErr w:type="spellEnd"/>
            <w:r w:rsidRPr="007D328E">
              <w:rPr>
                <w:lang w:val="en-AU"/>
              </w:rPr>
              <w:t xml:space="preserve">, C </w:t>
            </w:r>
            <w:proofErr w:type="spellStart"/>
            <w:r w:rsidRPr="007D328E">
              <w:rPr>
                <w:lang w:val="en-AU"/>
              </w:rPr>
              <w:t>Alloux</w:t>
            </w:r>
            <w:proofErr w:type="spellEnd"/>
            <w:r w:rsidRPr="007D328E">
              <w:rPr>
                <w:lang w:val="en-AU"/>
              </w:rPr>
              <w:t xml:space="preserve">, N </w:t>
            </w:r>
            <w:proofErr w:type="spellStart"/>
            <w:r w:rsidRPr="007D328E">
              <w:rPr>
                <w:lang w:val="en-AU"/>
              </w:rPr>
              <w:t>Vantard</w:t>
            </w:r>
            <w:proofErr w:type="spellEnd"/>
            <w:r w:rsidRPr="007D328E">
              <w:rPr>
                <w:lang w:val="en-AU"/>
              </w:rPr>
              <w:t xml:space="preserve">, N Gauthier, S He, E </w:t>
            </w:r>
            <w:proofErr w:type="spellStart"/>
            <w:r w:rsidRPr="007D328E">
              <w:rPr>
                <w:lang w:val="en-AU"/>
              </w:rPr>
              <w:t>Kiouris</w:t>
            </w:r>
            <w:proofErr w:type="spellEnd"/>
            <w:r w:rsidRPr="007D328E">
              <w:rPr>
                <w:lang w:val="en-AU"/>
              </w:rPr>
              <w:t xml:space="preserve">, A-G </w:t>
            </w:r>
            <w:proofErr w:type="spellStart"/>
            <w:r w:rsidRPr="007D328E">
              <w:rPr>
                <w:lang w:val="en-AU"/>
              </w:rPr>
              <w:t>Caffin</w:t>
            </w:r>
            <w:proofErr w:type="spellEnd"/>
            <w:r w:rsidRPr="007D328E">
              <w:rPr>
                <w:lang w:val="en-AU"/>
              </w:rPr>
              <w:t xml:space="preserve">, </w:t>
            </w:r>
            <w:r w:rsidR="007D328E">
              <w:rPr>
                <w:lang w:val="en-AU"/>
              </w:rPr>
              <w:t>D Bernard, F</w:t>
            </w:r>
            <w:r w:rsidRPr="007D328E">
              <w:rPr>
                <w:lang w:val="en-AU"/>
              </w:rPr>
              <w:t xml:space="preserve"> </w:t>
            </w:r>
            <w:proofErr w:type="spellStart"/>
            <w:r w:rsidRPr="007D328E">
              <w:rPr>
                <w:lang w:val="en-AU"/>
              </w:rPr>
              <w:t>Ranchon</w:t>
            </w:r>
            <w:proofErr w:type="spellEnd"/>
            <w:r w:rsidRPr="007D328E">
              <w:rPr>
                <w:lang w:val="en-AU"/>
              </w:rPr>
              <w:t xml:space="preserve">, and C </w:t>
            </w:r>
            <w:proofErr w:type="spellStart"/>
            <w:r w:rsidRPr="007D328E">
              <w:rPr>
                <w:lang w:val="en-AU"/>
              </w:rPr>
              <w:t>Rioufol</w:t>
            </w:r>
            <w:proofErr w:type="spellEnd"/>
            <w:r w:rsidR="007D328E">
              <w:rPr>
                <w:lang w:val="en-AU"/>
              </w:rPr>
              <w:t>)</w:t>
            </w:r>
          </w:p>
          <w:p w:rsidR="00C80D23" w:rsidRPr="007D328E" w:rsidRDefault="00C80D23" w:rsidP="00C80D23">
            <w:pPr>
              <w:pStyle w:val="ListParagraph"/>
              <w:numPr>
                <w:ilvl w:val="0"/>
                <w:numId w:val="14"/>
              </w:numPr>
              <w:rPr>
                <w:lang w:val="en-AU"/>
              </w:rPr>
            </w:pPr>
            <w:r w:rsidRPr="007D328E">
              <w:rPr>
                <w:lang w:val="en-AU"/>
              </w:rPr>
              <w:lastRenderedPageBreak/>
              <w:t xml:space="preserve">Added value of </w:t>
            </w:r>
            <w:r w:rsidRPr="007D328E">
              <w:rPr>
                <w:b/>
                <w:lang w:val="en-AU"/>
              </w:rPr>
              <w:t>involving patients</w:t>
            </w:r>
            <w:r w:rsidRPr="007D328E">
              <w:rPr>
                <w:lang w:val="en-AU"/>
              </w:rPr>
              <w:t xml:space="preserve"> in the first step of multidisciplinary </w:t>
            </w:r>
            <w:r w:rsidRPr="007D328E">
              <w:rPr>
                <w:b/>
                <w:lang w:val="en-AU"/>
              </w:rPr>
              <w:t>guideline development</w:t>
            </w:r>
            <w:r w:rsidRPr="007D328E">
              <w:rPr>
                <w:lang w:val="en-AU"/>
              </w:rPr>
              <w:t>: a qualitative interview study among infertile patients</w:t>
            </w:r>
            <w:r w:rsidR="007D328E" w:rsidRPr="007D328E">
              <w:rPr>
                <w:lang w:val="en-AU"/>
              </w:rPr>
              <w:t xml:space="preserve"> (</w:t>
            </w:r>
            <w:r w:rsidRPr="007D328E">
              <w:rPr>
                <w:lang w:val="en-AU"/>
              </w:rPr>
              <w:t xml:space="preserve">Elvira M E den </w:t>
            </w:r>
            <w:proofErr w:type="spellStart"/>
            <w:r w:rsidRPr="007D328E">
              <w:rPr>
                <w:lang w:val="en-AU"/>
              </w:rPr>
              <w:t>Breejen</w:t>
            </w:r>
            <w:proofErr w:type="spellEnd"/>
            <w:r w:rsidRPr="007D328E">
              <w:rPr>
                <w:lang w:val="en-AU"/>
              </w:rPr>
              <w:t xml:space="preserve">, Rosella P M G Hermens, </w:t>
            </w:r>
            <w:proofErr w:type="spellStart"/>
            <w:r w:rsidRPr="007D328E">
              <w:rPr>
                <w:lang w:val="en-AU"/>
              </w:rPr>
              <w:t>Wienke</w:t>
            </w:r>
            <w:proofErr w:type="spellEnd"/>
            <w:r w:rsidRPr="007D328E">
              <w:rPr>
                <w:lang w:val="en-AU"/>
              </w:rPr>
              <w:t xml:space="preserve"> H </w:t>
            </w:r>
            <w:proofErr w:type="spellStart"/>
            <w:r w:rsidRPr="007D328E">
              <w:rPr>
                <w:lang w:val="en-AU"/>
              </w:rPr>
              <w:t>Galama</w:t>
            </w:r>
            <w:proofErr w:type="spellEnd"/>
            <w:r w:rsidRPr="007D328E">
              <w:rPr>
                <w:lang w:val="en-AU"/>
              </w:rPr>
              <w:t xml:space="preserve">, </w:t>
            </w:r>
            <w:proofErr w:type="spellStart"/>
            <w:r w:rsidRPr="007D328E">
              <w:rPr>
                <w:lang w:val="en-AU"/>
              </w:rPr>
              <w:t>Wim</w:t>
            </w:r>
            <w:proofErr w:type="spellEnd"/>
            <w:r w:rsidRPr="007D328E">
              <w:rPr>
                <w:lang w:val="en-AU"/>
              </w:rPr>
              <w:t xml:space="preserve"> N P </w:t>
            </w:r>
            <w:proofErr w:type="spellStart"/>
            <w:r w:rsidRPr="007D328E">
              <w:rPr>
                <w:lang w:val="en-AU"/>
              </w:rPr>
              <w:t>Willemsen</w:t>
            </w:r>
            <w:proofErr w:type="spellEnd"/>
            <w:r w:rsidRPr="007D328E">
              <w:rPr>
                <w:lang w:val="en-AU"/>
              </w:rPr>
              <w:t xml:space="preserve">, Jan A M Kremer, and W L D M </w:t>
            </w:r>
            <w:proofErr w:type="spellStart"/>
            <w:r w:rsidRPr="007D328E">
              <w:rPr>
                <w:lang w:val="en-AU"/>
              </w:rPr>
              <w:t>Nelen</w:t>
            </w:r>
            <w:proofErr w:type="spellEnd"/>
            <w:r w:rsidR="007D328E">
              <w:rPr>
                <w:lang w:val="en-AU"/>
              </w:rPr>
              <w:t>)</w:t>
            </w:r>
          </w:p>
          <w:p w:rsidR="00C80D23" w:rsidRPr="007D328E" w:rsidRDefault="00C80D23" w:rsidP="00C80D23">
            <w:pPr>
              <w:pStyle w:val="ListParagraph"/>
              <w:numPr>
                <w:ilvl w:val="0"/>
                <w:numId w:val="14"/>
              </w:numPr>
              <w:rPr>
                <w:lang w:val="en-AU"/>
              </w:rPr>
            </w:pPr>
            <w:r w:rsidRPr="007D328E">
              <w:rPr>
                <w:lang w:val="en-AU"/>
              </w:rPr>
              <w:t xml:space="preserve">Influence of </w:t>
            </w:r>
            <w:r w:rsidRPr="007D328E">
              <w:rPr>
                <w:b/>
                <w:lang w:val="en-AU"/>
              </w:rPr>
              <w:t>patient-assessed quality of chronic illness care</w:t>
            </w:r>
            <w:r w:rsidRPr="007D328E">
              <w:rPr>
                <w:lang w:val="en-AU"/>
              </w:rPr>
              <w:t xml:space="preserve"> and patient</w:t>
            </w:r>
            <w:r w:rsidR="007D328E" w:rsidRPr="007D328E">
              <w:rPr>
                <w:lang w:val="en-AU"/>
              </w:rPr>
              <w:t xml:space="preserve"> </w:t>
            </w:r>
            <w:r w:rsidRPr="007D328E">
              <w:rPr>
                <w:lang w:val="en-AU"/>
              </w:rPr>
              <w:t>activation on health-related quality of life</w:t>
            </w:r>
            <w:r w:rsidR="007D328E" w:rsidRPr="007D328E">
              <w:rPr>
                <w:lang w:val="en-AU"/>
              </w:rPr>
              <w:t xml:space="preserve"> (</w:t>
            </w:r>
            <w:proofErr w:type="spellStart"/>
            <w:r w:rsidRPr="007D328E">
              <w:rPr>
                <w:lang w:val="en-AU"/>
              </w:rPr>
              <w:t>Eindra</w:t>
            </w:r>
            <w:proofErr w:type="spellEnd"/>
            <w:r w:rsidRPr="007D328E">
              <w:rPr>
                <w:lang w:val="en-AU"/>
              </w:rPr>
              <w:t xml:space="preserve"> Aung, Maria Donald, Gail M Williams, Joseph R </w:t>
            </w:r>
            <w:proofErr w:type="spellStart"/>
            <w:r w:rsidRPr="007D328E">
              <w:rPr>
                <w:lang w:val="en-AU"/>
              </w:rPr>
              <w:t>Coll</w:t>
            </w:r>
            <w:proofErr w:type="spellEnd"/>
            <w:r w:rsidRPr="007D328E">
              <w:rPr>
                <w:lang w:val="en-AU"/>
              </w:rPr>
              <w:t xml:space="preserve">, and </w:t>
            </w:r>
            <w:proofErr w:type="spellStart"/>
            <w:r w:rsidRPr="007D328E">
              <w:rPr>
                <w:lang w:val="en-AU"/>
              </w:rPr>
              <w:t>Suhail</w:t>
            </w:r>
            <w:proofErr w:type="spellEnd"/>
            <w:r w:rsidRPr="007D328E">
              <w:rPr>
                <w:lang w:val="en-AU"/>
              </w:rPr>
              <w:t xml:space="preserve"> AR </w:t>
            </w:r>
            <w:proofErr w:type="spellStart"/>
            <w:r w:rsidRPr="007D328E">
              <w:rPr>
                <w:lang w:val="en-AU"/>
              </w:rPr>
              <w:t>Doi</w:t>
            </w:r>
            <w:proofErr w:type="spellEnd"/>
            <w:r w:rsidR="007D328E">
              <w:rPr>
                <w:lang w:val="en-AU"/>
              </w:rPr>
              <w:t>)</w:t>
            </w:r>
          </w:p>
          <w:p w:rsidR="00C80D23" w:rsidRPr="007D328E" w:rsidRDefault="00C80D23" w:rsidP="00C80D23">
            <w:pPr>
              <w:pStyle w:val="ListParagraph"/>
              <w:numPr>
                <w:ilvl w:val="0"/>
                <w:numId w:val="14"/>
              </w:numPr>
              <w:rPr>
                <w:lang w:val="en-AU"/>
              </w:rPr>
            </w:pPr>
            <w:r w:rsidRPr="007D328E">
              <w:rPr>
                <w:lang w:val="en-AU"/>
              </w:rPr>
              <w:t xml:space="preserve">Observations on </w:t>
            </w:r>
            <w:r w:rsidRPr="007D328E">
              <w:rPr>
                <w:b/>
                <w:lang w:val="en-AU"/>
              </w:rPr>
              <w:t>quality senior health</w:t>
            </w:r>
            <w:r w:rsidRPr="007D328E">
              <w:rPr>
                <w:lang w:val="en-AU"/>
              </w:rPr>
              <w:t xml:space="preserve"> business: success patterns and policy implications</w:t>
            </w:r>
            <w:r w:rsidR="007D328E" w:rsidRPr="007D328E">
              <w:rPr>
                <w:lang w:val="en-AU"/>
              </w:rPr>
              <w:t xml:space="preserve"> (</w:t>
            </w:r>
            <w:proofErr w:type="spellStart"/>
            <w:r w:rsidRPr="007D328E">
              <w:rPr>
                <w:lang w:val="en-AU"/>
              </w:rPr>
              <w:t>Ya</w:t>
            </w:r>
            <w:proofErr w:type="spellEnd"/>
            <w:r w:rsidRPr="007D328E">
              <w:rPr>
                <w:lang w:val="en-AU"/>
              </w:rPr>
              <w:t>-Ting Yang, Yi-</w:t>
            </w:r>
            <w:proofErr w:type="spellStart"/>
            <w:r w:rsidRPr="007D328E">
              <w:rPr>
                <w:lang w:val="en-AU"/>
              </w:rPr>
              <w:t>Hsin</w:t>
            </w:r>
            <w:proofErr w:type="spellEnd"/>
            <w:r w:rsidRPr="007D328E">
              <w:rPr>
                <w:lang w:val="en-AU"/>
              </w:rPr>
              <w:t xml:space="preserve"> Elsa Hsu, </w:t>
            </w:r>
            <w:proofErr w:type="spellStart"/>
            <w:r w:rsidRPr="007D328E">
              <w:rPr>
                <w:lang w:val="en-AU"/>
              </w:rPr>
              <w:t>Ya</w:t>
            </w:r>
            <w:proofErr w:type="spellEnd"/>
            <w:r w:rsidRPr="007D328E">
              <w:rPr>
                <w:lang w:val="en-AU"/>
              </w:rPr>
              <w:t xml:space="preserve">-Mei Chen, </w:t>
            </w:r>
            <w:proofErr w:type="spellStart"/>
            <w:r w:rsidRPr="007D328E">
              <w:rPr>
                <w:lang w:val="en-AU"/>
              </w:rPr>
              <w:t>Shyi</w:t>
            </w:r>
            <w:proofErr w:type="spellEnd"/>
            <w:r w:rsidRPr="007D328E">
              <w:rPr>
                <w:lang w:val="en-AU"/>
              </w:rPr>
              <w:t xml:space="preserve"> Su, Yao-Mao Chang, Usman Iqbal, </w:t>
            </w:r>
            <w:proofErr w:type="spellStart"/>
            <w:r w:rsidRPr="007D328E">
              <w:rPr>
                <w:lang w:val="en-AU"/>
              </w:rPr>
              <w:t>Handa</w:t>
            </w:r>
            <w:proofErr w:type="spellEnd"/>
            <w:r w:rsidRPr="007D328E">
              <w:rPr>
                <w:lang w:val="en-AU"/>
              </w:rPr>
              <w:t xml:space="preserve"> </w:t>
            </w:r>
            <w:proofErr w:type="spellStart"/>
            <w:r w:rsidRPr="007D328E">
              <w:rPr>
                <w:lang w:val="en-AU"/>
              </w:rPr>
              <w:t>Yujiru</w:t>
            </w:r>
            <w:proofErr w:type="spellEnd"/>
            <w:r w:rsidRPr="007D328E">
              <w:rPr>
                <w:lang w:val="en-AU"/>
              </w:rPr>
              <w:t xml:space="preserve">, and </w:t>
            </w:r>
            <w:proofErr w:type="spellStart"/>
            <w:r w:rsidRPr="007D328E">
              <w:rPr>
                <w:lang w:val="en-AU"/>
              </w:rPr>
              <w:t>Neng-Pai</w:t>
            </w:r>
            <w:proofErr w:type="spellEnd"/>
            <w:r w:rsidRPr="007D328E">
              <w:rPr>
                <w:lang w:val="en-AU"/>
              </w:rPr>
              <w:t xml:space="preserve"> Lin</w:t>
            </w:r>
            <w:r w:rsidR="007D328E">
              <w:rPr>
                <w:lang w:val="en-AU"/>
              </w:rPr>
              <w:t>)</w:t>
            </w:r>
          </w:p>
          <w:p w:rsidR="00C80D23" w:rsidRPr="00C80D23" w:rsidRDefault="00C80D23" w:rsidP="007D328E">
            <w:pPr>
              <w:pStyle w:val="ListParagraph"/>
              <w:numPr>
                <w:ilvl w:val="0"/>
                <w:numId w:val="14"/>
              </w:numPr>
              <w:rPr>
                <w:lang w:val="en-AU"/>
              </w:rPr>
            </w:pPr>
            <w:r w:rsidRPr="00C80D23">
              <w:rPr>
                <w:lang w:val="en-AU"/>
              </w:rPr>
              <w:t xml:space="preserve">The </w:t>
            </w:r>
            <w:r w:rsidRPr="007D328E">
              <w:rPr>
                <w:b/>
                <w:lang w:val="en-AU"/>
              </w:rPr>
              <w:t>patient satisfaction questionnaire</w:t>
            </w:r>
            <w:r w:rsidRPr="00C80D23">
              <w:rPr>
                <w:lang w:val="en-AU"/>
              </w:rPr>
              <w:t xml:space="preserve"> of </w:t>
            </w:r>
            <w:proofErr w:type="spellStart"/>
            <w:r w:rsidRPr="00C80D23">
              <w:rPr>
                <w:lang w:val="en-AU"/>
              </w:rPr>
              <w:t>EUprimecare</w:t>
            </w:r>
            <w:proofErr w:type="spellEnd"/>
            <w:r w:rsidRPr="00C80D23">
              <w:rPr>
                <w:lang w:val="en-AU"/>
              </w:rPr>
              <w:t xml:space="preserve"> project: measurement properties</w:t>
            </w:r>
            <w:r w:rsidR="007D328E">
              <w:rPr>
                <w:lang w:val="en-AU"/>
              </w:rPr>
              <w:t xml:space="preserve"> (</w:t>
            </w:r>
            <w:r w:rsidRPr="00C80D23">
              <w:rPr>
                <w:lang w:val="en-AU"/>
              </w:rPr>
              <w:t xml:space="preserve">Marta </w:t>
            </w:r>
            <w:proofErr w:type="spellStart"/>
            <w:r w:rsidRPr="00C80D23">
              <w:rPr>
                <w:lang w:val="en-AU"/>
              </w:rPr>
              <w:t>Cimas</w:t>
            </w:r>
            <w:proofErr w:type="spellEnd"/>
            <w:r w:rsidRPr="00C80D23">
              <w:rPr>
                <w:lang w:val="en-AU"/>
              </w:rPr>
              <w:t xml:space="preserve">, Alba Ayala, Sonia </w:t>
            </w:r>
            <w:proofErr w:type="spellStart"/>
            <w:r w:rsidRPr="00C80D23">
              <w:rPr>
                <w:lang w:val="en-AU"/>
              </w:rPr>
              <w:t>García</w:t>
            </w:r>
            <w:proofErr w:type="spellEnd"/>
            <w:r w:rsidRPr="00C80D23">
              <w:rPr>
                <w:lang w:val="en-AU"/>
              </w:rPr>
              <w:t xml:space="preserve">-Pérez, Antonio </w:t>
            </w:r>
            <w:proofErr w:type="spellStart"/>
            <w:r w:rsidRPr="00C80D23">
              <w:rPr>
                <w:lang w:val="en-AU"/>
              </w:rPr>
              <w:t>Sarria-Santamera</w:t>
            </w:r>
            <w:proofErr w:type="spellEnd"/>
            <w:r w:rsidRPr="00C80D23">
              <w:rPr>
                <w:lang w:val="en-AU"/>
              </w:rPr>
              <w:t xml:space="preserve">, and Maria </w:t>
            </w:r>
            <w:proofErr w:type="spellStart"/>
            <w:r w:rsidRPr="00C80D23">
              <w:rPr>
                <w:lang w:val="en-AU"/>
              </w:rPr>
              <w:t>joão</w:t>
            </w:r>
            <w:proofErr w:type="spellEnd"/>
            <w:r w:rsidRPr="00C80D23">
              <w:rPr>
                <w:lang w:val="en-AU"/>
              </w:rPr>
              <w:t xml:space="preserve"> </w:t>
            </w:r>
            <w:proofErr w:type="spellStart"/>
            <w:r w:rsidRPr="00C80D23">
              <w:rPr>
                <w:lang w:val="en-AU"/>
              </w:rPr>
              <w:t>Forjaz</w:t>
            </w:r>
            <w:proofErr w:type="spellEnd"/>
            <w:r w:rsidR="007D328E">
              <w:rPr>
                <w:lang w:val="en-AU"/>
              </w:rPr>
              <w:t>)</w:t>
            </w:r>
          </w:p>
          <w:p w:rsidR="00C80D23" w:rsidRPr="007D328E" w:rsidRDefault="00C80D23" w:rsidP="00C80D23">
            <w:pPr>
              <w:pStyle w:val="ListParagraph"/>
              <w:numPr>
                <w:ilvl w:val="0"/>
                <w:numId w:val="14"/>
              </w:numPr>
              <w:rPr>
                <w:lang w:val="en-AU"/>
              </w:rPr>
            </w:pPr>
            <w:r w:rsidRPr="007D328E">
              <w:rPr>
                <w:lang w:val="en-AU"/>
              </w:rPr>
              <w:t xml:space="preserve">Preparing </w:t>
            </w:r>
            <w:r w:rsidRPr="007D328E">
              <w:rPr>
                <w:b/>
                <w:lang w:val="en-AU"/>
              </w:rPr>
              <w:t>national health systems</w:t>
            </w:r>
            <w:r w:rsidRPr="007D328E">
              <w:rPr>
                <w:lang w:val="en-AU"/>
              </w:rPr>
              <w:t xml:space="preserve"> to cope with the impending tsunami of </w:t>
            </w:r>
            <w:r w:rsidRPr="007D328E">
              <w:rPr>
                <w:b/>
                <w:lang w:val="en-AU"/>
              </w:rPr>
              <w:t>ageing</w:t>
            </w:r>
            <w:r w:rsidRPr="007D328E">
              <w:rPr>
                <w:lang w:val="en-AU"/>
              </w:rPr>
              <w:t xml:space="preserve"> and its associated complexities: Towards more sustainable health care</w:t>
            </w:r>
            <w:r w:rsidR="007D328E" w:rsidRPr="007D328E">
              <w:rPr>
                <w:lang w:val="en-AU"/>
              </w:rPr>
              <w:t xml:space="preserve"> (</w:t>
            </w:r>
            <w:r w:rsidRPr="007D328E">
              <w:rPr>
                <w:lang w:val="en-AU"/>
              </w:rPr>
              <w:t xml:space="preserve">René Amalberti, Wendy </w:t>
            </w:r>
            <w:proofErr w:type="spellStart"/>
            <w:r w:rsidRPr="007D328E">
              <w:rPr>
                <w:lang w:val="en-AU"/>
              </w:rPr>
              <w:t>Nicklin</w:t>
            </w:r>
            <w:proofErr w:type="spellEnd"/>
            <w:r w:rsidRPr="007D328E">
              <w:rPr>
                <w:lang w:val="en-AU"/>
              </w:rPr>
              <w:t>, and Jeffrey Braithwaite</w:t>
            </w:r>
            <w:r w:rsidR="007D328E">
              <w:rPr>
                <w:lang w:val="en-AU"/>
              </w:rPr>
              <w:t>)</w:t>
            </w:r>
          </w:p>
          <w:p w:rsidR="001F1CBA" w:rsidRPr="002302EF" w:rsidRDefault="00C80D23" w:rsidP="007D328E">
            <w:pPr>
              <w:pStyle w:val="ListParagraph"/>
              <w:numPr>
                <w:ilvl w:val="0"/>
                <w:numId w:val="14"/>
              </w:numPr>
              <w:rPr>
                <w:lang w:val="en-AU"/>
              </w:rPr>
            </w:pPr>
            <w:r w:rsidRPr="007D328E">
              <w:rPr>
                <w:lang w:val="en-AU"/>
              </w:rPr>
              <w:t xml:space="preserve">Reporting and use of the </w:t>
            </w:r>
            <w:r w:rsidRPr="007D328E">
              <w:rPr>
                <w:b/>
                <w:lang w:val="en-AU"/>
              </w:rPr>
              <w:t>OECD Health Care Quality Indicators</w:t>
            </w:r>
            <w:r w:rsidRPr="007D328E">
              <w:rPr>
                <w:lang w:val="en-AU"/>
              </w:rPr>
              <w:t xml:space="preserve"> at national </w:t>
            </w:r>
            <w:r w:rsidR="007D328E" w:rsidRPr="007D328E">
              <w:rPr>
                <w:lang w:val="en-AU"/>
              </w:rPr>
              <w:t xml:space="preserve"> </w:t>
            </w:r>
            <w:r w:rsidRPr="007D328E">
              <w:rPr>
                <w:lang w:val="en-AU"/>
              </w:rPr>
              <w:t>and regional level in 15 countries</w:t>
            </w:r>
            <w:r w:rsidR="007D328E" w:rsidRPr="007D328E">
              <w:rPr>
                <w:lang w:val="en-AU"/>
              </w:rPr>
              <w:t xml:space="preserve"> (</w:t>
            </w:r>
            <w:proofErr w:type="spellStart"/>
            <w:r w:rsidRPr="007D328E">
              <w:rPr>
                <w:lang w:val="en-AU"/>
              </w:rPr>
              <w:t>Alexandru</w:t>
            </w:r>
            <w:proofErr w:type="spellEnd"/>
            <w:r w:rsidRPr="007D328E">
              <w:rPr>
                <w:lang w:val="en-AU"/>
              </w:rPr>
              <w:t xml:space="preserve"> M </w:t>
            </w:r>
            <w:proofErr w:type="spellStart"/>
            <w:r w:rsidRPr="007D328E">
              <w:rPr>
                <w:lang w:val="en-AU"/>
              </w:rPr>
              <w:t>Rotar</w:t>
            </w:r>
            <w:proofErr w:type="spellEnd"/>
            <w:r w:rsidRPr="007D328E">
              <w:rPr>
                <w:lang w:val="en-AU"/>
              </w:rPr>
              <w:t xml:space="preserve">, Michael J van den Berg, Dionne S Kringos, and </w:t>
            </w:r>
            <w:proofErr w:type="spellStart"/>
            <w:r w:rsidRPr="007D328E">
              <w:rPr>
                <w:lang w:val="en-AU"/>
              </w:rPr>
              <w:t>Niek</w:t>
            </w:r>
            <w:proofErr w:type="spellEnd"/>
            <w:r w:rsidRPr="007D328E">
              <w:rPr>
                <w:lang w:val="en-AU"/>
              </w:rPr>
              <w:t xml:space="preserve"> </w:t>
            </w:r>
            <w:r w:rsidRPr="00C80D23">
              <w:rPr>
                <w:lang w:val="en-AU"/>
              </w:rPr>
              <w:t>S Klazinga</w:t>
            </w:r>
            <w:r w:rsidR="007D328E">
              <w:rPr>
                <w:lang w:val="en-AU"/>
              </w:rPr>
              <w:t>)</w:t>
            </w:r>
          </w:p>
        </w:tc>
      </w:tr>
    </w:tbl>
    <w:p w:rsidR="001F1CBA" w:rsidRPr="001C7C18" w:rsidRDefault="001F1CBA" w:rsidP="001F1CBA">
      <w:pPr>
        <w:keepNext/>
        <w:keepLines/>
        <w:rPr>
          <w:lang w:val="en-AU"/>
        </w:rPr>
      </w:pPr>
    </w:p>
    <w:p w:rsidR="001C7C18" w:rsidRPr="001C7C18" w:rsidRDefault="001C7C18" w:rsidP="00B02F6E">
      <w:pPr>
        <w:keepNext/>
        <w:keepLines/>
        <w:rPr>
          <w:lang w:val="en-AU"/>
        </w:rPr>
      </w:pPr>
    </w:p>
    <w:p w:rsidR="00B02F6E" w:rsidRPr="002302EF" w:rsidRDefault="00B02F6E" w:rsidP="001C7C18">
      <w:pPr>
        <w:rPr>
          <w:b/>
          <w:lang w:val="en-AU"/>
        </w:rPr>
      </w:pPr>
      <w:r w:rsidRPr="002302EF">
        <w:rPr>
          <w:b/>
          <w:lang w:val="en-AU"/>
        </w:rPr>
        <w:t>Online resources</w:t>
      </w:r>
    </w:p>
    <w:p w:rsidR="00BE7212" w:rsidRDefault="00BE7212" w:rsidP="00BE7212">
      <w:pPr>
        <w:keepNext/>
        <w:rPr>
          <w:i/>
          <w:lang w:val="en-AU"/>
        </w:rPr>
      </w:pPr>
    </w:p>
    <w:p w:rsidR="00BE7212" w:rsidRPr="007136E8" w:rsidRDefault="00BE7212" w:rsidP="00BE7212">
      <w:pPr>
        <w:keepNext/>
        <w:rPr>
          <w:i/>
          <w:lang w:val="en-AU"/>
        </w:rPr>
      </w:pPr>
      <w:r>
        <w:rPr>
          <w:i/>
          <w:lang w:val="en-AU"/>
        </w:rPr>
        <w:t>Clinical Communiqué</w:t>
      </w:r>
    </w:p>
    <w:p w:rsidR="00BE7212" w:rsidRPr="007136E8" w:rsidRDefault="00BE7212" w:rsidP="00BE7212">
      <w:pPr>
        <w:keepNext/>
        <w:rPr>
          <w:lang w:val="en-AU"/>
        </w:rPr>
      </w:pPr>
      <w:r w:rsidRPr="007136E8">
        <w:rPr>
          <w:lang w:val="en-AU"/>
        </w:rPr>
        <w:t>Victorian Institute of Forensic Medicine</w:t>
      </w:r>
    </w:p>
    <w:p w:rsidR="00BE7212" w:rsidRDefault="00BE7212" w:rsidP="00BE7212">
      <w:pPr>
        <w:keepNext/>
        <w:rPr>
          <w:lang w:val="en-AU"/>
        </w:rPr>
      </w:pPr>
      <w:r w:rsidRPr="004378A8">
        <w:rPr>
          <w:lang w:val="en-AU"/>
        </w:rPr>
        <w:t xml:space="preserve">Volume </w:t>
      </w:r>
      <w:r>
        <w:rPr>
          <w:lang w:val="en-AU"/>
        </w:rPr>
        <w:t>3</w:t>
      </w:r>
      <w:r w:rsidRPr="004378A8">
        <w:rPr>
          <w:lang w:val="en-AU"/>
        </w:rPr>
        <w:t xml:space="preserve"> Issue </w:t>
      </w:r>
      <w:r>
        <w:rPr>
          <w:lang w:val="en-AU"/>
        </w:rPr>
        <w:t>1</w:t>
      </w:r>
      <w:r w:rsidRPr="004378A8">
        <w:rPr>
          <w:lang w:val="en-AU"/>
        </w:rPr>
        <w:t xml:space="preserve"> </w:t>
      </w:r>
      <w:r>
        <w:rPr>
          <w:lang w:val="en-AU"/>
        </w:rPr>
        <w:t>March 2016</w:t>
      </w:r>
    </w:p>
    <w:p w:rsidR="00BE7212" w:rsidRDefault="00FB5BAC" w:rsidP="00BE7212">
      <w:pPr>
        <w:keepNext/>
      </w:pPr>
      <w:hyperlink r:id="rId34" w:history="1">
        <w:r w:rsidR="00BE7212" w:rsidRPr="002624B3">
          <w:rPr>
            <w:rStyle w:val="Hyperlink"/>
          </w:rPr>
          <w:t>http://www.vifmcommuniques.org/volume-3-issue-1-march-2016/</w:t>
        </w:r>
      </w:hyperlink>
    </w:p>
    <w:p w:rsidR="00BE7212" w:rsidRPr="007136E8" w:rsidRDefault="00BE7212" w:rsidP="00BE7212">
      <w:pPr>
        <w:keepNext/>
        <w:rPr>
          <w:lang w:val="en-AU"/>
        </w:rPr>
      </w:pPr>
      <w:r w:rsidRPr="007136E8">
        <w:rPr>
          <w:i/>
          <w:lang w:val="en-AU"/>
        </w:rPr>
        <w:t>Clinical Communiqué</w:t>
      </w:r>
      <w:r w:rsidRPr="007136E8">
        <w:rPr>
          <w:lang w:val="en-AU"/>
        </w:rPr>
        <w:t xml:space="preserve"> is a newsletter written by clinicians, using a case-study approach to report on lessons learned from deaths investigated by the Coroners’ Court.</w:t>
      </w:r>
    </w:p>
    <w:p w:rsidR="00BE7212" w:rsidRPr="004378A8" w:rsidRDefault="00BE7212" w:rsidP="00BE7212">
      <w:pPr>
        <w:rPr>
          <w:lang w:val="en-AU"/>
        </w:rPr>
      </w:pPr>
      <w:r w:rsidRPr="007136E8">
        <w:rPr>
          <w:lang w:val="en-AU"/>
        </w:rPr>
        <w:t xml:space="preserve">This edition </w:t>
      </w:r>
      <w:r>
        <w:rPr>
          <w:lang w:val="en-AU"/>
        </w:rPr>
        <w:t>explores “</w:t>
      </w:r>
      <w:r w:rsidRPr="00BE7212">
        <w:rPr>
          <w:lang w:val="en-AU"/>
        </w:rPr>
        <w:t>three cases where deaths occurred as a result of complications arising from day procedures. None of the cases were urgent and in two cases the procedures were sought by the patients for cosmetic benefits and perceived lifestyle enhancement.</w:t>
      </w:r>
      <w:r>
        <w:rPr>
          <w:lang w:val="en-AU"/>
        </w:rPr>
        <w:t xml:space="preserve"> </w:t>
      </w:r>
      <w:r w:rsidRPr="00BE7212">
        <w:rPr>
          <w:lang w:val="en-AU"/>
        </w:rPr>
        <w:t>Although the cases differed in the type of procedure being performed, common to all three was the failure to recognise rare complications. The seriousness of the evolving symptoms and signs were not fully appreciated by the patients or the clinicians until it was too late.</w:t>
      </w:r>
      <w:r w:rsidR="00B51EA2">
        <w:rPr>
          <w:lang w:val="en-AU"/>
        </w:rPr>
        <w:t xml:space="preserve"> </w:t>
      </w:r>
      <w:r w:rsidR="00B51EA2" w:rsidRPr="00B51EA2">
        <w:rPr>
          <w:lang w:val="en-AU"/>
        </w:rPr>
        <w:t>Some of this can be attributed to knowledge gaps on the part of the doctors involved. Much of it can be related to inadequate discharge planning and poor post-operative communication.</w:t>
      </w:r>
      <w:r>
        <w:rPr>
          <w:lang w:val="en-AU"/>
        </w:rPr>
        <w:t>”</w:t>
      </w:r>
    </w:p>
    <w:p w:rsidR="0006446D" w:rsidRDefault="0006446D" w:rsidP="0006446D">
      <w:pPr>
        <w:keepNext/>
        <w:keepLines/>
        <w:rPr>
          <w:i/>
          <w:lang w:val="en-AU"/>
        </w:rPr>
      </w:pPr>
    </w:p>
    <w:p w:rsidR="001F1CBA" w:rsidRPr="00BB6247" w:rsidRDefault="001F1CBA" w:rsidP="001F1CBA">
      <w:pPr>
        <w:keepNext/>
        <w:keepLines/>
        <w:rPr>
          <w:i/>
          <w:lang w:val="en-AU"/>
        </w:rPr>
      </w:pPr>
      <w:r w:rsidRPr="00BB6247">
        <w:rPr>
          <w:i/>
          <w:lang w:val="en-AU"/>
        </w:rPr>
        <w:t>[UK] NICE Guidelines and Quality Standards</w:t>
      </w:r>
    </w:p>
    <w:p w:rsidR="001F1CBA" w:rsidRPr="00BD0F1C" w:rsidRDefault="00FB5BAC" w:rsidP="001F1CBA">
      <w:pPr>
        <w:keepNext/>
        <w:keepLines/>
        <w:rPr>
          <w:u w:val="single"/>
          <w:lang w:val="en-AU"/>
        </w:rPr>
      </w:pPr>
      <w:hyperlink r:id="rId35" w:history="1">
        <w:r w:rsidR="001F1CBA" w:rsidRPr="00BD0F1C">
          <w:rPr>
            <w:rStyle w:val="Hyperlink"/>
            <w:lang w:val="en-AU"/>
          </w:rPr>
          <w:t>http://www.nice.org.uk</w:t>
        </w:r>
      </w:hyperlink>
    </w:p>
    <w:p w:rsidR="001F1CBA" w:rsidRPr="00BB6247" w:rsidRDefault="001F1CBA" w:rsidP="001F1CBA">
      <w:pPr>
        <w:keepNext/>
        <w:keepLines/>
        <w:rPr>
          <w:lang w:val="en-AU"/>
        </w:rPr>
      </w:pPr>
      <w:r w:rsidRPr="00BB6247">
        <w:rPr>
          <w:lang w:val="en-AU"/>
        </w:rPr>
        <w:t>The UK’s National Institute for Health and Care Excellence (NICE) has published new (or updated) guidelines and quality standards. The latest updates are:</w:t>
      </w:r>
    </w:p>
    <w:p w:rsidR="001F1CBA" w:rsidRPr="00D5230A" w:rsidRDefault="00D5230A" w:rsidP="00D5230A">
      <w:pPr>
        <w:pStyle w:val="ListParagraph"/>
        <w:keepNext/>
        <w:keepLines/>
        <w:numPr>
          <w:ilvl w:val="0"/>
          <w:numId w:val="14"/>
        </w:numPr>
        <w:rPr>
          <w:lang w:val="en-AU"/>
        </w:rPr>
      </w:pPr>
      <w:r>
        <w:rPr>
          <w:lang w:val="en-AU"/>
        </w:rPr>
        <w:t xml:space="preserve">Clinical Guideline </w:t>
      </w:r>
      <w:r w:rsidRPr="00D5230A">
        <w:rPr>
          <w:lang w:val="en-AU"/>
        </w:rPr>
        <w:t>CG62</w:t>
      </w:r>
      <w:r>
        <w:rPr>
          <w:lang w:val="en-AU"/>
        </w:rPr>
        <w:t xml:space="preserve"> </w:t>
      </w:r>
      <w:r w:rsidRPr="00D5230A">
        <w:rPr>
          <w:b/>
          <w:i/>
          <w:lang w:val="en-AU"/>
        </w:rPr>
        <w:t>Antenatal care</w:t>
      </w:r>
      <w:r w:rsidRPr="00D5230A">
        <w:rPr>
          <w:i/>
          <w:lang w:val="en-AU"/>
        </w:rPr>
        <w:t xml:space="preserve"> for uncomplicated pregnancies</w:t>
      </w:r>
      <w:r>
        <w:rPr>
          <w:lang w:val="en-AU"/>
        </w:rPr>
        <w:t xml:space="preserve"> </w:t>
      </w:r>
      <w:hyperlink r:id="rId36" w:history="1">
        <w:r w:rsidRPr="004E2481">
          <w:rPr>
            <w:rStyle w:val="Hyperlink"/>
            <w:lang w:val="en-AU"/>
          </w:rPr>
          <w:t>https://www.nice.org.uk/guidance/cg62</w:t>
        </w:r>
      </w:hyperlink>
    </w:p>
    <w:p w:rsidR="001F1CBA" w:rsidRPr="0006446D" w:rsidRDefault="001F1CBA" w:rsidP="00714622">
      <w:pPr>
        <w:rPr>
          <w:i/>
          <w:lang w:val="en-AU"/>
        </w:rPr>
      </w:pPr>
    </w:p>
    <w:p w:rsidR="002C654A" w:rsidRPr="00255EF8" w:rsidRDefault="002C654A" w:rsidP="00714622">
      <w:pPr>
        <w:keepNext/>
        <w:keepLines/>
        <w:rPr>
          <w:i/>
          <w:lang w:val="en-AU"/>
        </w:rPr>
      </w:pPr>
      <w:r>
        <w:rPr>
          <w:i/>
          <w:lang w:val="en-AU"/>
        </w:rPr>
        <w:lastRenderedPageBreak/>
        <w:t>[</w:t>
      </w:r>
      <w:r w:rsidRPr="00255EF8">
        <w:rPr>
          <w:i/>
          <w:lang w:val="en-AU"/>
        </w:rPr>
        <w:t>USA] Effective Health Care Program reports</w:t>
      </w:r>
    </w:p>
    <w:p w:rsidR="002C654A" w:rsidRPr="00BD0F1C" w:rsidRDefault="00FB5BAC" w:rsidP="00714622">
      <w:pPr>
        <w:keepNext/>
        <w:keepLines/>
        <w:rPr>
          <w:u w:val="single"/>
          <w:lang w:val="en-AU"/>
        </w:rPr>
      </w:pPr>
      <w:hyperlink r:id="rId37" w:history="1">
        <w:r w:rsidR="002C654A" w:rsidRPr="00BD0F1C">
          <w:rPr>
            <w:rStyle w:val="Hyperlink"/>
            <w:lang w:val="en-AU"/>
          </w:rPr>
          <w:t>http://effectivehealthcare.ahrq.gov/</w:t>
        </w:r>
      </w:hyperlink>
    </w:p>
    <w:p w:rsidR="002C654A" w:rsidRDefault="002C654A" w:rsidP="00714622">
      <w:pPr>
        <w:keepNext/>
        <w:keepLines/>
        <w:rPr>
          <w:lang w:val="en-AU"/>
        </w:rPr>
      </w:pPr>
      <w:r w:rsidRPr="00255EF8">
        <w:rPr>
          <w:lang w:val="en-AU"/>
        </w:rPr>
        <w:t>The US Agency for Healthcare Research and Quality (AHRQ) has an Effective Health Care (EHC) Program. The EHC has released the following final reports and updates:</w:t>
      </w:r>
    </w:p>
    <w:p w:rsidR="00C035DB" w:rsidRPr="007F752D" w:rsidRDefault="00C035DB" w:rsidP="001F1856">
      <w:pPr>
        <w:pStyle w:val="ListParagraph"/>
        <w:numPr>
          <w:ilvl w:val="0"/>
          <w:numId w:val="15"/>
        </w:numPr>
        <w:rPr>
          <w:lang w:val="en-AU"/>
        </w:rPr>
      </w:pPr>
      <w:proofErr w:type="spellStart"/>
      <w:r w:rsidRPr="00C035DB">
        <w:rPr>
          <w:lang w:val="en-AU"/>
        </w:rPr>
        <w:t>Nonpharmacologic</w:t>
      </w:r>
      <w:proofErr w:type="spellEnd"/>
      <w:r w:rsidRPr="00C035DB">
        <w:rPr>
          <w:lang w:val="en-AU"/>
        </w:rPr>
        <w:t xml:space="preserve"> Interventions for Agita</w:t>
      </w:r>
      <w:r>
        <w:rPr>
          <w:lang w:val="en-AU"/>
        </w:rPr>
        <w:t xml:space="preserve">tion and Aggression in </w:t>
      </w:r>
      <w:r w:rsidRPr="00C035DB">
        <w:rPr>
          <w:b/>
          <w:lang w:val="en-AU"/>
        </w:rPr>
        <w:t>Dementia</w:t>
      </w:r>
      <w:r>
        <w:rPr>
          <w:lang w:val="en-AU"/>
        </w:rPr>
        <w:t xml:space="preserve"> </w:t>
      </w:r>
      <w:hyperlink r:id="rId38" w:history="1">
        <w:r w:rsidRPr="00006555">
          <w:rPr>
            <w:rStyle w:val="Hyperlink"/>
            <w:lang w:val="en-AU"/>
          </w:rPr>
          <w:t>https://www.effectivehealthcare.ahrq.gov/search-for-guides-reviews-and-reports/?pageaction=displayproduct&amp;productID=2198</w:t>
        </w:r>
      </w:hyperlink>
    </w:p>
    <w:p w:rsidR="00C035DB" w:rsidRPr="00C035DB" w:rsidRDefault="00C035DB" w:rsidP="001F1856">
      <w:pPr>
        <w:pStyle w:val="ListParagraph"/>
        <w:numPr>
          <w:ilvl w:val="0"/>
          <w:numId w:val="15"/>
        </w:numPr>
        <w:rPr>
          <w:lang w:val="en-AU"/>
        </w:rPr>
      </w:pPr>
      <w:r w:rsidRPr="00C035DB">
        <w:rPr>
          <w:lang w:val="en-AU"/>
        </w:rPr>
        <w:t>Tr</w:t>
      </w:r>
      <w:r>
        <w:rPr>
          <w:lang w:val="en-AU"/>
        </w:rPr>
        <w:t xml:space="preserve">eatments for </w:t>
      </w:r>
      <w:proofErr w:type="spellStart"/>
      <w:r w:rsidRPr="00C035DB">
        <w:rPr>
          <w:b/>
          <w:lang w:val="en-AU"/>
        </w:rPr>
        <w:t>Fecal</w:t>
      </w:r>
      <w:proofErr w:type="spellEnd"/>
      <w:r w:rsidRPr="00C035DB">
        <w:rPr>
          <w:b/>
          <w:lang w:val="en-AU"/>
        </w:rPr>
        <w:t xml:space="preserve"> Incontinence</w:t>
      </w:r>
      <w:r>
        <w:rPr>
          <w:lang w:val="en-AU"/>
        </w:rPr>
        <w:t xml:space="preserve"> </w:t>
      </w:r>
      <w:hyperlink r:id="rId39" w:history="1">
        <w:r w:rsidRPr="00006555">
          <w:rPr>
            <w:rStyle w:val="Hyperlink"/>
            <w:lang w:val="en-AU"/>
          </w:rPr>
          <w:t>https://www.effectivehealthcare.ahrq.gov/search-for-guides-reviews-and-reports/?pageaction=displayproduct&amp;productID=2201</w:t>
        </w:r>
      </w:hyperlink>
    </w:p>
    <w:p w:rsidR="00D860FB" w:rsidRDefault="00D860FB" w:rsidP="00D675C9">
      <w:pPr>
        <w:keepLines/>
        <w:rPr>
          <w:lang w:val="en-AU"/>
        </w:rPr>
      </w:pPr>
    </w:p>
    <w:p w:rsidR="00E070BE" w:rsidRPr="007C4252" w:rsidRDefault="00E070BE" w:rsidP="00B02F6E">
      <w:pPr>
        <w:keepLines/>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BAC" w:rsidRDefault="00FB5BAC">
      <w:r>
        <w:separator/>
      </w:r>
    </w:p>
  </w:endnote>
  <w:endnote w:type="continuationSeparator" w:id="0">
    <w:p w:rsidR="00FB5BAC" w:rsidRDefault="00FB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F5B3C">
      <w:rPr>
        <w:rStyle w:val="PageNumber"/>
        <w:noProof/>
      </w:rPr>
      <w:t>10</w:t>
    </w:r>
    <w:r>
      <w:rPr>
        <w:rStyle w:val="PageNumber"/>
      </w:rPr>
      <w:fldChar w:fldCharType="end"/>
    </w:r>
  </w:p>
  <w:p w:rsidR="00AD5026" w:rsidRDefault="00AD5026" w:rsidP="00F1532A">
    <w:pPr>
      <w:pStyle w:val="Footer"/>
      <w:tabs>
        <w:tab w:val="clear" w:pos="8306"/>
        <w:tab w:val="right" w:pos="9540"/>
      </w:tabs>
      <w:ind w:right="360"/>
    </w:pPr>
    <w:r>
      <w:tab/>
    </w:r>
    <w:r>
      <w:tab/>
    </w:r>
    <w:r w:rsidRPr="00942E61">
      <w:rPr>
        <w:i/>
      </w:rPr>
      <w:t>On the Radar</w:t>
    </w:r>
    <w:r w:rsidR="00BE577C">
      <w:t xml:space="preserve"> Issue 26</w:t>
    </w:r>
    <w:r w:rsidR="001F1CBA">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26" w:rsidRDefault="00AD502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B3C">
      <w:rPr>
        <w:rStyle w:val="PageNumber"/>
        <w:noProof/>
      </w:rPr>
      <w:t>7</w:t>
    </w:r>
    <w:r>
      <w:rPr>
        <w:rStyle w:val="PageNumber"/>
      </w:rPr>
      <w:fldChar w:fldCharType="end"/>
    </w:r>
  </w:p>
  <w:p w:rsidR="00AD5026" w:rsidRDefault="00AD5026" w:rsidP="00AA7F1C">
    <w:pPr>
      <w:pStyle w:val="Footer"/>
      <w:tabs>
        <w:tab w:val="clear" w:pos="4153"/>
        <w:tab w:val="clear" w:pos="8306"/>
        <w:tab w:val="left" w:pos="2901"/>
      </w:tabs>
      <w:ind w:right="360"/>
    </w:pPr>
    <w:r w:rsidRPr="00942E61">
      <w:rPr>
        <w:i/>
      </w:rPr>
      <w:t>On the Radar</w:t>
    </w:r>
    <w:r>
      <w:t xml:space="preserve"> Issue 2</w:t>
    </w:r>
    <w:r w:rsidR="008E594E">
      <w:t>6</w:t>
    </w:r>
    <w:r w:rsidR="001F1CBA">
      <w:t>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BAC" w:rsidRDefault="00FB5BAC">
      <w:r>
        <w:separator/>
      </w:r>
    </w:p>
  </w:footnote>
  <w:footnote w:type="continuationSeparator" w:id="0">
    <w:p w:rsidR="00FB5BAC" w:rsidRDefault="00FB5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CB70FA"/>
    <w:multiLevelType w:val="hybridMultilevel"/>
    <w:tmpl w:val="F8B26D5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2174A4"/>
    <w:multiLevelType w:val="hybridMultilevel"/>
    <w:tmpl w:val="E8583F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6"/>
  </w:num>
  <w:num w:numId="17">
    <w:abstractNumId w:val="10"/>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96C"/>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0F"/>
    <w:rsid w:val="00096C3A"/>
    <w:rsid w:val="00096D3F"/>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771"/>
    <w:rsid w:val="000A382F"/>
    <w:rsid w:val="000A3DC3"/>
    <w:rsid w:val="000A3E62"/>
    <w:rsid w:val="000A43BB"/>
    <w:rsid w:val="000A4491"/>
    <w:rsid w:val="000A45B3"/>
    <w:rsid w:val="000A463D"/>
    <w:rsid w:val="000A48E4"/>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CB3"/>
    <w:rsid w:val="000F3DBE"/>
    <w:rsid w:val="000F448C"/>
    <w:rsid w:val="000F4795"/>
    <w:rsid w:val="000F480F"/>
    <w:rsid w:val="000F4A2B"/>
    <w:rsid w:val="000F4AEE"/>
    <w:rsid w:val="000F548E"/>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27FE0"/>
    <w:rsid w:val="00130CBE"/>
    <w:rsid w:val="00131221"/>
    <w:rsid w:val="00131BB6"/>
    <w:rsid w:val="00132070"/>
    <w:rsid w:val="001324C0"/>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0CC"/>
    <w:rsid w:val="0019756A"/>
    <w:rsid w:val="001977C7"/>
    <w:rsid w:val="00197B04"/>
    <w:rsid w:val="00197CE1"/>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40A"/>
    <w:rsid w:val="001D16BE"/>
    <w:rsid w:val="001D1844"/>
    <w:rsid w:val="001D1A36"/>
    <w:rsid w:val="001D1B60"/>
    <w:rsid w:val="001D2016"/>
    <w:rsid w:val="001D22E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207B"/>
    <w:rsid w:val="001F24A1"/>
    <w:rsid w:val="001F24FF"/>
    <w:rsid w:val="001F25DC"/>
    <w:rsid w:val="001F2674"/>
    <w:rsid w:val="001F26D5"/>
    <w:rsid w:val="001F288A"/>
    <w:rsid w:val="001F28EF"/>
    <w:rsid w:val="001F29FD"/>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24B"/>
    <w:rsid w:val="002673FC"/>
    <w:rsid w:val="002675D4"/>
    <w:rsid w:val="00267698"/>
    <w:rsid w:val="002676B3"/>
    <w:rsid w:val="002678F2"/>
    <w:rsid w:val="00267EE0"/>
    <w:rsid w:val="00267EF1"/>
    <w:rsid w:val="00270350"/>
    <w:rsid w:val="002705D0"/>
    <w:rsid w:val="002708D1"/>
    <w:rsid w:val="00270B9B"/>
    <w:rsid w:val="002710DB"/>
    <w:rsid w:val="00271D2F"/>
    <w:rsid w:val="00271F7A"/>
    <w:rsid w:val="0027225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725"/>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398"/>
    <w:rsid w:val="002E05F7"/>
    <w:rsid w:val="002E09D7"/>
    <w:rsid w:val="002E0AFF"/>
    <w:rsid w:val="002E0DC8"/>
    <w:rsid w:val="002E19F3"/>
    <w:rsid w:val="002E1A87"/>
    <w:rsid w:val="002E1F03"/>
    <w:rsid w:val="002E278A"/>
    <w:rsid w:val="002E2817"/>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19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C1"/>
    <w:rsid w:val="00333C54"/>
    <w:rsid w:val="00334119"/>
    <w:rsid w:val="003349B6"/>
    <w:rsid w:val="00334CDC"/>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7097"/>
    <w:rsid w:val="00417220"/>
    <w:rsid w:val="004172D8"/>
    <w:rsid w:val="00417893"/>
    <w:rsid w:val="004178C8"/>
    <w:rsid w:val="004179CD"/>
    <w:rsid w:val="00417EFB"/>
    <w:rsid w:val="00420137"/>
    <w:rsid w:val="00420286"/>
    <w:rsid w:val="004207CD"/>
    <w:rsid w:val="00420891"/>
    <w:rsid w:val="00420BCA"/>
    <w:rsid w:val="00420C54"/>
    <w:rsid w:val="0042141D"/>
    <w:rsid w:val="00421476"/>
    <w:rsid w:val="0042149E"/>
    <w:rsid w:val="004216B4"/>
    <w:rsid w:val="00421F2E"/>
    <w:rsid w:val="00422B52"/>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0A9"/>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8A1"/>
    <w:rsid w:val="004C0C90"/>
    <w:rsid w:val="004C0E6C"/>
    <w:rsid w:val="004C157F"/>
    <w:rsid w:val="004C1809"/>
    <w:rsid w:val="004C1999"/>
    <w:rsid w:val="004C1E4B"/>
    <w:rsid w:val="004C1EE4"/>
    <w:rsid w:val="004C20C0"/>
    <w:rsid w:val="004C215D"/>
    <w:rsid w:val="004C2277"/>
    <w:rsid w:val="004C2534"/>
    <w:rsid w:val="004C2EF7"/>
    <w:rsid w:val="004C2F55"/>
    <w:rsid w:val="004C2FC8"/>
    <w:rsid w:val="004C323D"/>
    <w:rsid w:val="004C33AE"/>
    <w:rsid w:val="004C3D42"/>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DE"/>
    <w:rsid w:val="004E3B96"/>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50"/>
    <w:rsid w:val="004F35E5"/>
    <w:rsid w:val="004F3886"/>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B26"/>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74"/>
    <w:rsid w:val="00541D89"/>
    <w:rsid w:val="00542071"/>
    <w:rsid w:val="005422E9"/>
    <w:rsid w:val="005427D5"/>
    <w:rsid w:val="00542C64"/>
    <w:rsid w:val="00542DF1"/>
    <w:rsid w:val="00542E10"/>
    <w:rsid w:val="0054320F"/>
    <w:rsid w:val="00543820"/>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453"/>
    <w:rsid w:val="005745D3"/>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46D"/>
    <w:rsid w:val="00595702"/>
    <w:rsid w:val="00595C0E"/>
    <w:rsid w:val="00595C4B"/>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89E"/>
    <w:rsid w:val="005A0C47"/>
    <w:rsid w:val="005A0CE0"/>
    <w:rsid w:val="005A0D24"/>
    <w:rsid w:val="005A0FA0"/>
    <w:rsid w:val="005A1B6A"/>
    <w:rsid w:val="005A230B"/>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F0077"/>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625"/>
    <w:rsid w:val="00620C7C"/>
    <w:rsid w:val="00620E35"/>
    <w:rsid w:val="00621029"/>
    <w:rsid w:val="00621B0C"/>
    <w:rsid w:val="00622658"/>
    <w:rsid w:val="00622738"/>
    <w:rsid w:val="00622A03"/>
    <w:rsid w:val="00622A95"/>
    <w:rsid w:val="0062305F"/>
    <w:rsid w:val="006230E0"/>
    <w:rsid w:val="006231EA"/>
    <w:rsid w:val="00623216"/>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77C8C"/>
    <w:rsid w:val="006801B8"/>
    <w:rsid w:val="006803BD"/>
    <w:rsid w:val="006803C0"/>
    <w:rsid w:val="00680666"/>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74"/>
    <w:rsid w:val="00683EA6"/>
    <w:rsid w:val="00683F0C"/>
    <w:rsid w:val="00683F5C"/>
    <w:rsid w:val="006844F8"/>
    <w:rsid w:val="00684544"/>
    <w:rsid w:val="0068468B"/>
    <w:rsid w:val="006854BA"/>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FB0"/>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887"/>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2EA"/>
    <w:rsid w:val="007954D1"/>
    <w:rsid w:val="00796163"/>
    <w:rsid w:val="00796225"/>
    <w:rsid w:val="00796385"/>
    <w:rsid w:val="00796514"/>
    <w:rsid w:val="007970BD"/>
    <w:rsid w:val="00797CF3"/>
    <w:rsid w:val="00797EA8"/>
    <w:rsid w:val="007A0276"/>
    <w:rsid w:val="007A02FB"/>
    <w:rsid w:val="007A05AE"/>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AC"/>
    <w:rsid w:val="007A4103"/>
    <w:rsid w:val="007A425F"/>
    <w:rsid w:val="007A4E33"/>
    <w:rsid w:val="007A50BF"/>
    <w:rsid w:val="007A5133"/>
    <w:rsid w:val="007A517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0E4"/>
    <w:rsid w:val="007E44E4"/>
    <w:rsid w:val="007E4921"/>
    <w:rsid w:val="007E4CA9"/>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2C"/>
    <w:rsid w:val="00824035"/>
    <w:rsid w:val="0082431B"/>
    <w:rsid w:val="00824564"/>
    <w:rsid w:val="00824B99"/>
    <w:rsid w:val="00824DC6"/>
    <w:rsid w:val="0082545F"/>
    <w:rsid w:val="00825A32"/>
    <w:rsid w:val="00825CD1"/>
    <w:rsid w:val="00825D67"/>
    <w:rsid w:val="0082628B"/>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5781"/>
    <w:rsid w:val="008857A0"/>
    <w:rsid w:val="00885CBF"/>
    <w:rsid w:val="00885F00"/>
    <w:rsid w:val="00886416"/>
    <w:rsid w:val="00886B74"/>
    <w:rsid w:val="00886BD4"/>
    <w:rsid w:val="00886C8F"/>
    <w:rsid w:val="00886C9A"/>
    <w:rsid w:val="00886F29"/>
    <w:rsid w:val="00887246"/>
    <w:rsid w:val="00887B15"/>
    <w:rsid w:val="00887C74"/>
    <w:rsid w:val="00887CC1"/>
    <w:rsid w:val="00887CF9"/>
    <w:rsid w:val="008902A1"/>
    <w:rsid w:val="008907F3"/>
    <w:rsid w:val="00890EE2"/>
    <w:rsid w:val="00891518"/>
    <w:rsid w:val="00891CEF"/>
    <w:rsid w:val="00891DE9"/>
    <w:rsid w:val="00892155"/>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D4A"/>
    <w:rsid w:val="008C0208"/>
    <w:rsid w:val="008C0263"/>
    <w:rsid w:val="008C040D"/>
    <w:rsid w:val="008C05FF"/>
    <w:rsid w:val="008C0628"/>
    <w:rsid w:val="008C093D"/>
    <w:rsid w:val="008C10F7"/>
    <w:rsid w:val="008C14FA"/>
    <w:rsid w:val="008C172A"/>
    <w:rsid w:val="008C209D"/>
    <w:rsid w:val="008C2138"/>
    <w:rsid w:val="008C2260"/>
    <w:rsid w:val="008C2914"/>
    <w:rsid w:val="008C2AAA"/>
    <w:rsid w:val="008C2BA6"/>
    <w:rsid w:val="008C30C6"/>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7E"/>
    <w:rsid w:val="008E559D"/>
    <w:rsid w:val="008E594E"/>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5AE"/>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806"/>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26"/>
    <w:rsid w:val="009870A1"/>
    <w:rsid w:val="009870AA"/>
    <w:rsid w:val="00987746"/>
    <w:rsid w:val="009877EB"/>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426"/>
    <w:rsid w:val="009B54C7"/>
    <w:rsid w:val="009B55BB"/>
    <w:rsid w:val="009B55CA"/>
    <w:rsid w:val="009B5706"/>
    <w:rsid w:val="009B5C10"/>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974"/>
    <w:rsid w:val="009F4238"/>
    <w:rsid w:val="009F446E"/>
    <w:rsid w:val="009F4654"/>
    <w:rsid w:val="009F48B7"/>
    <w:rsid w:val="009F4A56"/>
    <w:rsid w:val="009F4AEC"/>
    <w:rsid w:val="009F4BE6"/>
    <w:rsid w:val="009F505C"/>
    <w:rsid w:val="009F5249"/>
    <w:rsid w:val="009F52CE"/>
    <w:rsid w:val="009F5423"/>
    <w:rsid w:val="009F5B3C"/>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70F"/>
    <w:rsid w:val="00A1696D"/>
    <w:rsid w:val="00A169B9"/>
    <w:rsid w:val="00A169D6"/>
    <w:rsid w:val="00A16A90"/>
    <w:rsid w:val="00A16C61"/>
    <w:rsid w:val="00A17BAC"/>
    <w:rsid w:val="00A17E8D"/>
    <w:rsid w:val="00A2010D"/>
    <w:rsid w:val="00A20991"/>
    <w:rsid w:val="00A20B58"/>
    <w:rsid w:val="00A20D33"/>
    <w:rsid w:val="00A20E11"/>
    <w:rsid w:val="00A213E8"/>
    <w:rsid w:val="00A21477"/>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133"/>
    <w:rsid w:val="00A261D8"/>
    <w:rsid w:val="00A2653E"/>
    <w:rsid w:val="00A26C2C"/>
    <w:rsid w:val="00A26ED8"/>
    <w:rsid w:val="00A27148"/>
    <w:rsid w:val="00A27A19"/>
    <w:rsid w:val="00A27B1E"/>
    <w:rsid w:val="00A27C43"/>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726"/>
    <w:rsid w:val="00A448E6"/>
    <w:rsid w:val="00A44B87"/>
    <w:rsid w:val="00A44E9C"/>
    <w:rsid w:val="00A44EF6"/>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0E87"/>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794"/>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E8"/>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69B"/>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A80"/>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C2"/>
    <w:rsid w:val="00C379CE"/>
    <w:rsid w:val="00C37B73"/>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C3F"/>
    <w:rsid w:val="00C74DA0"/>
    <w:rsid w:val="00C74E9A"/>
    <w:rsid w:val="00C74EB0"/>
    <w:rsid w:val="00C74EDA"/>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F9B"/>
    <w:rsid w:val="00D860FB"/>
    <w:rsid w:val="00D86386"/>
    <w:rsid w:val="00D8652F"/>
    <w:rsid w:val="00D866A6"/>
    <w:rsid w:val="00D86777"/>
    <w:rsid w:val="00D86788"/>
    <w:rsid w:val="00D86B75"/>
    <w:rsid w:val="00D86CFE"/>
    <w:rsid w:val="00D879BC"/>
    <w:rsid w:val="00D87AA6"/>
    <w:rsid w:val="00D902EC"/>
    <w:rsid w:val="00D90346"/>
    <w:rsid w:val="00D906EE"/>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3C7"/>
    <w:rsid w:val="00DC3478"/>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41E"/>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E"/>
    <w:rsid w:val="00E070B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7474"/>
    <w:rsid w:val="00E17587"/>
    <w:rsid w:val="00E175CA"/>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842"/>
    <w:rsid w:val="00F25A13"/>
    <w:rsid w:val="00F25AFA"/>
    <w:rsid w:val="00F25AFF"/>
    <w:rsid w:val="00F25B3C"/>
    <w:rsid w:val="00F25BC2"/>
    <w:rsid w:val="00F25C7B"/>
    <w:rsid w:val="00F26069"/>
    <w:rsid w:val="00F2610D"/>
    <w:rsid w:val="00F262AA"/>
    <w:rsid w:val="00F2635A"/>
    <w:rsid w:val="00F26A9B"/>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F013E"/>
    <w:rsid w:val="00FF01C8"/>
    <w:rsid w:val="00FF02A6"/>
    <w:rsid w:val="00FF055C"/>
    <w:rsid w:val="00FF0789"/>
    <w:rsid w:val="00FF0EC0"/>
    <w:rsid w:val="00FF115D"/>
    <w:rsid w:val="00FF146E"/>
    <w:rsid w:val="00FF17D8"/>
    <w:rsid w:val="00FF1891"/>
    <w:rsid w:val="00FF2105"/>
    <w:rsid w:val="00FF2852"/>
    <w:rsid w:val="00FF28C5"/>
    <w:rsid w:val="00FF3085"/>
    <w:rsid w:val="00FF31A9"/>
    <w:rsid w:val="00FF474A"/>
    <w:rsid w:val="00FF4826"/>
    <w:rsid w:val="00FF4F85"/>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audit.vic.gov.au/reports_and_publications/latest_reports/2015-16/20160323-patient-safety.aspx" TargetMode="External"/><Relationship Id="rId26" Type="http://schemas.openxmlformats.org/officeDocument/2006/relationships/hyperlink" Target="http://dx.doi.org/10.3310/hsdr04100" TargetMode="External"/><Relationship Id="rId39" Type="http://schemas.openxmlformats.org/officeDocument/2006/relationships/hyperlink" Target="https://www.effectivehealthcare.ahrq.gov/search-for-guides-reviews-and-reports/?pageaction=displayproduct&amp;productID=2201" TargetMode="External"/><Relationship Id="rId3" Type="http://schemas.openxmlformats.org/officeDocument/2006/relationships/styles" Target="styles.xml"/><Relationship Id="rId21" Type="http://schemas.openxmlformats.org/officeDocument/2006/relationships/hyperlink" Target="http://qualitysafety.bmj.com/content/early/2016/03/18/bmjqs-2015-004839.abstract" TargetMode="External"/><Relationship Id="rId34" Type="http://schemas.openxmlformats.org/officeDocument/2006/relationships/hyperlink" Target="http://www.vifmcommuniques.org/volume-3-issue-1-march-201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england.nhs.uk/2016/03/stillbirths/" TargetMode="External"/><Relationship Id="rId25" Type="http://schemas.openxmlformats.org/officeDocument/2006/relationships/hyperlink" Target="http://dx.doi.org/10.5694/mja15.00827" TargetMode="External"/><Relationship Id="rId33" Type="http://schemas.openxmlformats.org/officeDocument/2006/relationships/hyperlink" Target="http://intqhc.oxfordjournals.org/content/early/recent?papetoc" TargetMode="External"/><Relationship Id="rId38" Type="http://schemas.openxmlformats.org/officeDocument/2006/relationships/hyperlink" Target="https://www.effectivehealthcare.ahrq.gov/search-for-guides-reviews-and-reports/?pageaction=displayproduct&amp;productID=2198" TargetMode="External"/><Relationship Id="rId2" Type="http://schemas.openxmlformats.org/officeDocument/2006/relationships/numbering" Target="numbering.xml"/><Relationship Id="rId16" Type="http://schemas.openxmlformats.org/officeDocument/2006/relationships/hyperlink" Target="http://www.rcgp.org.uk/news/2016/march/one-size-does-not-fit-all-gps-and-physicians.aspx" TargetMode="External"/><Relationship Id="rId20" Type="http://schemas.openxmlformats.org/officeDocument/2006/relationships/hyperlink" Target="http://www.safetyandquality.gov.au/our-work/information-strategy/clinical-quality-registries/" TargetMode="External"/><Relationship Id="rId29" Type="http://schemas.openxmlformats.org/officeDocument/2006/relationships/hyperlink" Target="http://dx.doi.org/10.1186/s13037-015-0090-5"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5694/mja15.01398" TargetMode="External"/><Relationship Id="rId32" Type="http://schemas.openxmlformats.org/officeDocument/2006/relationships/hyperlink" Target="http://qualitysafety.bmj.com/content/early/recent" TargetMode="External"/><Relationship Id="rId37" Type="http://schemas.openxmlformats.org/officeDocument/2006/relationships/hyperlink" Target="http://effectivehealthcare.ahrq.gov/"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our-work/patient-and-consumer-centred-care/" TargetMode="External"/><Relationship Id="rId28" Type="http://schemas.openxmlformats.org/officeDocument/2006/relationships/hyperlink" Target="http://www.safetyandquality.gov.au/our-work/medication-safety/" TargetMode="External"/><Relationship Id="rId36" Type="http://schemas.openxmlformats.org/officeDocument/2006/relationships/hyperlink" Target="https://www.nice.org.uk/guidance/cg62"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5694/mja15.00989"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image" Target="media/image2.png"/><Relationship Id="rId27" Type="http://schemas.openxmlformats.org/officeDocument/2006/relationships/hyperlink" Target="http://dx.doi.org/10.1111/jcpt.12364" TargetMode="External"/><Relationship Id="rId30" Type="http://schemas.openxmlformats.org/officeDocument/2006/relationships/hyperlink" Target="http://www.longwoods.com/publications/healthcarepapers/24405" TargetMode="External"/><Relationship Id="rId35" Type="http://schemas.openxmlformats.org/officeDocument/2006/relationships/hyperlink" Target="http://www.nice.org.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AFC3-BCFA-40AA-8747-1592F8CD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10</Pages>
  <Words>3758</Words>
  <Characters>22888</Characters>
  <Application>Microsoft Office Word</Application>
  <DocSecurity>0</DocSecurity>
  <Lines>467</Lines>
  <Paragraphs>223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26423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34</cp:revision>
  <cp:lastPrinted>2013-06-06T03:47:00Z</cp:lastPrinted>
  <dcterms:created xsi:type="dcterms:W3CDTF">2016-03-20T20:32:00Z</dcterms:created>
  <dcterms:modified xsi:type="dcterms:W3CDTF">2016-03-23T22:29:00Z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