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6D5083">
        <w:rPr>
          <w:color w:val="000000"/>
          <w:lang w:val="en-AU"/>
        </w:rPr>
        <w:t>80</w:t>
      </w:r>
    </w:p>
    <w:p w:rsidR="00755242" w:rsidRPr="002302EF" w:rsidRDefault="006D5083" w:rsidP="00B160EF">
      <w:pPr>
        <w:rPr>
          <w:lang w:val="en-AU"/>
        </w:rPr>
      </w:pPr>
      <w:r>
        <w:rPr>
          <w:lang w:val="en-AU"/>
        </w:rPr>
        <w:t xml:space="preserve">4 July </w:t>
      </w:r>
      <w:r w:rsidR="00AA7F1C">
        <w:rPr>
          <w:lang w:val="en-AU"/>
        </w:rPr>
        <w:t>2016</w:t>
      </w:r>
    </w:p>
    <w:p w:rsidR="00566895" w:rsidRDefault="00566895" w:rsidP="00B160EF">
      <w:pPr>
        <w:rPr>
          <w:lang w:val="en-AU"/>
        </w:rPr>
      </w:pPr>
    </w:p>
    <w:p w:rsidR="00C22DEF" w:rsidRPr="000F1551" w:rsidRDefault="00C22DEF" w:rsidP="00C22DEF">
      <w:pPr>
        <w:rPr>
          <w:b/>
          <w:color w:val="F79646" w:themeColor="accent6"/>
          <w:sz w:val="28"/>
          <w:szCs w:val="28"/>
          <w:lang w:val="en-AU"/>
        </w:rPr>
      </w:pPr>
      <w:r>
        <w:rPr>
          <w:b/>
          <w:color w:val="F79646" w:themeColor="accent6"/>
          <w:sz w:val="28"/>
          <w:szCs w:val="28"/>
          <w:lang w:val="en-AU"/>
        </w:rPr>
        <w:t>Six</w:t>
      </w:r>
      <w:r w:rsidRPr="000F1551">
        <w:rPr>
          <w:b/>
          <w:color w:val="F79646" w:themeColor="accent6"/>
          <w:sz w:val="28"/>
          <w:szCs w:val="28"/>
          <w:lang w:val="en-AU"/>
        </w:rPr>
        <w:t xml:space="preserve"> </w:t>
      </w:r>
      <w:r w:rsidRPr="000F1551">
        <w:rPr>
          <w:b/>
          <w:color w:val="F79646" w:themeColor="accent6"/>
          <w:sz w:val="32"/>
          <w:szCs w:val="32"/>
          <w:lang w:val="en-AU"/>
        </w:rPr>
        <w:t>years</w:t>
      </w:r>
      <w:r w:rsidRPr="000F1551">
        <w:rPr>
          <w:b/>
          <w:color w:val="F79646" w:themeColor="accent6"/>
          <w:sz w:val="28"/>
          <w:szCs w:val="28"/>
          <w:lang w:val="en-AU"/>
        </w:rPr>
        <w:t xml:space="preserve"> of On the Radar</w:t>
      </w:r>
    </w:p>
    <w:p w:rsidR="00C22DEF" w:rsidRDefault="00C22DEF" w:rsidP="00C22DEF">
      <w:pPr>
        <w:rPr>
          <w:lang w:val="en-AU"/>
        </w:rPr>
      </w:pPr>
      <w:r>
        <w:rPr>
          <w:lang w:val="en-AU"/>
        </w:rPr>
        <w:t xml:space="preserve">The first issue of </w:t>
      </w:r>
      <w:r w:rsidRPr="00A67545">
        <w:rPr>
          <w:i/>
          <w:lang w:val="en-AU"/>
        </w:rPr>
        <w:t>On the Radar</w:t>
      </w:r>
      <w:r>
        <w:rPr>
          <w:lang w:val="en-AU"/>
        </w:rPr>
        <w:t xml:space="preserve"> appeared on 5 July 2010. Initially produced as an internal resource for Commission personnel it quickly developed an audience beyond the Commission. Six years and 280 issues later the intent remains much the same – a succinct synopsis of recent material relevant to safety and quality in health care. I hope you have found it useful and relevant and continue to do so.</w:t>
      </w:r>
    </w:p>
    <w:p w:rsidR="00C22DEF" w:rsidRDefault="00C22DEF" w:rsidP="00C22DEF">
      <w:pPr>
        <w:rPr>
          <w:lang w:val="en-AU"/>
        </w:rPr>
      </w:pPr>
      <w:r>
        <w:rPr>
          <w:lang w:val="en-AU"/>
        </w:rPr>
        <w:t>Dr Niall Johnson</w:t>
      </w:r>
    </w:p>
    <w:p w:rsidR="00C22DEF" w:rsidRDefault="00C22DEF" w:rsidP="00C22DEF">
      <w:pPr>
        <w:rPr>
          <w:lang w:val="en-AU"/>
        </w:rPr>
      </w:pPr>
      <w:r>
        <w:rPr>
          <w:lang w:val="en-AU"/>
        </w:rPr>
        <w:t>Editor</w:t>
      </w:r>
    </w:p>
    <w:p w:rsidR="00C22DEF" w:rsidRPr="002302EF" w:rsidRDefault="00C22DEF" w:rsidP="00C22DEF">
      <w:pPr>
        <w:keepNext/>
        <w:pBdr>
          <w:top w:val="single" w:sz="4" w:space="1" w:color="auto"/>
        </w:pBdr>
        <w:rPr>
          <w:b/>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C22DEF" w:rsidRDefault="00C22DEF" w:rsidP="00210235">
      <w:pPr>
        <w:keepNext/>
        <w:pBdr>
          <w:top w:val="single" w:sz="4" w:space="1" w:color="auto"/>
        </w:pBdr>
        <w:rPr>
          <w:b/>
          <w:lang w:val="en-AU"/>
        </w:rPr>
      </w:pP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4F17AE">
        <w:rPr>
          <w:bCs/>
          <w:lang w:val="en-AU"/>
        </w:rPr>
        <w:t>, Ben Prest</w:t>
      </w:r>
    </w:p>
    <w:p w:rsidR="008544DE" w:rsidRDefault="008544DE" w:rsidP="008544DE">
      <w:pPr>
        <w:keepNext/>
        <w:keepLines/>
        <w:autoSpaceDE w:val="0"/>
        <w:autoSpaceDN w:val="0"/>
        <w:adjustRightInd w:val="0"/>
        <w:rPr>
          <w:lang w:val="en-AU"/>
        </w:rPr>
      </w:pPr>
    </w:p>
    <w:p w:rsidR="00902275" w:rsidRDefault="00902275" w:rsidP="008544DE">
      <w:pPr>
        <w:keepNext/>
        <w:keepLines/>
        <w:autoSpaceDE w:val="0"/>
        <w:autoSpaceDN w:val="0"/>
        <w:adjustRightInd w:val="0"/>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9B53E9" w:rsidRDefault="009B53E9" w:rsidP="009B53E9">
      <w:pPr>
        <w:rPr>
          <w:lang w:val="en-AU"/>
        </w:rPr>
      </w:pPr>
    </w:p>
    <w:p w:rsidR="00F3040C" w:rsidRPr="004F17AE" w:rsidRDefault="004F17AE" w:rsidP="00F3040C">
      <w:pPr>
        <w:keepNext/>
        <w:keepLines/>
        <w:autoSpaceDE w:val="0"/>
        <w:autoSpaceDN w:val="0"/>
        <w:adjustRightInd w:val="0"/>
        <w:rPr>
          <w:i/>
          <w:lang w:val="en-AU"/>
        </w:rPr>
      </w:pPr>
      <w:r w:rsidRPr="004F17AE">
        <w:rPr>
          <w:i/>
          <w:lang w:val="en-AU"/>
        </w:rPr>
        <w:t>Non-beneficial treatments in hospital at the end of life: a systematic review on extent of the problem</w:t>
      </w:r>
    </w:p>
    <w:p w:rsidR="004F17AE" w:rsidRDefault="004F17AE" w:rsidP="00F3040C">
      <w:pPr>
        <w:keepNext/>
        <w:keepLines/>
        <w:autoSpaceDE w:val="0"/>
        <w:autoSpaceDN w:val="0"/>
        <w:adjustRightInd w:val="0"/>
        <w:rPr>
          <w:lang w:val="en-AU"/>
        </w:rPr>
      </w:pPr>
      <w:r w:rsidRPr="004F17AE">
        <w:rPr>
          <w:lang w:val="en-AU"/>
        </w:rPr>
        <w:t>M Cardona-Morrell, JCH Kim, RM Turner, M Anstey, IA Mitchell, K Hillman</w:t>
      </w:r>
    </w:p>
    <w:p w:rsidR="004F17AE" w:rsidRDefault="004F17AE" w:rsidP="00F3040C">
      <w:pPr>
        <w:keepNext/>
        <w:keepLines/>
        <w:autoSpaceDE w:val="0"/>
        <w:autoSpaceDN w:val="0"/>
        <w:adjustRightInd w:val="0"/>
        <w:rPr>
          <w:lang w:val="en-AU"/>
        </w:rPr>
      </w:pPr>
      <w:r w:rsidRPr="004F17AE">
        <w:rPr>
          <w:lang w:val="en-AU"/>
        </w:rPr>
        <w:t>International Journal for Quality in Health Care</w:t>
      </w:r>
      <w:r>
        <w:rPr>
          <w:lang w:val="en-AU"/>
        </w:rPr>
        <w:t>. 2016 [epub].</w:t>
      </w:r>
    </w:p>
    <w:tbl>
      <w:tblPr>
        <w:tblStyle w:val="TableGrid"/>
        <w:tblW w:w="0" w:type="auto"/>
        <w:tblInd w:w="288" w:type="dxa"/>
        <w:tblLayout w:type="fixed"/>
        <w:tblLook w:val="01E0" w:firstRow="1" w:lastRow="1" w:firstColumn="1" w:lastColumn="1" w:noHBand="0" w:noVBand="0"/>
      </w:tblPr>
      <w:tblGrid>
        <w:gridCol w:w="1080"/>
        <w:gridCol w:w="8280"/>
      </w:tblGrid>
      <w:tr w:rsidR="00F3040C" w:rsidRPr="00255EF8" w:rsidTr="00424326">
        <w:tc>
          <w:tcPr>
            <w:tcW w:w="1080" w:type="dxa"/>
            <w:tcBorders>
              <w:top w:val="single" w:sz="4" w:space="0" w:color="auto"/>
              <w:left w:val="single" w:sz="4" w:space="0" w:color="auto"/>
              <w:bottom w:val="single" w:sz="4" w:space="0" w:color="auto"/>
              <w:right w:val="single" w:sz="4" w:space="0" w:color="auto"/>
            </w:tcBorders>
            <w:vAlign w:val="center"/>
          </w:tcPr>
          <w:p w:rsidR="00F3040C" w:rsidRPr="005B6694" w:rsidRDefault="00F3040C" w:rsidP="00424326">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3040C" w:rsidRPr="004B7AA3" w:rsidRDefault="003748EE" w:rsidP="008734E1">
            <w:pPr>
              <w:rPr>
                <w:rStyle w:val="Hyperlink"/>
                <w:color w:val="auto"/>
                <w:u w:val="none"/>
              </w:rPr>
            </w:pPr>
            <w:hyperlink r:id="rId16" w:history="1">
              <w:r w:rsidR="004F17AE" w:rsidRPr="001B5C23">
                <w:rPr>
                  <w:rStyle w:val="Hyperlink"/>
                </w:rPr>
                <w:t>http://dx.doi.org/10.1093/intqhc/mzw060</w:t>
              </w:r>
            </w:hyperlink>
          </w:p>
        </w:tc>
      </w:tr>
      <w:tr w:rsidR="00F3040C" w:rsidRPr="004147BB" w:rsidTr="00424326">
        <w:tc>
          <w:tcPr>
            <w:tcW w:w="1080" w:type="dxa"/>
            <w:tcBorders>
              <w:top w:val="single" w:sz="4" w:space="0" w:color="auto"/>
              <w:left w:val="single" w:sz="4" w:space="0" w:color="auto"/>
              <w:bottom w:val="single" w:sz="4" w:space="0" w:color="auto"/>
              <w:right w:val="single" w:sz="4" w:space="0" w:color="auto"/>
            </w:tcBorders>
            <w:vAlign w:val="center"/>
          </w:tcPr>
          <w:p w:rsidR="00F3040C" w:rsidRPr="00255EF8" w:rsidRDefault="00F3040C" w:rsidP="00424326">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4EC8" w:rsidRDefault="00566447" w:rsidP="00104EC8">
            <w:pPr>
              <w:rPr>
                <w:lang w:val="en-AU" w:eastAsia="en-AU"/>
              </w:rPr>
            </w:pPr>
            <w:r>
              <w:rPr>
                <w:lang w:val="en-AU" w:eastAsia="en-AU"/>
              </w:rPr>
              <w:t>Paper reporting on a l</w:t>
            </w:r>
            <w:r w:rsidR="00104EC8">
              <w:rPr>
                <w:lang w:val="en-AU" w:eastAsia="en-AU"/>
              </w:rPr>
              <w:t>iterature r</w:t>
            </w:r>
            <w:r w:rsidR="00104EC8" w:rsidRPr="00104EC8">
              <w:rPr>
                <w:lang w:val="en-AU" w:eastAsia="en-AU"/>
              </w:rPr>
              <w:t>eview of 38 English-language studies from ten countries, including two from Australia, assessing objective dimensions of non-beneficial medical or surgical diagnostic, therapeutic or non-palliative procedures administered to older adults at the end of life.</w:t>
            </w:r>
          </w:p>
          <w:p w:rsidR="00104EC8" w:rsidRPr="00104EC8" w:rsidRDefault="00104EC8" w:rsidP="00104EC8">
            <w:pPr>
              <w:rPr>
                <w:lang w:val="en-AU" w:eastAsia="en-AU"/>
              </w:rPr>
            </w:pPr>
            <w:r w:rsidRPr="00104EC8">
              <w:rPr>
                <w:lang w:val="en-AU" w:eastAsia="en-AU"/>
              </w:rPr>
              <w:lastRenderedPageBreak/>
              <w:t>On average, across the studies,</w:t>
            </w:r>
            <w:r>
              <w:rPr>
                <w:lang w:val="en-AU" w:eastAsia="en-AU"/>
              </w:rPr>
              <w:t xml:space="preserve"> </w:t>
            </w:r>
            <w:r w:rsidRPr="00D33A6A">
              <w:rPr>
                <w:b/>
                <w:lang w:val="en-AU" w:eastAsia="en-AU"/>
              </w:rPr>
              <w:t>33</w:t>
            </w:r>
            <w:r w:rsidR="00566447" w:rsidRPr="00D33A6A">
              <w:rPr>
                <w:b/>
                <w:lang w:val="en-AU" w:eastAsia="en-AU"/>
              </w:rPr>
              <w:t>–</w:t>
            </w:r>
            <w:r w:rsidRPr="00D33A6A">
              <w:rPr>
                <w:b/>
                <w:lang w:val="en-AU" w:eastAsia="en-AU"/>
              </w:rPr>
              <w:t>38% of patients near the end of life received non-beneficial treatment</w:t>
            </w:r>
            <w:r w:rsidRPr="00104EC8">
              <w:rPr>
                <w:lang w:val="en-AU" w:eastAsia="en-AU"/>
              </w:rPr>
              <w:t>.</w:t>
            </w:r>
            <w:r>
              <w:rPr>
                <w:lang w:val="en-AU" w:eastAsia="en-AU"/>
              </w:rPr>
              <w:t xml:space="preserve"> For this study, t</w:t>
            </w:r>
            <w:r w:rsidRPr="00104EC8">
              <w:rPr>
                <w:lang w:val="en-AU" w:eastAsia="en-AU"/>
              </w:rPr>
              <w:t xml:space="preserve">he expression </w:t>
            </w:r>
            <w:r>
              <w:rPr>
                <w:lang w:val="en-AU" w:eastAsia="en-AU"/>
              </w:rPr>
              <w:t>“</w:t>
            </w:r>
            <w:r w:rsidRPr="00104EC8">
              <w:rPr>
                <w:lang w:val="en-AU" w:eastAsia="en-AU"/>
              </w:rPr>
              <w:t>non-beneficial treatment</w:t>
            </w:r>
            <w:r>
              <w:rPr>
                <w:lang w:val="en-AU" w:eastAsia="en-AU"/>
              </w:rPr>
              <w:t>”</w:t>
            </w:r>
            <w:r w:rsidRPr="00104EC8">
              <w:rPr>
                <w:lang w:val="en-AU" w:eastAsia="en-AU"/>
              </w:rPr>
              <w:t xml:space="preserve"> indicates a treatment that was administered with little or no hope of it h</w:t>
            </w:r>
            <w:r>
              <w:rPr>
                <w:lang w:val="en-AU" w:eastAsia="en-AU"/>
              </w:rPr>
              <w:t>aving any effect.</w:t>
            </w:r>
          </w:p>
          <w:p w:rsidR="00104EC8" w:rsidRPr="00104EC8" w:rsidRDefault="00104EC8" w:rsidP="00104EC8">
            <w:pPr>
              <w:rPr>
                <w:lang w:val="en-AU" w:eastAsia="en-AU"/>
              </w:rPr>
            </w:pPr>
            <w:r w:rsidRPr="00104EC8">
              <w:rPr>
                <w:lang w:val="en-AU" w:eastAsia="en-AU"/>
              </w:rPr>
              <w:t xml:space="preserve">The most commonly reported </w:t>
            </w:r>
            <w:r w:rsidRPr="00566447">
              <w:rPr>
                <w:b/>
                <w:lang w:val="en-AU" w:eastAsia="en-AU"/>
              </w:rPr>
              <w:t>non-beneficial treatments</w:t>
            </w:r>
            <w:r>
              <w:rPr>
                <w:lang w:val="en-AU" w:eastAsia="en-AU"/>
              </w:rPr>
              <w:t xml:space="preserve"> </w:t>
            </w:r>
            <w:r w:rsidRPr="00104EC8">
              <w:rPr>
                <w:lang w:val="en-AU" w:eastAsia="en-AU"/>
              </w:rPr>
              <w:t xml:space="preserve">were </w:t>
            </w:r>
            <w:r w:rsidRPr="00566447">
              <w:rPr>
                <w:b/>
                <w:lang w:val="en-AU" w:eastAsia="en-AU"/>
              </w:rPr>
              <w:t>admissions to ICU</w:t>
            </w:r>
            <w:r w:rsidRPr="00104EC8">
              <w:rPr>
                <w:lang w:val="en-AU" w:eastAsia="en-AU"/>
              </w:rPr>
              <w:t xml:space="preserve"> for patients with advanced incurable disease or pre-existing limitations of treatment; </w:t>
            </w:r>
            <w:r w:rsidRPr="00566447">
              <w:rPr>
                <w:b/>
                <w:lang w:val="en-AU" w:eastAsia="en-AU"/>
              </w:rPr>
              <w:t>administration of CPR</w:t>
            </w:r>
            <w:r w:rsidRPr="00104EC8">
              <w:rPr>
                <w:lang w:val="en-AU" w:eastAsia="en-AU"/>
              </w:rPr>
              <w:t xml:space="preserve"> for terminal patients with or without prior limitation of treatment orders; and initiation or continuation of </w:t>
            </w:r>
            <w:r w:rsidRPr="00566447">
              <w:rPr>
                <w:b/>
                <w:lang w:val="en-AU" w:eastAsia="en-AU"/>
              </w:rPr>
              <w:t>chemotherapy</w:t>
            </w:r>
            <w:r w:rsidRPr="00104EC8">
              <w:rPr>
                <w:lang w:val="en-AU" w:eastAsia="en-AU"/>
              </w:rPr>
              <w:t xml:space="preserve"> in the last 14 days to 1 month of life.</w:t>
            </w:r>
            <w:r>
              <w:rPr>
                <w:lang w:val="en-AU" w:eastAsia="en-AU"/>
              </w:rPr>
              <w:t xml:space="preserve"> </w:t>
            </w:r>
            <w:r w:rsidRPr="00104EC8">
              <w:rPr>
                <w:lang w:val="en-AU" w:eastAsia="en-AU"/>
              </w:rPr>
              <w:t xml:space="preserve">The study suggests that these outcomes could </w:t>
            </w:r>
            <w:r>
              <w:rPr>
                <w:lang w:val="en-AU" w:eastAsia="en-AU"/>
              </w:rPr>
              <w:t xml:space="preserve">be </w:t>
            </w:r>
            <w:r w:rsidRPr="00104EC8">
              <w:rPr>
                <w:lang w:val="en-AU" w:eastAsia="en-AU"/>
              </w:rPr>
              <w:t>adopted as indicators of non</w:t>
            </w:r>
            <w:r>
              <w:rPr>
                <w:lang w:val="en-AU" w:eastAsia="en-AU"/>
              </w:rPr>
              <w:t>-</w:t>
            </w:r>
            <w:r w:rsidRPr="00104EC8">
              <w:rPr>
                <w:lang w:val="en-AU" w:eastAsia="en-AU"/>
              </w:rPr>
              <w:t>beneficial care and monitored routinely to inform hospital practice.</w:t>
            </w:r>
          </w:p>
          <w:p w:rsidR="00104EC8" w:rsidRDefault="00104EC8" w:rsidP="00104EC8">
            <w:pPr>
              <w:rPr>
                <w:lang w:val="en-AU" w:eastAsia="en-AU"/>
              </w:rPr>
            </w:pPr>
            <w:r w:rsidRPr="00104EC8">
              <w:rPr>
                <w:lang w:val="en-AU" w:eastAsia="en-AU"/>
              </w:rPr>
              <w:t>The perception of death as treatment failure</w:t>
            </w:r>
            <w:r>
              <w:rPr>
                <w:lang w:val="en-AU" w:eastAsia="en-AU"/>
              </w:rPr>
              <w:t xml:space="preserve"> </w:t>
            </w:r>
            <w:r w:rsidRPr="00104EC8">
              <w:rPr>
                <w:lang w:val="en-AU" w:eastAsia="en-AU"/>
              </w:rPr>
              <w:t>continue</w:t>
            </w:r>
            <w:r>
              <w:rPr>
                <w:lang w:val="en-AU" w:eastAsia="en-AU"/>
              </w:rPr>
              <w:t>s</w:t>
            </w:r>
            <w:r w:rsidRPr="00104EC8">
              <w:rPr>
                <w:lang w:val="en-AU" w:eastAsia="en-AU"/>
              </w:rPr>
              <w:t xml:space="preserve"> to drive the medicalization of death, prolongation of patient suffering and prevent high-quality end-of-life care</w:t>
            </w:r>
            <w:r>
              <w:rPr>
                <w:lang w:val="en-AU" w:eastAsia="en-AU"/>
              </w:rPr>
              <w:t xml:space="preserve"> worldwide</w:t>
            </w:r>
            <w:r w:rsidRPr="00104EC8">
              <w:rPr>
                <w:lang w:val="en-AU" w:eastAsia="en-AU"/>
              </w:rPr>
              <w:t>.</w:t>
            </w:r>
          </w:p>
          <w:p w:rsidR="00104EC8" w:rsidRPr="00104EC8" w:rsidRDefault="00D33A6A" w:rsidP="00D33A6A">
            <w:pPr>
              <w:rPr>
                <w:lang w:val="en-AU" w:eastAsia="en-AU"/>
              </w:rPr>
            </w:pPr>
            <w:r w:rsidRPr="00D33A6A">
              <w:rPr>
                <w:lang w:val="en-AU" w:eastAsia="en-AU"/>
              </w:rPr>
              <w:t>A co-author of this study, Imogen Mitchell, is also clinical advisor for the Commission’s end-of-life care work.</w:t>
            </w:r>
          </w:p>
        </w:tc>
      </w:tr>
    </w:tbl>
    <w:p w:rsidR="00F3040C" w:rsidRDefault="00F3040C" w:rsidP="00F3040C">
      <w:pPr>
        <w:rPr>
          <w:lang w:val="en-AU"/>
        </w:rPr>
      </w:pPr>
    </w:p>
    <w:p w:rsidR="004F17AE" w:rsidRDefault="004F17AE" w:rsidP="00F3040C">
      <w:pPr>
        <w:rPr>
          <w:lang w:val="en-AU"/>
        </w:rPr>
      </w:pPr>
      <w:r>
        <w:rPr>
          <w:lang w:val="en-AU"/>
        </w:rPr>
        <w:t>For information on the Commission’s work on</w:t>
      </w:r>
      <w:r w:rsidR="003D0B5D">
        <w:rPr>
          <w:lang w:val="en-AU"/>
        </w:rPr>
        <w:t xml:space="preserve"> end of life care</w:t>
      </w:r>
      <w:r w:rsidR="003607D0">
        <w:rPr>
          <w:lang w:val="en-AU"/>
        </w:rPr>
        <w:t>, including t</w:t>
      </w:r>
      <w:r w:rsidR="003607D0" w:rsidRPr="003607D0">
        <w:rPr>
          <w:lang w:val="en-AU"/>
        </w:rPr>
        <w:t xml:space="preserve">he </w:t>
      </w:r>
      <w:r w:rsidR="003607D0" w:rsidRPr="003607D0">
        <w:rPr>
          <w:i/>
          <w:lang w:val="en-AU"/>
        </w:rPr>
        <w:t>National Consensus Statement: Essential elements for safe and high-quality end-of-life care</w:t>
      </w:r>
      <w:r w:rsidR="003D0B5D">
        <w:rPr>
          <w:lang w:val="en-AU"/>
        </w:rPr>
        <w:t xml:space="preserve">, see </w:t>
      </w:r>
      <w:hyperlink r:id="rId17" w:history="1">
        <w:r w:rsidR="008F5BE2" w:rsidRPr="009C6E09">
          <w:rPr>
            <w:rStyle w:val="Hyperlink"/>
            <w:lang w:val="en-AU"/>
          </w:rPr>
          <w:t>http://www.safetyandquality.gov.au/endoflifecare</w:t>
        </w:r>
      </w:hyperlink>
      <w:r w:rsidR="008F5BE2">
        <w:rPr>
          <w:lang w:val="en-AU"/>
        </w:rPr>
        <w:t xml:space="preserve"> </w:t>
      </w:r>
    </w:p>
    <w:p w:rsidR="003D0B5D" w:rsidRDefault="003D0B5D" w:rsidP="00F3040C">
      <w:pPr>
        <w:rPr>
          <w:lang w:val="en-AU"/>
        </w:rPr>
      </w:pPr>
    </w:p>
    <w:p w:rsidR="00A90E01" w:rsidRPr="00A90E01" w:rsidRDefault="00A90E01" w:rsidP="00A90E01">
      <w:pPr>
        <w:keepNext/>
        <w:keepLines/>
        <w:autoSpaceDE w:val="0"/>
        <w:autoSpaceDN w:val="0"/>
        <w:adjustRightInd w:val="0"/>
        <w:rPr>
          <w:i/>
          <w:lang w:val="en-AU"/>
        </w:rPr>
      </w:pPr>
      <w:r w:rsidRPr="00A90E01">
        <w:rPr>
          <w:i/>
          <w:lang w:val="en-AU"/>
        </w:rPr>
        <w:t>Effectiveness of insertion and maintenance bundles to prevent central-line-associated bloodstream infections in critically ill patients of all ages: a systematic review and meta-analysis</w:t>
      </w:r>
    </w:p>
    <w:p w:rsidR="00A90E01" w:rsidRDefault="00A90E01" w:rsidP="00084997">
      <w:pPr>
        <w:keepNext/>
        <w:keepLines/>
        <w:autoSpaceDE w:val="0"/>
        <w:autoSpaceDN w:val="0"/>
        <w:adjustRightInd w:val="0"/>
        <w:rPr>
          <w:lang w:val="en-AU"/>
        </w:rPr>
      </w:pPr>
      <w:r w:rsidRPr="00A90E01">
        <w:rPr>
          <w:lang w:val="en-AU"/>
        </w:rPr>
        <w:t>Ista E, van der Hoven B, Kornelisse RF, van der Starre C, Vos MC, Boersma E, et al</w:t>
      </w:r>
    </w:p>
    <w:p w:rsidR="00084997" w:rsidRDefault="00A90E01" w:rsidP="00084997">
      <w:pPr>
        <w:keepNext/>
        <w:keepLines/>
        <w:autoSpaceDE w:val="0"/>
        <w:autoSpaceDN w:val="0"/>
        <w:adjustRightInd w:val="0"/>
        <w:rPr>
          <w:lang w:val="en-AU"/>
        </w:rPr>
      </w:pPr>
      <w:r w:rsidRPr="00A90E01">
        <w:rPr>
          <w:lang w:val="en-AU"/>
        </w:rPr>
        <w:t>The Lancet Infectious Diseases. 2016;16(6):724-34.</w:t>
      </w:r>
    </w:p>
    <w:tbl>
      <w:tblPr>
        <w:tblStyle w:val="TableGrid"/>
        <w:tblW w:w="0" w:type="auto"/>
        <w:tblInd w:w="288" w:type="dxa"/>
        <w:tblLayout w:type="fixed"/>
        <w:tblLook w:val="01E0" w:firstRow="1" w:lastRow="1" w:firstColumn="1" w:lastColumn="1" w:noHBand="0" w:noVBand="0"/>
      </w:tblPr>
      <w:tblGrid>
        <w:gridCol w:w="1080"/>
        <w:gridCol w:w="8280"/>
      </w:tblGrid>
      <w:tr w:rsidR="00084997" w:rsidRPr="00255EF8" w:rsidTr="00424326">
        <w:tc>
          <w:tcPr>
            <w:tcW w:w="1080" w:type="dxa"/>
            <w:tcBorders>
              <w:top w:val="single" w:sz="4" w:space="0" w:color="auto"/>
              <w:left w:val="single" w:sz="4" w:space="0" w:color="auto"/>
              <w:bottom w:val="single" w:sz="4" w:space="0" w:color="auto"/>
              <w:right w:val="single" w:sz="4" w:space="0" w:color="auto"/>
            </w:tcBorders>
            <w:vAlign w:val="center"/>
          </w:tcPr>
          <w:p w:rsidR="00084997" w:rsidRPr="005B6694" w:rsidRDefault="00084997" w:rsidP="00424326">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84997" w:rsidRPr="004B7AA3" w:rsidRDefault="00A90E01" w:rsidP="00424326">
            <w:pPr>
              <w:rPr>
                <w:rStyle w:val="Hyperlink"/>
                <w:color w:val="auto"/>
                <w:u w:val="none"/>
              </w:rPr>
            </w:pPr>
            <w:hyperlink r:id="rId18" w:history="1">
              <w:r w:rsidRPr="005A00FC">
                <w:rPr>
                  <w:rStyle w:val="Hyperlink"/>
                </w:rPr>
                <w:t>http://dx.doi.org/10.1016/S1473-3099(15)00409-0</w:t>
              </w:r>
            </w:hyperlink>
          </w:p>
        </w:tc>
      </w:tr>
      <w:tr w:rsidR="00084997" w:rsidRPr="004147BB" w:rsidTr="00424326">
        <w:tc>
          <w:tcPr>
            <w:tcW w:w="1080" w:type="dxa"/>
            <w:tcBorders>
              <w:top w:val="single" w:sz="4" w:space="0" w:color="auto"/>
              <w:left w:val="single" w:sz="4" w:space="0" w:color="auto"/>
              <w:bottom w:val="single" w:sz="4" w:space="0" w:color="auto"/>
              <w:right w:val="single" w:sz="4" w:space="0" w:color="auto"/>
            </w:tcBorders>
            <w:vAlign w:val="center"/>
          </w:tcPr>
          <w:p w:rsidR="00084997" w:rsidRPr="00255EF8" w:rsidRDefault="00084997" w:rsidP="00424326">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84997" w:rsidRPr="00CE7C9C" w:rsidRDefault="00A90E01" w:rsidP="00A90E01">
            <w:pPr>
              <w:rPr>
                <w:lang w:val="en-AU" w:eastAsia="en-AU"/>
              </w:rPr>
            </w:pPr>
            <w:r>
              <w:rPr>
                <w:lang w:val="en-AU" w:eastAsia="en-AU"/>
              </w:rPr>
              <w:t xml:space="preserve">Paper reporting on a review and meta-analysis examining the </w:t>
            </w:r>
            <w:r w:rsidRPr="00A90E01">
              <w:rPr>
                <w:lang w:val="en-AU" w:eastAsia="en-AU"/>
              </w:rPr>
              <w:t xml:space="preserve">effectiveness of central-line bundles (insertion or maintenance or both) to prevent </w:t>
            </w:r>
            <w:r>
              <w:rPr>
                <w:lang w:val="en-AU" w:eastAsia="en-AU"/>
              </w:rPr>
              <w:t>c</w:t>
            </w:r>
            <w:r w:rsidRPr="00A90E01">
              <w:rPr>
                <w:lang w:val="en-AU" w:eastAsia="en-AU"/>
              </w:rPr>
              <w:t>entral-line-associated bloodstream infections (</w:t>
            </w:r>
            <w:r w:rsidRPr="00A90E01">
              <w:rPr>
                <w:b/>
                <w:lang w:val="en-AU" w:eastAsia="en-AU"/>
              </w:rPr>
              <w:t>CLABSIs</w:t>
            </w:r>
            <w:r w:rsidRPr="00A90E01">
              <w:rPr>
                <w:lang w:val="en-AU" w:eastAsia="en-AU"/>
              </w:rPr>
              <w:t>) infections.</w:t>
            </w:r>
            <w:r>
              <w:rPr>
                <w:lang w:val="en-AU" w:eastAsia="en-AU"/>
              </w:rPr>
              <w:t xml:space="preserve"> The review of 79 studies fed into a meta-analysis finding “</w:t>
            </w:r>
            <w:r w:rsidRPr="00A90E01">
              <w:rPr>
                <w:lang w:val="en-AU" w:eastAsia="en-AU"/>
              </w:rPr>
              <w:t xml:space="preserve">the </w:t>
            </w:r>
            <w:r w:rsidRPr="00A90E01">
              <w:rPr>
                <w:b/>
                <w:lang w:val="en-AU" w:eastAsia="en-AU"/>
              </w:rPr>
              <w:t>incidence</w:t>
            </w:r>
            <w:r w:rsidRPr="00A90E01">
              <w:rPr>
                <w:lang w:val="en-AU" w:eastAsia="en-AU"/>
              </w:rPr>
              <w:t xml:space="preserve"> of infections </w:t>
            </w:r>
            <w:r w:rsidRPr="00A90E01">
              <w:rPr>
                <w:b/>
                <w:lang w:val="en-AU" w:eastAsia="en-AU"/>
              </w:rPr>
              <w:t>decreased significantly</w:t>
            </w:r>
            <w:r w:rsidRPr="00A90E01">
              <w:rPr>
                <w:lang w:val="en-AU" w:eastAsia="en-AU"/>
              </w:rPr>
              <w:t xml:space="preserve"> from median 6·4 per 1000 catheter-days (IQR 3·8–10·9) to 2·5 per 1000 catheter-days (1·4–4·8) </w:t>
            </w:r>
            <w:r w:rsidRPr="00A90E01">
              <w:rPr>
                <w:b/>
                <w:lang w:val="en-AU" w:eastAsia="en-AU"/>
              </w:rPr>
              <w:t>after implementation of bundles</w:t>
            </w:r>
            <w:r w:rsidRPr="00A90E01">
              <w:rPr>
                <w:lang w:val="en-AU" w:eastAsia="en-AU"/>
              </w:rPr>
              <w:t xml:space="preserve"> (IRR 0·44, 95% CI 0·39–0·50, p&lt;0·0001; I2=89%).</w:t>
            </w:r>
            <w:r>
              <w:rPr>
                <w:lang w:val="en-AU" w:eastAsia="en-AU"/>
              </w:rPr>
              <w:t>”</w:t>
            </w:r>
          </w:p>
        </w:tc>
      </w:tr>
    </w:tbl>
    <w:p w:rsidR="00084997" w:rsidRDefault="00084997" w:rsidP="00084997">
      <w:pPr>
        <w:rPr>
          <w:lang w:val="en-AU"/>
        </w:rPr>
      </w:pPr>
    </w:p>
    <w:p w:rsidR="00936F26" w:rsidRDefault="00A90E01" w:rsidP="00936F26">
      <w:pPr>
        <w:keepNext/>
        <w:keepLines/>
        <w:autoSpaceDE w:val="0"/>
        <w:autoSpaceDN w:val="0"/>
        <w:adjustRightInd w:val="0"/>
        <w:rPr>
          <w:lang w:val="en-AU"/>
        </w:rPr>
      </w:pPr>
      <w:r>
        <w:rPr>
          <w:lang w:val="en-AU"/>
        </w:rPr>
        <w:t xml:space="preserve">For information on the Commission’s work on health care associated infection, see </w:t>
      </w:r>
      <w:hyperlink r:id="rId19" w:history="1">
        <w:r w:rsidRPr="005A00FC">
          <w:rPr>
            <w:rStyle w:val="Hyperlink"/>
            <w:lang w:val="en-AU"/>
          </w:rPr>
          <w:t>www.safetyandquality.gov.au/our-work/healthcare-associated-infection/</w:t>
        </w:r>
      </w:hyperlink>
    </w:p>
    <w:p w:rsidR="004F17AE" w:rsidRDefault="004F17AE" w:rsidP="00685E98">
      <w:pPr>
        <w:autoSpaceDE w:val="0"/>
        <w:autoSpaceDN w:val="0"/>
        <w:adjustRightInd w:val="0"/>
        <w:rPr>
          <w:i/>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3748EE" w:rsidP="00BE027C">
            <w:pPr>
              <w:keepNext/>
              <w:rPr>
                <w:lang w:val="en-AU"/>
              </w:rPr>
            </w:pPr>
            <w:hyperlink r:id="rId20"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551822" w:rsidRPr="00551822" w:rsidRDefault="00551822" w:rsidP="00551822">
            <w:pPr>
              <w:pStyle w:val="ListParagraph"/>
              <w:numPr>
                <w:ilvl w:val="0"/>
                <w:numId w:val="14"/>
              </w:numPr>
              <w:rPr>
                <w:lang w:val="en-AU"/>
              </w:rPr>
            </w:pPr>
            <w:r w:rsidRPr="00551822">
              <w:rPr>
                <w:b/>
                <w:lang w:val="en-AU"/>
              </w:rPr>
              <w:t>Extended opening hours and patient experience of general practice</w:t>
            </w:r>
            <w:r w:rsidRPr="00551822">
              <w:rPr>
                <w:lang w:val="en-AU"/>
              </w:rPr>
              <w:t xml:space="preserve"> in England: multilevel regression analysis of a national patient survey (Thomas E Cowling, Matthew Harris, Azeem Majeed</w:t>
            </w:r>
            <w:r>
              <w:rPr>
                <w:lang w:val="en-AU"/>
              </w:rPr>
              <w:t>)</w:t>
            </w:r>
          </w:p>
          <w:p w:rsidR="003D04EA" w:rsidRDefault="00551822" w:rsidP="00551822">
            <w:pPr>
              <w:pStyle w:val="ListParagraph"/>
              <w:numPr>
                <w:ilvl w:val="0"/>
                <w:numId w:val="14"/>
              </w:numPr>
              <w:rPr>
                <w:lang w:val="en-AU"/>
              </w:rPr>
            </w:pPr>
            <w:r w:rsidRPr="00551822">
              <w:rPr>
                <w:lang w:val="en-AU"/>
              </w:rPr>
              <w:t xml:space="preserve">Opening up to </w:t>
            </w:r>
            <w:r w:rsidRPr="00551822">
              <w:rPr>
                <w:b/>
                <w:lang w:val="en-AU"/>
              </w:rPr>
              <w:t>Open Notes</w:t>
            </w:r>
            <w:r w:rsidRPr="00551822">
              <w:rPr>
                <w:lang w:val="en-AU"/>
              </w:rPr>
              <w:t xml:space="preserve"> and </w:t>
            </w:r>
            <w:r w:rsidRPr="00551822">
              <w:rPr>
                <w:b/>
                <w:lang w:val="en-AU"/>
              </w:rPr>
              <w:t>adding the patient to the team</w:t>
            </w:r>
            <w:r>
              <w:rPr>
                <w:lang w:val="en-AU"/>
              </w:rPr>
              <w:t xml:space="preserve"> (</w:t>
            </w:r>
            <w:r w:rsidRPr="00551822">
              <w:rPr>
                <w:lang w:val="en-AU"/>
              </w:rPr>
              <w:t>Caroline Lubick Goldzweig</w:t>
            </w:r>
            <w:r>
              <w:rPr>
                <w:lang w:val="en-AU"/>
              </w:rPr>
              <w:t>)</w:t>
            </w:r>
          </w:p>
          <w:p w:rsidR="00FD52DB" w:rsidRPr="00D755FC" w:rsidRDefault="00FD52DB" w:rsidP="00FD52DB">
            <w:pPr>
              <w:pStyle w:val="ListParagraph"/>
              <w:numPr>
                <w:ilvl w:val="0"/>
                <w:numId w:val="14"/>
              </w:numPr>
              <w:rPr>
                <w:lang w:val="en-AU"/>
              </w:rPr>
            </w:pPr>
            <w:r w:rsidRPr="00FD52DB">
              <w:rPr>
                <w:lang w:val="en-AU"/>
              </w:rPr>
              <w:t xml:space="preserve">Implementation of a structured </w:t>
            </w:r>
            <w:r w:rsidRPr="00FD52DB">
              <w:rPr>
                <w:b/>
                <w:lang w:val="en-AU"/>
              </w:rPr>
              <w:t>hospital-wide morbidity and mortality rounds</w:t>
            </w:r>
            <w:r w:rsidRPr="00FD52DB">
              <w:rPr>
                <w:lang w:val="en-AU"/>
              </w:rPr>
              <w:t xml:space="preserve"> model </w:t>
            </w:r>
            <w:r>
              <w:rPr>
                <w:lang w:val="en-AU"/>
              </w:rPr>
              <w:t>(</w:t>
            </w:r>
            <w:r w:rsidRPr="00FD52DB">
              <w:rPr>
                <w:lang w:val="en-AU"/>
              </w:rPr>
              <w:t xml:space="preserve">Edmund S H Kwok, Lisa A Calder, Emily Barlow-Krelina, Craig Mackie, Andrew J E Seely, A A Cwinn, J R Worthington, </w:t>
            </w:r>
            <w:r>
              <w:rPr>
                <w:lang w:val="en-AU"/>
              </w:rPr>
              <w:t>J</w:t>
            </w:r>
            <w:r w:rsidRPr="00FD52DB">
              <w:rPr>
                <w:lang w:val="en-AU"/>
              </w:rPr>
              <w:t xml:space="preserve"> R Frank</w:t>
            </w:r>
            <w:r>
              <w:rPr>
                <w:lang w:val="en-AU"/>
              </w:rPr>
              <w:t>)</w:t>
            </w:r>
          </w:p>
        </w:tc>
      </w:tr>
    </w:tbl>
    <w:p w:rsidR="00B02F6E" w:rsidRDefault="00B02F6E" w:rsidP="00B02F6E">
      <w:pPr>
        <w:keepLines/>
        <w:autoSpaceDE w:val="0"/>
        <w:autoSpaceDN w:val="0"/>
        <w:adjustRightInd w:val="0"/>
        <w:rPr>
          <w:lang w:val="en-AU"/>
        </w:rPr>
      </w:pPr>
    </w:p>
    <w:p w:rsidR="00852CA0" w:rsidRPr="002302EF" w:rsidRDefault="00852CA0" w:rsidP="00852CA0">
      <w:pPr>
        <w:keepNext/>
        <w:rPr>
          <w:lang w:val="en-AU"/>
        </w:rPr>
      </w:pPr>
      <w:r w:rsidRPr="002302EF">
        <w:rPr>
          <w:i/>
          <w:lang w:val="en-AU"/>
        </w:rPr>
        <w:lastRenderedPageBreak/>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52CA0" w:rsidRPr="002302EF" w:rsidTr="00E626AA">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3748EE" w:rsidP="00E626AA">
            <w:pPr>
              <w:rPr>
                <w:lang w:val="en-AU"/>
              </w:rPr>
            </w:pPr>
            <w:hyperlink r:id="rId21" w:history="1">
              <w:r w:rsidR="00852CA0" w:rsidRPr="002302EF">
                <w:rPr>
                  <w:rStyle w:val="Hyperlink"/>
                  <w:lang w:val="en-AU"/>
                </w:rPr>
                <w:t>http://intqhc.oxfordjournals.org/content/early/recent?papetoc</w:t>
              </w:r>
            </w:hyperlink>
          </w:p>
        </w:tc>
      </w:tr>
      <w:tr w:rsidR="00852CA0" w:rsidRPr="002302EF" w:rsidTr="00E626AA">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Default="00852CA0" w:rsidP="00E626AA">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E16946" w:rsidRPr="002302EF" w:rsidRDefault="00766B29" w:rsidP="00766B29">
            <w:pPr>
              <w:pStyle w:val="ListParagraph"/>
              <w:numPr>
                <w:ilvl w:val="0"/>
                <w:numId w:val="14"/>
              </w:numPr>
              <w:rPr>
                <w:lang w:val="en-AU"/>
              </w:rPr>
            </w:pPr>
            <w:r w:rsidRPr="00766B29">
              <w:rPr>
                <w:b/>
                <w:lang w:val="en-AU"/>
              </w:rPr>
              <w:t xml:space="preserve">Non-beneficial treatments </w:t>
            </w:r>
            <w:r w:rsidRPr="00766B29">
              <w:rPr>
                <w:lang w:val="en-AU"/>
              </w:rPr>
              <w:t>in hospital at the</w:t>
            </w:r>
            <w:r w:rsidRPr="00766B29">
              <w:rPr>
                <w:b/>
                <w:lang w:val="en-AU"/>
              </w:rPr>
              <w:t xml:space="preserve"> end of life</w:t>
            </w:r>
            <w:r w:rsidRPr="00766B29">
              <w:rPr>
                <w:lang w:val="en-AU"/>
              </w:rPr>
              <w:t xml:space="preserve">: a systematic review on extent of the problem </w:t>
            </w:r>
            <w:r>
              <w:rPr>
                <w:lang w:val="en-AU"/>
              </w:rPr>
              <w:t>(</w:t>
            </w:r>
            <w:r w:rsidRPr="00766B29">
              <w:rPr>
                <w:lang w:val="en-AU"/>
              </w:rPr>
              <w:t>M Cardona-Morrell, JCH Kim, RM Turner, M Anstey, IA Mitchell, K Hillman</w:t>
            </w:r>
            <w:r>
              <w:rPr>
                <w:lang w:val="en-AU"/>
              </w:rPr>
              <w:t>)</w:t>
            </w:r>
          </w:p>
        </w:tc>
      </w:tr>
    </w:tbl>
    <w:p w:rsidR="008A725C" w:rsidRDefault="008A725C" w:rsidP="00122336">
      <w:pPr>
        <w:keepNext/>
        <w:rPr>
          <w:lang w:val="en-AU"/>
        </w:rPr>
      </w:pPr>
    </w:p>
    <w:p w:rsidR="008A725C" w:rsidRPr="008A725C" w:rsidRDefault="008A725C" w:rsidP="00122336">
      <w:pPr>
        <w:keepNext/>
        <w:rPr>
          <w:lang w:val="en-AU"/>
        </w:rPr>
      </w:pPr>
    </w:p>
    <w:p w:rsidR="00B02F6E" w:rsidRPr="002302EF" w:rsidRDefault="00B02F6E" w:rsidP="00122336">
      <w:pPr>
        <w:keepNext/>
        <w:rPr>
          <w:b/>
          <w:lang w:val="en-AU"/>
        </w:rPr>
      </w:pPr>
      <w:r w:rsidRPr="002302EF">
        <w:rPr>
          <w:b/>
          <w:lang w:val="en-AU"/>
        </w:rPr>
        <w:t>Online resources</w:t>
      </w:r>
    </w:p>
    <w:p w:rsidR="00312D50" w:rsidRDefault="00312D50" w:rsidP="00B52D0D">
      <w:pPr>
        <w:rPr>
          <w:lang w:val="en-AU"/>
        </w:rPr>
      </w:pPr>
    </w:p>
    <w:p w:rsidR="00704269" w:rsidRPr="007136E8" w:rsidRDefault="00704269" w:rsidP="00704269">
      <w:pPr>
        <w:keepNext/>
        <w:rPr>
          <w:i/>
          <w:lang w:val="en-AU"/>
        </w:rPr>
      </w:pPr>
      <w:r>
        <w:rPr>
          <w:i/>
          <w:lang w:val="en-AU"/>
        </w:rPr>
        <w:t>Clinical Communiqué</w:t>
      </w:r>
    </w:p>
    <w:p w:rsidR="00704269" w:rsidRPr="007136E8" w:rsidRDefault="00704269" w:rsidP="00704269">
      <w:pPr>
        <w:keepNext/>
        <w:rPr>
          <w:lang w:val="en-AU"/>
        </w:rPr>
      </w:pPr>
      <w:r w:rsidRPr="007136E8">
        <w:rPr>
          <w:lang w:val="en-AU"/>
        </w:rPr>
        <w:t>Victorian Institute of Forensic Medicine</w:t>
      </w:r>
    </w:p>
    <w:p w:rsidR="00704269" w:rsidRDefault="00704269" w:rsidP="00704269">
      <w:pPr>
        <w:keepNext/>
        <w:rPr>
          <w:lang w:val="en-AU"/>
        </w:rPr>
      </w:pPr>
      <w:r w:rsidRPr="004378A8">
        <w:rPr>
          <w:lang w:val="en-AU"/>
        </w:rPr>
        <w:t xml:space="preserve">Volume </w:t>
      </w:r>
      <w:r>
        <w:rPr>
          <w:lang w:val="en-AU"/>
        </w:rPr>
        <w:t>3</w:t>
      </w:r>
      <w:r w:rsidRPr="004378A8">
        <w:rPr>
          <w:lang w:val="en-AU"/>
        </w:rPr>
        <w:t xml:space="preserve"> Issue </w:t>
      </w:r>
      <w:r>
        <w:rPr>
          <w:lang w:val="en-AU"/>
        </w:rPr>
        <w:t>2</w:t>
      </w:r>
      <w:r w:rsidRPr="004378A8">
        <w:rPr>
          <w:lang w:val="en-AU"/>
        </w:rPr>
        <w:t xml:space="preserve"> </w:t>
      </w:r>
      <w:r>
        <w:rPr>
          <w:lang w:val="en-AU"/>
        </w:rPr>
        <w:t>June 2016</w:t>
      </w:r>
    </w:p>
    <w:p w:rsidR="00704269" w:rsidRDefault="00704269" w:rsidP="00704269">
      <w:pPr>
        <w:keepNext/>
      </w:pPr>
      <w:hyperlink r:id="rId22" w:history="1">
        <w:r w:rsidRPr="005A00FC">
          <w:rPr>
            <w:rStyle w:val="Hyperlink"/>
          </w:rPr>
          <w:t>http://www.vifmcommuniques.org/volume-3-issue-2-june-2016/</w:t>
        </w:r>
      </w:hyperlink>
    </w:p>
    <w:p w:rsidR="00704269" w:rsidRPr="007136E8" w:rsidRDefault="00704269" w:rsidP="00704269">
      <w:pPr>
        <w:keepNext/>
        <w:rPr>
          <w:lang w:val="en-AU"/>
        </w:rPr>
      </w:pPr>
      <w:r w:rsidRPr="007136E8">
        <w:rPr>
          <w:i/>
          <w:lang w:val="en-AU"/>
        </w:rPr>
        <w:t>Clinical Communiqué</w:t>
      </w:r>
      <w:r w:rsidRPr="007136E8">
        <w:rPr>
          <w:lang w:val="en-AU"/>
        </w:rPr>
        <w:t xml:space="preserve"> is a newsletter written by clinicians, using a case-study approach to report on lessons learned from deaths investigated by the Coroners’ Court.</w:t>
      </w:r>
    </w:p>
    <w:p w:rsidR="00704269" w:rsidRDefault="00704269" w:rsidP="00704269">
      <w:pPr>
        <w:rPr>
          <w:lang w:val="en-AU"/>
        </w:rPr>
      </w:pPr>
      <w:r w:rsidRPr="007136E8">
        <w:rPr>
          <w:lang w:val="en-AU"/>
        </w:rPr>
        <w:t xml:space="preserve">This edition </w:t>
      </w:r>
      <w:r w:rsidRPr="00704269">
        <w:rPr>
          <w:lang w:val="en-AU"/>
        </w:rPr>
        <w:t>focus</w:t>
      </w:r>
      <w:r>
        <w:rPr>
          <w:lang w:val="en-AU"/>
        </w:rPr>
        <w:t>es</w:t>
      </w:r>
      <w:r w:rsidRPr="00704269">
        <w:rPr>
          <w:lang w:val="en-AU"/>
        </w:rPr>
        <w:t xml:space="preserve"> on the risks associated with </w:t>
      </w:r>
      <w:r w:rsidRPr="00704269">
        <w:rPr>
          <w:b/>
          <w:lang w:val="en-AU"/>
        </w:rPr>
        <w:t>central venous catheter insertions</w:t>
      </w:r>
      <w:r w:rsidRPr="00704269">
        <w:rPr>
          <w:lang w:val="en-AU"/>
        </w:rPr>
        <w:t xml:space="preserve">. </w:t>
      </w:r>
      <w:r>
        <w:rPr>
          <w:lang w:val="en-AU"/>
        </w:rPr>
        <w:t xml:space="preserve">This edition examines </w:t>
      </w:r>
      <w:r w:rsidRPr="00704269">
        <w:rPr>
          <w:lang w:val="en-AU"/>
        </w:rPr>
        <w:t>three cases where complications arose following</w:t>
      </w:r>
      <w:r>
        <w:rPr>
          <w:lang w:val="en-AU"/>
        </w:rPr>
        <w:t xml:space="preserve"> </w:t>
      </w:r>
      <w:r w:rsidRPr="00704269">
        <w:rPr>
          <w:lang w:val="en-AU"/>
        </w:rPr>
        <w:t>central venous catheter insertion. One catheter migrated too far, another</w:t>
      </w:r>
      <w:r>
        <w:rPr>
          <w:lang w:val="en-AU"/>
        </w:rPr>
        <w:t xml:space="preserve"> </w:t>
      </w:r>
      <w:r w:rsidRPr="00704269">
        <w:rPr>
          <w:lang w:val="en-AU"/>
        </w:rPr>
        <w:t>catheter went the wrong way, and the last caused damage to its adjacent</w:t>
      </w:r>
      <w:r>
        <w:rPr>
          <w:lang w:val="en-AU"/>
        </w:rPr>
        <w:t xml:space="preserve"> </w:t>
      </w:r>
      <w:r w:rsidRPr="00704269">
        <w:rPr>
          <w:lang w:val="en-AU"/>
        </w:rPr>
        <w:t>structures. Each of these are recognised albeit uncommon complications</w:t>
      </w:r>
      <w:r>
        <w:rPr>
          <w:lang w:val="en-AU"/>
        </w:rPr>
        <w:t xml:space="preserve"> </w:t>
      </w:r>
      <w:r w:rsidRPr="00704269">
        <w:rPr>
          <w:lang w:val="en-AU"/>
        </w:rPr>
        <w:t>of central venous catheters, yet the cases continue to illustrate the many</w:t>
      </w:r>
      <w:r>
        <w:rPr>
          <w:lang w:val="en-AU"/>
        </w:rPr>
        <w:t xml:space="preserve"> </w:t>
      </w:r>
      <w:r w:rsidRPr="00704269">
        <w:rPr>
          <w:lang w:val="en-AU"/>
        </w:rPr>
        <w:t>difficulties in the recognition of catheter misplacement.</w:t>
      </w:r>
    </w:p>
    <w:p w:rsidR="00704269" w:rsidRDefault="00704269" w:rsidP="00B52D0D">
      <w:pPr>
        <w:rPr>
          <w:lang w:val="en-AU"/>
        </w:rPr>
      </w:pPr>
    </w:p>
    <w:p w:rsidR="00783D0A" w:rsidRDefault="00783D0A" w:rsidP="00852CA0">
      <w:pPr>
        <w:keepNext/>
        <w:keepLines/>
        <w:rPr>
          <w:i/>
          <w:lang w:val="en-AU"/>
        </w:rPr>
      </w:pPr>
      <w:r>
        <w:rPr>
          <w:i/>
          <w:lang w:val="en-AU"/>
        </w:rPr>
        <w:t>[USA] Always Events Toolkit</w:t>
      </w:r>
    </w:p>
    <w:p w:rsidR="00783D0A" w:rsidRDefault="003748EE" w:rsidP="00852CA0">
      <w:pPr>
        <w:keepNext/>
        <w:keepLines/>
        <w:rPr>
          <w:lang w:val="en-AU"/>
        </w:rPr>
      </w:pPr>
      <w:hyperlink r:id="rId23" w:history="1">
        <w:r w:rsidR="00783D0A" w:rsidRPr="00814959">
          <w:rPr>
            <w:rStyle w:val="Hyperlink"/>
            <w:lang w:val="en-AU"/>
          </w:rPr>
          <w:t>http://www.ihi.org/resources/Pages/Tools/Always-Events-Toolkit.aspx</w:t>
        </w:r>
      </w:hyperlink>
    </w:p>
    <w:p w:rsidR="00783D0A" w:rsidRDefault="00783D0A" w:rsidP="00852CA0">
      <w:pPr>
        <w:keepNext/>
        <w:keepLines/>
        <w:rPr>
          <w:lang w:val="en-AU"/>
        </w:rPr>
      </w:pPr>
      <w:r>
        <w:rPr>
          <w:lang w:val="en-AU"/>
        </w:rPr>
        <w:t xml:space="preserve">The US Institute for Health Improvement (IHI) has produced this toolkit to help promote the concept of ‘Always Events’ (as opposed to ‘never events’ that are events that should never happen to patients). According to the IHI, </w:t>
      </w:r>
      <w:r w:rsidRPr="00783D0A">
        <w:rPr>
          <w:lang w:val="en-AU"/>
        </w:rPr>
        <w:t xml:space="preserve">Always Events </w:t>
      </w:r>
      <w:r>
        <w:rPr>
          <w:lang w:val="en-AU"/>
        </w:rPr>
        <w:t>“</w:t>
      </w:r>
      <w:r w:rsidRPr="00783D0A">
        <w:rPr>
          <w:lang w:val="en-AU"/>
        </w:rPr>
        <w:t>are aspects of the care experience that are so important to patients and their care partners that health care providers must aim to perform them consistently for every individual, every time.</w:t>
      </w:r>
      <w:r>
        <w:rPr>
          <w:lang w:val="en-AU"/>
        </w:rPr>
        <w:t>”</w:t>
      </w:r>
      <w:r w:rsidRPr="00783D0A">
        <w:rPr>
          <w:lang w:val="en-AU"/>
        </w:rPr>
        <w:t xml:space="preserve"> The Always Events Toolkit </w:t>
      </w:r>
      <w:r>
        <w:rPr>
          <w:lang w:val="en-AU"/>
        </w:rPr>
        <w:t xml:space="preserve">offers </w:t>
      </w:r>
      <w:r w:rsidRPr="00783D0A">
        <w:rPr>
          <w:lang w:val="en-AU"/>
        </w:rPr>
        <w:t>guidance for health care leaders and point-of-care teams in partnering with patients and their care partners to co-design, reliably implement, and sustain and spread Always Events to dramatically improve the care experience.</w:t>
      </w:r>
    </w:p>
    <w:p w:rsidR="00E67C50" w:rsidRPr="00783D0A" w:rsidRDefault="00E67C50" w:rsidP="00D33A6A">
      <w:pPr>
        <w:rPr>
          <w:lang w:val="en-AU"/>
        </w:rPr>
      </w:pPr>
    </w:p>
    <w:p w:rsidR="00566447" w:rsidRPr="002302EF" w:rsidRDefault="00566447" w:rsidP="00566447">
      <w:pPr>
        <w:keepNext/>
        <w:rPr>
          <w:i/>
          <w:lang w:val="en-AU"/>
        </w:rPr>
      </w:pPr>
      <w:r w:rsidRPr="002302EF">
        <w:rPr>
          <w:i/>
          <w:lang w:val="en-AU"/>
        </w:rPr>
        <w:t>[USA] Patient Safety Primers</w:t>
      </w:r>
    </w:p>
    <w:p w:rsidR="00566447" w:rsidRDefault="00566447" w:rsidP="00566447">
      <w:pPr>
        <w:keepNext/>
        <w:rPr>
          <w:lang w:val="en-AU"/>
        </w:rPr>
      </w:pPr>
      <w:hyperlink r:id="rId24" w:history="1">
        <w:r w:rsidRPr="007D57F5">
          <w:rPr>
            <w:rStyle w:val="Hyperlink"/>
            <w:lang w:val="en-AU"/>
          </w:rPr>
          <w:t>https://psnet.ahrq.gov/primers/</w:t>
        </w:r>
      </w:hyperlink>
    </w:p>
    <w:p w:rsidR="00566447" w:rsidRDefault="00566447" w:rsidP="00566447">
      <w:pPr>
        <w:keepNext/>
        <w:rPr>
          <w:lang w:val="en-AU"/>
        </w:rPr>
      </w:pPr>
      <w:r w:rsidRPr="002302EF">
        <w:rPr>
          <w:lang w:val="en-AU"/>
        </w:rPr>
        <w:t>The Patient Safety Primers from the (US) Agency for Healthcare Research and Quality (AHRQ) discuss key concepts in patient safety. Each primer defines a topic, offers background information on its epidemiology and context, and provides links to relevant ma</w:t>
      </w:r>
      <w:r w:rsidR="00D33A6A">
        <w:rPr>
          <w:lang w:val="en-AU"/>
        </w:rPr>
        <w:t>terials.</w:t>
      </w:r>
    </w:p>
    <w:p w:rsidR="00566447" w:rsidRPr="00566447" w:rsidRDefault="00566447" w:rsidP="00566447">
      <w:pPr>
        <w:pStyle w:val="ListParagraph"/>
        <w:keepNext/>
        <w:numPr>
          <w:ilvl w:val="0"/>
          <w:numId w:val="26"/>
        </w:numPr>
        <w:rPr>
          <w:lang w:val="en-AU"/>
        </w:rPr>
      </w:pPr>
      <w:r w:rsidRPr="00566447">
        <w:rPr>
          <w:i/>
          <w:lang w:val="en-AU"/>
        </w:rPr>
        <w:t>Learning Through Debriefing</w:t>
      </w:r>
      <w:r w:rsidRPr="00566447">
        <w:rPr>
          <w:lang w:val="en-AU"/>
        </w:rPr>
        <w:t xml:space="preserve"> –</w:t>
      </w:r>
      <w:r>
        <w:rPr>
          <w:lang w:val="en-AU"/>
        </w:rPr>
        <w:t xml:space="preserve"> </w:t>
      </w:r>
      <w:r w:rsidRPr="00566447">
        <w:rPr>
          <w:lang w:val="en-AU"/>
        </w:rPr>
        <w:t>Debriefing is an important strategy for learning from defects and for improving performance. It is one of the central learning tools in simulation and is also recommended after a real-life emergency response.</w:t>
      </w:r>
      <w:r>
        <w:rPr>
          <w:lang w:val="en-AU"/>
        </w:rPr>
        <w:t xml:space="preserve"> </w:t>
      </w:r>
      <w:hyperlink r:id="rId25" w:history="1">
        <w:r w:rsidRPr="005A00FC">
          <w:rPr>
            <w:rStyle w:val="Hyperlink"/>
            <w:lang w:val="en-AU"/>
          </w:rPr>
          <w:t>https://psnet.ahrq.gov/primers/primer/36</w:t>
        </w:r>
      </w:hyperlink>
    </w:p>
    <w:p w:rsidR="00783D0A" w:rsidRDefault="00783D0A" w:rsidP="00766B29">
      <w:pPr>
        <w:rPr>
          <w:i/>
          <w:lang w:val="en-AU"/>
        </w:rPr>
      </w:pPr>
    </w:p>
    <w:p w:rsidR="00852CA0" w:rsidRPr="00BB6247" w:rsidRDefault="00852CA0" w:rsidP="00852CA0">
      <w:pPr>
        <w:keepNext/>
        <w:keepLines/>
        <w:rPr>
          <w:i/>
          <w:lang w:val="en-AU"/>
        </w:rPr>
      </w:pPr>
      <w:r w:rsidRPr="00BB6247">
        <w:rPr>
          <w:i/>
          <w:lang w:val="en-AU"/>
        </w:rPr>
        <w:lastRenderedPageBreak/>
        <w:t>[UK] NICE Guidelines and Quality Standards</w:t>
      </w:r>
    </w:p>
    <w:p w:rsidR="00852CA0" w:rsidRPr="00BD0F1C" w:rsidRDefault="003748EE" w:rsidP="00852CA0">
      <w:pPr>
        <w:keepNext/>
        <w:keepLines/>
        <w:rPr>
          <w:u w:val="single"/>
          <w:lang w:val="en-AU"/>
        </w:rPr>
      </w:pPr>
      <w:hyperlink r:id="rId26" w:history="1">
        <w:r w:rsidR="00852CA0" w:rsidRPr="00BD0F1C">
          <w:rPr>
            <w:rStyle w:val="Hyperlink"/>
            <w:lang w:val="en-AU"/>
          </w:rPr>
          <w:t>http://www.nice.org.uk</w:t>
        </w:r>
      </w:hyperlink>
    </w:p>
    <w:p w:rsidR="00852CA0" w:rsidRPr="00BB6247" w:rsidRDefault="00852CA0" w:rsidP="00852CA0">
      <w:pPr>
        <w:keepNext/>
        <w:keepLines/>
        <w:rPr>
          <w:lang w:val="en-AU"/>
        </w:rPr>
      </w:pPr>
      <w:r w:rsidRPr="00BB6247">
        <w:rPr>
          <w:lang w:val="en-AU"/>
        </w:rPr>
        <w:t>The UK’s National Institute for Health and Care Excellence (NICE) has published new (or updated) guidelines and quality standards. The latest updates are:</w:t>
      </w:r>
    </w:p>
    <w:p w:rsidR="00551822" w:rsidRDefault="007A54FE" w:rsidP="00551822">
      <w:pPr>
        <w:pStyle w:val="ListParagraph"/>
        <w:keepNext/>
        <w:keepLines/>
        <w:numPr>
          <w:ilvl w:val="0"/>
          <w:numId w:val="14"/>
        </w:numPr>
        <w:rPr>
          <w:lang w:val="en-AU"/>
        </w:rPr>
      </w:pPr>
      <w:r>
        <w:rPr>
          <w:lang w:val="en-AU"/>
        </w:rPr>
        <w:t xml:space="preserve">NICE </w:t>
      </w:r>
      <w:r w:rsidR="00551822">
        <w:rPr>
          <w:lang w:val="en-AU"/>
        </w:rPr>
        <w:t xml:space="preserve">Quality Standard QS122 </w:t>
      </w:r>
      <w:r w:rsidR="00551822" w:rsidRPr="00551822">
        <w:rPr>
          <w:b/>
          <w:i/>
          <w:lang w:val="en-AU"/>
        </w:rPr>
        <w:t>Bronchiolitis</w:t>
      </w:r>
      <w:r w:rsidR="00551822" w:rsidRPr="00551822">
        <w:rPr>
          <w:i/>
          <w:lang w:val="en-AU"/>
        </w:rPr>
        <w:t xml:space="preserve"> in children</w:t>
      </w:r>
      <w:r w:rsidR="00551822">
        <w:rPr>
          <w:lang w:val="en-AU"/>
        </w:rPr>
        <w:t xml:space="preserve"> </w:t>
      </w:r>
      <w:hyperlink r:id="rId27" w:history="1">
        <w:r w:rsidR="00551822" w:rsidRPr="00F976F2">
          <w:rPr>
            <w:rStyle w:val="Hyperlink"/>
            <w:lang w:val="en-AU"/>
          </w:rPr>
          <w:t>https://www.nice.org.uk/guidance/qs122</w:t>
        </w:r>
      </w:hyperlink>
    </w:p>
    <w:p w:rsidR="008A725C" w:rsidRPr="00FD52DB" w:rsidRDefault="00551822" w:rsidP="00551822">
      <w:pPr>
        <w:pStyle w:val="ListParagraph"/>
        <w:keepNext/>
        <w:keepLines/>
        <w:numPr>
          <w:ilvl w:val="0"/>
          <w:numId w:val="14"/>
        </w:numPr>
        <w:rPr>
          <w:rStyle w:val="Hyperlink"/>
          <w:color w:val="auto"/>
          <w:u w:val="none"/>
          <w:lang w:val="en-AU"/>
        </w:rPr>
      </w:pPr>
      <w:r w:rsidRPr="00551822">
        <w:rPr>
          <w:lang w:val="en-AU"/>
        </w:rPr>
        <w:t xml:space="preserve">NICE Quality Standard QS123 </w:t>
      </w:r>
      <w:r w:rsidRPr="00551822">
        <w:rPr>
          <w:b/>
          <w:i/>
          <w:lang w:val="en-AU"/>
        </w:rPr>
        <w:t>Home care</w:t>
      </w:r>
      <w:r w:rsidRPr="00551822">
        <w:rPr>
          <w:i/>
          <w:lang w:val="en-AU"/>
        </w:rPr>
        <w:t xml:space="preserve"> for older people</w:t>
      </w:r>
      <w:r>
        <w:rPr>
          <w:lang w:val="en-AU"/>
        </w:rPr>
        <w:t xml:space="preserve"> </w:t>
      </w:r>
      <w:hyperlink r:id="rId28" w:history="1">
        <w:r w:rsidRPr="00F976F2">
          <w:rPr>
            <w:rStyle w:val="Hyperlink"/>
            <w:lang w:val="en-AU"/>
          </w:rPr>
          <w:t>https://www.nice.org.uk/guidance/qs123</w:t>
        </w:r>
      </w:hyperlink>
    </w:p>
    <w:p w:rsidR="00FD52DB" w:rsidRPr="00551822" w:rsidRDefault="00FD52DB" w:rsidP="00FD52DB">
      <w:pPr>
        <w:pStyle w:val="ListParagraph"/>
        <w:keepNext/>
        <w:keepLines/>
        <w:numPr>
          <w:ilvl w:val="0"/>
          <w:numId w:val="14"/>
        </w:numPr>
        <w:rPr>
          <w:lang w:val="en-AU"/>
        </w:rPr>
      </w:pPr>
      <w:r w:rsidRPr="00551822">
        <w:rPr>
          <w:lang w:val="en-AU"/>
        </w:rPr>
        <w:t>NICE Quality Standard QS12</w:t>
      </w:r>
      <w:r>
        <w:rPr>
          <w:lang w:val="en-AU"/>
        </w:rPr>
        <w:t>4</w:t>
      </w:r>
      <w:r w:rsidRPr="00551822">
        <w:rPr>
          <w:lang w:val="en-AU"/>
        </w:rPr>
        <w:t xml:space="preserve"> </w:t>
      </w:r>
      <w:r w:rsidRPr="00FD52DB">
        <w:rPr>
          <w:i/>
          <w:lang w:val="en-AU"/>
        </w:rPr>
        <w:t>Suspected</w:t>
      </w:r>
      <w:r>
        <w:rPr>
          <w:b/>
          <w:i/>
          <w:lang w:val="en-AU"/>
        </w:rPr>
        <w:t xml:space="preserve"> cancer</w:t>
      </w:r>
      <w:r>
        <w:rPr>
          <w:lang w:val="en-AU"/>
        </w:rPr>
        <w:t xml:space="preserve"> </w:t>
      </w:r>
      <w:hyperlink r:id="rId29" w:history="1">
        <w:r w:rsidRPr="005A00FC">
          <w:rPr>
            <w:rStyle w:val="Hyperlink"/>
            <w:lang w:val="en-AU"/>
          </w:rPr>
          <w:t>https://www.nice.org.uk/guidance/qs124</w:t>
        </w:r>
      </w:hyperlink>
      <w:r>
        <w:rPr>
          <w:lang w:val="en-AU"/>
        </w:rPr>
        <w:t xml:space="preserve"> </w:t>
      </w:r>
    </w:p>
    <w:p w:rsidR="00093AB0" w:rsidRDefault="00093AB0" w:rsidP="00B52D0D">
      <w:pPr>
        <w:rPr>
          <w:lang w:val="en-AU"/>
        </w:rPr>
      </w:pPr>
    </w:p>
    <w:p w:rsidR="006019E8" w:rsidRPr="006019E8" w:rsidRDefault="006019E8" w:rsidP="00B52D0D">
      <w:pPr>
        <w:rPr>
          <w:i/>
          <w:lang w:val="en-AU"/>
        </w:rPr>
      </w:pPr>
      <w:r w:rsidRPr="006019E8">
        <w:rPr>
          <w:i/>
          <w:lang w:val="en-AU"/>
        </w:rPr>
        <w:t>[UK] S.A.F.E Resource Pack</w:t>
      </w:r>
    </w:p>
    <w:p w:rsidR="006019E8" w:rsidRDefault="006019E8" w:rsidP="00B52D0D">
      <w:pPr>
        <w:rPr>
          <w:lang w:val="en-AU"/>
        </w:rPr>
      </w:pPr>
      <w:hyperlink r:id="rId30" w:history="1">
        <w:r w:rsidRPr="005A00FC">
          <w:rPr>
            <w:rStyle w:val="Hyperlink"/>
            <w:lang w:val="en-AU"/>
          </w:rPr>
          <w:t>http://www.rcpch.ac.uk/safe-resource/</w:t>
        </w:r>
      </w:hyperlink>
    </w:p>
    <w:p w:rsidR="006019E8" w:rsidRDefault="006019E8" w:rsidP="00B52D0D">
      <w:pPr>
        <w:rPr>
          <w:lang w:val="en-AU"/>
        </w:rPr>
      </w:pPr>
      <w:r w:rsidRPr="006019E8">
        <w:rPr>
          <w:lang w:val="en-AU"/>
        </w:rPr>
        <w:t xml:space="preserve">The </w:t>
      </w:r>
      <w:r>
        <w:rPr>
          <w:lang w:val="en-AU"/>
        </w:rPr>
        <w:t xml:space="preserve">(UK) </w:t>
      </w:r>
      <w:r w:rsidRPr="006019E8">
        <w:rPr>
          <w:lang w:val="en-AU"/>
        </w:rPr>
        <w:t>Royal College of Paediatrics and Child Health have developed a new set of quality improvement tools as part of the S.A.F.E. programme, a Health Foundation funded project. They aim to improve communication, build a safety-based culture and deliver better health outcomes for children and young people</w:t>
      </w:r>
      <w:r>
        <w:rPr>
          <w:lang w:val="en-AU"/>
        </w:rPr>
        <w:t>.</w:t>
      </w:r>
    </w:p>
    <w:p w:rsidR="006019E8" w:rsidRPr="006019E8" w:rsidRDefault="006019E8" w:rsidP="006019E8">
      <w:pPr>
        <w:rPr>
          <w:lang w:val="en-AU"/>
        </w:rPr>
      </w:pPr>
      <w:r w:rsidRPr="006019E8">
        <w:rPr>
          <w:lang w:val="en-AU"/>
        </w:rPr>
        <w:t>S.A.F.E stands for Situation Awareness For Everyone. The RCPCH has developed this programme, with two main aims:</w:t>
      </w:r>
    </w:p>
    <w:p w:rsidR="006019E8" w:rsidRPr="006019E8" w:rsidRDefault="006019E8" w:rsidP="006019E8">
      <w:pPr>
        <w:pStyle w:val="ListParagraph"/>
        <w:numPr>
          <w:ilvl w:val="0"/>
          <w:numId w:val="35"/>
        </w:numPr>
        <w:rPr>
          <w:lang w:val="en-AU"/>
        </w:rPr>
      </w:pPr>
      <w:r w:rsidRPr="006019E8">
        <w:rPr>
          <w:lang w:val="en-AU"/>
        </w:rPr>
        <w:t>to provide an evidence base to support the concept that improved situation awareness leads to improved outcomes for paediatric patients in acute settings</w:t>
      </w:r>
    </w:p>
    <w:p w:rsidR="006019E8" w:rsidRPr="006019E8" w:rsidRDefault="006019E8" w:rsidP="006019E8">
      <w:pPr>
        <w:pStyle w:val="ListParagraph"/>
        <w:numPr>
          <w:ilvl w:val="0"/>
          <w:numId w:val="35"/>
        </w:numPr>
        <w:rPr>
          <w:lang w:val="en-AU"/>
        </w:rPr>
      </w:pPr>
      <w:r w:rsidRPr="006019E8">
        <w:rPr>
          <w:lang w:val="en-AU"/>
        </w:rPr>
        <w:t>to support the spread of improved situation awareness by providing a resource that hospitals can use to improve it locally.</w:t>
      </w:r>
    </w:p>
    <w:p w:rsidR="006019E8" w:rsidRPr="006019E8" w:rsidRDefault="006019E8" w:rsidP="006019E8">
      <w:pPr>
        <w:rPr>
          <w:lang w:val="en-AU"/>
        </w:rPr>
      </w:pPr>
      <w:r>
        <w:rPr>
          <w:lang w:val="en-AU"/>
        </w:rPr>
        <w:t xml:space="preserve">The </w:t>
      </w:r>
      <w:r w:rsidRPr="006019E8">
        <w:rPr>
          <w:lang w:val="en-AU"/>
        </w:rPr>
        <w:t>resource pack include</w:t>
      </w:r>
      <w:r>
        <w:rPr>
          <w:lang w:val="en-AU"/>
        </w:rPr>
        <w:t>s</w:t>
      </w:r>
      <w:r w:rsidRPr="006019E8">
        <w:rPr>
          <w:lang w:val="en-AU"/>
        </w:rPr>
        <w:t xml:space="preserve"> an introduction, plus 6 sections each with information, tools and worked examples. The sections are:</w:t>
      </w:r>
    </w:p>
    <w:p w:rsidR="006019E8" w:rsidRPr="006019E8" w:rsidRDefault="006019E8" w:rsidP="006019E8">
      <w:pPr>
        <w:pStyle w:val="ListParagraph"/>
        <w:numPr>
          <w:ilvl w:val="0"/>
          <w:numId w:val="36"/>
        </w:numPr>
        <w:rPr>
          <w:lang w:val="en-AU"/>
        </w:rPr>
      </w:pPr>
      <w:r w:rsidRPr="006019E8">
        <w:rPr>
          <w:lang w:val="en-AU"/>
        </w:rPr>
        <w:t xml:space="preserve">Quality improvement </w:t>
      </w:r>
    </w:p>
    <w:p w:rsidR="006019E8" w:rsidRPr="006019E8" w:rsidRDefault="006019E8" w:rsidP="006019E8">
      <w:pPr>
        <w:pStyle w:val="ListParagraph"/>
        <w:numPr>
          <w:ilvl w:val="0"/>
          <w:numId w:val="36"/>
        </w:numPr>
        <w:rPr>
          <w:lang w:val="en-AU"/>
        </w:rPr>
      </w:pPr>
      <w:r w:rsidRPr="006019E8">
        <w:rPr>
          <w:lang w:val="en-AU"/>
        </w:rPr>
        <w:t>Patient safety culture</w:t>
      </w:r>
    </w:p>
    <w:p w:rsidR="006019E8" w:rsidRPr="006019E8" w:rsidRDefault="006019E8" w:rsidP="006019E8">
      <w:pPr>
        <w:pStyle w:val="ListParagraph"/>
        <w:numPr>
          <w:ilvl w:val="0"/>
          <w:numId w:val="36"/>
        </w:numPr>
        <w:rPr>
          <w:lang w:val="en-AU"/>
        </w:rPr>
      </w:pPr>
      <w:r w:rsidRPr="006019E8">
        <w:rPr>
          <w:lang w:val="en-AU"/>
        </w:rPr>
        <w:t>Structured communication</w:t>
      </w:r>
    </w:p>
    <w:p w:rsidR="006019E8" w:rsidRPr="006019E8" w:rsidRDefault="006019E8" w:rsidP="006019E8">
      <w:pPr>
        <w:pStyle w:val="ListParagraph"/>
        <w:numPr>
          <w:ilvl w:val="0"/>
          <w:numId w:val="36"/>
        </w:numPr>
        <w:rPr>
          <w:lang w:val="en-AU"/>
        </w:rPr>
      </w:pPr>
      <w:r w:rsidRPr="006019E8">
        <w:rPr>
          <w:lang w:val="en-AU"/>
        </w:rPr>
        <w:t>Recognising deterioration</w:t>
      </w:r>
    </w:p>
    <w:p w:rsidR="006019E8" w:rsidRPr="006019E8" w:rsidRDefault="006019E8" w:rsidP="006019E8">
      <w:pPr>
        <w:pStyle w:val="ListParagraph"/>
        <w:numPr>
          <w:ilvl w:val="0"/>
          <w:numId w:val="36"/>
        </w:numPr>
        <w:rPr>
          <w:lang w:val="en-AU"/>
        </w:rPr>
      </w:pPr>
      <w:r w:rsidRPr="006019E8">
        <w:rPr>
          <w:lang w:val="en-AU"/>
        </w:rPr>
        <w:t>The 'huddle'</w:t>
      </w:r>
    </w:p>
    <w:p w:rsidR="006019E8" w:rsidRPr="006019E8" w:rsidRDefault="006019E8" w:rsidP="006019E8">
      <w:pPr>
        <w:pStyle w:val="ListParagraph"/>
        <w:numPr>
          <w:ilvl w:val="0"/>
          <w:numId w:val="36"/>
        </w:numPr>
        <w:rPr>
          <w:lang w:val="en-AU"/>
        </w:rPr>
      </w:pPr>
      <w:r w:rsidRPr="006019E8">
        <w:rPr>
          <w:lang w:val="en-AU"/>
        </w:rPr>
        <w:t>Evaluation and spread</w:t>
      </w:r>
      <w:r w:rsidR="00D33A6A">
        <w:rPr>
          <w:lang w:val="en-AU"/>
        </w:rPr>
        <w:t>.</w:t>
      </w:r>
    </w:p>
    <w:p w:rsidR="006019E8" w:rsidRDefault="006019E8" w:rsidP="006019E8">
      <w:pPr>
        <w:rPr>
          <w:lang w:val="en-AU"/>
        </w:rPr>
      </w:pPr>
    </w:p>
    <w:p w:rsidR="00382A6B" w:rsidRPr="007B57E4" w:rsidRDefault="00382A6B" w:rsidP="00B52D0D">
      <w:pPr>
        <w:rPr>
          <w:i/>
          <w:lang w:val="en-AU"/>
        </w:rPr>
      </w:pPr>
      <w:r w:rsidRPr="007B57E4">
        <w:rPr>
          <w:i/>
          <w:lang w:val="en-AU"/>
        </w:rPr>
        <w:t>[UK] Understanding Children’s Heart Surgery Outcomes</w:t>
      </w:r>
    </w:p>
    <w:p w:rsidR="00382A6B" w:rsidRDefault="003748EE" w:rsidP="00B52D0D">
      <w:pPr>
        <w:rPr>
          <w:lang w:val="en-AU"/>
        </w:rPr>
      </w:pPr>
      <w:hyperlink r:id="rId31" w:history="1">
        <w:r w:rsidR="00382A6B" w:rsidRPr="00F976F2">
          <w:rPr>
            <w:rStyle w:val="Hyperlink"/>
            <w:lang w:val="en-AU"/>
          </w:rPr>
          <w:t>http://childrensheartsurgery.info/</w:t>
        </w:r>
      </w:hyperlink>
    </w:p>
    <w:p w:rsidR="005223EE" w:rsidRPr="005223EE" w:rsidRDefault="00382A6B" w:rsidP="005223EE">
      <w:pPr>
        <w:rPr>
          <w:lang w:val="en-AU"/>
        </w:rPr>
      </w:pPr>
      <w:r>
        <w:rPr>
          <w:lang w:val="en-AU"/>
        </w:rPr>
        <w:t xml:space="preserve">Communicating risk and interpreting hospital and surgeon outcome statistics is sometimes difficult. This website has been developed </w:t>
      </w:r>
      <w:r w:rsidR="005223EE">
        <w:rPr>
          <w:lang w:val="en-AU"/>
        </w:rPr>
        <w:t xml:space="preserve">to </w:t>
      </w:r>
      <w:r w:rsidR="005223EE" w:rsidRPr="005223EE">
        <w:rPr>
          <w:lang w:val="en-AU"/>
        </w:rPr>
        <w:t>help people make sense of published survival data about children’s heart surgery in the UK and Ireland.</w:t>
      </w:r>
      <w:r w:rsidR="005223EE">
        <w:rPr>
          <w:lang w:val="en-AU"/>
        </w:rPr>
        <w:t xml:space="preserve"> The site hopes to assist in:</w:t>
      </w:r>
    </w:p>
    <w:p w:rsidR="005223EE" w:rsidRPr="005223EE" w:rsidRDefault="005223EE" w:rsidP="005223EE">
      <w:pPr>
        <w:pStyle w:val="ListParagraph"/>
        <w:numPr>
          <w:ilvl w:val="0"/>
          <w:numId w:val="33"/>
        </w:numPr>
        <w:rPr>
          <w:lang w:val="en-AU"/>
        </w:rPr>
      </w:pPr>
      <w:r w:rsidRPr="005223EE">
        <w:rPr>
          <w:lang w:val="en-AU"/>
        </w:rPr>
        <w:t>understanding how the NHS monitors children’s heart surgery</w:t>
      </w:r>
    </w:p>
    <w:p w:rsidR="005223EE" w:rsidRPr="005223EE" w:rsidRDefault="005223EE" w:rsidP="005223EE">
      <w:pPr>
        <w:pStyle w:val="ListParagraph"/>
        <w:numPr>
          <w:ilvl w:val="0"/>
          <w:numId w:val="33"/>
        </w:numPr>
        <w:rPr>
          <w:lang w:val="en-AU"/>
        </w:rPr>
      </w:pPr>
      <w:r w:rsidRPr="005223EE">
        <w:rPr>
          <w:lang w:val="en-AU"/>
        </w:rPr>
        <w:t>exploring what survival rates can and can’t tell you</w:t>
      </w:r>
    </w:p>
    <w:p w:rsidR="005223EE" w:rsidRPr="005223EE" w:rsidRDefault="005223EE" w:rsidP="00A7649C">
      <w:pPr>
        <w:pStyle w:val="ListParagraph"/>
        <w:keepNext/>
        <w:keepLines/>
        <w:numPr>
          <w:ilvl w:val="0"/>
          <w:numId w:val="33"/>
        </w:numPr>
        <w:rPr>
          <w:i/>
          <w:lang w:val="en-AU"/>
        </w:rPr>
      </w:pPr>
      <w:r w:rsidRPr="005223EE">
        <w:rPr>
          <w:lang w:val="en-AU"/>
        </w:rPr>
        <w:t>exploring published data for hospitals in the UK and Ireland</w:t>
      </w:r>
      <w:r>
        <w:rPr>
          <w:lang w:val="en-AU"/>
        </w:rPr>
        <w:t>.</w:t>
      </w:r>
    </w:p>
    <w:p w:rsidR="005223EE" w:rsidRDefault="005223EE" w:rsidP="005223EE">
      <w:pPr>
        <w:keepNext/>
        <w:keepLines/>
        <w:rPr>
          <w:i/>
          <w:lang w:val="en-AU"/>
        </w:rPr>
      </w:pPr>
      <w:r w:rsidRPr="005223EE">
        <w:rPr>
          <w:lang w:val="en-AU"/>
        </w:rPr>
        <w:t>A</w:t>
      </w:r>
      <w:r>
        <w:rPr>
          <w:lang w:val="en-AU"/>
        </w:rPr>
        <w:t>n</w:t>
      </w:r>
      <w:r w:rsidRPr="005223EE">
        <w:rPr>
          <w:lang w:val="en-AU"/>
        </w:rPr>
        <w:t xml:space="preserve"> editorial in </w:t>
      </w:r>
      <w:r w:rsidRPr="005223EE">
        <w:rPr>
          <w:i/>
          <w:lang w:val="en-AU"/>
        </w:rPr>
        <w:t>The Lancet</w:t>
      </w:r>
      <w:r w:rsidRPr="005223EE">
        <w:rPr>
          <w:lang w:val="en-AU"/>
        </w:rPr>
        <w:t xml:space="preserve"> </w:t>
      </w:r>
      <w:r>
        <w:rPr>
          <w:lang w:val="en-AU"/>
        </w:rPr>
        <w:t>(</w:t>
      </w:r>
      <w:hyperlink r:id="rId32" w:history="1">
        <w:r w:rsidRPr="00F976F2">
          <w:rPr>
            <w:rStyle w:val="Hyperlink"/>
            <w:lang w:val="en-AU"/>
          </w:rPr>
          <w:t>http://dx.doi.org/10.1016/S0140-6736(16)30888-1</w:t>
        </w:r>
      </w:hyperlink>
      <w:r>
        <w:rPr>
          <w:lang w:val="en-AU"/>
        </w:rPr>
        <w:t xml:space="preserve">) </w:t>
      </w:r>
      <w:r w:rsidRPr="005223EE">
        <w:rPr>
          <w:lang w:val="en-AU"/>
        </w:rPr>
        <w:t>welcomed this move and suggests that “Many more areas of medicine requiring risk communication should take this initiative as a long overdue and most welcome example.</w:t>
      </w:r>
      <w:r>
        <w:rPr>
          <w:i/>
          <w:lang w:val="en-AU"/>
        </w:rPr>
        <w:t>”</w:t>
      </w:r>
    </w:p>
    <w:p w:rsidR="005223EE" w:rsidRDefault="005223EE" w:rsidP="007B57E4">
      <w:pPr>
        <w:rPr>
          <w:i/>
          <w:lang w:val="en-AU"/>
        </w:rPr>
      </w:pPr>
    </w:p>
    <w:p w:rsidR="00667843" w:rsidRDefault="00667843" w:rsidP="00667843">
      <w:pPr>
        <w:keepNext/>
        <w:keepLines/>
        <w:rPr>
          <w:i/>
          <w:lang w:val="en-AU"/>
        </w:rPr>
      </w:pPr>
      <w:r>
        <w:rPr>
          <w:i/>
          <w:lang w:val="en-AU"/>
        </w:rPr>
        <w:lastRenderedPageBreak/>
        <w:t>[UK] National Institute for Health Research</w:t>
      </w:r>
    </w:p>
    <w:p w:rsidR="00667843" w:rsidRDefault="00635A46" w:rsidP="00667843">
      <w:pPr>
        <w:keepNext/>
        <w:keepLines/>
        <w:rPr>
          <w:rStyle w:val="Hyperlink"/>
          <w:lang w:val="en-AU"/>
        </w:rPr>
      </w:pPr>
      <w:hyperlink r:id="rId33" w:history="1">
        <w:r w:rsidR="00667843" w:rsidRPr="00F76F08">
          <w:rPr>
            <w:rStyle w:val="Hyperlink"/>
            <w:lang w:val="en-AU"/>
          </w:rPr>
          <w:t>https://discover.dc.nihr.ac.uk/portal/home</w:t>
        </w:r>
      </w:hyperlink>
    </w:p>
    <w:p w:rsidR="00667843" w:rsidRPr="007E464F" w:rsidRDefault="00667843" w:rsidP="00667843">
      <w:pPr>
        <w:keepNext/>
        <w:keepLines/>
        <w:rPr>
          <w:lang w:val="en-AU"/>
        </w:rPr>
      </w:pPr>
      <w:r>
        <w:rPr>
          <w:lang w:val="en-AU"/>
        </w:rPr>
        <w:t xml:space="preserve">The UK’s </w:t>
      </w:r>
      <w:r w:rsidRPr="007E464F">
        <w:rPr>
          <w:lang w:val="en-AU"/>
        </w:rPr>
        <w:t>National Institute for Health Research</w:t>
      </w:r>
      <w:r>
        <w:rPr>
          <w:lang w:val="en-AU"/>
        </w:rPr>
        <w:t xml:space="preserve"> (NIHR) Dissemination Centre has released the latest ‘Signals’ research summaries. This latest release includes:</w:t>
      </w:r>
    </w:p>
    <w:p w:rsidR="00667843" w:rsidRPr="00667843" w:rsidRDefault="00667843" w:rsidP="00667843">
      <w:pPr>
        <w:pStyle w:val="ListParagraph"/>
        <w:keepNext/>
        <w:keepLines/>
        <w:numPr>
          <w:ilvl w:val="0"/>
          <w:numId w:val="22"/>
        </w:numPr>
        <w:rPr>
          <w:lang w:val="en-AU"/>
        </w:rPr>
      </w:pPr>
      <w:r w:rsidRPr="00667843">
        <w:rPr>
          <w:lang w:val="en-AU"/>
        </w:rPr>
        <w:t>Local stero</w:t>
      </w:r>
      <w:r>
        <w:rPr>
          <w:lang w:val="en-AU"/>
        </w:rPr>
        <w:t xml:space="preserve">id injections may help </w:t>
      </w:r>
      <w:r w:rsidRPr="00667843">
        <w:rPr>
          <w:b/>
          <w:lang w:val="en-AU"/>
        </w:rPr>
        <w:t>sciatica</w:t>
      </w:r>
    </w:p>
    <w:p w:rsidR="00667843" w:rsidRPr="00667843" w:rsidRDefault="00667843" w:rsidP="00667843">
      <w:pPr>
        <w:pStyle w:val="ListParagraph"/>
        <w:keepNext/>
        <w:keepLines/>
        <w:numPr>
          <w:ilvl w:val="0"/>
          <w:numId w:val="22"/>
        </w:numPr>
        <w:rPr>
          <w:lang w:val="en-AU"/>
        </w:rPr>
      </w:pPr>
      <w:r w:rsidRPr="00667843">
        <w:rPr>
          <w:b/>
          <w:lang w:val="en-AU"/>
        </w:rPr>
        <w:t>Telehealth</w:t>
      </w:r>
      <w:r w:rsidRPr="00667843">
        <w:rPr>
          <w:lang w:val="en-AU"/>
        </w:rPr>
        <w:t xml:space="preserve"> may help some people be more active after a </w:t>
      </w:r>
      <w:r w:rsidRPr="00667843">
        <w:rPr>
          <w:b/>
          <w:lang w:val="en-AU"/>
        </w:rPr>
        <w:t>heart attack</w:t>
      </w:r>
    </w:p>
    <w:p w:rsidR="00667843" w:rsidRPr="00667843" w:rsidRDefault="00667843" w:rsidP="00667843">
      <w:pPr>
        <w:pStyle w:val="ListParagraph"/>
        <w:keepNext/>
        <w:keepLines/>
        <w:numPr>
          <w:ilvl w:val="0"/>
          <w:numId w:val="22"/>
        </w:numPr>
        <w:rPr>
          <w:lang w:val="en-AU"/>
        </w:rPr>
      </w:pPr>
      <w:r w:rsidRPr="00667843">
        <w:rPr>
          <w:lang w:val="en-AU"/>
        </w:rPr>
        <w:t xml:space="preserve">How to improve </w:t>
      </w:r>
      <w:r w:rsidRPr="00667843">
        <w:rPr>
          <w:b/>
          <w:lang w:val="en-AU"/>
        </w:rPr>
        <w:t>‘do not resuscitate’</w:t>
      </w:r>
      <w:r w:rsidRPr="00667843">
        <w:rPr>
          <w:lang w:val="en-AU"/>
        </w:rPr>
        <w:t xml:space="preserve"> decisions in England</w:t>
      </w:r>
    </w:p>
    <w:p w:rsidR="00667843" w:rsidRPr="00667843" w:rsidRDefault="00667843" w:rsidP="00667843">
      <w:pPr>
        <w:pStyle w:val="ListParagraph"/>
        <w:keepNext/>
        <w:keepLines/>
        <w:numPr>
          <w:ilvl w:val="0"/>
          <w:numId w:val="22"/>
        </w:numPr>
        <w:rPr>
          <w:lang w:val="en-AU"/>
        </w:rPr>
      </w:pPr>
      <w:r w:rsidRPr="00667843">
        <w:rPr>
          <w:lang w:val="en-AU"/>
        </w:rPr>
        <w:t xml:space="preserve">Topical steroids better than vitamin D for treating </w:t>
      </w:r>
      <w:r w:rsidRPr="00667843">
        <w:rPr>
          <w:b/>
          <w:lang w:val="en-AU"/>
        </w:rPr>
        <w:t>scalp psoriasis</w:t>
      </w:r>
    </w:p>
    <w:p w:rsidR="00667843" w:rsidRPr="00667843" w:rsidRDefault="00667843" w:rsidP="00667843">
      <w:pPr>
        <w:pStyle w:val="ListParagraph"/>
        <w:keepNext/>
        <w:keepLines/>
        <w:numPr>
          <w:ilvl w:val="0"/>
          <w:numId w:val="22"/>
        </w:numPr>
        <w:rPr>
          <w:lang w:val="en-AU"/>
        </w:rPr>
      </w:pPr>
      <w:r w:rsidRPr="00667843">
        <w:rPr>
          <w:lang w:val="en-AU"/>
        </w:rPr>
        <w:t xml:space="preserve">An anticoagulant, bivalirudin, may not be safer than the alternative, heparin, when </w:t>
      </w:r>
      <w:r w:rsidRPr="00667843">
        <w:rPr>
          <w:b/>
          <w:lang w:val="en-AU"/>
        </w:rPr>
        <w:t>unblocking arteries</w:t>
      </w:r>
      <w:r w:rsidRPr="00667843">
        <w:rPr>
          <w:lang w:val="en-AU"/>
        </w:rPr>
        <w:t xml:space="preserve"> in the heart</w:t>
      </w:r>
    </w:p>
    <w:p w:rsidR="00667843" w:rsidRPr="00667843" w:rsidRDefault="00667843" w:rsidP="00667843">
      <w:pPr>
        <w:pStyle w:val="ListParagraph"/>
        <w:keepNext/>
        <w:keepLines/>
        <w:numPr>
          <w:ilvl w:val="0"/>
          <w:numId w:val="22"/>
        </w:numPr>
        <w:rPr>
          <w:lang w:val="en-AU"/>
        </w:rPr>
      </w:pPr>
      <w:r w:rsidRPr="00667843">
        <w:rPr>
          <w:lang w:val="en-AU"/>
        </w:rPr>
        <w:t xml:space="preserve">Education and the offer of support help GPs spot </w:t>
      </w:r>
      <w:r w:rsidRPr="00667843">
        <w:rPr>
          <w:b/>
          <w:lang w:val="en-AU"/>
        </w:rPr>
        <w:t>early signs of psychosis</w:t>
      </w:r>
    </w:p>
    <w:p w:rsidR="00667843" w:rsidRPr="00667843" w:rsidRDefault="00667843" w:rsidP="00667843">
      <w:pPr>
        <w:pStyle w:val="ListParagraph"/>
        <w:keepNext/>
        <w:keepLines/>
        <w:numPr>
          <w:ilvl w:val="0"/>
          <w:numId w:val="22"/>
        </w:numPr>
        <w:rPr>
          <w:lang w:val="en-AU"/>
        </w:rPr>
      </w:pPr>
      <w:r w:rsidRPr="00667843">
        <w:rPr>
          <w:lang w:val="en-AU"/>
        </w:rPr>
        <w:t xml:space="preserve">Dealing with a </w:t>
      </w:r>
      <w:r w:rsidRPr="00667843">
        <w:rPr>
          <w:b/>
          <w:lang w:val="en-AU"/>
        </w:rPr>
        <w:t>measles outbreak</w:t>
      </w:r>
      <w:r w:rsidRPr="00667843">
        <w:rPr>
          <w:lang w:val="en-AU"/>
        </w:rPr>
        <w:t xml:space="preserve"> cost 20 times that of increasing </w:t>
      </w:r>
      <w:r w:rsidRPr="00667843">
        <w:rPr>
          <w:b/>
          <w:lang w:val="en-AU"/>
        </w:rPr>
        <w:t>vaccination</w:t>
      </w:r>
      <w:r w:rsidRPr="00667843">
        <w:rPr>
          <w:lang w:val="en-AU"/>
        </w:rPr>
        <w:t xml:space="preserve"> cover</w:t>
      </w:r>
    </w:p>
    <w:p w:rsidR="00667843" w:rsidRPr="00667843" w:rsidRDefault="00667843" w:rsidP="00667843">
      <w:pPr>
        <w:pStyle w:val="ListParagraph"/>
        <w:keepNext/>
        <w:keepLines/>
        <w:numPr>
          <w:ilvl w:val="0"/>
          <w:numId w:val="22"/>
        </w:numPr>
        <w:rPr>
          <w:lang w:val="en-AU"/>
        </w:rPr>
      </w:pPr>
      <w:r w:rsidRPr="00667843">
        <w:rPr>
          <w:b/>
          <w:lang w:val="en-AU"/>
        </w:rPr>
        <w:t>Pain on injection</w:t>
      </w:r>
      <w:r w:rsidRPr="00667843">
        <w:rPr>
          <w:lang w:val="en-AU"/>
        </w:rPr>
        <w:t xml:space="preserve"> of a widely used </w:t>
      </w:r>
      <w:r w:rsidRPr="00667843">
        <w:rPr>
          <w:b/>
          <w:lang w:val="en-AU"/>
        </w:rPr>
        <w:t>anaesthetic</w:t>
      </w:r>
      <w:r w:rsidRPr="00667843">
        <w:rPr>
          <w:lang w:val="en-AU"/>
        </w:rPr>
        <w:t xml:space="preserve"> may be reduced if a common anti-sickness drug is given first</w:t>
      </w:r>
    </w:p>
    <w:p w:rsidR="00667843" w:rsidRPr="00667843" w:rsidRDefault="00667843" w:rsidP="00667843">
      <w:pPr>
        <w:pStyle w:val="ListParagraph"/>
        <w:keepNext/>
        <w:keepLines/>
        <w:numPr>
          <w:ilvl w:val="0"/>
          <w:numId w:val="22"/>
        </w:numPr>
        <w:rPr>
          <w:lang w:val="en-AU"/>
        </w:rPr>
      </w:pPr>
      <w:r w:rsidRPr="00667843">
        <w:rPr>
          <w:lang w:val="en-AU"/>
        </w:rPr>
        <w:t xml:space="preserve">A scan may help decide if surgery is required as follow-on treatment for </w:t>
      </w:r>
      <w:r w:rsidRPr="00667843">
        <w:rPr>
          <w:b/>
          <w:lang w:val="en-AU"/>
        </w:rPr>
        <w:t>head and neck cancer</w:t>
      </w:r>
    </w:p>
    <w:p w:rsidR="00667843" w:rsidRPr="00667843" w:rsidRDefault="00667843" w:rsidP="00667843">
      <w:pPr>
        <w:pStyle w:val="ListParagraph"/>
        <w:keepNext/>
        <w:keepLines/>
        <w:numPr>
          <w:ilvl w:val="0"/>
          <w:numId w:val="22"/>
        </w:numPr>
        <w:rPr>
          <w:lang w:val="en-AU"/>
        </w:rPr>
      </w:pPr>
      <w:r w:rsidRPr="00667843">
        <w:rPr>
          <w:lang w:val="en-AU"/>
        </w:rPr>
        <w:t xml:space="preserve">Links between </w:t>
      </w:r>
      <w:r w:rsidRPr="00667843">
        <w:rPr>
          <w:b/>
          <w:lang w:val="en-AU"/>
        </w:rPr>
        <w:t>antipsychotics in pregnancy</w:t>
      </w:r>
      <w:r w:rsidRPr="00667843">
        <w:rPr>
          <w:lang w:val="en-AU"/>
        </w:rPr>
        <w:t xml:space="preserve"> and harmful outcomes for baby may be influenced by mother’s lifestyle</w:t>
      </w:r>
    </w:p>
    <w:p w:rsidR="00667843" w:rsidRDefault="00667843" w:rsidP="007B57E4">
      <w:pPr>
        <w:rPr>
          <w:i/>
          <w:lang w:val="en-AU"/>
        </w:rPr>
      </w:pPr>
    </w:p>
    <w:p w:rsidR="00A7649C" w:rsidRPr="005223EE" w:rsidRDefault="00A7649C" w:rsidP="005223EE">
      <w:pPr>
        <w:keepNext/>
        <w:keepLines/>
        <w:rPr>
          <w:i/>
          <w:lang w:val="en-AU"/>
        </w:rPr>
      </w:pPr>
      <w:r w:rsidRPr="005223EE">
        <w:rPr>
          <w:i/>
          <w:lang w:val="en-AU"/>
        </w:rPr>
        <w:t>[USA] Effective Health Care Program reports</w:t>
      </w:r>
    </w:p>
    <w:p w:rsidR="00A7649C" w:rsidRPr="00BD0F1C" w:rsidRDefault="00635A46" w:rsidP="00A7649C">
      <w:pPr>
        <w:keepNext/>
        <w:keepLines/>
        <w:rPr>
          <w:u w:val="single"/>
          <w:lang w:val="en-AU"/>
        </w:rPr>
      </w:pPr>
      <w:hyperlink r:id="rId34" w:history="1">
        <w:r w:rsidR="00A7649C" w:rsidRPr="00BD0F1C">
          <w:rPr>
            <w:rStyle w:val="Hyperlink"/>
            <w:lang w:val="en-AU"/>
          </w:rPr>
          <w:t>http://effectivehealthcare.ahrq.gov/</w:t>
        </w:r>
      </w:hyperlink>
    </w:p>
    <w:p w:rsidR="00A7649C" w:rsidRDefault="00A7649C" w:rsidP="00A7649C">
      <w:pPr>
        <w:keepNext/>
        <w:keepLines/>
        <w:rPr>
          <w:lang w:val="en-AU"/>
        </w:rPr>
      </w:pPr>
      <w:r w:rsidRPr="00255EF8">
        <w:rPr>
          <w:lang w:val="en-AU"/>
        </w:rPr>
        <w:t>The US Agency for Healthcare Research and Quality (AHRQ) has an Effective Health Care (EHC) Program. The EHC has released the following final reports and updates:</w:t>
      </w:r>
    </w:p>
    <w:p w:rsidR="005405D6" w:rsidRPr="005405D6" w:rsidRDefault="005405D6" w:rsidP="005405D6">
      <w:pPr>
        <w:pStyle w:val="ListParagraph"/>
        <w:numPr>
          <w:ilvl w:val="0"/>
          <w:numId w:val="23"/>
        </w:numPr>
        <w:rPr>
          <w:lang w:val="en-AU"/>
        </w:rPr>
      </w:pPr>
      <w:r w:rsidRPr="005405D6">
        <w:rPr>
          <w:b/>
          <w:i/>
          <w:lang w:val="en-AU"/>
        </w:rPr>
        <w:t>Telehealth</w:t>
      </w:r>
      <w:r w:rsidRPr="005405D6">
        <w:rPr>
          <w:i/>
          <w:lang w:val="en-AU"/>
        </w:rPr>
        <w:t>: Mapping the Evidence for Patient Outcomes From Systematic Reviews</w:t>
      </w:r>
      <w:r>
        <w:rPr>
          <w:lang w:val="en-AU"/>
        </w:rPr>
        <w:t xml:space="preserve"> </w:t>
      </w:r>
      <w:hyperlink r:id="rId35" w:history="1">
        <w:r w:rsidRPr="005A00FC">
          <w:rPr>
            <w:rStyle w:val="Hyperlink"/>
            <w:lang w:val="en-AU"/>
          </w:rPr>
          <w:t>https://www.effectivehealthcare.ahrq.gov/search-for-guides-reviews-and-reports/?pageaction=displayproduct&amp;productID=2254</w:t>
        </w:r>
      </w:hyperlink>
      <w:r>
        <w:rPr>
          <w:lang w:val="en-AU"/>
        </w:rPr>
        <w:t xml:space="preserve"> </w:t>
      </w:r>
    </w:p>
    <w:p w:rsidR="00A7649C" w:rsidRDefault="00A7649C" w:rsidP="00A7649C">
      <w:pPr>
        <w:pStyle w:val="ListParagraph"/>
        <w:numPr>
          <w:ilvl w:val="0"/>
          <w:numId w:val="23"/>
        </w:numPr>
        <w:rPr>
          <w:lang w:val="en-AU"/>
        </w:rPr>
      </w:pPr>
      <w:r w:rsidRPr="00A7649C">
        <w:rPr>
          <w:i/>
          <w:lang w:val="en-AU"/>
        </w:rPr>
        <w:t xml:space="preserve">Diagnosis and Management of </w:t>
      </w:r>
      <w:r w:rsidRPr="00A7649C">
        <w:rPr>
          <w:b/>
          <w:i/>
          <w:lang w:val="en-AU"/>
        </w:rPr>
        <w:t>Infantile Hemangioma</w:t>
      </w:r>
      <w:r w:rsidRPr="00DF0763">
        <w:rPr>
          <w:lang w:val="en-AU"/>
        </w:rPr>
        <w:t xml:space="preserve"> </w:t>
      </w:r>
      <w:r w:rsidRPr="00DF0763">
        <w:rPr>
          <w:lang w:val="en-AU"/>
        </w:rPr>
        <w:br/>
        <w:t xml:space="preserve">For Clinicians: </w:t>
      </w:r>
      <w:r w:rsidRPr="00A7649C">
        <w:rPr>
          <w:i/>
          <w:lang w:val="en-AU"/>
        </w:rPr>
        <w:t xml:space="preserve">Management of Infantile Hemangioma </w:t>
      </w:r>
      <w:hyperlink r:id="rId36" w:history="1">
        <w:r w:rsidRPr="00F976F2">
          <w:rPr>
            <w:rStyle w:val="Hyperlink"/>
            <w:i/>
            <w:lang w:val="en-AU"/>
          </w:rPr>
          <w:t>https://www.effectivehealthcare.ahrq.gov/search-for-guides-reviews-and-reports/?pageaction=displayproduct&amp;productID=2245</w:t>
        </w:r>
      </w:hyperlink>
      <w:r>
        <w:rPr>
          <w:i/>
          <w:lang w:val="en-AU"/>
        </w:rPr>
        <w:br/>
      </w:r>
      <w:r w:rsidRPr="00DF0763">
        <w:rPr>
          <w:lang w:val="en-AU"/>
        </w:rPr>
        <w:t xml:space="preserve">For Consumers: </w:t>
      </w:r>
      <w:r w:rsidRPr="00A7649C">
        <w:rPr>
          <w:i/>
          <w:lang w:val="en-AU"/>
        </w:rPr>
        <w:t>Treating Infantile Hemangiomas in Children</w:t>
      </w:r>
      <w:r w:rsidRPr="00A7649C">
        <w:rPr>
          <w:lang w:val="en-AU"/>
        </w:rPr>
        <w:t xml:space="preserve"> </w:t>
      </w:r>
      <w:hyperlink r:id="rId37" w:history="1">
        <w:r w:rsidRPr="00F976F2">
          <w:rPr>
            <w:rStyle w:val="Hyperlink"/>
            <w:lang w:val="en-AU"/>
          </w:rPr>
          <w:t>https://www.effectivehealthcare.ahrq.gov/search-for-guides-reviews-and-reports/?pageaction=displayproduct&amp;productID=2246</w:t>
        </w:r>
      </w:hyperlink>
      <w:r>
        <w:rPr>
          <w:lang w:val="en-AU"/>
        </w:rPr>
        <w:br/>
      </w:r>
      <w:r w:rsidRPr="00A7649C">
        <w:rPr>
          <w:lang w:val="en-AU"/>
        </w:rPr>
        <w:t xml:space="preserve">For </w:t>
      </w:r>
      <w:r>
        <w:rPr>
          <w:lang w:val="en-AU"/>
        </w:rPr>
        <w:t>P</w:t>
      </w:r>
      <w:r w:rsidRPr="00A7649C">
        <w:rPr>
          <w:lang w:val="en-AU"/>
        </w:rPr>
        <w:t xml:space="preserve">olicymakers: </w:t>
      </w:r>
      <w:r w:rsidRPr="00A7649C">
        <w:rPr>
          <w:i/>
          <w:lang w:val="en-AU"/>
        </w:rPr>
        <w:t>Management of Infantile Hemangioma</w:t>
      </w:r>
      <w:r w:rsidRPr="00A7649C">
        <w:rPr>
          <w:lang w:val="en-AU"/>
        </w:rPr>
        <w:t xml:space="preserve"> </w:t>
      </w:r>
      <w:hyperlink r:id="rId38" w:history="1">
        <w:r w:rsidRPr="00F976F2">
          <w:rPr>
            <w:rStyle w:val="Hyperlink"/>
            <w:lang w:val="en-AU"/>
          </w:rPr>
          <w:t>https://www.effectivehealthcare.ahrq.gov/search-for-guides-reviews-and-reports/?pageaction=displayproduct&amp;productID=2248</w:t>
        </w:r>
      </w:hyperlink>
    </w:p>
    <w:p w:rsidR="00093AB0" w:rsidRDefault="00093AB0" w:rsidP="00B52D0D">
      <w:pPr>
        <w:rPr>
          <w:lang w:val="en-AU"/>
        </w:rPr>
      </w:pPr>
    </w:p>
    <w:p w:rsidR="007B57E4" w:rsidRPr="000C03B8" w:rsidRDefault="007B57E4" w:rsidP="00B52D0D">
      <w:pPr>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0F" w:rsidRDefault="00DF300F">
      <w:r>
        <w:separator/>
      </w:r>
    </w:p>
  </w:endnote>
  <w:endnote w:type="continuationSeparator" w:id="0">
    <w:p w:rsidR="00DF300F" w:rsidRDefault="00DF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A46">
      <w:rPr>
        <w:rStyle w:val="PageNumber"/>
        <w:noProof/>
      </w:rPr>
      <w:t>2</w:t>
    </w:r>
    <w:r>
      <w:rPr>
        <w:rStyle w:val="PageNumber"/>
      </w:rPr>
      <w:fldChar w:fldCharType="end"/>
    </w:r>
  </w:p>
  <w:p w:rsidR="00B47D6E" w:rsidRDefault="00B47D6E" w:rsidP="00F1532A">
    <w:pPr>
      <w:pStyle w:val="Footer"/>
      <w:tabs>
        <w:tab w:val="clear" w:pos="8306"/>
        <w:tab w:val="right" w:pos="9540"/>
      </w:tabs>
      <w:ind w:right="360"/>
    </w:pPr>
    <w:r>
      <w:tab/>
    </w:r>
    <w:r>
      <w:tab/>
    </w:r>
    <w:r w:rsidRPr="00942E61">
      <w:rPr>
        <w:i/>
      </w:rPr>
      <w:t>On the Radar</w:t>
    </w:r>
    <w:r w:rsidR="006D5083">
      <w:t xml:space="preserve"> Issue 280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5A46">
      <w:rPr>
        <w:rStyle w:val="PageNumber"/>
        <w:noProof/>
      </w:rPr>
      <w:t>5</w:t>
    </w:r>
    <w:r>
      <w:rPr>
        <w:rStyle w:val="PageNumber"/>
      </w:rPr>
      <w:fldChar w:fldCharType="end"/>
    </w:r>
  </w:p>
  <w:p w:rsidR="00B47D6E" w:rsidRDefault="00B47D6E" w:rsidP="00AA7F1C">
    <w:pPr>
      <w:pStyle w:val="Footer"/>
      <w:tabs>
        <w:tab w:val="clear" w:pos="4153"/>
        <w:tab w:val="clear" w:pos="8306"/>
        <w:tab w:val="left" w:pos="2901"/>
      </w:tabs>
      <w:ind w:right="360"/>
    </w:pPr>
    <w:r w:rsidRPr="00942E61">
      <w:rPr>
        <w:i/>
      </w:rPr>
      <w:t>On the Radar</w:t>
    </w:r>
    <w:r w:rsidR="006D5083">
      <w:t xml:space="preserve"> Issue 280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0F" w:rsidRDefault="00DF300F">
      <w:r>
        <w:separator/>
      </w:r>
    </w:p>
  </w:footnote>
  <w:footnote w:type="continuationSeparator" w:id="0">
    <w:p w:rsidR="00DF300F" w:rsidRDefault="00DF3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25E3A"/>
    <w:multiLevelType w:val="hybridMultilevel"/>
    <w:tmpl w:val="2E26A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2C72F5"/>
    <w:multiLevelType w:val="hybridMultilevel"/>
    <w:tmpl w:val="03EC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BD75F0"/>
    <w:multiLevelType w:val="hybridMultilevel"/>
    <w:tmpl w:val="7112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990CB7"/>
    <w:multiLevelType w:val="hybridMultilevel"/>
    <w:tmpl w:val="8CB0D60C"/>
    <w:lvl w:ilvl="0" w:tplc="1B54E0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AB0070"/>
    <w:multiLevelType w:val="hybridMultilevel"/>
    <w:tmpl w:val="1354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DF0358"/>
    <w:multiLevelType w:val="hybridMultilevel"/>
    <w:tmpl w:val="DF10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3D3A9E"/>
    <w:multiLevelType w:val="hybridMultilevel"/>
    <w:tmpl w:val="061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BB6E46"/>
    <w:multiLevelType w:val="hybridMultilevel"/>
    <w:tmpl w:val="A686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28607C"/>
    <w:multiLevelType w:val="hybridMultilevel"/>
    <w:tmpl w:val="65F84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A103CF"/>
    <w:multiLevelType w:val="hybridMultilevel"/>
    <w:tmpl w:val="79F6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FA3AE0"/>
    <w:multiLevelType w:val="hybridMultilevel"/>
    <w:tmpl w:val="D23CE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A8180C"/>
    <w:multiLevelType w:val="hybridMultilevel"/>
    <w:tmpl w:val="2FD4660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B50400"/>
    <w:multiLevelType w:val="hybridMultilevel"/>
    <w:tmpl w:val="3C36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DD7315F"/>
    <w:multiLevelType w:val="hybridMultilevel"/>
    <w:tmpl w:val="9180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2D2997"/>
    <w:multiLevelType w:val="hybridMultilevel"/>
    <w:tmpl w:val="6002A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C05A78"/>
    <w:multiLevelType w:val="hybridMultilevel"/>
    <w:tmpl w:val="EDD2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2"/>
  </w:num>
  <w:num w:numId="15">
    <w:abstractNumId w:val="29"/>
  </w:num>
  <w:num w:numId="16">
    <w:abstractNumId w:val="19"/>
  </w:num>
  <w:num w:numId="17">
    <w:abstractNumId w:val="23"/>
  </w:num>
  <w:num w:numId="18">
    <w:abstractNumId w:val="35"/>
  </w:num>
  <w:num w:numId="19">
    <w:abstractNumId w:val="30"/>
  </w:num>
  <w:num w:numId="20">
    <w:abstractNumId w:val="16"/>
  </w:num>
  <w:num w:numId="21">
    <w:abstractNumId w:val="31"/>
  </w:num>
  <w:num w:numId="22">
    <w:abstractNumId w:val="17"/>
  </w:num>
  <w:num w:numId="23">
    <w:abstractNumId w:val="24"/>
  </w:num>
  <w:num w:numId="24">
    <w:abstractNumId w:val="25"/>
  </w:num>
  <w:num w:numId="25">
    <w:abstractNumId w:val="18"/>
  </w:num>
  <w:num w:numId="26">
    <w:abstractNumId w:val="14"/>
  </w:num>
  <w:num w:numId="27">
    <w:abstractNumId w:val="32"/>
  </w:num>
  <w:num w:numId="28">
    <w:abstractNumId w:val="10"/>
  </w:num>
  <w:num w:numId="29">
    <w:abstractNumId w:val="13"/>
  </w:num>
  <w:num w:numId="30">
    <w:abstractNumId w:val="12"/>
  </w:num>
  <w:num w:numId="31">
    <w:abstractNumId w:val="34"/>
  </w:num>
  <w:num w:numId="32">
    <w:abstractNumId w:val="28"/>
  </w:num>
  <w:num w:numId="33">
    <w:abstractNumId w:val="11"/>
  </w:num>
  <w:num w:numId="34">
    <w:abstractNumId w:val="27"/>
  </w:num>
  <w:num w:numId="35">
    <w:abstractNumId w:val="15"/>
  </w:num>
  <w:num w:numId="3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67F1"/>
    <w:rsid w:val="00026C9C"/>
    <w:rsid w:val="00026E16"/>
    <w:rsid w:val="00027059"/>
    <w:rsid w:val="000274F9"/>
    <w:rsid w:val="0002776A"/>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95D"/>
    <w:rsid w:val="00273A0C"/>
    <w:rsid w:val="00273EF6"/>
    <w:rsid w:val="00274579"/>
    <w:rsid w:val="0027484E"/>
    <w:rsid w:val="00274E87"/>
    <w:rsid w:val="002752A2"/>
    <w:rsid w:val="002754DD"/>
    <w:rsid w:val="00275725"/>
    <w:rsid w:val="00275B52"/>
    <w:rsid w:val="00275B63"/>
    <w:rsid w:val="00275C79"/>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8EE"/>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5D6"/>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44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19E8"/>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6"/>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4101"/>
    <w:rsid w:val="00654120"/>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3600"/>
    <w:rsid w:val="00683997"/>
    <w:rsid w:val="0068399F"/>
    <w:rsid w:val="00683AB6"/>
    <w:rsid w:val="00683E74"/>
    <w:rsid w:val="00683EA6"/>
    <w:rsid w:val="00683F0C"/>
    <w:rsid w:val="00683F5C"/>
    <w:rsid w:val="00684495"/>
    <w:rsid w:val="006844F8"/>
    <w:rsid w:val="00684544"/>
    <w:rsid w:val="0068468B"/>
    <w:rsid w:val="006854BA"/>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269"/>
    <w:rsid w:val="00704388"/>
    <w:rsid w:val="00704460"/>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995"/>
    <w:rsid w:val="00766A60"/>
    <w:rsid w:val="00766B29"/>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2CA0"/>
    <w:rsid w:val="00853204"/>
    <w:rsid w:val="00853503"/>
    <w:rsid w:val="008536C5"/>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275"/>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4DF3"/>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E01"/>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5A5C"/>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A87"/>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DC0"/>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2DEF"/>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21F"/>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13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5E55"/>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6A"/>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6946"/>
    <w:rsid w:val="00E17474"/>
    <w:rsid w:val="00E17587"/>
    <w:rsid w:val="00E175CA"/>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21E"/>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50"/>
    <w:rsid w:val="00E67CF6"/>
    <w:rsid w:val="00E67EE7"/>
    <w:rsid w:val="00E701B5"/>
    <w:rsid w:val="00E7022E"/>
    <w:rsid w:val="00E70273"/>
    <w:rsid w:val="00E70327"/>
    <w:rsid w:val="00E70570"/>
    <w:rsid w:val="00E70A04"/>
    <w:rsid w:val="00E71209"/>
    <w:rsid w:val="00E7147F"/>
    <w:rsid w:val="00E71909"/>
    <w:rsid w:val="00E71A77"/>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0DD3"/>
    <w:rsid w:val="00EB1118"/>
    <w:rsid w:val="00EB116D"/>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2DB"/>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16/S1473-3099(15)00409-0" TargetMode="External"/><Relationship Id="rId26" Type="http://schemas.openxmlformats.org/officeDocument/2006/relationships/hyperlink" Target="http://www.nice.org.uk"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ntqhc.oxfordjournals.org/content/early/recent?papetoc" TargetMode="External"/><Relationship Id="rId34" Type="http://schemas.openxmlformats.org/officeDocument/2006/relationships/hyperlink" Target="http://effectivehealthcare.ahrq.gov/"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endoflifecare" TargetMode="External"/><Relationship Id="rId25" Type="http://schemas.openxmlformats.org/officeDocument/2006/relationships/hyperlink" Target="https://psnet.ahrq.gov/primers/primer/36" TargetMode="External"/><Relationship Id="rId33" Type="http://schemas.openxmlformats.org/officeDocument/2006/relationships/hyperlink" Target="https://discover.dc.nihr.ac.uk/portal/home" TargetMode="External"/><Relationship Id="rId38" Type="http://schemas.openxmlformats.org/officeDocument/2006/relationships/hyperlink" Target="https://www.effectivehealthcare.ahrq.gov/search-for-guides-reviews-and-reports/?pageaction=displayproduct&amp;productID=2248" TargetMode="External"/><Relationship Id="rId2" Type="http://schemas.openxmlformats.org/officeDocument/2006/relationships/numbering" Target="numbering.xml"/><Relationship Id="rId16" Type="http://schemas.openxmlformats.org/officeDocument/2006/relationships/hyperlink" Target="http://dx.doi.org/10.1093/intqhc/mzw060" TargetMode="External"/><Relationship Id="rId20" Type="http://schemas.openxmlformats.org/officeDocument/2006/relationships/hyperlink" Target="http://qualitysafety.bmj.com/content/early/recent" TargetMode="External"/><Relationship Id="rId29" Type="http://schemas.openxmlformats.org/officeDocument/2006/relationships/hyperlink" Target="https://www.nice.org.uk/guidance/qs12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s://psnet.ahrq.gov/primers/" TargetMode="External"/><Relationship Id="rId32" Type="http://schemas.openxmlformats.org/officeDocument/2006/relationships/hyperlink" Target="http://dx.doi.org/10.1016/S0140-6736(16)30888-1" TargetMode="External"/><Relationship Id="rId37" Type="http://schemas.openxmlformats.org/officeDocument/2006/relationships/hyperlink" Target="https://www.effectivehealthcare.ahrq.gov/search-for-guides-reviews-and-reports/?pageaction=displayproduct&amp;productID=2246"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ihi.org/resources/Pages/Tools/Always-Events-Toolkit.aspx" TargetMode="External"/><Relationship Id="rId28" Type="http://schemas.openxmlformats.org/officeDocument/2006/relationships/hyperlink" Target="https://www.nice.org.uk/guidance/qs123" TargetMode="External"/><Relationship Id="rId36" Type="http://schemas.openxmlformats.org/officeDocument/2006/relationships/hyperlink" Target="https://www.effectivehealthcare.ahrq.gov/search-for-guides-reviews-and-reports/?pageaction=displayproduct&amp;productID=2245"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our-work/healthcare-associated-infection/" TargetMode="External"/><Relationship Id="rId31" Type="http://schemas.openxmlformats.org/officeDocument/2006/relationships/hyperlink" Target="http://childrensheartsurgery.info/"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vifmcommuniques.org/volume-3-issue-2-june-2016/" TargetMode="External"/><Relationship Id="rId27" Type="http://schemas.openxmlformats.org/officeDocument/2006/relationships/hyperlink" Target="https://www.nice.org.uk/guidance/qs122" TargetMode="External"/><Relationship Id="rId30" Type="http://schemas.openxmlformats.org/officeDocument/2006/relationships/hyperlink" Target="http://www.rcpch.ac.uk/safe-resource/" TargetMode="External"/><Relationship Id="rId35" Type="http://schemas.openxmlformats.org/officeDocument/2006/relationships/hyperlink" Target="https://www.effectivehealthcare.ahrq.gov/search-for-guides-reviews-and-reports/?pageaction=displayproduct&amp;productID=2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AF64C-65B1-4AD7-B5DD-B31B51DF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14941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4</cp:revision>
  <cp:lastPrinted>2016-07-01T05:23:00Z</cp:lastPrinted>
  <dcterms:created xsi:type="dcterms:W3CDTF">2016-07-01T05:19:00Z</dcterms:created>
  <dcterms:modified xsi:type="dcterms:W3CDTF">2016-07-01T05:23:00Z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