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250510">
        <w:rPr>
          <w:rFonts w:ascii="Garamond" w:hAnsi="Garamond"/>
          <w:color w:val="000000"/>
          <w:lang w:val="en-AU"/>
        </w:rPr>
        <w:t>327</w:t>
      </w:r>
    </w:p>
    <w:p w:rsidR="00755242" w:rsidRPr="00A45262" w:rsidRDefault="00250510" w:rsidP="00B160EF">
      <w:pPr>
        <w:rPr>
          <w:rFonts w:ascii="Garamond" w:hAnsi="Garamond"/>
          <w:lang w:val="en-AU"/>
        </w:rPr>
      </w:pPr>
      <w:r>
        <w:rPr>
          <w:rFonts w:ascii="Garamond" w:hAnsi="Garamond"/>
          <w:lang w:val="en-AU"/>
        </w:rPr>
        <w:t>26</w:t>
      </w:r>
      <w:r w:rsidR="009F13C7">
        <w:rPr>
          <w:rFonts w:ascii="Garamond" w:hAnsi="Garamond"/>
          <w:lang w:val="en-AU"/>
        </w:rPr>
        <w:t xml:space="preserve"> June </w:t>
      </w:r>
      <w:r w:rsidR="00F74A58" w:rsidRPr="00A45262">
        <w:rPr>
          <w:rFonts w:ascii="Garamond" w:hAnsi="Garamond"/>
          <w:lang w:val="en-AU"/>
        </w:rPr>
        <w:t>2017</w:t>
      </w:r>
    </w:p>
    <w:p w:rsidR="00566895"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p>
    <w:p w:rsidR="0059425E" w:rsidRDefault="0059425E" w:rsidP="00691DE3">
      <w:pPr>
        <w:keepLines/>
        <w:autoSpaceDE w:val="0"/>
        <w:autoSpaceDN w:val="0"/>
        <w:adjustRightInd w:val="0"/>
        <w:rPr>
          <w:rFonts w:ascii="Garamond" w:hAnsi="Garamond"/>
          <w:lang w:val="en-AU"/>
        </w:rPr>
      </w:pPr>
    </w:p>
    <w:p w:rsidR="000C6A11" w:rsidRDefault="000C6A11" w:rsidP="00691DE3">
      <w:pPr>
        <w:keepLines/>
        <w:autoSpaceDE w:val="0"/>
        <w:autoSpaceDN w:val="0"/>
        <w:adjustRightInd w:val="0"/>
        <w:rPr>
          <w:rFonts w:ascii="Garamond" w:hAnsi="Garamond"/>
          <w:b/>
          <w:lang w:val="en-AU"/>
        </w:rPr>
      </w:pPr>
      <w:r w:rsidRPr="00A45262">
        <w:rPr>
          <w:rFonts w:ascii="Garamond" w:hAnsi="Garamond"/>
          <w:b/>
          <w:lang w:val="en-AU"/>
        </w:rPr>
        <w:t>Journal articles</w:t>
      </w:r>
    </w:p>
    <w:p w:rsidR="0010604C" w:rsidRDefault="0010604C" w:rsidP="00691DE3">
      <w:pPr>
        <w:keepLines/>
        <w:autoSpaceDE w:val="0"/>
        <w:autoSpaceDN w:val="0"/>
        <w:adjustRightInd w:val="0"/>
        <w:rPr>
          <w:rFonts w:ascii="Garamond" w:hAnsi="Garamond"/>
          <w:lang w:val="en-AU"/>
        </w:rPr>
      </w:pPr>
    </w:p>
    <w:p w:rsidR="007249C5" w:rsidRPr="00185F37" w:rsidRDefault="007249C5" w:rsidP="007249C5">
      <w:pPr>
        <w:rPr>
          <w:rFonts w:ascii="Garamond" w:hAnsi="Garamond"/>
          <w:i/>
          <w:lang w:val="en-AU"/>
        </w:rPr>
      </w:pPr>
      <w:r w:rsidRPr="00185F37">
        <w:rPr>
          <w:rFonts w:ascii="Garamond" w:hAnsi="Garamond"/>
          <w:i/>
          <w:lang w:val="en-AU"/>
        </w:rPr>
        <w:t xml:space="preserve">Effect of antibiotic stewardship on the incidence of infection and colonisation with antibiotic-resistant bacteria and </w:t>
      </w:r>
      <w:r w:rsidRPr="00185F37">
        <w:rPr>
          <w:rFonts w:ascii="Garamond" w:hAnsi="Garamond"/>
          <w:lang w:val="en-AU"/>
        </w:rPr>
        <w:t>Clostridium difficile</w:t>
      </w:r>
      <w:r w:rsidRPr="00185F37">
        <w:rPr>
          <w:rFonts w:ascii="Garamond" w:hAnsi="Garamond"/>
          <w:i/>
          <w:lang w:val="en-AU"/>
        </w:rPr>
        <w:t xml:space="preserve"> infection: a systematic review and meta-analysis</w:t>
      </w:r>
    </w:p>
    <w:p w:rsidR="007249C5" w:rsidRDefault="007249C5" w:rsidP="007249C5">
      <w:pPr>
        <w:rPr>
          <w:rFonts w:ascii="Garamond" w:hAnsi="Garamond"/>
          <w:lang w:val="en-AU"/>
        </w:rPr>
      </w:pPr>
      <w:r w:rsidRPr="00185F37">
        <w:rPr>
          <w:rFonts w:ascii="Garamond" w:hAnsi="Garamond"/>
          <w:lang w:val="en-AU"/>
        </w:rPr>
        <w:t>Baur D, Gladstone BP, Burkert F, Carrara E, Foschi F, Döbele S, et al</w:t>
      </w:r>
    </w:p>
    <w:p w:rsidR="007249C5" w:rsidRPr="00A45262" w:rsidRDefault="007249C5" w:rsidP="007249C5">
      <w:pPr>
        <w:rPr>
          <w:rFonts w:ascii="Garamond" w:hAnsi="Garamond"/>
          <w:lang w:val="en-AU"/>
        </w:rPr>
      </w:pPr>
      <w:r w:rsidRPr="00185F37">
        <w:rPr>
          <w:rFonts w:ascii="Garamond" w:hAnsi="Garamond"/>
          <w:lang w:val="en-AU"/>
        </w:rPr>
        <w:t>The Lancet Infectious Diseases. 2017.</w:t>
      </w:r>
    </w:p>
    <w:tbl>
      <w:tblPr>
        <w:tblStyle w:val="TableGrid"/>
        <w:tblW w:w="0" w:type="auto"/>
        <w:tblInd w:w="288" w:type="dxa"/>
        <w:tblLayout w:type="fixed"/>
        <w:tblLook w:val="01E0" w:firstRow="1" w:lastRow="1" w:firstColumn="1" w:lastColumn="1" w:noHBand="0" w:noVBand="0"/>
      </w:tblPr>
      <w:tblGrid>
        <w:gridCol w:w="1080"/>
        <w:gridCol w:w="8280"/>
      </w:tblGrid>
      <w:tr w:rsidR="007249C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Style w:val="Hyperlink"/>
                <w:rFonts w:ascii="Garamond" w:hAnsi="Garamond"/>
                <w:color w:val="auto"/>
                <w:u w:val="none"/>
                <w:lang w:val="en-AU"/>
              </w:rPr>
            </w:pPr>
            <w:hyperlink r:id="rId16" w:history="1">
              <w:r w:rsidRPr="00983039">
                <w:rPr>
                  <w:rStyle w:val="Hyperlink"/>
                  <w:rFonts w:ascii="Garamond" w:hAnsi="Garamond"/>
                  <w:lang w:val="en-AU"/>
                </w:rPr>
                <w:t>http://dx.doi.org/10.1016/S1473-3099(17)30325-0</w:t>
              </w:r>
            </w:hyperlink>
          </w:p>
        </w:tc>
      </w:tr>
      <w:tr w:rsidR="007249C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Fonts w:ascii="Garamond" w:hAnsi="Garamond"/>
                <w:lang w:val="en-AU"/>
              </w:rPr>
            </w:pPr>
            <w:r>
              <w:rPr>
                <w:rFonts w:ascii="Garamond" w:hAnsi="Garamond"/>
                <w:lang w:val="en-AU"/>
              </w:rPr>
              <w:t xml:space="preserve">Paper reporting on a systematic review and meta-analysis  that sought to </w:t>
            </w:r>
            <w:r w:rsidRPr="00BA2C71">
              <w:rPr>
                <w:rFonts w:ascii="Garamond" w:hAnsi="Garamond"/>
                <w:lang w:val="en-AU"/>
              </w:rPr>
              <w:t>evaluate evidence of the effect of antibiotic stewardship on the incidence of infections and colonisation with antibiotic-resistant bacteria.</w:t>
            </w:r>
            <w:r>
              <w:rPr>
                <w:rFonts w:ascii="Garamond" w:hAnsi="Garamond"/>
                <w:lang w:val="en-AU"/>
              </w:rPr>
              <w:t xml:space="preserve"> From their review of the 32 included studies, the authors report </w:t>
            </w:r>
            <w:r w:rsidRPr="00BA2C71">
              <w:rPr>
                <w:rFonts w:ascii="Garamond" w:hAnsi="Garamond"/>
                <w:b/>
                <w:lang w:val="en-AU"/>
              </w:rPr>
              <w:t>Antibiotic stewardship programmes reduced</w:t>
            </w:r>
            <w:r w:rsidRPr="00BA2C71">
              <w:rPr>
                <w:rFonts w:ascii="Garamond" w:hAnsi="Garamond"/>
                <w:lang w:val="en-AU"/>
              </w:rPr>
              <w:t xml:space="preserve"> the incidence of infections and colonisation with </w:t>
            </w:r>
            <w:r w:rsidRPr="00BA2C71">
              <w:rPr>
                <w:rFonts w:ascii="Garamond" w:hAnsi="Garamond"/>
                <w:b/>
                <w:lang w:val="en-AU"/>
              </w:rPr>
              <w:t>multidrug-resistant Gram-negative bacteria</w:t>
            </w:r>
            <w:r w:rsidRPr="00BA2C71">
              <w:rPr>
                <w:rFonts w:ascii="Garamond" w:hAnsi="Garamond"/>
                <w:lang w:val="en-AU"/>
              </w:rPr>
              <w:t xml:space="preserve"> (51% reduction), extended-spectrum </w:t>
            </w:r>
            <w:r w:rsidRPr="00BA2C71">
              <w:rPr>
                <w:rFonts w:ascii="Garamond" w:hAnsi="Garamond"/>
                <w:b/>
                <w:lang w:val="en-AU"/>
              </w:rPr>
              <w:t>β-lactamase-producing Gram-negative bacteria</w:t>
            </w:r>
            <w:r w:rsidRPr="00BA2C71">
              <w:rPr>
                <w:rFonts w:ascii="Garamond" w:hAnsi="Garamond"/>
                <w:lang w:val="en-AU"/>
              </w:rPr>
              <w:t xml:space="preserve"> (48%;), and </w:t>
            </w:r>
            <w:r w:rsidRPr="00BA2C71">
              <w:rPr>
                <w:rFonts w:ascii="Garamond" w:hAnsi="Garamond"/>
                <w:b/>
                <w:lang w:val="en-AU"/>
              </w:rPr>
              <w:t xml:space="preserve">meticillin-resistant </w:t>
            </w:r>
            <w:r w:rsidRPr="00BA2C71">
              <w:rPr>
                <w:rFonts w:ascii="Garamond" w:hAnsi="Garamond"/>
                <w:b/>
                <w:i/>
                <w:lang w:val="en-AU"/>
              </w:rPr>
              <w:t>Staphylococcus aureus</w:t>
            </w:r>
            <w:r w:rsidRPr="00BA2C71">
              <w:rPr>
                <w:rFonts w:ascii="Garamond" w:hAnsi="Garamond"/>
                <w:lang w:val="en-AU"/>
              </w:rPr>
              <w:t xml:space="preserve"> </w:t>
            </w:r>
            <w:r>
              <w:rPr>
                <w:rFonts w:ascii="Garamond" w:hAnsi="Garamond"/>
                <w:lang w:val="en-AU"/>
              </w:rPr>
              <w:t xml:space="preserve">[MRSA] </w:t>
            </w:r>
            <w:r w:rsidRPr="00BA2C71">
              <w:rPr>
                <w:rFonts w:ascii="Garamond" w:hAnsi="Garamond"/>
                <w:lang w:val="en-AU"/>
              </w:rPr>
              <w:t xml:space="preserve">(37%), as well as the incidence of </w:t>
            </w:r>
            <w:r w:rsidRPr="00BA2C71">
              <w:rPr>
                <w:rFonts w:ascii="Garamond" w:hAnsi="Garamond"/>
                <w:b/>
                <w:i/>
                <w:lang w:val="en-AU"/>
              </w:rPr>
              <w:t>Clostridium difficile</w:t>
            </w:r>
            <w:r w:rsidRPr="00BA2C71">
              <w:rPr>
                <w:rFonts w:ascii="Garamond" w:hAnsi="Garamond"/>
                <w:lang w:val="en-AU"/>
              </w:rPr>
              <w:t xml:space="preserve"> infections (32%).</w:t>
            </w:r>
            <w:r>
              <w:rPr>
                <w:rFonts w:ascii="Garamond" w:hAnsi="Garamond"/>
                <w:lang w:val="en-AU"/>
              </w:rPr>
              <w:t xml:space="preserve"> They also report that a</w:t>
            </w:r>
            <w:r w:rsidRPr="00BA2C71">
              <w:rPr>
                <w:rFonts w:ascii="Garamond" w:hAnsi="Garamond"/>
                <w:lang w:val="en-AU"/>
              </w:rPr>
              <w:t xml:space="preserve">ntibiotic stewardship programmes were </w:t>
            </w:r>
            <w:r w:rsidRPr="00BA2C71">
              <w:rPr>
                <w:rFonts w:ascii="Garamond" w:hAnsi="Garamond"/>
                <w:b/>
                <w:lang w:val="en-AU"/>
              </w:rPr>
              <w:t>more effective when implemented with infection control</w:t>
            </w:r>
            <w:r w:rsidRPr="00BA2C71">
              <w:rPr>
                <w:rFonts w:ascii="Garamond" w:hAnsi="Garamond"/>
                <w:lang w:val="en-AU"/>
              </w:rPr>
              <w:t xml:space="preserve"> measures, especially </w:t>
            </w:r>
            <w:r w:rsidRPr="00BA2C71">
              <w:rPr>
                <w:rFonts w:ascii="Garamond" w:hAnsi="Garamond"/>
                <w:b/>
                <w:lang w:val="en-AU"/>
              </w:rPr>
              <w:t>hand-hygiene</w:t>
            </w:r>
            <w:r w:rsidRPr="00BA2C71">
              <w:rPr>
                <w:rFonts w:ascii="Garamond" w:hAnsi="Garamond"/>
                <w:lang w:val="en-AU"/>
              </w:rPr>
              <w:t xml:space="preserve"> interventions. </w:t>
            </w:r>
            <w:r>
              <w:rPr>
                <w:rFonts w:ascii="Garamond" w:hAnsi="Garamond"/>
                <w:lang w:val="en-AU"/>
              </w:rPr>
              <w:t>Also found was that a</w:t>
            </w:r>
            <w:r w:rsidRPr="00BA2C71">
              <w:rPr>
                <w:rFonts w:ascii="Garamond" w:hAnsi="Garamond"/>
                <w:lang w:val="en-AU"/>
              </w:rPr>
              <w:t xml:space="preserve">ntibiotic stewardship did not affect the </w:t>
            </w:r>
            <w:r>
              <w:rPr>
                <w:rFonts w:ascii="Garamond" w:hAnsi="Garamond"/>
                <w:lang w:val="en-AU"/>
              </w:rPr>
              <w:t xml:space="preserve">infection rates </w:t>
            </w:r>
            <w:r w:rsidRPr="00BA2C71">
              <w:rPr>
                <w:rFonts w:ascii="Garamond" w:hAnsi="Garamond"/>
                <w:lang w:val="en-AU"/>
              </w:rPr>
              <w:t>of vancomycin-resistant enterococci and quinolone-resistant and aminoglycoside-resistant Gram-negative bacteria.</w:t>
            </w:r>
          </w:p>
        </w:tc>
      </w:tr>
    </w:tbl>
    <w:p w:rsidR="007249C5" w:rsidRDefault="007249C5" w:rsidP="007249C5">
      <w:pPr>
        <w:keepNext/>
        <w:rPr>
          <w:rFonts w:ascii="Garamond" w:hAnsi="Garamond"/>
          <w:lang w:val="en-AU"/>
        </w:rPr>
      </w:pPr>
      <w:r>
        <w:rPr>
          <w:rFonts w:ascii="Garamond" w:hAnsi="Garamond"/>
          <w:lang w:val="en-AU"/>
        </w:rPr>
        <w:lastRenderedPageBreak/>
        <w:t xml:space="preserve">For information the Commission’s work on healthcare associate infection, including antimicrobial stewardship, see </w:t>
      </w:r>
      <w:hyperlink r:id="rId17" w:history="1">
        <w:r w:rsidRPr="00983039">
          <w:rPr>
            <w:rStyle w:val="Hyperlink"/>
            <w:rFonts w:ascii="Garamond" w:hAnsi="Garamond"/>
            <w:lang w:val="en-AU"/>
          </w:rPr>
          <w:t>https://www.safetyandquality.gov.au/our-work/healthcare-associated-infection/</w:t>
        </w:r>
      </w:hyperlink>
    </w:p>
    <w:p w:rsidR="007249C5" w:rsidRPr="0010604C" w:rsidRDefault="007249C5" w:rsidP="00691DE3">
      <w:pPr>
        <w:keepLines/>
        <w:autoSpaceDE w:val="0"/>
        <w:autoSpaceDN w:val="0"/>
        <w:adjustRightInd w:val="0"/>
        <w:rPr>
          <w:rFonts w:ascii="Garamond" w:hAnsi="Garamond"/>
          <w:lang w:val="en-AU"/>
        </w:rPr>
      </w:pPr>
    </w:p>
    <w:p w:rsidR="0061288B" w:rsidRPr="0061288B" w:rsidRDefault="0061288B" w:rsidP="0061288B">
      <w:pPr>
        <w:rPr>
          <w:rFonts w:ascii="Garamond" w:hAnsi="Garamond"/>
          <w:i/>
          <w:lang w:val="en-AU"/>
        </w:rPr>
      </w:pPr>
      <w:r w:rsidRPr="0061288B">
        <w:rPr>
          <w:rFonts w:ascii="Garamond" w:hAnsi="Garamond"/>
          <w:i/>
          <w:lang w:val="en-AU"/>
        </w:rPr>
        <w:t>State Sepsis Mandates — A New Era for Regulation of Hospital Quality</w:t>
      </w:r>
    </w:p>
    <w:p w:rsidR="0061288B" w:rsidRDefault="0061288B" w:rsidP="0061288B">
      <w:pPr>
        <w:rPr>
          <w:rFonts w:ascii="Garamond" w:hAnsi="Garamond"/>
          <w:lang w:val="en-AU"/>
        </w:rPr>
      </w:pPr>
      <w:r w:rsidRPr="0061288B">
        <w:rPr>
          <w:rFonts w:ascii="Garamond" w:hAnsi="Garamond"/>
          <w:lang w:val="en-AU"/>
        </w:rPr>
        <w:t>Hershey TB, Kahn JM</w:t>
      </w:r>
    </w:p>
    <w:p w:rsidR="0061288B" w:rsidRPr="00A45262" w:rsidRDefault="0061288B" w:rsidP="0061288B">
      <w:pPr>
        <w:rPr>
          <w:rFonts w:ascii="Garamond" w:hAnsi="Garamond"/>
          <w:lang w:val="en-AU"/>
        </w:rPr>
      </w:pPr>
      <w:r w:rsidRPr="0061288B">
        <w:rPr>
          <w:rFonts w:ascii="Garamond" w:hAnsi="Garamond"/>
          <w:lang w:val="en-AU"/>
        </w:rPr>
        <w:t>New England Journal of Medicine. 2017;376(24):2311-3.</w:t>
      </w:r>
    </w:p>
    <w:tbl>
      <w:tblPr>
        <w:tblStyle w:val="TableGrid"/>
        <w:tblW w:w="0" w:type="auto"/>
        <w:tblInd w:w="288" w:type="dxa"/>
        <w:tblLayout w:type="fixed"/>
        <w:tblLook w:val="01E0" w:firstRow="1" w:lastRow="1" w:firstColumn="1" w:lastColumn="1" w:noHBand="0" w:noVBand="0"/>
      </w:tblPr>
      <w:tblGrid>
        <w:gridCol w:w="1080"/>
        <w:gridCol w:w="8280"/>
      </w:tblGrid>
      <w:tr w:rsidR="0061288B"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61288B" w:rsidRPr="00A45262" w:rsidRDefault="0061288B" w:rsidP="006D1A90">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1288B" w:rsidRPr="00A45262" w:rsidRDefault="0061288B" w:rsidP="006D1A90">
            <w:pPr>
              <w:rPr>
                <w:rStyle w:val="Hyperlink"/>
                <w:rFonts w:ascii="Garamond" w:hAnsi="Garamond"/>
                <w:color w:val="auto"/>
                <w:u w:val="none"/>
                <w:lang w:val="en-AU"/>
              </w:rPr>
            </w:pPr>
            <w:hyperlink r:id="rId18" w:history="1">
              <w:r w:rsidRPr="00983039">
                <w:rPr>
                  <w:rStyle w:val="Hyperlink"/>
                  <w:rFonts w:ascii="Garamond" w:hAnsi="Garamond"/>
                  <w:lang w:val="en-AU"/>
                </w:rPr>
                <w:t>http://dx.doi.org/10.1056/NEJMp1611928</w:t>
              </w:r>
            </w:hyperlink>
          </w:p>
        </w:tc>
      </w:tr>
      <w:tr w:rsidR="0061288B"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61288B" w:rsidRPr="00A45262" w:rsidRDefault="0061288B" w:rsidP="006D1A90">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288B" w:rsidRPr="00A45262" w:rsidRDefault="0061288B" w:rsidP="006D1A90">
            <w:pPr>
              <w:rPr>
                <w:rFonts w:ascii="Garamond" w:hAnsi="Garamond"/>
                <w:lang w:val="en-AU"/>
              </w:rPr>
            </w:pPr>
            <w:r>
              <w:rPr>
                <w:rFonts w:ascii="Garamond" w:hAnsi="Garamond"/>
                <w:lang w:val="en-AU"/>
              </w:rPr>
              <w:t>Sepsis kills, as one campaign states. Sepsis is a common and serious condition. As the first line of this piece notes “</w:t>
            </w:r>
            <w:r w:rsidRPr="0061288B">
              <w:rPr>
                <w:rFonts w:ascii="Garamond" w:hAnsi="Garamond"/>
                <w:lang w:val="en-AU"/>
              </w:rPr>
              <w:t xml:space="preserve">Sepsis is a major cause of illness and death in the United States, affecting more than 1.5 million Americans each year at an annual cost of over $20 </w:t>
            </w:r>
            <w:r w:rsidR="00BA2C71" w:rsidRPr="0061288B">
              <w:rPr>
                <w:rFonts w:ascii="Garamond" w:hAnsi="Garamond"/>
                <w:lang w:val="en-AU"/>
              </w:rPr>
              <w:t>billion</w:t>
            </w:r>
            <w:r>
              <w:rPr>
                <w:rFonts w:ascii="Garamond" w:hAnsi="Garamond"/>
                <w:lang w:val="en-AU"/>
              </w:rPr>
              <w:t xml:space="preserve">” Some US states have introduced (or are considering introducing) </w:t>
            </w:r>
            <w:r w:rsidRPr="00E85FBA">
              <w:rPr>
                <w:rFonts w:ascii="Garamond" w:hAnsi="Garamond"/>
                <w:lang w:val="en-AU"/>
              </w:rPr>
              <w:t>policy mandates</w:t>
            </w:r>
            <w:r>
              <w:rPr>
                <w:rFonts w:ascii="Garamond" w:hAnsi="Garamond"/>
                <w:lang w:val="en-AU"/>
              </w:rPr>
              <w:t xml:space="preserve"> that require standardis</w:t>
            </w:r>
            <w:r w:rsidRPr="00E85FBA">
              <w:rPr>
                <w:rFonts w:ascii="Garamond" w:hAnsi="Garamond"/>
                <w:lang w:val="en-AU"/>
              </w:rPr>
              <w:t>ed approaches are in place at health care facilities to prevent harm associated with sepsis.</w:t>
            </w:r>
            <w:r>
              <w:rPr>
                <w:rFonts w:ascii="Garamond" w:hAnsi="Garamond"/>
                <w:lang w:val="en-AU"/>
              </w:rPr>
              <w:t xml:space="preserve"> This Perspective piece reviews the state of play with such mandates and the pros (reducing mortality due to sepsis) and cons (including the possibilities of i</w:t>
            </w:r>
            <w:r w:rsidRPr="0061288B">
              <w:rPr>
                <w:rFonts w:ascii="Garamond" w:hAnsi="Garamond"/>
                <w:lang w:val="en-AU"/>
              </w:rPr>
              <w:t>ncreased lengths of stay</w:t>
            </w:r>
            <w:r>
              <w:rPr>
                <w:rFonts w:ascii="Garamond" w:hAnsi="Garamond"/>
                <w:lang w:val="en-AU"/>
              </w:rPr>
              <w:t xml:space="preserve">, higher </w:t>
            </w:r>
            <w:r w:rsidRPr="0061288B">
              <w:rPr>
                <w:rFonts w:ascii="Garamond" w:hAnsi="Garamond"/>
                <w:lang w:val="en-AU"/>
              </w:rPr>
              <w:t>costs</w:t>
            </w:r>
            <w:r>
              <w:rPr>
                <w:rFonts w:ascii="Garamond" w:hAnsi="Garamond"/>
                <w:lang w:val="en-AU"/>
              </w:rPr>
              <w:t xml:space="preserve">, and </w:t>
            </w:r>
            <w:r w:rsidRPr="0061288B">
              <w:rPr>
                <w:rFonts w:ascii="Garamond" w:hAnsi="Garamond"/>
                <w:lang w:val="en-AU"/>
              </w:rPr>
              <w:t>antibiotic overuse</w:t>
            </w:r>
            <w:r>
              <w:rPr>
                <w:rFonts w:ascii="Garamond" w:hAnsi="Garamond"/>
                <w:lang w:val="en-AU"/>
              </w:rPr>
              <w:t xml:space="preserve"> as well as the issue of moving from guideline to mandate).</w:t>
            </w:r>
          </w:p>
        </w:tc>
      </w:tr>
    </w:tbl>
    <w:p w:rsidR="0061288B" w:rsidRDefault="0061288B" w:rsidP="0061288B">
      <w:pPr>
        <w:keepNext/>
        <w:rPr>
          <w:rFonts w:ascii="Garamond" w:hAnsi="Garamond"/>
          <w:lang w:val="en-AU"/>
        </w:rPr>
      </w:pPr>
    </w:p>
    <w:p w:rsidR="008D1056" w:rsidRPr="008D1056" w:rsidRDefault="008D1056" w:rsidP="008D1056">
      <w:pPr>
        <w:rPr>
          <w:rFonts w:ascii="Garamond" w:hAnsi="Garamond"/>
          <w:i/>
          <w:lang w:val="en-AU"/>
        </w:rPr>
      </w:pPr>
      <w:r w:rsidRPr="008D1056">
        <w:rPr>
          <w:rFonts w:ascii="Garamond" w:hAnsi="Garamond"/>
          <w:i/>
          <w:lang w:val="en-AU"/>
        </w:rPr>
        <w:t>A Comprehensive Nutrition-Focused Quality Improvement Program Reduces 30-Day Readmissions and Length of Stay in Hospitalized Patients</w:t>
      </w:r>
    </w:p>
    <w:p w:rsidR="008D1056" w:rsidRDefault="008D1056" w:rsidP="00D11429">
      <w:pPr>
        <w:rPr>
          <w:rFonts w:ascii="Garamond" w:hAnsi="Garamond"/>
          <w:lang w:val="en-AU"/>
        </w:rPr>
      </w:pPr>
      <w:r w:rsidRPr="008D1056">
        <w:rPr>
          <w:rFonts w:ascii="Garamond" w:hAnsi="Garamond"/>
          <w:lang w:val="en-AU"/>
        </w:rPr>
        <w:t>Sriram K, Sulo S, VanDerBosch G, Partridge J, Feldstein J, Hegazi RA, et al</w:t>
      </w:r>
    </w:p>
    <w:p w:rsidR="00D11429" w:rsidRPr="00A45262" w:rsidRDefault="008D1056" w:rsidP="00D11429">
      <w:pPr>
        <w:rPr>
          <w:rFonts w:ascii="Garamond" w:hAnsi="Garamond"/>
          <w:lang w:val="en-AU"/>
        </w:rPr>
      </w:pPr>
      <w:r w:rsidRPr="008D1056">
        <w:rPr>
          <w:rFonts w:ascii="Garamond" w:hAnsi="Garamond"/>
          <w:lang w:val="en-AU"/>
        </w:rPr>
        <w:t>Journal of Parenteral and Enteral Nutrition. 2017;41(3):384-91.</w:t>
      </w:r>
    </w:p>
    <w:tbl>
      <w:tblPr>
        <w:tblStyle w:val="TableGrid"/>
        <w:tblW w:w="0" w:type="auto"/>
        <w:tblInd w:w="288" w:type="dxa"/>
        <w:tblLayout w:type="fixed"/>
        <w:tblLook w:val="01E0" w:firstRow="1" w:lastRow="1" w:firstColumn="1" w:lastColumn="1" w:noHBand="0" w:noVBand="0"/>
      </w:tblPr>
      <w:tblGrid>
        <w:gridCol w:w="1080"/>
        <w:gridCol w:w="8280"/>
      </w:tblGrid>
      <w:tr w:rsidR="00D11429" w:rsidRPr="00A45262" w:rsidTr="00166087">
        <w:tc>
          <w:tcPr>
            <w:tcW w:w="1080" w:type="dxa"/>
            <w:tcBorders>
              <w:top w:val="single" w:sz="4" w:space="0" w:color="auto"/>
              <w:left w:val="single" w:sz="4" w:space="0" w:color="auto"/>
              <w:bottom w:val="single" w:sz="4" w:space="0" w:color="auto"/>
              <w:right w:val="single" w:sz="4" w:space="0" w:color="auto"/>
            </w:tcBorders>
            <w:vAlign w:val="center"/>
          </w:tcPr>
          <w:p w:rsidR="00D11429" w:rsidRPr="00A45262" w:rsidRDefault="00D11429" w:rsidP="0016608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C149C" w:rsidRPr="00A45262" w:rsidRDefault="00F86121" w:rsidP="00EC149C">
            <w:pPr>
              <w:rPr>
                <w:rStyle w:val="Hyperlink"/>
                <w:rFonts w:ascii="Garamond" w:hAnsi="Garamond"/>
                <w:color w:val="auto"/>
                <w:u w:val="none"/>
                <w:lang w:val="en-AU"/>
              </w:rPr>
            </w:pPr>
            <w:hyperlink r:id="rId19" w:history="1">
              <w:r w:rsidR="008D1056" w:rsidRPr="00C742C8">
                <w:rPr>
                  <w:rStyle w:val="Hyperlink"/>
                  <w:rFonts w:ascii="Garamond" w:hAnsi="Garamond"/>
                  <w:lang w:val="en-AU"/>
                </w:rPr>
                <w:t>http://dx.doi.org/10.1177/0148607116681468</w:t>
              </w:r>
            </w:hyperlink>
          </w:p>
        </w:tc>
      </w:tr>
      <w:tr w:rsidR="00D11429" w:rsidRPr="00A45262" w:rsidTr="00166087">
        <w:tc>
          <w:tcPr>
            <w:tcW w:w="1080" w:type="dxa"/>
            <w:tcBorders>
              <w:top w:val="single" w:sz="4" w:space="0" w:color="auto"/>
              <w:left w:val="single" w:sz="4" w:space="0" w:color="auto"/>
              <w:bottom w:val="single" w:sz="4" w:space="0" w:color="auto"/>
              <w:right w:val="single" w:sz="4" w:space="0" w:color="auto"/>
            </w:tcBorders>
            <w:vAlign w:val="center"/>
          </w:tcPr>
          <w:p w:rsidR="00D11429" w:rsidRPr="00A45262" w:rsidRDefault="00D11429" w:rsidP="0016608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1056" w:rsidRPr="00A45262" w:rsidRDefault="0018202A" w:rsidP="0050541B">
            <w:pPr>
              <w:rPr>
                <w:rFonts w:ascii="Garamond" w:hAnsi="Garamond"/>
                <w:lang w:val="en-AU"/>
              </w:rPr>
            </w:pPr>
            <w:r>
              <w:rPr>
                <w:rFonts w:ascii="Garamond" w:hAnsi="Garamond"/>
                <w:lang w:val="en-AU"/>
              </w:rPr>
              <w:t>Certain aspects of the hospital stay experience can be both significant but overlooked. These include issues such as sleep and nutrition. This paper looks at how assessing nutrition status, particularly detecting malnutrition on admission, and following that with nutritional improvement during the hospital stay can help the patient avoid re-admission and other potentially unwelcome outcomes.</w:t>
            </w:r>
            <w:r w:rsidR="0050541B">
              <w:rPr>
                <w:rFonts w:ascii="Garamond" w:hAnsi="Garamond"/>
                <w:lang w:val="en-AU"/>
              </w:rPr>
              <w:t xml:space="preserve"> The study looked at the impact of a </w:t>
            </w:r>
            <w:r w:rsidR="0050541B" w:rsidRPr="0050541B">
              <w:rPr>
                <w:rFonts w:ascii="Garamond" w:hAnsi="Garamond"/>
                <w:lang w:val="en-AU"/>
              </w:rPr>
              <w:t>nutrition-focused quality improvement program (QIP) on hospital readmission and length of stay (LOS).</w:t>
            </w:r>
            <w:r w:rsidR="0050541B">
              <w:rPr>
                <w:rFonts w:ascii="Garamond" w:hAnsi="Garamond"/>
                <w:lang w:val="en-AU"/>
              </w:rPr>
              <w:t xml:space="preserve"> The program </w:t>
            </w:r>
            <w:r w:rsidR="0050541B" w:rsidRPr="0050541B">
              <w:rPr>
                <w:rFonts w:ascii="Garamond" w:hAnsi="Garamond"/>
                <w:lang w:val="en-AU"/>
              </w:rPr>
              <w:t>included malnutrition risk screening at admission, prompt initiation of oral nutrition supplements for at-risk patients, patient/caregiver education</w:t>
            </w:r>
            <w:r w:rsidR="0050541B">
              <w:rPr>
                <w:rFonts w:ascii="Garamond" w:hAnsi="Garamond"/>
                <w:lang w:val="en-AU"/>
              </w:rPr>
              <w:t xml:space="preserve"> </w:t>
            </w:r>
            <w:r w:rsidR="0050541B" w:rsidRPr="0050541B">
              <w:rPr>
                <w:rFonts w:ascii="Garamond" w:hAnsi="Garamond"/>
                <w:lang w:val="en-AU"/>
              </w:rPr>
              <w:t>and nutrition support</w:t>
            </w:r>
            <w:r w:rsidR="0050541B">
              <w:rPr>
                <w:rFonts w:ascii="Garamond" w:hAnsi="Garamond"/>
                <w:lang w:val="en-AU"/>
              </w:rPr>
              <w:t>. The authors report “</w:t>
            </w:r>
            <w:r w:rsidR="0050541B" w:rsidRPr="0050541B">
              <w:rPr>
                <w:rFonts w:ascii="Garamond" w:hAnsi="Garamond"/>
                <w:b/>
                <w:lang w:val="en-AU"/>
              </w:rPr>
              <w:t>Thirty-day readmissions and LOS were significantly lowered</w:t>
            </w:r>
            <w:r w:rsidR="0050541B" w:rsidRPr="0050541B">
              <w:rPr>
                <w:rFonts w:ascii="Garamond" w:hAnsi="Garamond"/>
                <w:lang w:val="en-AU"/>
              </w:rPr>
              <w:t xml:space="preserve"> for malnourished inpatients</w:t>
            </w:r>
            <w:r w:rsidR="0050541B">
              <w:rPr>
                <w:rFonts w:ascii="Garamond" w:hAnsi="Garamond"/>
                <w:lang w:val="en-AU"/>
              </w:rPr>
              <w:t>” through the program.</w:t>
            </w:r>
          </w:p>
        </w:tc>
      </w:tr>
    </w:tbl>
    <w:p w:rsidR="00D11429" w:rsidRDefault="00D11429" w:rsidP="00D11429">
      <w:pPr>
        <w:keepNext/>
        <w:rPr>
          <w:rFonts w:ascii="Garamond" w:hAnsi="Garamond"/>
          <w:lang w:val="en-AU"/>
        </w:rPr>
      </w:pPr>
    </w:p>
    <w:p w:rsidR="00E85FBA" w:rsidRPr="00E85FBA" w:rsidRDefault="00E85FBA" w:rsidP="00E85FBA">
      <w:pPr>
        <w:rPr>
          <w:rFonts w:ascii="Garamond" w:hAnsi="Garamond"/>
          <w:i/>
          <w:lang w:val="en-AU"/>
        </w:rPr>
      </w:pPr>
      <w:r w:rsidRPr="00E85FBA">
        <w:rPr>
          <w:rFonts w:ascii="Garamond" w:hAnsi="Garamond"/>
          <w:i/>
          <w:lang w:val="en-AU"/>
        </w:rPr>
        <w:t>Mortality risks associated with emergency admissions during weekends and public holidays: an analysis of electronic health records</w:t>
      </w:r>
    </w:p>
    <w:p w:rsidR="00E85FBA" w:rsidRDefault="00E85FBA" w:rsidP="00250510">
      <w:pPr>
        <w:rPr>
          <w:rFonts w:ascii="Garamond" w:hAnsi="Garamond"/>
          <w:lang w:val="en-AU"/>
        </w:rPr>
      </w:pPr>
      <w:r w:rsidRPr="00E85FBA">
        <w:rPr>
          <w:rFonts w:ascii="Garamond" w:hAnsi="Garamond"/>
          <w:lang w:val="en-AU"/>
        </w:rPr>
        <w:t>Walker AS, Mason A, Quan TP, Fawcett NJ, Watkinson P, Llewelyn M, et al</w:t>
      </w:r>
    </w:p>
    <w:p w:rsidR="00250510" w:rsidRPr="00A45262" w:rsidRDefault="00E85FBA" w:rsidP="00250510">
      <w:pPr>
        <w:rPr>
          <w:rFonts w:ascii="Garamond" w:hAnsi="Garamond"/>
          <w:lang w:val="en-AU"/>
        </w:rPr>
      </w:pPr>
      <w:r w:rsidRPr="00E85FBA">
        <w:rPr>
          <w:rFonts w:ascii="Garamond" w:hAnsi="Garamond"/>
          <w:lang w:val="en-AU"/>
        </w:rPr>
        <w:t>The Lancet. 2017</w:t>
      </w:r>
      <w:r>
        <w:rPr>
          <w:rFonts w:ascii="Garamond" w:hAnsi="Garamond"/>
          <w:lang w:val="en-AU"/>
        </w:rPr>
        <w:t xml:space="preserve"> [epub]</w:t>
      </w:r>
      <w:r w:rsidRPr="00E85FBA">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50510" w:rsidRPr="00A45262" w:rsidTr="00520E65">
        <w:tc>
          <w:tcPr>
            <w:tcW w:w="1080" w:type="dxa"/>
            <w:tcBorders>
              <w:top w:val="single" w:sz="4" w:space="0" w:color="auto"/>
              <w:left w:val="single" w:sz="4" w:space="0" w:color="auto"/>
              <w:bottom w:val="single" w:sz="4" w:space="0" w:color="auto"/>
              <w:right w:val="single" w:sz="4" w:space="0" w:color="auto"/>
            </w:tcBorders>
            <w:vAlign w:val="center"/>
          </w:tcPr>
          <w:p w:rsidR="00250510" w:rsidRPr="00A45262" w:rsidRDefault="00250510" w:rsidP="00520E65">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50510" w:rsidRPr="00A45262" w:rsidRDefault="00E85FBA" w:rsidP="00520E65">
            <w:pPr>
              <w:rPr>
                <w:rStyle w:val="Hyperlink"/>
                <w:rFonts w:ascii="Garamond" w:hAnsi="Garamond"/>
                <w:color w:val="auto"/>
                <w:u w:val="none"/>
                <w:lang w:val="en-AU"/>
              </w:rPr>
            </w:pPr>
            <w:hyperlink r:id="rId20" w:history="1">
              <w:r w:rsidRPr="00983039">
                <w:rPr>
                  <w:rStyle w:val="Hyperlink"/>
                  <w:rFonts w:ascii="Garamond" w:hAnsi="Garamond"/>
                  <w:lang w:val="en-AU"/>
                </w:rPr>
                <w:t>https://doi.org/10.1016/S0140-6736(17)30782-1</w:t>
              </w:r>
            </w:hyperlink>
          </w:p>
        </w:tc>
      </w:tr>
      <w:tr w:rsidR="00250510" w:rsidRPr="00A45262" w:rsidTr="00520E65">
        <w:tc>
          <w:tcPr>
            <w:tcW w:w="1080" w:type="dxa"/>
            <w:tcBorders>
              <w:top w:val="single" w:sz="4" w:space="0" w:color="auto"/>
              <w:left w:val="single" w:sz="4" w:space="0" w:color="auto"/>
              <w:bottom w:val="single" w:sz="4" w:space="0" w:color="auto"/>
              <w:right w:val="single" w:sz="4" w:space="0" w:color="auto"/>
            </w:tcBorders>
            <w:vAlign w:val="center"/>
          </w:tcPr>
          <w:p w:rsidR="00250510" w:rsidRPr="00A45262" w:rsidRDefault="00250510" w:rsidP="00520E6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0510" w:rsidRPr="00A45262" w:rsidRDefault="00E85FBA" w:rsidP="00E85FBA">
            <w:pPr>
              <w:rPr>
                <w:rFonts w:ascii="Garamond" w:hAnsi="Garamond"/>
                <w:lang w:val="en-AU"/>
              </w:rPr>
            </w:pPr>
            <w:r>
              <w:rPr>
                <w:rFonts w:ascii="Garamond" w:hAnsi="Garamond"/>
                <w:lang w:val="en-AU"/>
              </w:rPr>
              <w:t xml:space="preserve">This addition to the literature on the ‘weekend effect’ examined electronic health records of more than 250,000 patients at four UK </w:t>
            </w:r>
            <w:r w:rsidRPr="00E85FBA">
              <w:rPr>
                <w:rFonts w:ascii="Garamond" w:hAnsi="Garamond"/>
                <w:lang w:val="en-AU"/>
              </w:rPr>
              <w:t xml:space="preserve">hospitals from </w:t>
            </w:r>
            <w:r>
              <w:rPr>
                <w:rFonts w:ascii="Garamond" w:hAnsi="Garamond"/>
                <w:lang w:val="en-AU"/>
              </w:rPr>
              <w:t xml:space="preserve">1 </w:t>
            </w:r>
            <w:r w:rsidRPr="00E85FBA">
              <w:rPr>
                <w:rFonts w:ascii="Garamond" w:hAnsi="Garamond"/>
                <w:lang w:val="en-AU"/>
              </w:rPr>
              <w:t>Jan</w:t>
            </w:r>
            <w:r>
              <w:rPr>
                <w:rFonts w:ascii="Garamond" w:hAnsi="Garamond"/>
                <w:lang w:val="en-AU"/>
              </w:rPr>
              <w:t>uary</w:t>
            </w:r>
            <w:r w:rsidRPr="00E85FBA">
              <w:rPr>
                <w:rFonts w:ascii="Garamond" w:hAnsi="Garamond"/>
                <w:lang w:val="en-AU"/>
              </w:rPr>
              <w:t xml:space="preserve"> 2006 to </w:t>
            </w:r>
            <w:r>
              <w:rPr>
                <w:rFonts w:ascii="Garamond" w:hAnsi="Garamond"/>
                <w:lang w:val="en-AU"/>
              </w:rPr>
              <w:t xml:space="preserve">31 </w:t>
            </w:r>
            <w:r w:rsidRPr="00E85FBA">
              <w:rPr>
                <w:rFonts w:ascii="Garamond" w:hAnsi="Garamond"/>
                <w:lang w:val="en-AU"/>
              </w:rPr>
              <w:t>Dec</w:t>
            </w:r>
            <w:r>
              <w:rPr>
                <w:rFonts w:ascii="Garamond" w:hAnsi="Garamond"/>
                <w:lang w:val="en-AU"/>
              </w:rPr>
              <w:t>ember</w:t>
            </w:r>
            <w:r w:rsidRPr="00E85FBA">
              <w:rPr>
                <w:rFonts w:ascii="Garamond" w:hAnsi="Garamond"/>
                <w:lang w:val="en-AU"/>
              </w:rPr>
              <w:t xml:space="preserve"> 2014.</w:t>
            </w:r>
            <w:r>
              <w:rPr>
                <w:rFonts w:ascii="Garamond" w:hAnsi="Garamond"/>
                <w:lang w:val="en-AU"/>
              </w:rPr>
              <w:t xml:space="preserve"> Of these, </w:t>
            </w:r>
            <w:r w:rsidRPr="00E85FBA">
              <w:rPr>
                <w:rFonts w:ascii="Garamond" w:hAnsi="Garamond"/>
                <w:lang w:val="en-AU"/>
              </w:rPr>
              <w:t>18</w:t>
            </w:r>
            <w:r w:rsidRPr="00E85FBA">
              <w:rPr>
                <w:lang w:val="en-AU"/>
              </w:rPr>
              <w:t> </w:t>
            </w:r>
            <w:r w:rsidRPr="00E85FBA">
              <w:rPr>
                <w:rFonts w:ascii="Garamond" w:hAnsi="Garamond"/>
                <w:lang w:val="en-AU"/>
              </w:rPr>
              <w:t>313 (4</w:t>
            </w:r>
            <w:r w:rsidRPr="00E85FBA">
              <w:rPr>
                <w:rFonts w:ascii="Garamond" w:hAnsi="Garamond" w:cs="Garamond"/>
                <w:lang w:val="en-AU"/>
              </w:rPr>
              <w:t>·</w:t>
            </w:r>
            <w:r w:rsidRPr="00E85FBA">
              <w:rPr>
                <w:rFonts w:ascii="Garamond" w:hAnsi="Garamond"/>
                <w:lang w:val="en-AU"/>
              </w:rPr>
              <w:t>7%) patients admitted as weekday e</w:t>
            </w:r>
            <w:r>
              <w:rPr>
                <w:rFonts w:ascii="Garamond" w:hAnsi="Garamond"/>
                <w:lang w:val="en-AU"/>
              </w:rPr>
              <w:t>m</w:t>
            </w:r>
            <w:r w:rsidRPr="00E85FBA">
              <w:rPr>
                <w:rFonts w:ascii="Garamond" w:hAnsi="Garamond"/>
                <w:lang w:val="en-AU"/>
              </w:rPr>
              <w:t>ergency admissions and 6070 (5</w:t>
            </w:r>
            <w:r w:rsidRPr="00E85FBA">
              <w:rPr>
                <w:rFonts w:ascii="Garamond" w:hAnsi="Garamond" w:cs="Garamond"/>
                <w:lang w:val="en-AU"/>
              </w:rPr>
              <w:t>·</w:t>
            </w:r>
            <w:r w:rsidRPr="00E85FBA">
              <w:rPr>
                <w:rFonts w:ascii="Garamond" w:hAnsi="Garamond"/>
                <w:lang w:val="en-AU"/>
              </w:rPr>
              <w:t>1%) patients admitted as weekend emergenc</w:t>
            </w:r>
            <w:r>
              <w:rPr>
                <w:rFonts w:ascii="Garamond" w:hAnsi="Garamond"/>
                <w:lang w:val="en-AU"/>
              </w:rPr>
              <w:t>y admissions died within 30 days</w:t>
            </w:r>
            <w:r w:rsidRPr="00E85FBA">
              <w:rPr>
                <w:rFonts w:ascii="Garamond" w:hAnsi="Garamond"/>
                <w:lang w:val="en-AU"/>
              </w:rPr>
              <w:t>.</w:t>
            </w:r>
            <w:r>
              <w:rPr>
                <w:rFonts w:ascii="Garamond" w:hAnsi="Garamond"/>
                <w:lang w:val="en-AU"/>
              </w:rPr>
              <w:t xml:space="preserve"> From their analyses, the authors concluded that “</w:t>
            </w:r>
            <w:r w:rsidRPr="00E85FBA">
              <w:rPr>
                <w:rFonts w:ascii="Garamond" w:hAnsi="Garamond"/>
                <w:lang w:val="en-AU"/>
              </w:rPr>
              <w:t xml:space="preserve">Adjustment for routine test results substantially reduced excess mortality associated with emergency admission at weekends and public holidays. </w:t>
            </w:r>
            <w:r>
              <w:rPr>
                <w:rFonts w:ascii="Garamond" w:hAnsi="Garamond"/>
                <w:lang w:val="en-AU"/>
              </w:rPr>
              <w:t xml:space="preserve">… </w:t>
            </w:r>
            <w:r w:rsidRPr="00E85FBA">
              <w:rPr>
                <w:rFonts w:ascii="Garamond" w:hAnsi="Garamond"/>
                <w:lang w:val="en-AU"/>
              </w:rPr>
              <w:t xml:space="preserve">Hospital workload was not associated with mortality. Together, these findings suggest that the </w:t>
            </w:r>
            <w:r w:rsidRPr="00E85FBA">
              <w:rPr>
                <w:rFonts w:ascii="Garamond" w:hAnsi="Garamond"/>
                <w:b/>
                <w:lang w:val="en-AU"/>
              </w:rPr>
              <w:t>weekend effect arises from patient-level differences</w:t>
            </w:r>
            <w:r w:rsidRPr="00E85FBA">
              <w:rPr>
                <w:rFonts w:ascii="Garamond" w:hAnsi="Garamond"/>
                <w:lang w:val="en-AU"/>
              </w:rPr>
              <w:t xml:space="preserve"> [severity of patient illness</w:t>
            </w:r>
            <w:r>
              <w:rPr>
                <w:rFonts w:ascii="Garamond" w:hAnsi="Garamond"/>
                <w:lang w:val="en-AU"/>
              </w:rPr>
              <w:t>, etc.</w:t>
            </w:r>
            <w:r w:rsidRPr="00E85FBA">
              <w:rPr>
                <w:rFonts w:ascii="Garamond" w:hAnsi="Garamond"/>
                <w:lang w:val="en-AU"/>
              </w:rPr>
              <w:t xml:space="preserve">] </w:t>
            </w:r>
            <w:r w:rsidRPr="00E85FBA">
              <w:rPr>
                <w:rFonts w:ascii="Garamond" w:hAnsi="Garamond"/>
                <w:b/>
                <w:lang w:val="en-AU"/>
              </w:rPr>
              <w:t>at admission rather than reduced hospital staffing or services</w:t>
            </w:r>
            <w:r w:rsidRPr="00E85FBA">
              <w:rPr>
                <w:rFonts w:ascii="Garamond" w:hAnsi="Garamond"/>
                <w:lang w:val="en-AU"/>
              </w:rPr>
              <w:t>.</w:t>
            </w:r>
            <w:r>
              <w:rPr>
                <w:rFonts w:ascii="Garamond" w:hAnsi="Garamond"/>
                <w:lang w:val="en-AU"/>
              </w:rPr>
              <w:t>”</w:t>
            </w:r>
          </w:p>
        </w:tc>
      </w:tr>
    </w:tbl>
    <w:p w:rsidR="007249C5" w:rsidRDefault="007249C5" w:rsidP="007249C5">
      <w:pPr>
        <w:rPr>
          <w:rFonts w:ascii="Garamond" w:hAnsi="Garamond"/>
          <w:i/>
          <w:lang w:val="en-AU"/>
        </w:rPr>
      </w:pPr>
    </w:p>
    <w:p w:rsidR="0010604C" w:rsidRPr="0010604C" w:rsidRDefault="0010604C" w:rsidP="007249C5">
      <w:pPr>
        <w:keepNext/>
        <w:rPr>
          <w:rFonts w:ascii="Garamond" w:hAnsi="Garamond"/>
          <w:i/>
          <w:lang w:val="en-AU"/>
        </w:rPr>
      </w:pPr>
      <w:r w:rsidRPr="0010604C">
        <w:rPr>
          <w:rFonts w:ascii="Garamond" w:hAnsi="Garamond"/>
          <w:i/>
          <w:lang w:val="en-AU"/>
        </w:rPr>
        <w:lastRenderedPageBreak/>
        <w:t>Reducing excessive use of antipsychotic agents in nursing homes</w:t>
      </w:r>
    </w:p>
    <w:p w:rsidR="0010604C" w:rsidRDefault="0010604C" w:rsidP="00250510">
      <w:pPr>
        <w:rPr>
          <w:rFonts w:ascii="Garamond" w:hAnsi="Garamond"/>
          <w:lang w:val="en-AU"/>
        </w:rPr>
      </w:pPr>
      <w:r w:rsidRPr="0010604C">
        <w:rPr>
          <w:rFonts w:ascii="Garamond" w:hAnsi="Garamond"/>
          <w:lang w:val="en-AU"/>
        </w:rPr>
        <w:t>Gurwitz JH, Bonner A, Berwick DM</w:t>
      </w:r>
    </w:p>
    <w:p w:rsidR="00250510" w:rsidRPr="00A45262" w:rsidRDefault="0010604C" w:rsidP="00250510">
      <w:pPr>
        <w:rPr>
          <w:rFonts w:ascii="Garamond" w:hAnsi="Garamond"/>
          <w:lang w:val="en-AU"/>
        </w:rPr>
      </w:pPr>
      <w:r w:rsidRPr="0010604C">
        <w:rPr>
          <w:rFonts w:ascii="Garamond" w:hAnsi="Garamond"/>
          <w:lang w:val="en-AU"/>
        </w:rPr>
        <w:t>Journal of the American Medical Association. 2017.</w:t>
      </w:r>
    </w:p>
    <w:tbl>
      <w:tblPr>
        <w:tblStyle w:val="TableGrid"/>
        <w:tblW w:w="0" w:type="auto"/>
        <w:tblInd w:w="288" w:type="dxa"/>
        <w:tblLayout w:type="fixed"/>
        <w:tblLook w:val="01E0" w:firstRow="1" w:lastRow="1" w:firstColumn="1" w:lastColumn="1" w:noHBand="0" w:noVBand="0"/>
      </w:tblPr>
      <w:tblGrid>
        <w:gridCol w:w="1080"/>
        <w:gridCol w:w="8280"/>
      </w:tblGrid>
      <w:tr w:rsidR="00250510" w:rsidRPr="00A45262" w:rsidTr="00520E65">
        <w:tc>
          <w:tcPr>
            <w:tcW w:w="1080" w:type="dxa"/>
            <w:tcBorders>
              <w:top w:val="single" w:sz="4" w:space="0" w:color="auto"/>
              <w:left w:val="single" w:sz="4" w:space="0" w:color="auto"/>
              <w:bottom w:val="single" w:sz="4" w:space="0" w:color="auto"/>
              <w:right w:val="single" w:sz="4" w:space="0" w:color="auto"/>
            </w:tcBorders>
            <w:vAlign w:val="center"/>
          </w:tcPr>
          <w:p w:rsidR="00250510" w:rsidRPr="00A45262" w:rsidRDefault="00250510" w:rsidP="00520E65">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50510" w:rsidRPr="00A45262" w:rsidRDefault="0010604C" w:rsidP="00520E65">
            <w:pPr>
              <w:rPr>
                <w:rStyle w:val="Hyperlink"/>
                <w:rFonts w:ascii="Garamond" w:hAnsi="Garamond"/>
                <w:color w:val="auto"/>
                <w:u w:val="none"/>
                <w:lang w:val="en-AU"/>
              </w:rPr>
            </w:pPr>
            <w:hyperlink r:id="rId21" w:history="1">
              <w:r w:rsidRPr="00983039">
                <w:rPr>
                  <w:rStyle w:val="Hyperlink"/>
                  <w:rFonts w:ascii="Garamond" w:hAnsi="Garamond"/>
                  <w:lang w:val="en-AU"/>
                </w:rPr>
                <w:t>http://dx.doi.org/10.1001/jama.2017.7032</w:t>
              </w:r>
            </w:hyperlink>
            <w:r>
              <w:rPr>
                <w:rStyle w:val="Hyperlink"/>
                <w:rFonts w:ascii="Garamond" w:hAnsi="Garamond"/>
                <w:color w:val="auto"/>
                <w:u w:val="none"/>
                <w:lang w:val="en-AU"/>
              </w:rPr>
              <w:t xml:space="preserve"> </w:t>
            </w:r>
          </w:p>
        </w:tc>
      </w:tr>
      <w:tr w:rsidR="00250510" w:rsidRPr="00A45262" w:rsidTr="00520E65">
        <w:tc>
          <w:tcPr>
            <w:tcW w:w="1080" w:type="dxa"/>
            <w:tcBorders>
              <w:top w:val="single" w:sz="4" w:space="0" w:color="auto"/>
              <w:left w:val="single" w:sz="4" w:space="0" w:color="auto"/>
              <w:bottom w:val="single" w:sz="4" w:space="0" w:color="auto"/>
              <w:right w:val="single" w:sz="4" w:space="0" w:color="auto"/>
            </w:tcBorders>
            <w:vAlign w:val="center"/>
          </w:tcPr>
          <w:p w:rsidR="00250510" w:rsidRPr="00A45262" w:rsidRDefault="00250510" w:rsidP="00520E6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0510" w:rsidRPr="00A45262" w:rsidRDefault="0010604C" w:rsidP="0010604C">
            <w:pPr>
              <w:rPr>
                <w:rFonts w:ascii="Garamond" w:hAnsi="Garamond"/>
                <w:lang w:val="en-AU"/>
              </w:rPr>
            </w:pPr>
            <w:r>
              <w:rPr>
                <w:rFonts w:ascii="Garamond" w:hAnsi="Garamond"/>
                <w:lang w:val="en-AU"/>
              </w:rPr>
              <w:t xml:space="preserve">Many residents of nursing homes or residential aged care facilities are prescribed various antipsychotic medications and not all of this is appropriate. This Viewpoint piece describes an </w:t>
            </w:r>
            <w:r w:rsidRPr="0010604C">
              <w:rPr>
                <w:rFonts w:ascii="Garamond" w:hAnsi="Garamond"/>
                <w:lang w:val="en-AU"/>
              </w:rPr>
              <w:t xml:space="preserve">initiative of the </w:t>
            </w:r>
            <w:r>
              <w:rPr>
                <w:rFonts w:ascii="Garamond" w:hAnsi="Garamond"/>
                <w:lang w:val="en-AU"/>
              </w:rPr>
              <w:t xml:space="preserve">(US) </w:t>
            </w:r>
            <w:r w:rsidRPr="0010604C">
              <w:rPr>
                <w:rFonts w:ascii="Garamond" w:hAnsi="Garamond"/>
                <w:lang w:val="en-AU"/>
              </w:rPr>
              <w:t>Centers for Medicare &amp; Medicaid Services (CMS) on the use of antipsychotics in nursing homes</w:t>
            </w:r>
            <w:r>
              <w:rPr>
                <w:rFonts w:ascii="Garamond" w:hAnsi="Garamond"/>
                <w:lang w:val="en-AU"/>
              </w:rPr>
              <w:t xml:space="preserve">. The authors attribute a </w:t>
            </w:r>
            <w:r w:rsidRPr="0010604C">
              <w:rPr>
                <w:rFonts w:ascii="Garamond" w:hAnsi="Garamond"/>
                <w:lang w:val="en-AU"/>
              </w:rPr>
              <w:t>33% relative reduction (from 23.9% to 16.0%) in the prevalence of antipsychotic use among long-term nursing home residents over the past 5 years</w:t>
            </w:r>
            <w:r>
              <w:rPr>
                <w:rFonts w:ascii="Garamond" w:hAnsi="Garamond"/>
                <w:lang w:val="en-AU"/>
              </w:rPr>
              <w:t xml:space="preserve"> to the initiative. They also suggest that the experience could have other applications, as “</w:t>
            </w:r>
            <w:r w:rsidRPr="0010604C">
              <w:rPr>
                <w:rFonts w:ascii="Garamond" w:hAnsi="Garamond"/>
                <w:lang w:val="en-AU"/>
              </w:rPr>
              <w:t>the multifaceted approaches taken under this CMS-led initiative may provide a blueprint for addressing other quality of care issues in nursing homes, as well as other health care settings.</w:t>
            </w:r>
            <w:r>
              <w:rPr>
                <w:rFonts w:ascii="Garamond" w:hAnsi="Garamond"/>
                <w:lang w:val="en-AU"/>
              </w:rPr>
              <w:t>”</w:t>
            </w:r>
          </w:p>
        </w:tc>
      </w:tr>
    </w:tbl>
    <w:p w:rsidR="00250510" w:rsidRDefault="00250510" w:rsidP="00250510">
      <w:pPr>
        <w:keepNext/>
        <w:rPr>
          <w:rFonts w:ascii="Garamond" w:hAnsi="Garamond"/>
          <w:lang w:val="en-AU"/>
        </w:rPr>
      </w:pPr>
    </w:p>
    <w:p w:rsidR="00BA2C71" w:rsidRDefault="00BA2C71" w:rsidP="00250510">
      <w:pPr>
        <w:keepNext/>
        <w:rPr>
          <w:rFonts w:ascii="Garamond" w:hAnsi="Garamond"/>
          <w:lang w:val="en-AU"/>
        </w:rPr>
      </w:pPr>
      <w:r>
        <w:rPr>
          <w:rFonts w:ascii="Garamond" w:hAnsi="Garamond"/>
          <w:lang w:val="en-AU"/>
        </w:rPr>
        <w:t>For information the Commission’s work on</w:t>
      </w:r>
      <w:r>
        <w:rPr>
          <w:rFonts w:ascii="Garamond" w:hAnsi="Garamond"/>
          <w:lang w:val="en-AU"/>
        </w:rPr>
        <w:t xml:space="preserve"> medication safety, see </w:t>
      </w:r>
      <w:hyperlink r:id="rId22" w:history="1">
        <w:r w:rsidRPr="00983039">
          <w:rPr>
            <w:rStyle w:val="Hyperlink"/>
            <w:rFonts w:ascii="Garamond" w:hAnsi="Garamond"/>
            <w:lang w:val="en-AU"/>
          </w:rPr>
          <w:t>https://www.safetyandquality.gov.au/our-work/medication-safety/</w:t>
        </w:r>
      </w:hyperlink>
      <w:r>
        <w:rPr>
          <w:rFonts w:ascii="Garamond" w:hAnsi="Garamond"/>
          <w:lang w:val="en-AU"/>
        </w:rPr>
        <w:t xml:space="preserve"> </w:t>
      </w:r>
    </w:p>
    <w:p w:rsidR="00BA2C71" w:rsidRDefault="00BA2C71" w:rsidP="00250510">
      <w:pPr>
        <w:keepNext/>
        <w:rPr>
          <w:rFonts w:ascii="Garamond" w:hAnsi="Garamond"/>
          <w:lang w:val="en-AU"/>
        </w:rPr>
      </w:pPr>
    </w:p>
    <w:p w:rsidR="007249C5" w:rsidRPr="00E34C26" w:rsidRDefault="007249C5" w:rsidP="007249C5">
      <w:pPr>
        <w:rPr>
          <w:rFonts w:ascii="Garamond" w:hAnsi="Garamond"/>
          <w:i/>
          <w:lang w:val="en-AU"/>
        </w:rPr>
      </w:pPr>
      <w:r w:rsidRPr="00E34C26">
        <w:rPr>
          <w:rFonts w:ascii="Garamond" w:hAnsi="Garamond"/>
          <w:i/>
          <w:lang w:val="en-AU"/>
        </w:rPr>
        <w:t>Uncertainty in medicine</w:t>
      </w:r>
    </w:p>
    <w:p w:rsidR="007249C5" w:rsidRDefault="007249C5" w:rsidP="007249C5">
      <w:pPr>
        <w:rPr>
          <w:rFonts w:ascii="Garamond" w:hAnsi="Garamond"/>
          <w:lang w:val="en-AU"/>
        </w:rPr>
      </w:pPr>
      <w:r w:rsidRPr="00E34C26">
        <w:rPr>
          <w:rFonts w:ascii="Garamond" w:hAnsi="Garamond"/>
          <w:lang w:val="en-AU"/>
        </w:rPr>
        <w:t>Hatch S</w:t>
      </w:r>
    </w:p>
    <w:p w:rsidR="007249C5" w:rsidRPr="00A45262" w:rsidRDefault="007249C5" w:rsidP="007249C5">
      <w:pPr>
        <w:rPr>
          <w:rFonts w:ascii="Garamond" w:hAnsi="Garamond"/>
          <w:lang w:val="en-AU"/>
        </w:rPr>
      </w:pPr>
      <w:r w:rsidRPr="00E34C26">
        <w:rPr>
          <w:rFonts w:ascii="Garamond" w:hAnsi="Garamond"/>
          <w:lang w:val="en-AU"/>
        </w:rPr>
        <w:t>BMJ. 2017;357:j2180.</w:t>
      </w:r>
    </w:p>
    <w:tbl>
      <w:tblPr>
        <w:tblStyle w:val="TableGrid"/>
        <w:tblW w:w="0" w:type="auto"/>
        <w:tblInd w:w="288" w:type="dxa"/>
        <w:tblLayout w:type="fixed"/>
        <w:tblLook w:val="01E0" w:firstRow="1" w:lastRow="1" w:firstColumn="1" w:lastColumn="1" w:noHBand="0" w:noVBand="0"/>
      </w:tblPr>
      <w:tblGrid>
        <w:gridCol w:w="1080"/>
        <w:gridCol w:w="8280"/>
      </w:tblGrid>
      <w:tr w:rsidR="007249C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Style w:val="Hyperlink"/>
                <w:rFonts w:ascii="Garamond" w:hAnsi="Garamond"/>
                <w:color w:val="auto"/>
                <w:u w:val="none"/>
                <w:lang w:val="en-AU"/>
              </w:rPr>
            </w:pPr>
            <w:hyperlink r:id="rId23" w:history="1">
              <w:r w:rsidRPr="00983039">
                <w:rPr>
                  <w:rStyle w:val="Hyperlink"/>
                  <w:rFonts w:ascii="Garamond" w:hAnsi="Garamond"/>
                  <w:lang w:val="en-AU"/>
                </w:rPr>
                <w:t>https://doi.org/10.1136/bmj.j2180</w:t>
              </w:r>
            </w:hyperlink>
          </w:p>
        </w:tc>
      </w:tr>
      <w:tr w:rsidR="007249C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Fonts w:ascii="Garamond" w:hAnsi="Garamond"/>
                <w:lang w:val="en-AU"/>
              </w:rPr>
            </w:pPr>
            <w:r>
              <w:rPr>
                <w:rFonts w:ascii="Garamond" w:hAnsi="Garamond"/>
                <w:lang w:val="en-AU"/>
              </w:rPr>
              <w:t>In discussions I have had around patient-centred care, evidence-based medicine and shared-decision making in recent years, one topic has always been present but often under-acknowledged. That topic is uncertainty and how it can influence how we speak about healthcare, evidence, treatment options and so on and the confidence we should have in these things. This piece makes similar points in that “</w:t>
            </w:r>
            <w:r w:rsidRPr="00E34C26">
              <w:rPr>
                <w:rFonts w:ascii="Garamond" w:hAnsi="Garamond"/>
                <w:lang w:val="en-AU"/>
              </w:rPr>
              <w:t>Uncertainty is ubiquitous in medicine.</w:t>
            </w:r>
            <w:r>
              <w:rPr>
                <w:rFonts w:ascii="Garamond" w:hAnsi="Garamond"/>
                <w:lang w:val="en-AU"/>
              </w:rPr>
              <w:t>…</w:t>
            </w:r>
            <w:r w:rsidRPr="00E34C26">
              <w:rPr>
                <w:rFonts w:ascii="Garamond" w:hAnsi="Garamond"/>
                <w:lang w:val="en-AU"/>
              </w:rPr>
              <w:t>And yet uncertainty is often ignored as a subject in medicine, its importance underappreciated and its consequences suppressed</w:t>
            </w:r>
            <w:r>
              <w:rPr>
                <w:rFonts w:ascii="Garamond" w:hAnsi="Garamond"/>
                <w:lang w:val="en-AU"/>
              </w:rPr>
              <w:t>” Many of these go to the clinician-patient relationship and Hatch suggests that “t</w:t>
            </w:r>
            <w:r w:rsidRPr="00E34C26">
              <w:rPr>
                <w:rFonts w:ascii="Garamond" w:hAnsi="Garamond"/>
                <w:lang w:val="en-AU"/>
              </w:rPr>
              <w:t>he admission of uncertainty forms the starting point for a more open conversation between patient and clinician. By being more direct about our limitations, we are likely to foster greater trust and hopefully greater confidence in our joint efforts to manage the patient’s condition</w:t>
            </w:r>
            <w:r>
              <w:rPr>
                <w:rFonts w:ascii="Garamond" w:hAnsi="Garamond"/>
                <w:lang w:val="en-AU"/>
              </w:rPr>
              <w:t>.”</w:t>
            </w:r>
          </w:p>
        </w:tc>
      </w:tr>
    </w:tbl>
    <w:p w:rsidR="007249C5" w:rsidRDefault="007249C5" w:rsidP="007249C5">
      <w:pPr>
        <w:keepNext/>
        <w:rPr>
          <w:rFonts w:ascii="Garamond" w:hAnsi="Garamond"/>
          <w:lang w:val="en-AU"/>
        </w:rPr>
      </w:pPr>
    </w:p>
    <w:p w:rsidR="007249C5" w:rsidRDefault="007249C5" w:rsidP="007249C5">
      <w:pPr>
        <w:keepNext/>
        <w:rPr>
          <w:rFonts w:ascii="Garamond" w:hAnsi="Garamond"/>
          <w:lang w:val="en-AU"/>
        </w:rPr>
      </w:pPr>
      <w:r>
        <w:rPr>
          <w:rFonts w:ascii="Garamond" w:hAnsi="Garamond"/>
          <w:lang w:val="en-AU"/>
        </w:rPr>
        <w:t xml:space="preserve">For information the Commission’s work on </w:t>
      </w:r>
      <w:r w:rsidRPr="00E34C26">
        <w:rPr>
          <w:rFonts w:ascii="Garamond" w:hAnsi="Garamond"/>
          <w:lang w:val="en-AU"/>
        </w:rPr>
        <w:t>patient</w:t>
      </w:r>
      <w:r>
        <w:rPr>
          <w:rFonts w:ascii="Garamond" w:hAnsi="Garamond"/>
          <w:lang w:val="en-AU"/>
        </w:rPr>
        <w:t xml:space="preserve"> </w:t>
      </w:r>
      <w:r w:rsidRPr="00E34C26">
        <w:rPr>
          <w:rFonts w:ascii="Garamond" w:hAnsi="Garamond"/>
          <w:lang w:val="en-AU"/>
        </w:rPr>
        <w:t>and</w:t>
      </w:r>
      <w:r>
        <w:rPr>
          <w:rFonts w:ascii="Garamond" w:hAnsi="Garamond"/>
          <w:lang w:val="en-AU"/>
        </w:rPr>
        <w:t xml:space="preserve"> </w:t>
      </w:r>
      <w:r w:rsidRPr="00E34C26">
        <w:rPr>
          <w:rFonts w:ascii="Garamond" w:hAnsi="Garamond"/>
          <w:lang w:val="en-AU"/>
        </w:rPr>
        <w:t>consumer</w:t>
      </w:r>
      <w:r>
        <w:rPr>
          <w:rFonts w:ascii="Garamond" w:hAnsi="Garamond"/>
          <w:lang w:val="en-AU"/>
        </w:rPr>
        <w:t xml:space="preserve"> </w:t>
      </w:r>
      <w:r w:rsidRPr="00E34C26">
        <w:rPr>
          <w:rFonts w:ascii="Garamond" w:hAnsi="Garamond"/>
          <w:lang w:val="en-AU"/>
        </w:rPr>
        <w:t>centred</w:t>
      </w:r>
      <w:r>
        <w:rPr>
          <w:rFonts w:ascii="Garamond" w:hAnsi="Garamond"/>
          <w:lang w:val="en-AU"/>
        </w:rPr>
        <w:t xml:space="preserve"> </w:t>
      </w:r>
      <w:r w:rsidRPr="00E34C26">
        <w:rPr>
          <w:rFonts w:ascii="Garamond" w:hAnsi="Garamond"/>
          <w:lang w:val="en-AU"/>
        </w:rPr>
        <w:t>care</w:t>
      </w:r>
      <w:r>
        <w:rPr>
          <w:rFonts w:ascii="Garamond" w:hAnsi="Garamond"/>
          <w:lang w:val="en-AU"/>
        </w:rPr>
        <w:t xml:space="preserve">, </w:t>
      </w:r>
      <w:hyperlink r:id="rId24" w:history="1">
        <w:r w:rsidRPr="00983039">
          <w:rPr>
            <w:rStyle w:val="Hyperlink"/>
            <w:rFonts w:ascii="Garamond" w:hAnsi="Garamond"/>
            <w:lang w:val="en-AU"/>
          </w:rPr>
          <w:t>https://www.safetyandquality.gov.au/our-work/patient-and-consumer-centred-care/</w:t>
        </w:r>
      </w:hyperlink>
    </w:p>
    <w:p w:rsidR="007249C5" w:rsidRDefault="007249C5" w:rsidP="007249C5">
      <w:pPr>
        <w:keepNext/>
        <w:rPr>
          <w:rFonts w:ascii="Garamond" w:hAnsi="Garamond"/>
          <w:lang w:val="en-AU"/>
        </w:rPr>
      </w:pPr>
    </w:p>
    <w:p w:rsidR="007249C5" w:rsidRDefault="007249C5" w:rsidP="007249C5">
      <w:pPr>
        <w:keepNext/>
        <w:rPr>
          <w:rFonts w:ascii="Garamond" w:hAnsi="Garamond"/>
          <w:lang w:val="en-AU"/>
        </w:rPr>
      </w:pPr>
      <w:r>
        <w:rPr>
          <w:rFonts w:ascii="Garamond" w:hAnsi="Garamond"/>
          <w:lang w:val="en-AU"/>
        </w:rPr>
        <w:t>For information the Commission’s work on</w:t>
      </w:r>
      <w:r w:rsidRPr="00E34C26">
        <w:rPr>
          <w:rFonts w:ascii="Garamond" w:hAnsi="Garamond"/>
          <w:lang w:val="en-AU"/>
        </w:rPr>
        <w:t xml:space="preserve"> shared</w:t>
      </w:r>
      <w:r>
        <w:rPr>
          <w:rFonts w:ascii="Garamond" w:hAnsi="Garamond"/>
          <w:lang w:val="en-AU"/>
        </w:rPr>
        <w:t xml:space="preserve"> </w:t>
      </w:r>
      <w:r w:rsidRPr="00E34C26">
        <w:rPr>
          <w:rFonts w:ascii="Garamond" w:hAnsi="Garamond"/>
          <w:lang w:val="en-AU"/>
        </w:rPr>
        <w:t>decision</w:t>
      </w:r>
      <w:r>
        <w:rPr>
          <w:rFonts w:ascii="Garamond" w:hAnsi="Garamond"/>
          <w:lang w:val="en-AU"/>
        </w:rPr>
        <w:t xml:space="preserve"> making, see </w:t>
      </w:r>
      <w:hyperlink r:id="rId25" w:history="1">
        <w:r w:rsidRPr="00983039">
          <w:rPr>
            <w:rStyle w:val="Hyperlink"/>
            <w:rFonts w:ascii="Garamond" w:hAnsi="Garamond"/>
            <w:lang w:val="en-AU"/>
          </w:rPr>
          <w:t>https://www.safetyandquality.gov.au/our-work/shared-decision-making/</w:t>
        </w:r>
      </w:hyperlink>
    </w:p>
    <w:p w:rsidR="007249C5" w:rsidRDefault="007249C5" w:rsidP="007249C5">
      <w:pPr>
        <w:rPr>
          <w:rFonts w:ascii="Garamond" w:hAnsi="Garamond"/>
          <w:i/>
          <w:lang w:val="en-AU"/>
        </w:rPr>
      </w:pPr>
    </w:p>
    <w:p w:rsidR="007249C5" w:rsidRDefault="007249C5" w:rsidP="007249C5">
      <w:pPr>
        <w:rPr>
          <w:rFonts w:ascii="Garamond" w:hAnsi="Garamond"/>
          <w:i/>
          <w:lang w:val="en-AU"/>
        </w:rPr>
      </w:pPr>
    </w:p>
    <w:p w:rsidR="00250510" w:rsidRDefault="009324DC" w:rsidP="00250510">
      <w:pPr>
        <w:rPr>
          <w:rFonts w:ascii="Garamond" w:hAnsi="Garamond"/>
          <w:i/>
          <w:lang w:val="en-AU"/>
        </w:rPr>
      </w:pPr>
      <w:r w:rsidRPr="00A45262">
        <w:rPr>
          <w:rFonts w:ascii="Garamond" w:hAnsi="Garamond"/>
          <w:i/>
          <w:lang w:val="en-AU"/>
        </w:rPr>
        <w:t>BMJ Quality and Safety</w:t>
      </w:r>
    </w:p>
    <w:p w:rsidR="009324DC" w:rsidRPr="00A45262" w:rsidRDefault="007C31D7" w:rsidP="00250510">
      <w:pPr>
        <w:rPr>
          <w:rFonts w:ascii="Garamond" w:hAnsi="Garamond"/>
          <w:lang w:val="en-AU"/>
        </w:rPr>
      </w:pPr>
      <w:r w:rsidRPr="007C31D7">
        <w:rPr>
          <w:rFonts w:ascii="Garamond" w:hAnsi="Garamond"/>
          <w:lang w:val="en-AU"/>
        </w:rPr>
        <w:t>July 2017; Vol. 26, No. 7</w:t>
      </w:r>
    </w:p>
    <w:tbl>
      <w:tblPr>
        <w:tblStyle w:val="TableGrid"/>
        <w:tblW w:w="0" w:type="auto"/>
        <w:tblInd w:w="288" w:type="dxa"/>
        <w:tblLayout w:type="fixed"/>
        <w:tblLook w:val="01E0" w:firstRow="1" w:lastRow="1" w:firstColumn="1" w:lastColumn="1" w:noHBand="0" w:noVBand="0"/>
      </w:tblPr>
      <w:tblGrid>
        <w:gridCol w:w="1080"/>
        <w:gridCol w:w="8280"/>
      </w:tblGrid>
      <w:tr w:rsidR="00250510" w:rsidRPr="00A45262" w:rsidTr="00520E65">
        <w:tc>
          <w:tcPr>
            <w:tcW w:w="1080" w:type="dxa"/>
            <w:tcBorders>
              <w:top w:val="single" w:sz="4" w:space="0" w:color="auto"/>
              <w:left w:val="single" w:sz="4" w:space="0" w:color="auto"/>
              <w:bottom w:val="single" w:sz="4" w:space="0" w:color="auto"/>
              <w:right w:val="single" w:sz="4" w:space="0" w:color="auto"/>
            </w:tcBorders>
            <w:vAlign w:val="center"/>
          </w:tcPr>
          <w:p w:rsidR="00250510" w:rsidRPr="00A45262" w:rsidRDefault="009324DC" w:rsidP="00520E6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50510" w:rsidRPr="00A45262" w:rsidRDefault="00F86121" w:rsidP="00520E65">
            <w:pPr>
              <w:rPr>
                <w:rStyle w:val="Hyperlink"/>
                <w:rFonts w:ascii="Garamond" w:hAnsi="Garamond"/>
                <w:color w:val="auto"/>
                <w:u w:val="none"/>
                <w:lang w:val="en-AU"/>
              </w:rPr>
            </w:pPr>
            <w:hyperlink r:id="rId26" w:history="1">
              <w:r w:rsidR="007C31D7" w:rsidRPr="00364DE2">
                <w:rPr>
                  <w:rStyle w:val="Hyperlink"/>
                  <w:rFonts w:ascii="Garamond" w:hAnsi="Garamond"/>
                  <w:lang w:val="en-AU"/>
                </w:rPr>
                <w:t>http://qualitysafety.bmj.com/content/26/7</w:t>
              </w:r>
            </w:hyperlink>
          </w:p>
        </w:tc>
      </w:tr>
      <w:tr w:rsidR="00250510" w:rsidRPr="00A45262" w:rsidTr="00520E65">
        <w:tc>
          <w:tcPr>
            <w:tcW w:w="1080" w:type="dxa"/>
            <w:tcBorders>
              <w:top w:val="single" w:sz="4" w:space="0" w:color="auto"/>
              <w:left w:val="single" w:sz="4" w:space="0" w:color="auto"/>
              <w:bottom w:val="single" w:sz="4" w:space="0" w:color="auto"/>
              <w:right w:val="single" w:sz="4" w:space="0" w:color="auto"/>
            </w:tcBorders>
            <w:vAlign w:val="center"/>
          </w:tcPr>
          <w:p w:rsidR="00250510" w:rsidRPr="00A45262" w:rsidRDefault="00250510" w:rsidP="00520E6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C31D7" w:rsidRPr="00160029" w:rsidRDefault="007C31D7" w:rsidP="007C31D7">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Editorial: </w:t>
            </w:r>
            <w:r w:rsidRPr="007C31D7">
              <w:rPr>
                <w:rFonts w:ascii="Garamond" w:hAnsi="Garamond"/>
                <w:b/>
                <w:lang w:val="en-AU"/>
              </w:rPr>
              <w:t>Digitalisation of medicines</w:t>
            </w:r>
            <w:r w:rsidRPr="007C31D7">
              <w:rPr>
                <w:rFonts w:ascii="Garamond" w:hAnsi="Garamond"/>
                <w:lang w:val="en-AU"/>
              </w:rPr>
              <w:t>: artefact, architecture and time (Tony Cornford, Valentina Lichtner</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Editorial: When </w:t>
            </w:r>
            <w:r w:rsidRPr="007C31D7">
              <w:rPr>
                <w:rFonts w:ascii="Garamond" w:hAnsi="Garamond"/>
                <w:b/>
                <w:lang w:val="en-AU"/>
              </w:rPr>
              <w:t>patient-centred care</w:t>
            </w:r>
            <w:r w:rsidRPr="007C31D7">
              <w:rPr>
                <w:rFonts w:ascii="Garamond" w:hAnsi="Garamond"/>
                <w:lang w:val="en-AU"/>
              </w:rPr>
              <w:t xml:space="preserve"> is worth doing well: </w:t>
            </w:r>
            <w:r w:rsidRPr="007C31D7">
              <w:rPr>
                <w:rFonts w:ascii="Garamond" w:hAnsi="Garamond"/>
                <w:b/>
                <w:lang w:val="en-AU"/>
              </w:rPr>
              <w:t>informed consent</w:t>
            </w:r>
            <w:r w:rsidRPr="007C31D7">
              <w:rPr>
                <w:rFonts w:ascii="Garamond" w:hAnsi="Garamond"/>
                <w:lang w:val="en-AU"/>
              </w:rPr>
              <w:t xml:space="preserve"> or </w:t>
            </w:r>
            <w:r w:rsidRPr="007C31D7">
              <w:rPr>
                <w:rFonts w:ascii="Garamond" w:hAnsi="Garamond"/>
                <w:b/>
                <w:lang w:val="en-AU"/>
              </w:rPr>
              <w:t>shared decision-making</w:t>
            </w:r>
            <w:r w:rsidRPr="007C31D7">
              <w:rPr>
                <w:rFonts w:ascii="Garamond" w:hAnsi="Garamond"/>
                <w:lang w:val="en-AU"/>
              </w:rPr>
              <w:t xml:space="preserve"> (Marleen Kunneman, Victor M Montori</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Editorial: </w:t>
            </w:r>
            <w:r w:rsidRPr="007C31D7">
              <w:rPr>
                <w:rFonts w:ascii="Garamond" w:hAnsi="Garamond"/>
                <w:b/>
                <w:lang w:val="en-AU"/>
              </w:rPr>
              <w:t xml:space="preserve">Nursing skill mix </w:t>
            </w:r>
            <w:r w:rsidRPr="007C31D7">
              <w:rPr>
                <w:rFonts w:ascii="Garamond" w:hAnsi="Garamond"/>
                <w:lang w:val="en-AU"/>
              </w:rPr>
              <w:t>and</w:t>
            </w:r>
            <w:r w:rsidRPr="007C31D7">
              <w:rPr>
                <w:rFonts w:ascii="Garamond" w:hAnsi="Garamond"/>
                <w:b/>
                <w:lang w:val="en-AU"/>
              </w:rPr>
              <w:t xml:space="preserve"> patient outcomes</w:t>
            </w:r>
            <w:r w:rsidRPr="007C31D7">
              <w:rPr>
                <w:rFonts w:ascii="Garamond" w:hAnsi="Garamond"/>
                <w:lang w:val="en-AU"/>
              </w:rPr>
              <w:t xml:space="preserve"> (Jack Needleman</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b/>
                <w:lang w:val="en-AU"/>
              </w:rPr>
              <w:lastRenderedPageBreak/>
              <w:t>Safety risks</w:t>
            </w:r>
            <w:r w:rsidRPr="007C31D7">
              <w:rPr>
                <w:rFonts w:ascii="Garamond" w:hAnsi="Garamond"/>
                <w:lang w:val="en-AU"/>
              </w:rPr>
              <w:t xml:space="preserve"> associated with the lack of integration and interfacing of </w:t>
            </w:r>
            <w:r w:rsidRPr="007C31D7">
              <w:rPr>
                <w:rFonts w:ascii="Garamond" w:hAnsi="Garamond"/>
                <w:b/>
                <w:lang w:val="en-AU"/>
              </w:rPr>
              <w:t>hospital health information technologies</w:t>
            </w:r>
            <w:r w:rsidRPr="007C31D7">
              <w:rPr>
                <w:rFonts w:ascii="Garamond" w:hAnsi="Garamond"/>
                <w:lang w:val="en-AU"/>
              </w:rPr>
              <w:t>: a qualitative study of hospital electronic prescribing systems in England (Kathrin M Cresswell, Hajar Mozaffar, Lisa Lee, Robin Williams, Aziz Sheikh</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b/>
                <w:lang w:val="en-AU"/>
              </w:rPr>
              <w:t>Workarounds</w:t>
            </w:r>
            <w:r w:rsidRPr="007C31D7">
              <w:rPr>
                <w:rFonts w:ascii="Garamond" w:hAnsi="Garamond"/>
                <w:lang w:val="en-AU"/>
              </w:rPr>
              <w:t xml:space="preserve"> to </w:t>
            </w:r>
            <w:r w:rsidRPr="007C31D7">
              <w:rPr>
                <w:rFonts w:ascii="Garamond" w:hAnsi="Garamond"/>
                <w:b/>
                <w:lang w:val="en-AU"/>
              </w:rPr>
              <w:t>hospital electronic prescribing systems</w:t>
            </w:r>
            <w:r w:rsidRPr="007C31D7">
              <w:rPr>
                <w:rFonts w:ascii="Garamond" w:hAnsi="Garamond"/>
                <w:lang w:val="en-AU"/>
              </w:rPr>
              <w:t>: a qualitative study in English hospitals (Kathrin M Cresswell, Hajar Mozaffar, Lisa Lee, Robin Williams, Aziz Sheikh</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Beyond hand hygiene: a qualitative study of the everyday work of </w:t>
            </w:r>
            <w:r w:rsidRPr="007C31D7">
              <w:rPr>
                <w:rFonts w:ascii="Garamond" w:hAnsi="Garamond"/>
                <w:b/>
                <w:lang w:val="en-AU"/>
              </w:rPr>
              <w:t>preventing cross-contamination on hospital wards</w:t>
            </w:r>
            <w:r w:rsidRPr="007C31D7">
              <w:rPr>
                <w:rFonts w:ascii="Garamond" w:hAnsi="Garamond"/>
                <w:lang w:val="en-AU"/>
              </w:rPr>
              <w:t xml:space="preserve"> (Su-yin Hor, Claire Hooker, Rick Iedema, Mary Wyer, Gwendolyn L Gilbert, Christine Jorm, Matthew Vincent Neil O'Sullivan</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b/>
                <w:lang w:val="en-AU"/>
              </w:rPr>
              <w:t>Nursing skill mix</w:t>
            </w:r>
            <w:r w:rsidRPr="007C31D7">
              <w:rPr>
                <w:rFonts w:ascii="Garamond" w:hAnsi="Garamond"/>
                <w:lang w:val="en-AU"/>
              </w:rPr>
              <w:t xml:space="preserve"> in European hospitals: cross-sectional study of the association with </w:t>
            </w:r>
            <w:r w:rsidRPr="007C31D7">
              <w:rPr>
                <w:rFonts w:ascii="Garamond" w:hAnsi="Garamond"/>
                <w:b/>
                <w:lang w:val="en-AU"/>
              </w:rPr>
              <w:t>mortality, patient ratings, and quality of care</w:t>
            </w:r>
            <w:r w:rsidRPr="007C31D7">
              <w:rPr>
                <w:rFonts w:ascii="Garamond" w:hAnsi="Garamond"/>
                <w:lang w:val="en-AU"/>
              </w:rPr>
              <w:t xml:space="preserve"> (Linda H Aiken, Douglas Sloane, Peter Griffiths, Anne Marie Rafferty, Luk Bruyneel, Matthew McHugh, Claudia B Maier, Teresa Moreno-Casbas, Jane E Ball, Dietmar Ausserhofer, Walter Sermeus For the RN4CAST Consortium</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Discerning quality: an analysis of </w:t>
            </w:r>
            <w:r w:rsidRPr="007C31D7">
              <w:rPr>
                <w:rFonts w:ascii="Garamond" w:hAnsi="Garamond"/>
                <w:b/>
                <w:lang w:val="en-AU"/>
              </w:rPr>
              <w:t>informed consent</w:t>
            </w:r>
            <w:r w:rsidRPr="007C31D7">
              <w:rPr>
                <w:rFonts w:ascii="Garamond" w:hAnsi="Garamond"/>
                <w:lang w:val="en-AU"/>
              </w:rPr>
              <w:t xml:space="preserve"> documents for common cardiovascular procedures (Andi Shahu, Jennifer Schwartz, Mallory Perez, Susannah M Bernheim, Harlan M Krumholz, Erica S Spatz</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A primer on PDSA: executing </w:t>
            </w:r>
            <w:r w:rsidRPr="007C31D7">
              <w:rPr>
                <w:rFonts w:ascii="Garamond" w:hAnsi="Garamond"/>
                <w:b/>
                <w:lang w:val="en-AU"/>
              </w:rPr>
              <w:t>plan–do–study–act cycles in practice</w:t>
            </w:r>
            <w:r w:rsidRPr="007C31D7">
              <w:rPr>
                <w:rFonts w:ascii="Garamond" w:hAnsi="Garamond"/>
                <w:lang w:val="en-AU"/>
              </w:rPr>
              <w:t>, not just in name (Jerome A Leis, Kaveh G Shojania</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What we know about designing an </w:t>
            </w:r>
            <w:r w:rsidRPr="007C31D7">
              <w:rPr>
                <w:rFonts w:ascii="Garamond" w:hAnsi="Garamond"/>
                <w:b/>
                <w:lang w:val="en-AU"/>
              </w:rPr>
              <w:t>effective improvement intervention</w:t>
            </w:r>
            <w:r w:rsidRPr="007C31D7">
              <w:rPr>
                <w:rFonts w:ascii="Garamond" w:hAnsi="Garamond"/>
                <w:lang w:val="en-AU"/>
              </w:rPr>
              <w:t xml:space="preserve"> (but too often fail to put into practice) (Martin Marshall, Debra de Silva, Lesley Cruickshank, Jenny Shand, Li Wei, James Anderson</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Microanalysis of </w:t>
            </w:r>
            <w:r w:rsidRPr="007C31D7">
              <w:rPr>
                <w:rFonts w:ascii="Garamond" w:hAnsi="Garamond"/>
                <w:b/>
                <w:lang w:val="en-AU"/>
              </w:rPr>
              <w:t>video</w:t>
            </w:r>
            <w:r w:rsidRPr="007C31D7">
              <w:rPr>
                <w:rFonts w:ascii="Garamond" w:hAnsi="Garamond"/>
                <w:lang w:val="en-AU"/>
              </w:rPr>
              <w:t xml:space="preserve"> from the </w:t>
            </w:r>
            <w:r w:rsidRPr="007C31D7">
              <w:rPr>
                <w:rFonts w:ascii="Garamond" w:hAnsi="Garamond"/>
                <w:b/>
                <w:lang w:val="en-AU"/>
              </w:rPr>
              <w:t>operating room</w:t>
            </w:r>
            <w:r w:rsidRPr="007C31D7">
              <w:rPr>
                <w:rFonts w:ascii="Garamond" w:hAnsi="Garamond"/>
                <w:lang w:val="en-AU"/>
              </w:rPr>
              <w:t>: an underused approach to patient safety research (Jeff Bezemer, Alexandra Cope, Terhi Korkiakangas, Gunther Kress, Ged Murtagh, Sharon-Marie Weldon, Roger Kneebone</w:t>
            </w:r>
            <w:r>
              <w:rPr>
                <w:rFonts w:ascii="Garamond" w:hAnsi="Garamond"/>
                <w:lang w:val="en-AU"/>
              </w:rPr>
              <w:t>)</w:t>
            </w:r>
          </w:p>
          <w:p w:rsidR="007C31D7" w:rsidRPr="007C31D7" w:rsidRDefault="007C31D7" w:rsidP="007C31D7">
            <w:pPr>
              <w:numPr>
                <w:ilvl w:val="0"/>
                <w:numId w:val="15"/>
              </w:numPr>
              <w:rPr>
                <w:rFonts w:ascii="Garamond" w:hAnsi="Garamond"/>
                <w:lang w:val="en-AU"/>
              </w:rPr>
            </w:pPr>
            <w:r w:rsidRPr="007C31D7">
              <w:rPr>
                <w:rFonts w:ascii="Garamond" w:hAnsi="Garamond"/>
                <w:lang w:val="en-AU"/>
              </w:rPr>
              <w:t xml:space="preserve">What can a </w:t>
            </w:r>
            <w:r w:rsidRPr="007C31D7">
              <w:rPr>
                <w:rFonts w:ascii="Garamond" w:hAnsi="Garamond"/>
                <w:b/>
                <w:lang w:val="en-AU"/>
              </w:rPr>
              <w:t>participatory approach to evaluation</w:t>
            </w:r>
            <w:r w:rsidRPr="007C31D7">
              <w:rPr>
                <w:rFonts w:ascii="Garamond" w:hAnsi="Garamond"/>
                <w:lang w:val="en-AU"/>
              </w:rPr>
              <w:t xml:space="preserve"> contribute to the field of integrated care? (Laura Eyre, Michael Farrelly, Martin Marshall</w:t>
            </w:r>
            <w:r>
              <w:rPr>
                <w:rFonts w:ascii="Garamond" w:hAnsi="Garamond"/>
                <w:lang w:val="en-AU"/>
              </w:rPr>
              <w:t>)</w:t>
            </w:r>
          </w:p>
          <w:p w:rsidR="00250510" w:rsidRPr="00A45262" w:rsidRDefault="007C31D7" w:rsidP="007C31D7">
            <w:pPr>
              <w:numPr>
                <w:ilvl w:val="0"/>
                <w:numId w:val="15"/>
              </w:numPr>
              <w:rPr>
                <w:rFonts w:ascii="Garamond" w:hAnsi="Garamond"/>
                <w:lang w:val="en-AU"/>
              </w:rPr>
            </w:pPr>
            <w:r w:rsidRPr="007C31D7">
              <w:rPr>
                <w:rFonts w:ascii="Garamond" w:hAnsi="Garamond"/>
                <w:lang w:val="en-AU"/>
              </w:rPr>
              <w:t xml:space="preserve">Interventions to improve </w:t>
            </w:r>
            <w:r w:rsidRPr="007C31D7">
              <w:rPr>
                <w:rFonts w:ascii="Garamond" w:hAnsi="Garamond"/>
                <w:b/>
                <w:lang w:val="en-AU"/>
              </w:rPr>
              <w:t>hospital patient satisfaction</w:t>
            </w:r>
            <w:r w:rsidRPr="007C31D7">
              <w:rPr>
                <w:rFonts w:ascii="Garamond" w:hAnsi="Garamond"/>
                <w:lang w:val="en-AU"/>
              </w:rPr>
              <w:t xml:space="preserve"> with healthcare providers and systems: a systematic review (Karina W Davidson, Jonathan Shaffer, Siqin Ye, Louise Falzon, Iheanacho O Emeruwa, Kevin Sundquist, Ifeoma A Inneh, Susan L Mascitelli, Wilhelmina M Manzano, David K Vawdrey, Henry H Ting</w:t>
            </w:r>
            <w:r>
              <w:rPr>
                <w:rFonts w:ascii="Garamond" w:hAnsi="Garamond"/>
                <w:lang w:val="en-AU"/>
              </w:rPr>
              <w:t>)</w:t>
            </w:r>
          </w:p>
        </w:tc>
      </w:tr>
    </w:tbl>
    <w:p w:rsidR="00250510" w:rsidRDefault="00250510" w:rsidP="00250510">
      <w:pPr>
        <w:keepNext/>
        <w:rPr>
          <w:rFonts w:ascii="Garamond" w:hAnsi="Garamond"/>
          <w:lang w:val="en-AU"/>
        </w:rPr>
      </w:pPr>
    </w:p>
    <w:p w:rsidR="007249C5" w:rsidRDefault="007249C5" w:rsidP="00250510">
      <w:pPr>
        <w:keepNext/>
        <w:rPr>
          <w:rFonts w:ascii="Garamond" w:hAnsi="Garamond"/>
          <w:lang w:val="en-AU"/>
        </w:rPr>
      </w:pPr>
    </w:p>
    <w:p w:rsidR="00AF4D95" w:rsidRPr="000C6C26" w:rsidRDefault="00AF4D95" w:rsidP="00AF4D95">
      <w:pPr>
        <w:rPr>
          <w:rFonts w:ascii="Garamond" w:hAnsi="Garamond"/>
          <w:i/>
          <w:lang w:val="en-AU"/>
        </w:rPr>
      </w:pPr>
      <w:r w:rsidRPr="000C6C26">
        <w:rPr>
          <w:rFonts w:ascii="Garamond" w:hAnsi="Garamond"/>
          <w:i/>
          <w:lang w:val="en-AU"/>
        </w:rPr>
        <w:t>Australian Journal of Primary Health</w:t>
      </w:r>
    </w:p>
    <w:p w:rsidR="00AF4D95" w:rsidRPr="00A45262" w:rsidRDefault="00AF4D95" w:rsidP="00AF4D95">
      <w:pPr>
        <w:rPr>
          <w:rFonts w:ascii="Garamond" w:hAnsi="Garamond"/>
          <w:lang w:val="en-AU"/>
        </w:rPr>
      </w:pPr>
      <w:r w:rsidRPr="000C6C26">
        <w:rPr>
          <w:rFonts w:ascii="Garamond" w:hAnsi="Garamond"/>
          <w:lang w:val="en-AU"/>
        </w:rPr>
        <w:t>Volume 23(3) 2017</w:t>
      </w:r>
    </w:p>
    <w:tbl>
      <w:tblPr>
        <w:tblStyle w:val="TableGrid"/>
        <w:tblW w:w="0" w:type="auto"/>
        <w:tblInd w:w="288" w:type="dxa"/>
        <w:tblLayout w:type="fixed"/>
        <w:tblLook w:val="01E0" w:firstRow="1" w:lastRow="1" w:firstColumn="1" w:lastColumn="1" w:noHBand="0" w:noVBand="0"/>
      </w:tblPr>
      <w:tblGrid>
        <w:gridCol w:w="1080"/>
        <w:gridCol w:w="8280"/>
      </w:tblGrid>
      <w:tr w:rsidR="00AF4D9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AF4D95" w:rsidRPr="00A45262" w:rsidRDefault="00AF4D95" w:rsidP="006D1A9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4D95" w:rsidRPr="00A45262" w:rsidRDefault="00AF4D95" w:rsidP="006D1A90">
            <w:pPr>
              <w:rPr>
                <w:rStyle w:val="Hyperlink"/>
                <w:rFonts w:ascii="Garamond" w:hAnsi="Garamond"/>
                <w:color w:val="auto"/>
                <w:u w:val="none"/>
                <w:lang w:val="en-AU"/>
              </w:rPr>
            </w:pPr>
            <w:hyperlink r:id="rId27" w:history="1">
              <w:r w:rsidRPr="00983039">
                <w:rPr>
                  <w:rStyle w:val="Hyperlink"/>
                  <w:rFonts w:ascii="Garamond" w:hAnsi="Garamond"/>
                  <w:lang w:val="en-AU"/>
                </w:rPr>
                <w:t>http://www.publish.csiro.au/py/issue/8582</w:t>
              </w:r>
            </w:hyperlink>
          </w:p>
        </w:tc>
      </w:tr>
      <w:tr w:rsidR="00AF4D9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AF4D95" w:rsidRPr="00A45262" w:rsidRDefault="00AF4D95" w:rsidP="006D1A90">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4D95" w:rsidRDefault="00AF4D95" w:rsidP="006D1A90">
            <w:pPr>
              <w:rPr>
                <w:rFonts w:ascii="Garamond" w:hAnsi="Garamond"/>
                <w:lang w:val="en-AU"/>
              </w:rPr>
            </w:pPr>
            <w:r w:rsidRPr="00740145">
              <w:rPr>
                <w:rFonts w:ascii="Garamond" w:hAnsi="Garamond"/>
                <w:lang w:val="en-AU"/>
              </w:rPr>
              <w:t xml:space="preserve">A new issue of the </w:t>
            </w:r>
            <w:r w:rsidRPr="00740145">
              <w:rPr>
                <w:rFonts w:ascii="Garamond" w:hAnsi="Garamond"/>
                <w:i/>
                <w:lang w:val="en-AU"/>
              </w:rPr>
              <w:t>Australian Journal of Primary Health</w:t>
            </w:r>
            <w:r w:rsidRPr="00740145">
              <w:rPr>
                <w:rFonts w:ascii="Garamond" w:hAnsi="Garamond"/>
                <w:lang w:val="en-AU"/>
              </w:rPr>
              <w:t xml:space="preserve"> has been published. Articles in this issue of </w:t>
            </w:r>
            <w:r w:rsidRPr="00740145">
              <w:rPr>
                <w:rFonts w:ascii="Garamond" w:hAnsi="Garamond"/>
                <w:i/>
                <w:lang w:val="en-AU"/>
              </w:rPr>
              <w:t>Australian Journal of Primary Health</w:t>
            </w:r>
            <w:r w:rsidRPr="00740145">
              <w:rPr>
                <w:rFonts w:ascii="Garamond" w:hAnsi="Garamond"/>
                <w:lang w:val="en-AU"/>
              </w:rPr>
              <w:t xml:space="preserve"> include:</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lang w:val="en-AU"/>
              </w:rPr>
              <w:t xml:space="preserve">Are changes in Australian </w:t>
            </w:r>
            <w:r w:rsidRPr="00740145">
              <w:rPr>
                <w:rFonts w:ascii="Garamond" w:hAnsi="Garamond"/>
                <w:b/>
                <w:lang w:val="en-AU"/>
              </w:rPr>
              <w:t>national primary healthcare policy</w:t>
            </w:r>
            <w:r w:rsidRPr="00740145">
              <w:rPr>
                <w:rFonts w:ascii="Garamond" w:hAnsi="Garamond"/>
                <w:lang w:val="en-AU"/>
              </w:rPr>
              <w:t xml:space="preserve"> likely to promote or impede </w:t>
            </w:r>
            <w:r w:rsidRPr="00740145">
              <w:rPr>
                <w:rFonts w:ascii="Garamond" w:hAnsi="Garamond"/>
                <w:b/>
                <w:lang w:val="en-AU"/>
              </w:rPr>
              <w:t>equity of access</w:t>
            </w:r>
            <w:r w:rsidRPr="00740145">
              <w:rPr>
                <w:rFonts w:ascii="Garamond" w:hAnsi="Garamond"/>
                <w:lang w:val="en-AU"/>
              </w:rPr>
              <w:t>? A narrative review  (Matthew Fisher, Fran Ba</w:t>
            </w:r>
            <w:r>
              <w:rPr>
                <w:rFonts w:ascii="Garamond" w:hAnsi="Garamond"/>
                <w:lang w:val="en-AU"/>
              </w:rPr>
              <w:t>um, Adrian Kay and Sharon Friel)</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lang w:val="en-AU"/>
              </w:rPr>
              <w:t xml:space="preserve">Role of information and communication technology in promoting </w:t>
            </w:r>
            <w:r w:rsidRPr="00740145">
              <w:rPr>
                <w:rFonts w:ascii="Garamond" w:hAnsi="Garamond"/>
                <w:b/>
                <w:lang w:val="en-AU"/>
              </w:rPr>
              <w:t>oral health</w:t>
            </w:r>
            <w:r w:rsidRPr="00740145">
              <w:rPr>
                <w:rFonts w:ascii="Garamond" w:hAnsi="Garamond"/>
                <w:lang w:val="en-AU"/>
              </w:rPr>
              <w:t xml:space="preserve"> at </w:t>
            </w:r>
            <w:r w:rsidRPr="00740145">
              <w:rPr>
                <w:rFonts w:ascii="Garamond" w:hAnsi="Garamond"/>
                <w:b/>
                <w:lang w:val="en-AU"/>
              </w:rPr>
              <w:t>residential aged care facilities</w:t>
            </w:r>
            <w:r w:rsidRPr="00740145">
              <w:rPr>
                <w:rFonts w:ascii="Garamond" w:hAnsi="Garamond"/>
                <w:lang w:val="en-AU"/>
              </w:rPr>
              <w:t xml:space="preserve"> (Bola Adebayo, Angela Durey and Li</w:t>
            </w:r>
            <w:r>
              <w:rPr>
                <w:rFonts w:ascii="Garamond" w:hAnsi="Garamond"/>
                <w:lang w:val="en-AU"/>
              </w:rPr>
              <w:t>nda M Slack-Smith)</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b/>
                <w:lang w:val="en-AU"/>
              </w:rPr>
              <w:t xml:space="preserve">Barriers </w:t>
            </w:r>
            <w:r w:rsidRPr="00740145">
              <w:rPr>
                <w:rFonts w:ascii="Garamond" w:hAnsi="Garamond"/>
                <w:lang w:val="en-AU"/>
              </w:rPr>
              <w:t>to</w:t>
            </w:r>
            <w:r w:rsidRPr="00740145">
              <w:rPr>
                <w:rFonts w:ascii="Garamond" w:hAnsi="Garamond"/>
                <w:b/>
                <w:lang w:val="en-AU"/>
              </w:rPr>
              <w:t xml:space="preserve"> accessing primary health care</w:t>
            </w:r>
            <w:r w:rsidRPr="00740145">
              <w:rPr>
                <w:rFonts w:ascii="Garamond" w:hAnsi="Garamond"/>
                <w:lang w:val="en-AU"/>
              </w:rPr>
              <w:t>: comparing Australian experiences internationally (Lisa Corscadden, Jean-Frederic Levesque, Virginia Lewis, Myl</w:t>
            </w:r>
            <w:r>
              <w:rPr>
                <w:rFonts w:ascii="Garamond" w:hAnsi="Garamond"/>
                <w:lang w:val="en-AU"/>
              </w:rPr>
              <w:t>aine Breton, Sutherland, J</w:t>
            </w:r>
            <w:r w:rsidRPr="00740145">
              <w:rPr>
                <w:rFonts w:ascii="Garamond" w:hAnsi="Garamond"/>
                <w:lang w:val="en-AU"/>
              </w:rPr>
              <w:t>-W Weenink, J</w:t>
            </w:r>
            <w:r>
              <w:rPr>
                <w:rFonts w:ascii="Garamond" w:hAnsi="Garamond"/>
                <w:lang w:val="en-AU"/>
              </w:rPr>
              <w:t xml:space="preserve"> Haggerty and G Russell)</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lang w:val="en-AU"/>
              </w:rPr>
              <w:lastRenderedPageBreak/>
              <w:t xml:space="preserve">Reducing recurrence of </w:t>
            </w:r>
            <w:r w:rsidRPr="00740145">
              <w:rPr>
                <w:rFonts w:ascii="Garamond" w:hAnsi="Garamond"/>
                <w:b/>
                <w:lang w:val="en-AU"/>
              </w:rPr>
              <w:t>bacterial skin infections</w:t>
            </w:r>
            <w:r w:rsidRPr="00740145">
              <w:rPr>
                <w:rFonts w:ascii="Garamond" w:hAnsi="Garamond"/>
                <w:lang w:val="en-AU"/>
              </w:rPr>
              <w:t xml:space="preserve"> in </w:t>
            </w:r>
            <w:r w:rsidRPr="00740145">
              <w:rPr>
                <w:rFonts w:ascii="Garamond" w:hAnsi="Garamond"/>
                <w:b/>
                <w:lang w:val="en-AU"/>
              </w:rPr>
              <w:t>Aboriginal children</w:t>
            </w:r>
            <w:r w:rsidRPr="00740145">
              <w:rPr>
                <w:rFonts w:ascii="Garamond" w:hAnsi="Garamond"/>
                <w:lang w:val="en-AU"/>
              </w:rPr>
              <w:t xml:space="preserve"> in rural communities: new ways of thinking, new ways of working (Susan Thomas, Kristy Crooks, Kylie Taylor, P D Massey,</w:t>
            </w:r>
            <w:r>
              <w:rPr>
                <w:rFonts w:ascii="Garamond" w:hAnsi="Garamond"/>
                <w:lang w:val="en-AU"/>
              </w:rPr>
              <w:t xml:space="preserve"> R Williams and G Pearce)</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lang w:val="en-AU"/>
              </w:rPr>
              <w:t xml:space="preserve">Are </w:t>
            </w:r>
            <w:r w:rsidRPr="00740145">
              <w:rPr>
                <w:rFonts w:ascii="Garamond" w:hAnsi="Garamond"/>
                <w:b/>
                <w:lang w:val="en-AU"/>
              </w:rPr>
              <w:t>primary healthcare services culturally appropriate for Aboriginal people</w:t>
            </w:r>
            <w:r w:rsidRPr="00740145">
              <w:rPr>
                <w:rFonts w:ascii="Garamond" w:hAnsi="Garamond"/>
                <w:lang w:val="en-AU"/>
              </w:rPr>
              <w:t xml:space="preserve">? Findings from a remote community (Kaye Smith, </w:t>
            </w:r>
            <w:r>
              <w:rPr>
                <w:rFonts w:ascii="Garamond" w:hAnsi="Garamond"/>
                <w:lang w:val="en-AU"/>
              </w:rPr>
              <w:t>Yaqoot Fatima and Sabina Knight)</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lang w:val="en-AU"/>
              </w:rPr>
              <w:t xml:space="preserve">Workforce insights on how </w:t>
            </w:r>
            <w:r w:rsidRPr="00740145">
              <w:rPr>
                <w:rFonts w:ascii="Garamond" w:hAnsi="Garamond"/>
                <w:b/>
                <w:lang w:val="en-AU"/>
              </w:rPr>
              <w:t>health promotion</w:t>
            </w:r>
            <w:r w:rsidRPr="00740145">
              <w:rPr>
                <w:rFonts w:ascii="Garamond" w:hAnsi="Garamond"/>
                <w:lang w:val="en-AU"/>
              </w:rPr>
              <w:t xml:space="preserve"> is practised in an </w:t>
            </w:r>
            <w:r w:rsidRPr="00740145">
              <w:rPr>
                <w:rFonts w:ascii="Garamond" w:hAnsi="Garamond"/>
                <w:b/>
                <w:lang w:val="en-AU"/>
              </w:rPr>
              <w:t>Aboriginal Community Controlled Health Service</w:t>
            </w:r>
            <w:r w:rsidRPr="00740145">
              <w:rPr>
                <w:rFonts w:ascii="Garamond" w:hAnsi="Garamond"/>
                <w:lang w:val="en-AU"/>
              </w:rPr>
              <w:t xml:space="preserve"> (Kathryn McFarlane, Sue Devine, Jenni Judd, </w:t>
            </w:r>
            <w:r>
              <w:rPr>
                <w:rFonts w:ascii="Garamond" w:hAnsi="Garamond"/>
                <w:lang w:val="en-AU"/>
              </w:rPr>
              <w:t>Nina Nichols and Kerrianne Watt)</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lang w:val="en-AU"/>
              </w:rPr>
              <w:t xml:space="preserve"> ‘It depends on the consultation’: revisiting use of family members as </w:t>
            </w:r>
            <w:r w:rsidRPr="00740145">
              <w:rPr>
                <w:rFonts w:ascii="Garamond" w:hAnsi="Garamond"/>
                <w:b/>
                <w:lang w:val="en-AU"/>
              </w:rPr>
              <w:t xml:space="preserve">interpreters </w:t>
            </w:r>
            <w:r w:rsidRPr="00740145">
              <w:rPr>
                <w:rFonts w:ascii="Garamond" w:hAnsi="Garamond"/>
                <w:lang w:val="en-AU"/>
              </w:rPr>
              <w:t>for</w:t>
            </w:r>
            <w:r w:rsidRPr="00740145">
              <w:rPr>
                <w:rFonts w:ascii="Garamond" w:hAnsi="Garamond"/>
                <w:b/>
                <w:lang w:val="en-AU"/>
              </w:rPr>
              <w:t xml:space="preserve"> general practice consultations</w:t>
            </w:r>
            <w:r w:rsidRPr="00740145">
              <w:rPr>
                <w:rFonts w:ascii="Garamond" w:hAnsi="Garamond"/>
                <w:lang w:val="en-AU"/>
              </w:rPr>
              <w:t xml:space="preserve"> – when and why? (Jo Hilder, Ben Gray, Anthony Dowell, Lindsay Macdonald,</w:t>
            </w:r>
            <w:r>
              <w:rPr>
                <w:rFonts w:ascii="Garamond" w:hAnsi="Garamond"/>
                <w:lang w:val="en-AU"/>
              </w:rPr>
              <w:t xml:space="preserve"> Rachel Tester and M Stubbe)</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lang w:val="en-AU"/>
              </w:rPr>
              <w:t xml:space="preserve">Do rates of </w:t>
            </w:r>
            <w:r w:rsidRPr="00740145">
              <w:rPr>
                <w:rFonts w:ascii="Garamond" w:hAnsi="Garamond"/>
                <w:b/>
                <w:lang w:val="en-AU"/>
              </w:rPr>
              <w:t>depression</w:t>
            </w:r>
            <w:r w:rsidRPr="00740145">
              <w:rPr>
                <w:rFonts w:ascii="Garamond" w:hAnsi="Garamond"/>
                <w:lang w:val="en-AU"/>
              </w:rPr>
              <w:t xml:space="preserve"> vary by level of </w:t>
            </w:r>
            <w:r w:rsidRPr="00740145">
              <w:rPr>
                <w:rFonts w:ascii="Garamond" w:hAnsi="Garamond"/>
                <w:b/>
                <w:lang w:val="en-AU"/>
              </w:rPr>
              <w:t>alcohol misuse</w:t>
            </w:r>
            <w:r w:rsidRPr="00740145">
              <w:rPr>
                <w:rFonts w:ascii="Garamond" w:hAnsi="Garamond"/>
                <w:lang w:val="en-AU"/>
              </w:rPr>
              <w:t xml:space="preserve"> in Australian general practice? (Breanne Hobden, Jamie Bryant, Rob Sanson-Fisher, Christo</w:t>
            </w:r>
            <w:r>
              <w:rPr>
                <w:rFonts w:ascii="Garamond" w:hAnsi="Garamond"/>
                <w:lang w:val="en-AU"/>
              </w:rPr>
              <w:t>pher Oldmeadow and Mariko Carey)</w:t>
            </w:r>
          </w:p>
          <w:p w:rsidR="00AF4D95" w:rsidRPr="00740145" w:rsidRDefault="00AF4D95" w:rsidP="006D1A90">
            <w:pPr>
              <w:pStyle w:val="ListParagraph"/>
              <w:numPr>
                <w:ilvl w:val="0"/>
                <w:numId w:val="35"/>
              </w:numPr>
              <w:rPr>
                <w:rFonts w:ascii="Garamond" w:hAnsi="Garamond"/>
                <w:lang w:val="en-AU"/>
              </w:rPr>
            </w:pPr>
            <w:r w:rsidRPr="00740145">
              <w:rPr>
                <w:rFonts w:ascii="Garamond" w:hAnsi="Garamond"/>
                <w:lang w:val="en-AU"/>
              </w:rPr>
              <w:t xml:space="preserve">Western Australian </w:t>
            </w:r>
            <w:r w:rsidRPr="007529CD">
              <w:rPr>
                <w:rFonts w:ascii="Garamond" w:hAnsi="Garamond"/>
                <w:b/>
                <w:lang w:val="en-AU"/>
              </w:rPr>
              <w:t>students' alcohol consumption</w:t>
            </w:r>
            <w:r w:rsidRPr="00740145">
              <w:rPr>
                <w:rFonts w:ascii="Garamond" w:hAnsi="Garamond"/>
                <w:lang w:val="en-AU"/>
              </w:rPr>
              <w:t xml:space="preserve"> and expenditure intentions for Schoolies (Michelle I. Jongenelis, Simone Pettigrew, Nicol</w:t>
            </w:r>
            <w:r>
              <w:rPr>
                <w:rFonts w:ascii="Garamond" w:hAnsi="Garamond"/>
                <w:lang w:val="en-AU"/>
              </w:rPr>
              <w:t>e Biagioni and Martin S. Hagger)</w:t>
            </w:r>
          </w:p>
          <w:p w:rsidR="00AF4D95" w:rsidRPr="007529CD" w:rsidRDefault="00AF4D95" w:rsidP="006D1A90">
            <w:pPr>
              <w:pStyle w:val="ListParagraph"/>
              <w:numPr>
                <w:ilvl w:val="0"/>
                <w:numId w:val="35"/>
              </w:numPr>
              <w:rPr>
                <w:rFonts w:ascii="Garamond" w:hAnsi="Garamond"/>
                <w:lang w:val="en-AU"/>
              </w:rPr>
            </w:pPr>
            <w:r w:rsidRPr="007529CD">
              <w:rPr>
                <w:rFonts w:ascii="Garamond" w:hAnsi="Garamond"/>
                <w:lang w:val="en-AU"/>
              </w:rPr>
              <w:t xml:space="preserve">Correlates of </w:t>
            </w:r>
            <w:r w:rsidRPr="007529CD">
              <w:rPr>
                <w:rFonts w:ascii="Garamond" w:hAnsi="Garamond"/>
                <w:b/>
                <w:lang w:val="en-AU"/>
              </w:rPr>
              <w:t>sexually transmissible infection testing</w:t>
            </w:r>
            <w:r w:rsidRPr="007529CD">
              <w:rPr>
                <w:rFonts w:ascii="Garamond" w:hAnsi="Garamond"/>
                <w:lang w:val="en-AU"/>
              </w:rPr>
              <w:t xml:space="preserve"> among a sample of at-risk young Australians (Caitlin H Douglass, Alyce M</w:t>
            </w:r>
            <w:r>
              <w:rPr>
                <w:rFonts w:ascii="Garamond" w:hAnsi="Garamond"/>
                <w:lang w:val="en-AU"/>
              </w:rPr>
              <w:t xml:space="preserve"> Vella, Margaret E</w:t>
            </w:r>
            <w:r w:rsidRPr="007529CD">
              <w:rPr>
                <w:rFonts w:ascii="Garamond" w:hAnsi="Garamond"/>
                <w:lang w:val="en-AU"/>
              </w:rPr>
              <w:t xml:space="preserve"> Hellard and Megan S C</w:t>
            </w:r>
            <w:r>
              <w:rPr>
                <w:rFonts w:ascii="Garamond" w:hAnsi="Garamond"/>
                <w:lang w:val="en-AU"/>
              </w:rPr>
              <w:t xml:space="preserve"> Lim)</w:t>
            </w:r>
          </w:p>
          <w:p w:rsidR="00AF4D95" w:rsidRPr="007529CD" w:rsidRDefault="00AF4D95" w:rsidP="006D1A90">
            <w:pPr>
              <w:pStyle w:val="ListParagraph"/>
              <w:numPr>
                <w:ilvl w:val="0"/>
                <w:numId w:val="35"/>
              </w:numPr>
              <w:rPr>
                <w:rFonts w:ascii="Garamond" w:hAnsi="Garamond"/>
                <w:lang w:val="en-AU"/>
              </w:rPr>
            </w:pPr>
            <w:r w:rsidRPr="007529CD">
              <w:rPr>
                <w:rFonts w:ascii="Garamond" w:hAnsi="Garamond"/>
                <w:lang w:val="en-AU"/>
              </w:rPr>
              <w:t xml:space="preserve"> ‘We didn’t have to dance around it’: opt-out </w:t>
            </w:r>
            <w:r w:rsidRPr="007529CD">
              <w:rPr>
                <w:rFonts w:ascii="Garamond" w:hAnsi="Garamond"/>
                <w:b/>
                <w:lang w:val="en-AU"/>
              </w:rPr>
              <w:t>HIV testing</w:t>
            </w:r>
            <w:r w:rsidRPr="007529CD">
              <w:rPr>
                <w:rFonts w:ascii="Garamond" w:hAnsi="Garamond"/>
                <w:lang w:val="en-AU"/>
              </w:rPr>
              <w:t xml:space="preserve"> among </w:t>
            </w:r>
            <w:r w:rsidRPr="007529CD">
              <w:rPr>
                <w:rFonts w:ascii="Garamond" w:hAnsi="Garamond"/>
                <w:b/>
                <w:lang w:val="en-AU"/>
              </w:rPr>
              <w:t>homeless and marginalised</w:t>
            </w:r>
            <w:r w:rsidRPr="007529CD">
              <w:rPr>
                <w:rFonts w:ascii="Garamond" w:hAnsi="Garamond"/>
                <w:lang w:val="en-AU"/>
              </w:rPr>
              <w:t xml:space="preserve"> patients (Stacy Leidel, Gavin Leslie, Duncan Boldy, </w:t>
            </w:r>
            <w:r>
              <w:rPr>
                <w:rFonts w:ascii="Garamond" w:hAnsi="Garamond"/>
                <w:lang w:val="en-AU"/>
              </w:rPr>
              <w:t>Andrew Davies and Sonya Girdler)</w:t>
            </w:r>
          </w:p>
          <w:p w:rsidR="00AF4D95" w:rsidRPr="007529CD" w:rsidRDefault="00AF4D95" w:rsidP="006D1A90">
            <w:pPr>
              <w:pStyle w:val="ListParagraph"/>
              <w:numPr>
                <w:ilvl w:val="0"/>
                <w:numId w:val="35"/>
              </w:numPr>
              <w:rPr>
                <w:rFonts w:ascii="Garamond" w:hAnsi="Garamond"/>
                <w:lang w:val="en-AU"/>
              </w:rPr>
            </w:pPr>
            <w:r w:rsidRPr="007529CD">
              <w:rPr>
                <w:rFonts w:ascii="Garamond" w:hAnsi="Garamond"/>
                <w:lang w:val="en-AU"/>
              </w:rPr>
              <w:t xml:space="preserve">Motivators and barriers for </w:t>
            </w:r>
            <w:r w:rsidRPr="007529CD">
              <w:rPr>
                <w:rFonts w:ascii="Garamond" w:hAnsi="Garamond"/>
                <w:b/>
                <w:lang w:val="en-AU"/>
              </w:rPr>
              <w:t>paediatricians discharging patients</w:t>
            </w:r>
            <w:r w:rsidRPr="007529CD">
              <w:rPr>
                <w:rFonts w:ascii="Garamond" w:hAnsi="Garamond"/>
                <w:lang w:val="en-AU"/>
              </w:rPr>
              <w:t xml:space="preserve"> (Erin Turbitt, Marina Kunin, Sa</w:t>
            </w:r>
            <w:r>
              <w:rPr>
                <w:rFonts w:ascii="Garamond" w:hAnsi="Garamond"/>
                <w:lang w:val="en-AU"/>
              </w:rPr>
              <w:t>rah Gafforini and Gary L Freed)</w:t>
            </w:r>
          </w:p>
          <w:p w:rsidR="00AF4D95" w:rsidRPr="007529CD" w:rsidRDefault="00AF4D95" w:rsidP="006D1A90">
            <w:pPr>
              <w:pStyle w:val="ListParagraph"/>
              <w:numPr>
                <w:ilvl w:val="0"/>
                <w:numId w:val="35"/>
              </w:numPr>
              <w:rPr>
                <w:rFonts w:ascii="Garamond" w:hAnsi="Garamond"/>
                <w:lang w:val="en-AU"/>
              </w:rPr>
            </w:pPr>
            <w:r w:rsidRPr="007529CD">
              <w:rPr>
                <w:rFonts w:ascii="Garamond" w:hAnsi="Garamond"/>
                <w:lang w:val="en-AU"/>
              </w:rPr>
              <w:t xml:space="preserve">A preliminary investigation of the Partners in Health scale measurement properties in patients with </w:t>
            </w:r>
            <w:r w:rsidRPr="007529CD">
              <w:rPr>
                <w:rFonts w:ascii="Garamond" w:hAnsi="Garamond"/>
                <w:b/>
                <w:lang w:val="en-AU"/>
              </w:rPr>
              <w:t>end stage renal disease</w:t>
            </w:r>
            <w:r w:rsidRPr="007529CD">
              <w:rPr>
                <w:rFonts w:ascii="Garamond" w:hAnsi="Garamond"/>
                <w:lang w:val="en-AU"/>
              </w:rPr>
              <w:t xml:space="preserve"> (Claire Baxter, Andrea Morello, David Smith,</w:t>
            </w:r>
            <w:r>
              <w:rPr>
                <w:rFonts w:ascii="Garamond" w:hAnsi="Garamond"/>
                <w:lang w:val="en-AU"/>
              </w:rPr>
              <w:t xml:space="preserve"> Lynda Norton and David Bentley)</w:t>
            </w:r>
          </w:p>
          <w:p w:rsidR="00AF4D95" w:rsidRPr="00740145" w:rsidRDefault="00AF4D95" w:rsidP="006D1A90">
            <w:pPr>
              <w:pStyle w:val="ListParagraph"/>
              <w:numPr>
                <w:ilvl w:val="0"/>
                <w:numId w:val="35"/>
              </w:numPr>
              <w:rPr>
                <w:rFonts w:ascii="Garamond" w:hAnsi="Garamond"/>
                <w:lang w:val="en-AU"/>
              </w:rPr>
            </w:pPr>
            <w:r w:rsidRPr="007529CD">
              <w:rPr>
                <w:rFonts w:ascii="Garamond" w:hAnsi="Garamond"/>
                <w:lang w:val="en-AU"/>
              </w:rPr>
              <w:t xml:space="preserve">Characteristics of </w:t>
            </w:r>
            <w:r w:rsidRPr="007529CD">
              <w:rPr>
                <w:rFonts w:ascii="Garamond" w:hAnsi="Garamond"/>
                <w:b/>
                <w:lang w:val="en-AU"/>
              </w:rPr>
              <w:t>patients presenting</w:t>
            </w:r>
            <w:r w:rsidRPr="007529CD">
              <w:rPr>
                <w:rFonts w:ascii="Garamond" w:hAnsi="Garamond"/>
                <w:lang w:val="en-AU"/>
              </w:rPr>
              <w:t xml:space="preserve"> to an </w:t>
            </w:r>
            <w:r w:rsidRPr="007529CD">
              <w:rPr>
                <w:rFonts w:ascii="Garamond" w:hAnsi="Garamond"/>
                <w:b/>
                <w:lang w:val="en-AU"/>
              </w:rPr>
              <w:t>after-hours clinic</w:t>
            </w:r>
            <w:r w:rsidRPr="007529CD">
              <w:rPr>
                <w:rFonts w:ascii="Garamond" w:hAnsi="Garamond"/>
                <w:lang w:val="en-AU"/>
              </w:rPr>
              <w:t>: results of a MAGNET analysis (Lyle R Turner, Christopher Pearce, Madeleine Borg, Adam McLeod, Marianne Shearer and Danielle Mazza</w:t>
            </w:r>
            <w:r>
              <w:rPr>
                <w:rFonts w:ascii="Garamond" w:hAnsi="Garamond"/>
                <w:lang w:val="en-AU"/>
              </w:rPr>
              <w:t>)</w:t>
            </w:r>
          </w:p>
        </w:tc>
      </w:tr>
    </w:tbl>
    <w:p w:rsidR="00AF4D95" w:rsidRDefault="00AF4D95" w:rsidP="00AF4D95">
      <w:pPr>
        <w:keepNext/>
        <w:rPr>
          <w:rFonts w:ascii="Garamond" w:hAnsi="Garamond"/>
          <w:lang w:val="en-AU"/>
        </w:rPr>
      </w:pPr>
    </w:p>
    <w:p w:rsidR="00AF4D95" w:rsidRPr="00AF4D95" w:rsidRDefault="00AF4D95" w:rsidP="00AF4D95">
      <w:pPr>
        <w:rPr>
          <w:rFonts w:ascii="Garamond" w:hAnsi="Garamond"/>
          <w:i/>
          <w:lang w:val="en-AU"/>
        </w:rPr>
      </w:pPr>
      <w:r w:rsidRPr="00AF4D95">
        <w:rPr>
          <w:rFonts w:ascii="Garamond" w:hAnsi="Garamond"/>
          <w:i/>
          <w:lang w:val="en-AU"/>
        </w:rPr>
        <w:t>Nursing Leadership</w:t>
      </w:r>
    </w:p>
    <w:p w:rsidR="00AF4D95" w:rsidRPr="00A45262" w:rsidRDefault="00AF4D95" w:rsidP="00AF4D95">
      <w:pPr>
        <w:rPr>
          <w:rFonts w:ascii="Garamond" w:hAnsi="Garamond"/>
          <w:lang w:val="en-AU"/>
        </w:rPr>
      </w:pPr>
      <w:r w:rsidRPr="00AF4D95">
        <w:rPr>
          <w:rFonts w:ascii="Garamond" w:hAnsi="Garamond"/>
          <w:lang w:val="en-AU"/>
        </w:rPr>
        <w:t>Vol. 30, No. 1, 2017</w:t>
      </w:r>
    </w:p>
    <w:tbl>
      <w:tblPr>
        <w:tblStyle w:val="TableGrid"/>
        <w:tblW w:w="0" w:type="auto"/>
        <w:tblInd w:w="288" w:type="dxa"/>
        <w:tblLayout w:type="fixed"/>
        <w:tblLook w:val="01E0" w:firstRow="1" w:lastRow="1" w:firstColumn="1" w:lastColumn="1" w:noHBand="0" w:noVBand="0"/>
      </w:tblPr>
      <w:tblGrid>
        <w:gridCol w:w="1080"/>
        <w:gridCol w:w="8280"/>
      </w:tblGrid>
      <w:tr w:rsidR="00AF4D9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AF4D95" w:rsidRPr="00A45262" w:rsidRDefault="00AF4D95" w:rsidP="006D1A9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4D95" w:rsidRPr="00A45262" w:rsidRDefault="00AF4D95" w:rsidP="006D1A90">
            <w:pPr>
              <w:rPr>
                <w:rStyle w:val="Hyperlink"/>
                <w:rFonts w:ascii="Garamond" w:hAnsi="Garamond"/>
                <w:color w:val="auto"/>
                <w:u w:val="none"/>
                <w:lang w:val="en-AU"/>
              </w:rPr>
            </w:pPr>
            <w:hyperlink r:id="rId28" w:history="1">
              <w:r w:rsidRPr="00983039">
                <w:rPr>
                  <w:rStyle w:val="Hyperlink"/>
                  <w:rFonts w:ascii="Garamond" w:hAnsi="Garamond"/>
                  <w:lang w:val="en-AU"/>
                </w:rPr>
                <w:t>http://www.longwoods.com/publications/nursing-leadership/25104</w:t>
              </w:r>
            </w:hyperlink>
          </w:p>
        </w:tc>
      </w:tr>
      <w:tr w:rsidR="00AF4D9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AF4D95" w:rsidRPr="00A45262" w:rsidRDefault="00AF4D95" w:rsidP="006D1A90">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4D95" w:rsidRDefault="00AF4D95" w:rsidP="006D1A90">
            <w:pPr>
              <w:rPr>
                <w:rFonts w:ascii="Garamond" w:hAnsi="Garamond"/>
                <w:lang w:val="en-AU"/>
              </w:rPr>
            </w:pPr>
            <w:r w:rsidRPr="00AF4D95">
              <w:rPr>
                <w:rFonts w:ascii="Garamond" w:hAnsi="Garamond"/>
                <w:lang w:val="en-AU"/>
              </w:rPr>
              <w:t xml:space="preserve">A new issue of </w:t>
            </w:r>
            <w:r w:rsidRPr="00AF4D95">
              <w:rPr>
                <w:rFonts w:ascii="Garamond" w:hAnsi="Garamond"/>
                <w:i/>
                <w:lang w:val="en-AU"/>
              </w:rPr>
              <w:t>Nursing Leadership</w:t>
            </w:r>
            <w:r w:rsidRPr="00AF4D95">
              <w:rPr>
                <w:rFonts w:ascii="Garamond" w:hAnsi="Garamond"/>
                <w:lang w:val="en-AU"/>
              </w:rPr>
              <w:t xml:space="preserve"> has been published. Articles in this issue of </w:t>
            </w:r>
            <w:r w:rsidRPr="00AF4D95">
              <w:rPr>
                <w:rFonts w:ascii="Garamond" w:hAnsi="Garamond"/>
                <w:i/>
                <w:lang w:val="en-AU"/>
              </w:rPr>
              <w:t>Nursing Leadership</w:t>
            </w:r>
            <w:r w:rsidRPr="00AF4D95">
              <w:rPr>
                <w:rFonts w:ascii="Garamond" w:hAnsi="Garamond"/>
                <w:lang w:val="en-AU"/>
              </w:rPr>
              <w:t xml:space="preserve"> include:</w:t>
            </w:r>
          </w:p>
          <w:p w:rsidR="00AF4D95" w:rsidRPr="00AF4D95" w:rsidRDefault="00AF4D95" w:rsidP="00AF4D95">
            <w:pPr>
              <w:pStyle w:val="ListParagraph"/>
              <w:numPr>
                <w:ilvl w:val="0"/>
                <w:numId w:val="36"/>
              </w:numPr>
              <w:rPr>
                <w:rFonts w:ascii="Garamond" w:hAnsi="Garamond"/>
                <w:lang w:val="en-AU"/>
              </w:rPr>
            </w:pPr>
            <w:r w:rsidRPr="00AF4D95">
              <w:rPr>
                <w:rFonts w:ascii="Garamond" w:hAnsi="Garamond"/>
                <w:lang w:val="en-AU"/>
              </w:rPr>
              <w:t xml:space="preserve">Editorial: </w:t>
            </w:r>
            <w:r w:rsidRPr="00AF4D95">
              <w:rPr>
                <w:rFonts w:ascii="Garamond" w:hAnsi="Garamond"/>
                <w:b/>
                <w:lang w:val="en-AU"/>
              </w:rPr>
              <w:t>Home and Community Care</w:t>
            </w:r>
            <w:r w:rsidRPr="00AF4D95">
              <w:rPr>
                <w:rFonts w:ascii="Garamond" w:hAnsi="Garamond"/>
                <w:lang w:val="en-AU"/>
              </w:rPr>
              <w:t>: The Never-Ending Promise</w:t>
            </w:r>
            <w:r w:rsidRPr="00AF4D95">
              <w:rPr>
                <w:rFonts w:ascii="Garamond" w:hAnsi="Garamond"/>
                <w:lang w:val="en-AU"/>
              </w:rPr>
              <w:t xml:space="preserve"> (</w:t>
            </w:r>
            <w:r w:rsidRPr="00AF4D95">
              <w:rPr>
                <w:rFonts w:ascii="Garamond" w:hAnsi="Garamond"/>
                <w:lang w:val="en-AU"/>
              </w:rPr>
              <w:t>Lynn M Nagle</w:t>
            </w:r>
            <w:r>
              <w:rPr>
                <w:rFonts w:ascii="Garamond" w:hAnsi="Garamond"/>
                <w:lang w:val="en-AU"/>
              </w:rPr>
              <w:t>)</w:t>
            </w:r>
          </w:p>
          <w:p w:rsidR="00AF4D95" w:rsidRPr="00AF4D95" w:rsidRDefault="00AF4D95" w:rsidP="00AF4D95">
            <w:pPr>
              <w:pStyle w:val="ListParagraph"/>
              <w:numPr>
                <w:ilvl w:val="0"/>
                <w:numId w:val="36"/>
              </w:numPr>
              <w:rPr>
                <w:rFonts w:ascii="Garamond" w:hAnsi="Garamond"/>
                <w:lang w:val="en-AU"/>
              </w:rPr>
            </w:pPr>
            <w:r w:rsidRPr="00AF4D95">
              <w:rPr>
                <w:rFonts w:ascii="Garamond" w:hAnsi="Garamond"/>
                <w:b/>
                <w:lang w:val="en-AU"/>
              </w:rPr>
              <w:t>Nursing Leadership</w:t>
            </w:r>
            <w:r w:rsidRPr="00AF4D95">
              <w:rPr>
                <w:rFonts w:ascii="Garamond" w:hAnsi="Garamond"/>
                <w:lang w:val="en-AU"/>
              </w:rPr>
              <w:t xml:space="preserve"> in </w:t>
            </w:r>
            <w:r w:rsidRPr="00AF4D95">
              <w:rPr>
                <w:rFonts w:ascii="Garamond" w:hAnsi="Garamond"/>
                <w:b/>
                <w:lang w:val="en-AU"/>
              </w:rPr>
              <w:t>Home and Community Care</w:t>
            </w:r>
            <w:r w:rsidRPr="00AF4D95">
              <w:rPr>
                <w:rFonts w:ascii="Garamond" w:hAnsi="Garamond"/>
                <w:lang w:val="en-AU"/>
              </w:rPr>
              <w:t>: An Introduction</w:t>
            </w:r>
            <w:r w:rsidRPr="00AF4D95">
              <w:rPr>
                <w:rFonts w:ascii="Garamond" w:hAnsi="Garamond"/>
                <w:lang w:val="en-AU"/>
              </w:rPr>
              <w:t xml:space="preserve"> (</w:t>
            </w:r>
            <w:r w:rsidRPr="00AF4D95">
              <w:rPr>
                <w:rFonts w:ascii="Garamond" w:hAnsi="Garamond"/>
                <w:lang w:val="en-AU"/>
              </w:rPr>
              <w:t>Gail Donner</w:t>
            </w:r>
            <w:r>
              <w:rPr>
                <w:rFonts w:ascii="Garamond" w:hAnsi="Garamond"/>
                <w:lang w:val="en-AU"/>
              </w:rPr>
              <w:t>)</w:t>
            </w:r>
          </w:p>
          <w:p w:rsidR="00AF4D95" w:rsidRPr="00AF4D95" w:rsidRDefault="00AF4D95" w:rsidP="00AF4D95">
            <w:pPr>
              <w:pStyle w:val="ListParagraph"/>
              <w:numPr>
                <w:ilvl w:val="0"/>
                <w:numId w:val="36"/>
              </w:numPr>
              <w:rPr>
                <w:rFonts w:ascii="Garamond" w:hAnsi="Garamond"/>
                <w:lang w:val="en-AU"/>
              </w:rPr>
            </w:pPr>
            <w:r w:rsidRPr="00AF4D95">
              <w:rPr>
                <w:rFonts w:ascii="Garamond" w:hAnsi="Garamond"/>
                <w:lang w:val="en-AU"/>
              </w:rPr>
              <w:t xml:space="preserve">Leadership Perspective: Bringing Nursing Back to the Future Through </w:t>
            </w:r>
            <w:r w:rsidRPr="00AF4D95">
              <w:rPr>
                <w:rFonts w:ascii="Garamond" w:hAnsi="Garamond"/>
                <w:b/>
                <w:lang w:val="en-AU"/>
              </w:rPr>
              <w:t>People-Powered Care</w:t>
            </w:r>
            <w:r w:rsidRPr="00AF4D95">
              <w:rPr>
                <w:rFonts w:ascii="Garamond" w:hAnsi="Garamond"/>
                <w:lang w:val="en-AU"/>
              </w:rPr>
              <w:t xml:space="preserve"> (</w:t>
            </w:r>
            <w:r w:rsidRPr="00AF4D95">
              <w:rPr>
                <w:rFonts w:ascii="Garamond" w:hAnsi="Garamond"/>
                <w:lang w:val="en-AU"/>
              </w:rPr>
              <w:t>Shirlee Sharkey and Nancy Lefebre</w:t>
            </w:r>
            <w:r>
              <w:rPr>
                <w:rFonts w:ascii="Garamond" w:hAnsi="Garamond"/>
                <w:lang w:val="en-AU"/>
              </w:rPr>
              <w:t>)</w:t>
            </w:r>
          </w:p>
          <w:p w:rsidR="00AF4D95" w:rsidRPr="00AF4D95" w:rsidRDefault="00AF4D95" w:rsidP="00AF4D95">
            <w:pPr>
              <w:pStyle w:val="ListParagraph"/>
              <w:numPr>
                <w:ilvl w:val="0"/>
                <w:numId w:val="36"/>
              </w:numPr>
              <w:rPr>
                <w:rFonts w:ascii="Garamond" w:hAnsi="Garamond"/>
                <w:lang w:val="en-AU"/>
              </w:rPr>
            </w:pPr>
            <w:r w:rsidRPr="00AF4D95">
              <w:rPr>
                <w:rFonts w:ascii="Garamond" w:hAnsi="Garamond"/>
                <w:lang w:val="en-AU"/>
              </w:rPr>
              <w:t xml:space="preserve">Rebuilding the Roots of </w:t>
            </w:r>
            <w:r w:rsidRPr="00AF4D95">
              <w:rPr>
                <w:rFonts w:ascii="Garamond" w:hAnsi="Garamond"/>
                <w:b/>
                <w:lang w:val="en-AU"/>
              </w:rPr>
              <w:t>Patient-Centred Care</w:t>
            </w:r>
            <w:r w:rsidRPr="00AF4D95">
              <w:rPr>
                <w:rFonts w:ascii="Garamond" w:hAnsi="Garamond"/>
                <w:lang w:val="en-AU"/>
              </w:rPr>
              <w:t xml:space="preserve"> (</w:t>
            </w:r>
            <w:r w:rsidRPr="00AF4D95">
              <w:rPr>
                <w:rFonts w:ascii="Garamond" w:hAnsi="Garamond"/>
                <w:lang w:val="en-AU"/>
              </w:rPr>
              <w:t>S Thorne and K Stajduhar</w:t>
            </w:r>
            <w:r>
              <w:rPr>
                <w:rFonts w:ascii="Garamond" w:hAnsi="Garamond"/>
                <w:lang w:val="en-AU"/>
              </w:rPr>
              <w:t>)</w:t>
            </w:r>
          </w:p>
          <w:p w:rsidR="00AF4D95" w:rsidRPr="00AF4D95" w:rsidRDefault="00AF4D95" w:rsidP="00AF4D95">
            <w:pPr>
              <w:pStyle w:val="ListParagraph"/>
              <w:numPr>
                <w:ilvl w:val="0"/>
                <w:numId w:val="36"/>
              </w:numPr>
              <w:rPr>
                <w:rFonts w:ascii="Garamond" w:hAnsi="Garamond"/>
                <w:lang w:val="en-AU"/>
              </w:rPr>
            </w:pPr>
            <w:r w:rsidRPr="00AF4D95">
              <w:rPr>
                <w:rFonts w:ascii="Garamond" w:hAnsi="Garamond"/>
                <w:lang w:val="en-AU"/>
              </w:rPr>
              <w:t xml:space="preserve">A Leadership Perspective on a </w:t>
            </w:r>
            <w:r w:rsidRPr="00AF4D95">
              <w:rPr>
                <w:rFonts w:ascii="Garamond" w:hAnsi="Garamond"/>
                <w:b/>
                <w:lang w:val="en-AU"/>
              </w:rPr>
              <w:t>Shared Vision for Healthcare</w:t>
            </w:r>
            <w:r w:rsidRPr="00AF4D95">
              <w:rPr>
                <w:rFonts w:ascii="Garamond" w:hAnsi="Garamond"/>
                <w:lang w:val="en-AU"/>
              </w:rPr>
              <w:t xml:space="preserve"> (</w:t>
            </w:r>
            <w:r w:rsidRPr="00AF4D95">
              <w:rPr>
                <w:rFonts w:ascii="Garamond" w:hAnsi="Garamond"/>
                <w:lang w:val="en-AU"/>
              </w:rPr>
              <w:t>Tracy Kitch</w:t>
            </w:r>
            <w:r>
              <w:rPr>
                <w:rFonts w:ascii="Garamond" w:hAnsi="Garamond"/>
                <w:lang w:val="en-AU"/>
              </w:rPr>
              <w:t>)</w:t>
            </w:r>
          </w:p>
          <w:p w:rsidR="00AF4D95" w:rsidRPr="00AF4D95" w:rsidRDefault="00AF4D95" w:rsidP="00AF4D95">
            <w:pPr>
              <w:pStyle w:val="ListParagraph"/>
              <w:numPr>
                <w:ilvl w:val="0"/>
                <w:numId w:val="36"/>
              </w:numPr>
              <w:rPr>
                <w:rFonts w:ascii="Garamond" w:hAnsi="Garamond"/>
                <w:lang w:val="en-AU"/>
              </w:rPr>
            </w:pPr>
            <w:r w:rsidRPr="00AF4D95">
              <w:rPr>
                <w:rFonts w:ascii="Garamond" w:hAnsi="Garamond"/>
                <w:b/>
                <w:lang w:val="en-AU"/>
              </w:rPr>
              <w:t>Integrated Comprehensive Care</w:t>
            </w:r>
            <w:r w:rsidRPr="00AF4D95">
              <w:rPr>
                <w:rFonts w:ascii="Garamond" w:hAnsi="Garamond"/>
                <w:lang w:val="en-AU"/>
              </w:rPr>
              <w:t xml:space="preserve"> – A Case Study in Nursing Leadership and System Transformation</w:t>
            </w:r>
            <w:r w:rsidRPr="00AF4D95">
              <w:rPr>
                <w:rFonts w:ascii="Garamond" w:hAnsi="Garamond"/>
                <w:lang w:val="en-AU"/>
              </w:rPr>
              <w:t xml:space="preserve"> (</w:t>
            </w:r>
            <w:r w:rsidRPr="00AF4D95">
              <w:rPr>
                <w:rFonts w:ascii="Garamond" w:hAnsi="Garamond"/>
                <w:lang w:val="en-AU"/>
              </w:rPr>
              <w:t>Laura Wheatley, Winnie Doyle, Cheryl Evans, Carolyn Gosse and Kevin Smith</w:t>
            </w:r>
            <w:r>
              <w:rPr>
                <w:rFonts w:ascii="Garamond" w:hAnsi="Garamond"/>
                <w:lang w:val="en-AU"/>
              </w:rPr>
              <w:t>)</w:t>
            </w:r>
          </w:p>
          <w:p w:rsidR="00AF4D95" w:rsidRPr="00AF4D95" w:rsidRDefault="00AF4D95" w:rsidP="00AF4D95">
            <w:pPr>
              <w:pStyle w:val="ListParagraph"/>
              <w:numPr>
                <w:ilvl w:val="0"/>
                <w:numId w:val="36"/>
              </w:numPr>
              <w:rPr>
                <w:rFonts w:ascii="Garamond" w:hAnsi="Garamond"/>
                <w:lang w:val="en-AU"/>
              </w:rPr>
            </w:pPr>
            <w:r w:rsidRPr="00AF4D95">
              <w:rPr>
                <w:rFonts w:ascii="Garamond" w:hAnsi="Garamond"/>
                <w:lang w:val="en-AU"/>
              </w:rPr>
              <w:lastRenderedPageBreak/>
              <w:t xml:space="preserve">Moving Forward – The Journey to </w:t>
            </w:r>
            <w:r w:rsidRPr="00AF4D95">
              <w:rPr>
                <w:rFonts w:ascii="Garamond" w:hAnsi="Garamond"/>
                <w:b/>
                <w:lang w:val="en-AU"/>
              </w:rPr>
              <w:t>People-Powered Care</w:t>
            </w:r>
            <w:r w:rsidRPr="00AF4D95">
              <w:rPr>
                <w:rFonts w:ascii="Garamond" w:hAnsi="Garamond"/>
                <w:lang w:val="en-AU"/>
              </w:rPr>
              <w:t xml:space="preserve"> (</w:t>
            </w:r>
            <w:r w:rsidRPr="00AF4D95">
              <w:rPr>
                <w:rFonts w:ascii="Garamond" w:hAnsi="Garamond"/>
                <w:lang w:val="en-AU"/>
              </w:rPr>
              <w:t>Shirlee Sharkey and Nancy Lefebre</w:t>
            </w:r>
            <w:r>
              <w:rPr>
                <w:rFonts w:ascii="Garamond" w:hAnsi="Garamond"/>
                <w:lang w:val="en-AU"/>
              </w:rPr>
              <w:t>)</w:t>
            </w:r>
          </w:p>
          <w:p w:rsidR="00AF4D95" w:rsidRPr="00AF4D95" w:rsidRDefault="00AF4D95" w:rsidP="00AF4D95">
            <w:pPr>
              <w:pStyle w:val="ListParagraph"/>
              <w:numPr>
                <w:ilvl w:val="0"/>
                <w:numId w:val="36"/>
              </w:numPr>
              <w:rPr>
                <w:rFonts w:ascii="Garamond" w:hAnsi="Garamond"/>
                <w:lang w:val="en-AU"/>
              </w:rPr>
            </w:pPr>
            <w:r w:rsidRPr="00AF4D95">
              <w:rPr>
                <w:rFonts w:ascii="Garamond" w:hAnsi="Garamond"/>
                <w:lang w:val="en-AU"/>
              </w:rPr>
              <w:t xml:space="preserve">The Role of Nurse Leaders in Advancing </w:t>
            </w:r>
            <w:r w:rsidRPr="00AF4D95">
              <w:rPr>
                <w:rFonts w:ascii="Garamond" w:hAnsi="Garamond"/>
                <w:b/>
                <w:lang w:val="en-AU"/>
              </w:rPr>
              <w:t xml:space="preserve">Carer Communication Needs </w:t>
            </w:r>
            <w:r w:rsidRPr="00AF4D95">
              <w:rPr>
                <w:rFonts w:ascii="Garamond" w:hAnsi="Garamond"/>
                <w:lang w:val="en-AU"/>
              </w:rPr>
              <w:t>across</w:t>
            </w:r>
            <w:r w:rsidRPr="00AF4D95">
              <w:rPr>
                <w:rFonts w:ascii="Garamond" w:hAnsi="Garamond"/>
                <w:b/>
                <w:lang w:val="en-AU"/>
              </w:rPr>
              <w:t xml:space="preserve"> Transitions of Care</w:t>
            </w:r>
            <w:r w:rsidRPr="00AF4D95">
              <w:rPr>
                <w:rFonts w:ascii="Garamond" w:hAnsi="Garamond"/>
                <w:lang w:val="en-AU"/>
              </w:rPr>
              <w:t>: A Call to Action</w:t>
            </w:r>
            <w:r>
              <w:rPr>
                <w:rFonts w:ascii="Garamond" w:hAnsi="Garamond"/>
                <w:lang w:val="en-AU"/>
              </w:rPr>
              <w:t xml:space="preserve"> (</w:t>
            </w:r>
            <w:r w:rsidRPr="00AF4D95">
              <w:rPr>
                <w:rFonts w:ascii="Garamond" w:hAnsi="Garamond"/>
                <w:lang w:val="en-AU"/>
              </w:rPr>
              <w:t>Sonia A Udod and M Lobchuk</w:t>
            </w:r>
            <w:r>
              <w:rPr>
                <w:rFonts w:ascii="Garamond" w:hAnsi="Garamond"/>
                <w:lang w:val="en-AU"/>
              </w:rPr>
              <w:t>)</w:t>
            </w:r>
          </w:p>
        </w:tc>
      </w:tr>
    </w:tbl>
    <w:p w:rsidR="00AF4D95" w:rsidRDefault="00AF4D95" w:rsidP="00AF4D95">
      <w:pPr>
        <w:keepNext/>
        <w:rPr>
          <w:rFonts w:ascii="Garamond" w:hAnsi="Garamond"/>
          <w:lang w:val="en-AU"/>
        </w:rPr>
      </w:pPr>
    </w:p>
    <w:p w:rsidR="008C6F66" w:rsidRPr="00A45262" w:rsidRDefault="008C6F66" w:rsidP="008C6F66">
      <w:pPr>
        <w:keepNext/>
        <w:rPr>
          <w:rFonts w:ascii="Garamond" w:hAnsi="Garamond"/>
          <w:lang w:val="en-AU"/>
        </w:rPr>
      </w:pPr>
      <w:r w:rsidRPr="00A45262">
        <w:rPr>
          <w:rFonts w:ascii="Garamond" w:hAnsi="Garamond"/>
          <w:i/>
          <w:lang w:val="en-AU"/>
        </w:rPr>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A45262" w:rsidTr="00F22EB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F37416">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F86121" w:rsidP="00F37416">
            <w:pPr>
              <w:keepNext/>
              <w:rPr>
                <w:rFonts w:ascii="Garamond" w:hAnsi="Garamond"/>
                <w:lang w:val="en-AU"/>
              </w:rPr>
            </w:pPr>
            <w:hyperlink r:id="rId29" w:history="1">
              <w:r w:rsidR="003139A9" w:rsidRPr="00D67EE9">
                <w:rPr>
                  <w:rStyle w:val="Hyperlink"/>
                  <w:rFonts w:ascii="Garamond" w:hAnsi="Garamond"/>
                  <w:lang w:val="en-AU"/>
                </w:rPr>
                <w:t>https://qualitysafety.bmj.com/content/early/recent</w:t>
              </w:r>
            </w:hyperlink>
          </w:p>
        </w:tc>
      </w:tr>
      <w:tr w:rsidR="008C6F66" w:rsidRPr="00A45262" w:rsidTr="00F22EB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F37416">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8C6F66" w:rsidRPr="00A45262" w:rsidRDefault="008C6F66" w:rsidP="00F22EB9">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D60FBA" w:rsidRPr="00A45262" w:rsidRDefault="00EC50FD" w:rsidP="00EC50FD">
            <w:pPr>
              <w:pStyle w:val="ListParagraph"/>
              <w:numPr>
                <w:ilvl w:val="0"/>
                <w:numId w:val="14"/>
              </w:numPr>
              <w:rPr>
                <w:rFonts w:ascii="Garamond" w:hAnsi="Garamond"/>
                <w:lang w:val="en-AU"/>
              </w:rPr>
            </w:pPr>
            <w:r w:rsidRPr="00EC50FD">
              <w:rPr>
                <w:rFonts w:ascii="Garamond" w:hAnsi="Garamond"/>
                <w:lang w:val="en-AU"/>
              </w:rPr>
              <w:t xml:space="preserve">Patients’ and providers’ perceptions of the </w:t>
            </w:r>
            <w:r w:rsidRPr="00EC50FD">
              <w:rPr>
                <w:rFonts w:ascii="Garamond" w:hAnsi="Garamond"/>
                <w:b/>
                <w:lang w:val="en-AU"/>
              </w:rPr>
              <w:t>preventability of hospital readmission</w:t>
            </w:r>
            <w:r w:rsidRPr="00EC50FD">
              <w:rPr>
                <w:rFonts w:ascii="Garamond" w:hAnsi="Garamond"/>
                <w:lang w:val="en-AU"/>
              </w:rPr>
              <w:t xml:space="preserve">: a prospective, observational study in four European countries </w:t>
            </w:r>
            <w:r>
              <w:rPr>
                <w:rFonts w:ascii="Garamond" w:hAnsi="Garamond"/>
                <w:lang w:val="en-AU"/>
              </w:rPr>
              <w:t>(</w:t>
            </w:r>
            <w:r w:rsidRPr="00EC50FD">
              <w:rPr>
                <w:rFonts w:ascii="Garamond" w:hAnsi="Garamond"/>
                <w:lang w:val="en-AU"/>
              </w:rPr>
              <w:t>Louise S van Galen, Mikkel Brabrand, Tim Cooksley, Peter M van de Ven, Hanneke Merten, Ralph KL So, Loes van Hooff, Harm R Haak, Rachel M Kidney, Christian H Nickel, John TY Soong, Immo Weichert, Mark HH Kramer, Christian P Subbe, Prabath WB Nanayakkara</w:t>
            </w:r>
            <w:r>
              <w:rPr>
                <w:rFonts w:ascii="Garamond" w:hAnsi="Garamond"/>
                <w:lang w:val="en-AU"/>
              </w:rPr>
              <w:t>)</w:t>
            </w:r>
          </w:p>
        </w:tc>
      </w:tr>
    </w:tbl>
    <w:p w:rsidR="008C6F66" w:rsidRPr="00A45262" w:rsidRDefault="008C6F66" w:rsidP="00C400E8">
      <w:pPr>
        <w:rPr>
          <w:rFonts w:ascii="Garamond" w:hAnsi="Garamond"/>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3139A9" w:rsidRDefault="00F86121" w:rsidP="009E5A41">
            <w:pPr>
              <w:keepNext/>
              <w:rPr>
                <w:rFonts w:ascii="Garamond" w:hAnsi="Garamond"/>
                <w:lang w:val="en-AU"/>
              </w:rPr>
            </w:pPr>
            <w:hyperlink r:id="rId30" w:history="1">
              <w:r w:rsidR="009E5A41" w:rsidRPr="003139A9">
                <w:rPr>
                  <w:rStyle w:val="Hyperlink"/>
                  <w:rFonts w:ascii="Garamond" w:hAnsi="Garamond"/>
                  <w:lang w:val="en-AU"/>
                </w:rPr>
                <w:t>https://academic.oup.com/intqhc/advance-access?papetoc</w:t>
              </w:r>
            </w:hyperlink>
          </w:p>
        </w:tc>
      </w:tr>
      <w:tr w:rsidR="00AF20FE"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9324DC" w:rsidRPr="009324DC" w:rsidRDefault="009324DC" w:rsidP="009324DC">
            <w:pPr>
              <w:pStyle w:val="ListParagraph"/>
              <w:numPr>
                <w:ilvl w:val="0"/>
                <w:numId w:val="14"/>
              </w:numPr>
              <w:rPr>
                <w:rFonts w:ascii="Garamond" w:hAnsi="Garamond"/>
                <w:lang w:val="en-AU"/>
              </w:rPr>
            </w:pPr>
            <w:r w:rsidRPr="009324DC">
              <w:rPr>
                <w:rFonts w:ascii="Garamond" w:hAnsi="Garamond"/>
                <w:lang w:val="en-AU"/>
              </w:rPr>
              <w:t xml:space="preserve">A multifaceted quality improvement strategy reduces the risk of </w:t>
            </w:r>
            <w:r w:rsidRPr="009324DC">
              <w:rPr>
                <w:rFonts w:ascii="Garamond" w:hAnsi="Garamond"/>
                <w:b/>
                <w:lang w:val="en-AU"/>
              </w:rPr>
              <w:t>catheter-associated urinary tract infection</w:t>
            </w:r>
            <w:r w:rsidRPr="009324DC">
              <w:rPr>
                <w:rFonts w:ascii="Garamond" w:hAnsi="Garamond"/>
                <w:lang w:val="en-AU"/>
              </w:rPr>
              <w:t xml:space="preserve"> (Cecelia N Theobald; Matthew J Resnick; Thomas Spain; Robert S Dittus; Christianne L Roumie</w:t>
            </w:r>
            <w:r>
              <w:rPr>
                <w:rFonts w:ascii="Garamond" w:hAnsi="Garamond"/>
                <w:lang w:val="en-AU"/>
              </w:rPr>
              <w:t>)</w:t>
            </w:r>
          </w:p>
          <w:p w:rsidR="00EE6CFC" w:rsidRDefault="009324DC" w:rsidP="009324DC">
            <w:pPr>
              <w:pStyle w:val="ListParagraph"/>
              <w:numPr>
                <w:ilvl w:val="0"/>
                <w:numId w:val="14"/>
              </w:numPr>
              <w:rPr>
                <w:rFonts w:ascii="Garamond" w:hAnsi="Garamond"/>
                <w:lang w:val="en-AU"/>
              </w:rPr>
            </w:pPr>
            <w:r w:rsidRPr="009324DC">
              <w:rPr>
                <w:rFonts w:ascii="Garamond" w:hAnsi="Garamond"/>
                <w:lang w:val="en-AU"/>
              </w:rPr>
              <w:t xml:space="preserve">A World Health Organization field trial assessing a proposed </w:t>
            </w:r>
            <w:r w:rsidRPr="009324DC">
              <w:rPr>
                <w:rFonts w:ascii="Garamond" w:hAnsi="Garamond"/>
                <w:b/>
                <w:lang w:val="en-AU"/>
              </w:rPr>
              <w:t>ICD-11</w:t>
            </w:r>
            <w:r w:rsidRPr="009324DC">
              <w:rPr>
                <w:rFonts w:ascii="Garamond" w:hAnsi="Garamond"/>
                <w:lang w:val="en-AU"/>
              </w:rPr>
              <w:t xml:space="preserve"> framework for </w:t>
            </w:r>
            <w:r w:rsidRPr="009324DC">
              <w:rPr>
                <w:rFonts w:ascii="Garamond" w:hAnsi="Garamond"/>
                <w:b/>
                <w:lang w:val="en-AU"/>
              </w:rPr>
              <w:t>classifying patient safety events</w:t>
            </w:r>
            <w:r w:rsidRPr="009324DC">
              <w:rPr>
                <w:rFonts w:ascii="Garamond" w:hAnsi="Garamond"/>
                <w:lang w:val="en-AU"/>
              </w:rPr>
              <w:t xml:space="preserve"> (Alan J Forster; Burnand Bernard; Saskia E Drösler; Yana Gurevich; James Harrison</w:t>
            </w:r>
            <w:r>
              <w:rPr>
                <w:rFonts w:ascii="Garamond" w:hAnsi="Garamond"/>
                <w:lang w:val="en-AU"/>
              </w:rPr>
              <w:t xml:space="preserve">; </w:t>
            </w:r>
            <w:r w:rsidRPr="009324DC">
              <w:rPr>
                <w:rFonts w:ascii="Garamond" w:hAnsi="Garamond"/>
                <w:lang w:val="en-AU"/>
              </w:rPr>
              <w:t>Jean-Marie Januel</w:t>
            </w:r>
            <w:r>
              <w:rPr>
                <w:rFonts w:ascii="Garamond" w:hAnsi="Garamond"/>
                <w:lang w:val="en-AU"/>
              </w:rPr>
              <w:t>;</w:t>
            </w:r>
            <w:r w:rsidRPr="009324DC">
              <w:rPr>
                <w:rFonts w:ascii="Garamond" w:hAnsi="Garamond"/>
                <w:lang w:val="en-AU"/>
              </w:rPr>
              <w:t xml:space="preserve"> Patrick S Romano</w:t>
            </w:r>
            <w:r>
              <w:rPr>
                <w:rFonts w:ascii="Garamond" w:hAnsi="Garamond"/>
                <w:lang w:val="en-AU"/>
              </w:rPr>
              <w:t>;</w:t>
            </w:r>
            <w:r w:rsidRPr="009324DC">
              <w:rPr>
                <w:rFonts w:ascii="Garamond" w:hAnsi="Garamond"/>
                <w:lang w:val="en-AU"/>
              </w:rPr>
              <w:t xml:space="preserve"> Danielle A</w:t>
            </w:r>
            <w:r>
              <w:rPr>
                <w:rFonts w:ascii="Garamond" w:hAnsi="Garamond"/>
                <w:lang w:val="en-AU"/>
              </w:rPr>
              <w:t xml:space="preserve"> Southern;</w:t>
            </w:r>
            <w:r w:rsidRPr="009324DC">
              <w:rPr>
                <w:rFonts w:ascii="Garamond" w:hAnsi="Garamond"/>
                <w:lang w:val="en-AU"/>
              </w:rPr>
              <w:t xml:space="preserve"> Vijaya Sundararajan</w:t>
            </w:r>
            <w:r>
              <w:rPr>
                <w:rFonts w:ascii="Garamond" w:hAnsi="Garamond"/>
                <w:lang w:val="en-AU"/>
              </w:rPr>
              <w:t>;</w:t>
            </w:r>
            <w:r w:rsidRPr="009324DC">
              <w:rPr>
                <w:rFonts w:ascii="Garamond" w:hAnsi="Garamond"/>
                <w:lang w:val="en-AU"/>
              </w:rPr>
              <w:t xml:space="preserve"> Hude Quan</w:t>
            </w:r>
            <w:r>
              <w:rPr>
                <w:rFonts w:ascii="Garamond" w:hAnsi="Garamond"/>
                <w:lang w:val="en-AU"/>
              </w:rPr>
              <w:t xml:space="preserve">; </w:t>
            </w:r>
            <w:r w:rsidRPr="009324DC">
              <w:rPr>
                <w:rFonts w:ascii="Garamond" w:hAnsi="Garamond"/>
                <w:lang w:val="en-AU"/>
              </w:rPr>
              <w:t>Saskia E Vanderloo</w:t>
            </w:r>
            <w:r>
              <w:rPr>
                <w:rFonts w:ascii="Garamond" w:hAnsi="Garamond"/>
                <w:lang w:val="en-AU"/>
              </w:rPr>
              <w:t>;</w:t>
            </w:r>
            <w:r w:rsidRPr="009324DC">
              <w:rPr>
                <w:rFonts w:ascii="Garamond" w:hAnsi="Garamond"/>
                <w:lang w:val="en-AU"/>
              </w:rPr>
              <w:t xml:space="preserve"> Harold A Pincus</w:t>
            </w:r>
            <w:r>
              <w:rPr>
                <w:rFonts w:ascii="Garamond" w:hAnsi="Garamond"/>
                <w:lang w:val="en-AU"/>
              </w:rPr>
              <w:t>;</w:t>
            </w:r>
            <w:r w:rsidRPr="009324DC">
              <w:rPr>
                <w:rFonts w:ascii="Garamond" w:hAnsi="Garamond"/>
                <w:lang w:val="en-AU"/>
              </w:rPr>
              <w:t xml:space="preserve"> William A Ghali</w:t>
            </w:r>
            <w:r>
              <w:rPr>
                <w:rFonts w:ascii="Garamond" w:hAnsi="Garamond"/>
                <w:lang w:val="en-AU"/>
              </w:rPr>
              <w:t>)</w:t>
            </w:r>
          </w:p>
          <w:p w:rsidR="0018202A" w:rsidRPr="00714771" w:rsidRDefault="0018202A" w:rsidP="00BA2C71">
            <w:pPr>
              <w:pStyle w:val="ListParagraph"/>
              <w:numPr>
                <w:ilvl w:val="0"/>
                <w:numId w:val="14"/>
              </w:numPr>
              <w:rPr>
                <w:rFonts w:ascii="Garamond" w:hAnsi="Garamond"/>
                <w:lang w:val="en-AU"/>
              </w:rPr>
            </w:pPr>
            <w:r w:rsidRPr="0018202A">
              <w:rPr>
                <w:rFonts w:ascii="Garamond" w:hAnsi="Garamond"/>
                <w:lang w:val="en-AU"/>
              </w:rPr>
              <w:t xml:space="preserve">Value-added strategy models to provide </w:t>
            </w:r>
            <w:r w:rsidRPr="0018202A">
              <w:rPr>
                <w:rFonts w:ascii="Garamond" w:hAnsi="Garamond"/>
                <w:b/>
                <w:lang w:val="en-AU"/>
              </w:rPr>
              <w:t>quality services in senior health</w:t>
            </w:r>
            <w:r w:rsidRPr="0018202A">
              <w:rPr>
                <w:rFonts w:ascii="Garamond" w:hAnsi="Garamond"/>
                <w:lang w:val="en-AU"/>
              </w:rPr>
              <w:t xml:space="preserve"> business</w:t>
            </w:r>
            <w:r>
              <w:rPr>
                <w:rFonts w:ascii="Garamond" w:hAnsi="Garamond"/>
                <w:lang w:val="en-AU"/>
              </w:rPr>
              <w:t xml:space="preserve"> (</w:t>
            </w:r>
            <w:r w:rsidRPr="0018202A">
              <w:rPr>
                <w:rFonts w:ascii="Garamond" w:hAnsi="Garamond"/>
                <w:lang w:val="en-AU"/>
              </w:rPr>
              <w:t>Ya-Ting Yang</w:t>
            </w:r>
            <w:r w:rsidR="00BA2C71">
              <w:rPr>
                <w:rFonts w:ascii="Garamond" w:hAnsi="Garamond"/>
                <w:lang w:val="en-AU"/>
              </w:rPr>
              <w:t>;</w:t>
            </w:r>
            <w:r w:rsidRPr="0018202A">
              <w:rPr>
                <w:rFonts w:ascii="Garamond" w:hAnsi="Garamond"/>
                <w:lang w:val="en-AU"/>
              </w:rPr>
              <w:t xml:space="preserve"> Neng-Pai Lin</w:t>
            </w:r>
            <w:r w:rsidR="00BA2C71">
              <w:rPr>
                <w:rFonts w:ascii="Garamond" w:hAnsi="Garamond"/>
                <w:lang w:val="en-AU"/>
              </w:rPr>
              <w:t>;</w:t>
            </w:r>
            <w:r w:rsidRPr="0018202A">
              <w:rPr>
                <w:rFonts w:ascii="Garamond" w:hAnsi="Garamond"/>
                <w:lang w:val="en-AU"/>
              </w:rPr>
              <w:t xml:space="preserve"> Shyi Su</w:t>
            </w:r>
            <w:r w:rsidR="00BA2C71">
              <w:rPr>
                <w:rFonts w:ascii="Garamond" w:hAnsi="Garamond"/>
                <w:lang w:val="en-AU"/>
              </w:rPr>
              <w:t>;</w:t>
            </w:r>
            <w:r w:rsidRPr="0018202A">
              <w:rPr>
                <w:rFonts w:ascii="Garamond" w:hAnsi="Garamond"/>
                <w:lang w:val="en-AU"/>
              </w:rPr>
              <w:t xml:space="preserve"> Ya-Mei Chen</w:t>
            </w:r>
            <w:r w:rsidR="00BA2C71">
              <w:rPr>
                <w:rFonts w:ascii="Garamond" w:hAnsi="Garamond"/>
                <w:lang w:val="en-AU"/>
              </w:rPr>
              <w:t>;</w:t>
            </w:r>
            <w:r w:rsidRPr="0018202A">
              <w:rPr>
                <w:rFonts w:ascii="Garamond" w:hAnsi="Garamond"/>
                <w:lang w:val="en-AU"/>
              </w:rPr>
              <w:t xml:space="preserve"> Yao-Mao Chang</w:t>
            </w:r>
            <w:r w:rsidR="00BA2C71">
              <w:rPr>
                <w:rFonts w:ascii="Garamond" w:hAnsi="Garamond"/>
                <w:lang w:val="en-AU"/>
              </w:rPr>
              <w:t>;</w:t>
            </w:r>
            <w:r w:rsidRPr="0018202A">
              <w:rPr>
                <w:rFonts w:ascii="Garamond" w:hAnsi="Garamond"/>
                <w:lang w:val="en-AU"/>
              </w:rPr>
              <w:t xml:space="preserve"> Yujiro Handa</w:t>
            </w:r>
            <w:r w:rsidR="00BA2C71">
              <w:rPr>
                <w:rFonts w:ascii="Garamond" w:hAnsi="Garamond"/>
                <w:lang w:val="en-AU"/>
              </w:rPr>
              <w:t>;</w:t>
            </w:r>
            <w:r w:rsidRPr="0018202A">
              <w:rPr>
                <w:rFonts w:ascii="Garamond" w:hAnsi="Garamond"/>
                <w:lang w:val="en-AU"/>
              </w:rPr>
              <w:t xml:space="preserve"> Hafsah Arshed Ali Khan</w:t>
            </w:r>
            <w:r w:rsidR="00BA2C71">
              <w:rPr>
                <w:rFonts w:ascii="Garamond" w:hAnsi="Garamond"/>
                <w:lang w:val="en-AU"/>
              </w:rPr>
              <w:t>;</w:t>
            </w:r>
            <w:r w:rsidRPr="0018202A">
              <w:rPr>
                <w:rFonts w:ascii="Garamond" w:hAnsi="Garamond"/>
                <w:lang w:val="en-AU"/>
              </w:rPr>
              <w:t xml:space="preserve"> Yi-Hsin Elsa Hsu</w:t>
            </w:r>
            <w:r>
              <w:rPr>
                <w:rFonts w:ascii="Garamond" w:hAnsi="Garamond"/>
                <w:lang w:val="en-AU"/>
              </w:rPr>
              <w:t>)</w:t>
            </w:r>
          </w:p>
        </w:tc>
      </w:tr>
    </w:tbl>
    <w:p w:rsidR="00AF20FE" w:rsidRDefault="00AF20FE" w:rsidP="00AF20FE">
      <w:pPr>
        <w:rPr>
          <w:rFonts w:ascii="Garamond" w:hAnsi="Garamond"/>
          <w:lang w:val="en-AU"/>
        </w:rPr>
      </w:pPr>
    </w:p>
    <w:p w:rsidR="00B55CDB" w:rsidRPr="00DE7C48" w:rsidRDefault="00B55CDB" w:rsidP="00DE7C48">
      <w:pPr>
        <w:keepNext/>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8" w:rsidRDefault="008B79C8">
      <w:r>
        <w:separator/>
      </w:r>
    </w:p>
  </w:endnote>
  <w:endnote w:type="continuationSeparator" w:id="0">
    <w:p w:rsidR="008B79C8" w:rsidRDefault="008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Default="008B79C8"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86121">
      <w:rPr>
        <w:rStyle w:val="PageNumber"/>
        <w:noProof/>
      </w:rPr>
      <w:t>2</w:t>
    </w:r>
    <w:r>
      <w:rPr>
        <w:rStyle w:val="PageNumber"/>
      </w:rPr>
      <w:fldChar w:fldCharType="end"/>
    </w:r>
  </w:p>
  <w:p w:rsidR="008B79C8" w:rsidRPr="001E78F0" w:rsidRDefault="008B79C8"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9F13C7">
      <w:rPr>
        <w:rFonts w:ascii="Garamond" w:hAnsi="Garamond"/>
      </w:rPr>
      <w:t xml:space="preserve"> Issue 32</w:t>
    </w:r>
    <w:r w:rsidR="00250510">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Pr="001E78F0" w:rsidRDefault="008B79C8"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86121">
      <w:rPr>
        <w:rStyle w:val="PageNumber"/>
        <w:rFonts w:ascii="Garamond" w:hAnsi="Garamond"/>
        <w:noProof/>
      </w:rPr>
      <w:t>1</w:t>
    </w:r>
    <w:r w:rsidRPr="001E78F0">
      <w:rPr>
        <w:rStyle w:val="PageNumber"/>
        <w:rFonts w:ascii="Garamond" w:hAnsi="Garamond"/>
      </w:rPr>
      <w:fldChar w:fldCharType="end"/>
    </w:r>
  </w:p>
  <w:p w:rsidR="008B79C8" w:rsidRPr="001E78F0" w:rsidRDefault="008B79C8"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CE5B99">
      <w:rPr>
        <w:rFonts w:ascii="Garamond" w:hAnsi="Garamond"/>
      </w:rPr>
      <w:t xml:space="preserve"> Issue 32</w:t>
    </w:r>
    <w:r w:rsidR="00250510">
      <w:rPr>
        <w:rFonts w:ascii="Garamond" w:hAnsi="Garamon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8" w:rsidRDefault="008B79C8">
      <w:r>
        <w:separator/>
      </w:r>
    </w:p>
  </w:footnote>
  <w:footnote w:type="continuationSeparator" w:id="0">
    <w:p w:rsidR="008B79C8" w:rsidRDefault="008B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74838"/>
    <w:multiLevelType w:val="hybridMultilevel"/>
    <w:tmpl w:val="A7E4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DE4B2A"/>
    <w:multiLevelType w:val="hybridMultilevel"/>
    <w:tmpl w:val="8D9A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BB0332"/>
    <w:multiLevelType w:val="hybridMultilevel"/>
    <w:tmpl w:val="7C9C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E843C9"/>
    <w:multiLevelType w:val="hybridMultilevel"/>
    <w:tmpl w:val="7B54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0A2287"/>
    <w:multiLevelType w:val="hybridMultilevel"/>
    <w:tmpl w:val="60C6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6271A3"/>
    <w:multiLevelType w:val="hybridMultilevel"/>
    <w:tmpl w:val="812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CE4BEE"/>
    <w:multiLevelType w:val="hybridMultilevel"/>
    <w:tmpl w:val="3F76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47187D"/>
    <w:multiLevelType w:val="hybridMultilevel"/>
    <w:tmpl w:val="41BC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9DD4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4A0AF6"/>
    <w:multiLevelType w:val="hybridMultilevel"/>
    <w:tmpl w:val="735E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477B12"/>
    <w:multiLevelType w:val="hybridMultilevel"/>
    <w:tmpl w:val="77A0C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B1653C0"/>
    <w:multiLevelType w:val="hybridMultilevel"/>
    <w:tmpl w:val="5736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D158E8"/>
    <w:multiLevelType w:val="hybridMultilevel"/>
    <w:tmpl w:val="F0FCA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7104F21"/>
    <w:multiLevelType w:val="hybridMultilevel"/>
    <w:tmpl w:val="DF1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417386"/>
    <w:multiLevelType w:val="hybridMultilevel"/>
    <w:tmpl w:val="74BE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5C781B"/>
    <w:multiLevelType w:val="hybridMultilevel"/>
    <w:tmpl w:val="D2EE9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86635CE"/>
    <w:multiLevelType w:val="hybridMultilevel"/>
    <w:tmpl w:val="A58E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BF2D96"/>
    <w:multiLevelType w:val="hybridMultilevel"/>
    <w:tmpl w:val="FE7E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1"/>
  </w:num>
  <w:num w:numId="15">
    <w:abstractNumId w:val="28"/>
  </w:num>
  <w:num w:numId="16">
    <w:abstractNumId w:val="34"/>
  </w:num>
  <w:num w:numId="17">
    <w:abstractNumId w:val="15"/>
  </w:num>
  <w:num w:numId="18">
    <w:abstractNumId w:val="18"/>
  </w:num>
  <w:num w:numId="19">
    <w:abstractNumId w:val="26"/>
  </w:num>
  <w:num w:numId="20">
    <w:abstractNumId w:val="25"/>
  </w:num>
  <w:num w:numId="21">
    <w:abstractNumId w:val="23"/>
  </w:num>
  <w:num w:numId="22">
    <w:abstractNumId w:val="30"/>
  </w:num>
  <w:num w:numId="23">
    <w:abstractNumId w:val="31"/>
  </w:num>
  <w:num w:numId="24">
    <w:abstractNumId w:val="19"/>
  </w:num>
  <w:num w:numId="25">
    <w:abstractNumId w:val="32"/>
  </w:num>
  <w:num w:numId="26">
    <w:abstractNumId w:val="35"/>
  </w:num>
  <w:num w:numId="27">
    <w:abstractNumId w:val="10"/>
  </w:num>
  <w:num w:numId="28">
    <w:abstractNumId w:val="14"/>
  </w:num>
  <w:num w:numId="29">
    <w:abstractNumId w:val="33"/>
  </w:num>
  <w:num w:numId="30">
    <w:abstractNumId w:val="13"/>
  </w:num>
  <w:num w:numId="31">
    <w:abstractNumId w:val="12"/>
  </w:num>
  <w:num w:numId="32">
    <w:abstractNumId w:val="11"/>
  </w:num>
  <w:num w:numId="33">
    <w:abstractNumId w:val="17"/>
  </w:num>
  <w:num w:numId="34">
    <w:abstractNumId w:val="24"/>
  </w:num>
  <w:num w:numId="35">
    <w:abstractNumId w:val="22"/>
  </w:num>
  <w:num w:numId="3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4E"/>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C7"/>
    <w:rsid w:val="009324DC"/>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121"/>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56/NEJMp1611928" TargetMode="External"/><Relationship Id="rId26" Type="http://schemas.openxmlformats.org/officeDocument/2006/relationships/hyperlink" Target="http://qualitysafety.bmj.com/content/26/7" TargetMode="External"/><Relationship Id="rId3" Type="http://schemas.openxmlformats.org/officeDocument/2006/relationships/styles" Target="styles.xml"/><Relationship Id="rId21" Type="http://schemas.openxmlformats.org/officeDocument/2006/relationships/hyperlink" Target="http://dx.doi.org/10.1001/jama.2017.703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healthcare-associated-infection/" TargetMode="External"/><Relationship Id="rId25" Type="http://schemas.openxmlformats.org/officeDocument/2006/relationships/hyperlink" Target="https://www.safetyandquality.gov.au/our-work/shared-decision-mak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S1473-3099(17)30325-0" TargetMode="External"/><Relationship Id="rId20" Type="http://schemas.openxmlformats.org/officeDocument/2006/relationships/hyperlink" Target="https://doi.org/10.1016/S0140-6736(17)30782-1" TargetMode="External"/><Relationship Id="rId29"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www.safetyandquality.gov.au/our-work/patient-and-consumer-centred-care/"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36/bmj.j2180" TargetMode="External"/><Relationship Id="rId28" Type="http://schemas.openxmlformats.org/officeDocument/2006/relationships/hyperlink" Target="http://www.longwoods.com/publications/nursing-leadership/25104"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77/0148607116681468"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safetyandquality.gov.au/our-work/medication-safety/" TargetMode="External"/><Relationship Id="rId27" Type="http://schemas.openxmlformats.org/officeDocument/2006/relationships/hyperlink" Target="http://www.publish.csiro.au/py/issue/8582" TargetMode="External"/><Relationship Id="rId30" Type="http://schemas.openxmlformats.org/officeDocument/2006/relationships/hyperlink" Target="https://academic.oup.com/intqhc/advance-access?pape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249B-36AC-4645-BBFA-B449964A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18622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2017-06-23T03:45:00Z</dcterms:created>
  <dcterms:modified xsi:type="dcterms:W3CDTF">2017-06-23T03:45:00Z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