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8F2199">
        <w:rPr>
          <w:rFonts w:ascii="Garamond" w:hAnsi="Garamond"/>
          <w:color w:val="000000"/>
          <w:lang w:val="en-AU"/>
        </w:rPr>
        <w:t>81</w:t>
      </w:r>
    </w:p>
    <w:p w:rsidR="00755242" w:rsidRPr="00467B47" w:rsidRDefault="008F2199" w:rsidP="00B160EF">
      <w:pPr>
        <w:rPr>
          <w:rFonts w:ascii="Garamond" w:hAnsi="Garamond"/>
          <w:lang w:val="en-AU"/>
        </w:rPr>
      </w:pPr>
      <w:r>
        <w:rPr>
          <w:rFonts w:ascii="Garamond" w:hAnsi="Garamond"/>
          <w:lang w:val="en-AU"/>
        </w:rPr>
        <w:t xml:space="preserve">6 August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44E48" w:rsidRDefault="00244E48"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433ACF" w:rsidRPr="00433ACF" w:rsidRDefault="00433ACF" w:rsidP="00433ACF">
      <w:pPr>
        <w:keepNext/>
        <w:keepLines/>
        <w:autoSpaceDE w:val="0"/>
        <w:autoSpaceDN w:val="0"/>
        <w:adjustRightInd w:val="0"/>
        <w:rPr>
          <w:rFonts w:ascii="Garamond" w:hAnsi="Garamond"/>
          <w:i/>
          <w:lang w:val="en-AU"/>
        </w:rPr>
      </w:pPr>
      <w:r w:rsidRPr="00433ACF">
        <w:rPr>
          <w:rFonts w:ascii="Garamond" w:hAnsi="Garamond"/>
          <w:i/>
          <w:lang w:val="en-AU"/>
        </w:rPr>
        <w:t>Mapping primary care in Australia</w:t>
      </w:r>
    </w:p>
    <w:p w:rsidR="00433ACF" w:rsidRDefault="00433ACF" w:rsidP="00C3692E">
      <w:pPr>
        <w:keepNext/>
        <w:keepLines/>
        <w:autoSpaceDE w:val="0"/>
        <w:autoSpaceDN w:val="0"/>
        <w:adjustRightInd w:val="0"/>
        <w:rPr>
          <w:rFonts w:ascii="Garamond" w:hAnsi="Garamond"/>
          <w:lang w:val="en-AU"/>
        </w:rPr>
      </w:pPr>
      <w:r w:rsidRPr="00433ACF">
        <w:rPr>
          <w:rFonts w:ascii="Garamond" w:hAnsi="Garamond"/>
          <w:lang w:val="en-AU"/>
        </w:rPr>
        <w:t>Swerissen H, Duckett S, Moran G</w:t>
      </w:r>
    </w:p>
    <w:p w:rsidR="00C3692E" w:rsidRPr="00E566B0" w:rsidRDefault="00433ACF" w:rsidP="00C3692E">
      <w:pPr>
        <w:keepNext/>
        <w:keepLines/>
        <w:autoSpaceDE w:val="0"/>
        <w:autoSpaceDN w:val="0"/>
        <w:adjustRightInd w:val="0"/>
        <w:rPr>
          <w:rFonts w:ascii="Garamond" w:hAnsi="Garamond"/>
          <w:lang w:val="en-AU"/>
        </w:rPr>
      </w:pPr>
      <w:r w:rsidRPr="00433ACF">
        <w:rPr>
          <w:rFonts w:ascii="Garamond" w:hAnsi="Garamond"/>
          <w:lang w:val="en-AU"/>
        </w:rPr>
        <w:t>Melbourne: Grattan Institute; 2018.</w:t>
      </w:r>
    </w:p>
    <w:tbl>
      <w:tblPr>
        <w:tblStyle w:val="TableGrid"/>
        <w:tblW w:w="0" w:type="auto"/>
        <w:tblInd w:w="288" w:type="dxa"/>
        <w:tblLayout w:type="fixed"/>
        <w:tblLook w:val="01E0" w:firstRow="1" w:lastRow="1" w:firstColumn="1" w:lastColumn="1" w:noHBand="0" w:noVBand="0"/>
      </w:tblPr>
      <w:tblGrid>
        <w:gridCol w:w="1080"/>
        <w:gridCol w:w="8280"/>
      </w:tblGrid>
      <w:tr w:rsidR="00C3692E"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E564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692E" w:rsidRPr="000170DA" w:rsidRDefault="00BE19DD" w:rsidP="00433ACF">
            <w:pPr>
              <w:rPr>
                <w:rStyle w:val="Hyperlink"/>
                <w:rFonts w:ascii="Garamond" w:hAnsi="Garamond"/>
                <w:color w:val="auto"/>
                <w:u w:val="none"/>
                <w:lang w:val="en-AU"/>
              </w:rPr>
            </w:pPr>
            <w:hyperlink r:id="rId16" w:history="1">
              <w:r w:rsidR="00433ACF" w:rsidRPr="0000373F">
                <w:rPr>
                  <w:rStyle w:val="Hyperlink"/>
                  <w:rFonts w:ascii="Garamond" w:hAnsi="Garamond"/>
                  <w:lang w:val="en-AU"/>
                </w:rPr>
                <w:t>https://grattan.edu.au/report/mapping-primary-care-in-australia/</w:t>
              </w:r>
            </w:hyperlink>
          </w:p>
        </w:tc>
      </w:tr>
      <w:tr w:rsidR="00C3692E"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692E" w:rsidRDefault="00154F25" w:rsidP="00154F25">
            <w:pPr>
              <w:rPr>
                <w:rFonts w:ascii="Garamond" w:hAnsi="Garamond"/>
                <w:lang w:val="en-AU"/>
              </w:rPr>
            </w:pPr>
            <w:r>
              <w:rPr>
                <w:rFonts w:ascii="Garamond" w:hAnsi="Garamond"/>
                <w:lang w:val="en-AU"/>
              </w:rPr>
              <w:t>This latest report from the Grattan Institute’s health program, argues that primary care in Australia needs reform, particularly to ensure better access and equity. There is also a need for better co-ordination and integration of care for people with complex and chronic conditions. The authors believe that “</w:t>
            </w:r>
            <w:r w:rsidRPr="00154F25">
              <w:rPr>
                <w:rFonts w:ascii="Garamond" w:hAnsi="Garamond"/>
                <w:lang w:val="en-AU"/>
              </w:rPr>
              <w:t>Australia needs a comprehensive national primary care framework to</w:t>
            </w:r>
            <w:r>
              <w:rPr>
                <w:rFonts w:ascii="Garamond" w:hAnsi="Garamond"/>
                <w:lang w:val="en-AU"/>
              </w:rPr>
              <w:t xml:space="preserve"> </w:t>
            </w:r>
            <w:r w:rsidRPr="00154F25">
              <w:rPr>
                <w:rFonts w:ascii="Garamond" w:hAnsi="Garamond"/>
                <w:lang w:val="en-AU"/>
              </w:rPr>
              <w:t>improve patient care and prevention; formal agreements between the</w:t>
            </w:r>
            <w:r>
              <w:rPr>
                <w:rFonts w:ascii="Garamond" w:hAnsi="Garamond"/>
                <w:lang w:val="en-AU"/>
              </w:rPr>
              <w:t xml:space="preserve"> </w:t>
            </w:r>
            <w:r w:rsidRPr="00154F25">
              <w:rPr>
                <w:rFonts w:ascii="Garamond" w:hAnsi="Garamond"/>
                <w:lang w:val="en-AU"/>
              </w:rPr>
              <w:t>Commonwealth, the states and Primary Health Networks to improve</w:t>
            </w:r>
            <w:r>
              <w:rPr>
                <w:rFonts w:ascii="Garamond" w:hAnsi="Garamond"/>
                <w:lang w:val="en-AU"/>
              </w:rPr>
              <w:t xml:space="preserve"> </w:t>
            </w:r>
            <w:r w:rsidRPr="00154F25">
              <w:rPr>
                <w:rFonts w:ascii="Garamond" w:hAnsi="Garamond"/>
                <w:lang w:val="en-AU"/>
              </w:rPr>
              <w:t>system management; and new funding, payment and organisational</w:t>
            </w:r>
            <w:r>
              <w:rPr>
                <w:rFonts w:ascii="Garamond" w:hAnsi="Garamond"/>
                <w:lang w:val="en-AU"/>
              </w:rPr>
              <w:t xml:space="preserve"> </w:t>
            </w:r>
            <w:r w:rsidRPr="00154F25">
              <w:rPr>
                <w:rFonts w:ascii="Garamond" w:hAnsi="Garamond"/>
                <w:lang w:val="en-AU"/>
              </w:rPr>
              <w:t>arrangements to help keep populations healthy and to provide better</w:t>
            </w:r>
            <w:r>
              <w:rPr>
                <w:rFonts w:ascii="Garamond" w:hAnsi="Garamond"/>
                <w:lang w:val="en-AU"/>
              </w:rPr>
              <w:t xml:space="preserve"> </w:t>
            </w:r>
            <w:r w:rsidRPr="00154F25">
              <w:rPr>
                <w:rFonts w:ascii="Garamond" w:hAnsi="Garamond"/>
                <w:lang w:val="en-AU"/>
              </w:rPr>
              <w:t>long-term care for the increasing number of older Australians who live</w:t>
            </w:r>
            <w:r>
              <w:rPr>
                <w:rFonts w:ascii="Garamond" w:hAnsi="Garamond"/>
                <w:lang w:val="en-AU"/>
              </w:rPr>
              <w:t xml:space="preserve"> </w:t>
            </w:r>
            <w:r w:rsidRPr="00154F25">
              <w:rPr>
                <w:rFonts w:ascii="Garamond" w:hAnsi="Garamond"/>
                <w:lang w:val="en-AU"/>
              </w:rPr>
              <w:t>with complex and chronic conditions.</w:t>
            </w:r>
            <w:r>
              <w:rPr>
                <w:rFonts w:ascii="Garamond" w:hAnsi="Garamond"/>
                <w:lang w:val="en-AU"/>
              </w:rPr>
              <w:t>”</w:t>
            </w:r>
          </w:p>
          <w:p w:rsidR="00FD59E3" w:rsidRPr="002A6E38" w:rsidRDefault="00FD59E3" w:rsidP="00154F25">
            <w:pPr>
              <w:rPr>
                <w:rFonts w:ascii="Garamond" w:hAnsi="Garamond"/>
                <w:lang w:val="en-AU"/>
              </w:rPr>
            </w:pPr>
            <w:r w:rsidRPr="00FD59E3">
              <w:rPr>
                <w:rFonts w:ascii="Garamond" w:hAnsi="Garamond"/>
                <w:lang w:val="en-AU"/>
              </w:rPr>
              <w:t>For those of a cartographic bent, the title refers to a metaphorical mapping, not a literal one. There are no maps in the report.</w:t>
            </w:r>
          </w:p>
        </w:tc>
      </w:tr>
    </w:tbl>
    <w:p w:rsidR="00C3692E" w:rsidRDefault="00C3692E" w:rsidP="00C3692E">
      <w:pPr>
        <w:rPr>
          <w:rFonts w:ascii="Garamond" w:hAnsi="Garamond"/>
          <w:lang w:val="en-AU"/>
        </w:rPr>
      </w:pPr>
    </w:p>
    <w:p w:rsidR="00C3692E" w:rsidRDefault="00154F25" w:rsidP="00C3692E">
      <w:pPr>
        <w:rPr>
          <w:rFonts w:ascii="Garamond" w:hAnsi="Garamond"/>
          <w:lang w:val="en-AU"/>
        </w:rPr>
      </w:pPr>
      <w:r w:rsidRPr="00154F25">
        <w:rPr>
          <w:rFonts w:ascii="Garamond" w:hAnsi="Garamond"/>
          <w:lang w:val="en-AU"/>
        </w:rPr>
        <w:t>For information on the Commission’s work on p</w:t>
      </w:r>
      <w:r w:rsidR="00555D5B">
        <w:rPr>
          <w:rFonts w:ascii="Garamond" w:hAnsi="Garamond"/>
          <w:lang w:val="en-AU"/>
        </w:rPr>
        <w:t xml:space="preserve">rimary health </w:t>
      </w:r>
      <w:r w:rsidRPr="00154F25">
        <w:rPr>
          <w:rFonts w:ascii="Garamond" w:hAnsi="Garamond"/>
          <w:lang w:val="en-AU"/>
        </w:rPr>
        <w:t xml:space="preserve">care, see </w:t>
      </w:r>
      <w:hyperlink r:id="rId17" w:history="1">
        <w:r w:rsidR="00555D5B" w:rsidRPr="00F25C10">
          <w:rPr>
            <w:rStyle w:val="Hyperlink"/>
            <w:rFonts w:ascii="Garamond" w:hAnsi="Garamond"/>
            <w:lang w:val="en-AU"/>
          </w:rPr>
          <w:t>https://www.safetyandquality.gov.au/our-work/primary-health-care/</w:t>
        </w:r>
      </w:hyperlink>
    </w:p>
    <w:p w:rsidR="00513D64" w:rsidRPr="00513D64" w:rsidRDefault="00513D64" w:rsidP="00513D64">
      <w:pPr>
        <w:keepNext/>
        <w:keepLines/>
        <w:autoSpaceDE w:val="0"/>
        <w:autoSpaceDN w:val="0"/>
        <w:adjustRightInd w:val="0"/>
        <w:jc w:val="both"/>
        <w:rPr>
          <w:rFonts w:ascii="Garamond" w:hAnsi="Garamond"/>
          <w:i/>
          <w:lang w:val="en-AU"/>
        </w:rPr>
      </w:pPr>
      <w:r w:rsidRPr="00513D64">
        <w:rPr>
          <w:rFonts w:ascii="Garamond" w:hAnsi="Garamond"/>
          <w:i/>
          <w:lang w:val="en-AU"/>
        </w:rPr>
        <w:lastRenderedPageBreak/>
        <w:t>IHI Innovation System</w:t>
      </w:r>
    </w:p>
    <w:p w:rsidR="00513D64" w:rsidRDefault="00513D64" w:rsidP="00513D64">
      <w:pPr>
        <w:keepNext/>
        <w:keepLines/>
        <w:autoSpaceDE w:val="0"/>
        <w:autoSpaceDN w:val="0"/>
        <w:adjustRightInd w:val="0"/>
        <w:jc w:val="both"/>
        <w:rPr>
          <w:rFonts w:ascii="Garamond" w:hAnsi="Garamond"/>
          <w:lang w:val="en-AU"/>
        </w:rPr>
      </w:pPr>
      <w:r w:rsidRPr="00513D64">
        <w:rPr>
          <w:rFonts w:ascii="Garamond" w:hAnsi="Garamond"/>
          <w:lang w:val="en-AU"/>
        </w:rPr>
        <w:t>IHI White Paper</w:t>
      </w:r>
    </w:p>
    <w:p w:rsidR="00513D64" w:rsidRDefault="00513D64" w:rsidP="00154F25">
      <w:pPr>
        <w:keepNext/>
        <w:keepLines/>
        <w:autoSpaceDE w:val="0"/>
        <w:autoSpaceDN w:val="0"/>
        <w:adjustRightInd w:val="0"/>
        <w:jc w:val="both"/>
        <w:rPr>
          <w:rFonts w:ascii="Garamond" w:hAnsi="Garamond"/>
          <w:lang w:val="en-AU"/>
        </w:rPr>
      </w:pPr>
      <w:r w:rsidRPr="00513D64">
        <w:rPr>
          <w:rFonts w:ascii="Garamond" w:hAnsi="Garamond"/>
          <w:lang w:val="en-AU"/>
        </w:rPr>
        <w:t>Martin LA, Mate K</w:t>
      </w:r>
    </w:p>
    <w:p w:rsidR="009A2BEC" w:rsidRPr="009A2BEC" w:rsidRDefault="00513D64" w:rsidP="00154F25">
      <w:pPr>
        <w:keepNext/>
        <w:keepLines/>
        <w:autoSpaceDE w:val="0"/>
        <w:autoSpaceDN w:val="0"/>
        <w:adjustRightInd w:val="0"/>
        <w:jc w:val="both"/>
        <w:rPr>
          <w:rFonts w:ascii="Garamond" w:hAnsi="Garamond"/>
          <w:lang w:val="en-AU"/>
        </w:rPr>
      </w:pPr>
      <w:r w:rsidRPr="00513D64">
        <w:rPr>
          <w:rFonts w:ascii="Garamond" w:hAnsi="Garamond"/>
          <w:lang w:val="en-AU"/>
        </w:rPr>
        <w:t>Boston: Institute for Healthcare Improvement; 2018. p. 29.</w:t>
      </w:r>
    </w:p>
    <w:tbl>
      <w:tblPr>
        <w:tblStyle w:val="TableGrid"/>
        <w:tblW w:w="0" w:type="auto"/>
        <w:tblInd w:w="288" w:type="dxa"/>
        <w:tblLayout w:type="fixed"/>
        <w:tblLook w:val="01E0" w:firstRow="1" w:lastRow="1" w:firstColumn="1" w:lastColumn="1" w:noHBand="0" w:noVBand="0"/>
      </w:tblPr>
      <w:tblGrid>
        <w:gridCol w:w="1080"/>
        <w:gridCol w:w="8280"/>
      </w:tblGrid>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31FDA" w:rsidRPr="000170DA" w:rsidRDefault="00BE19DD" w:rsidP="002837E6">
            <w:pPr>
              <w:rPr>
                <w:rStyle w:val="Hyperlink"/>
                <w:rFonts w:ascii="Garamond" w:hAnsi="Garamond"/>
                <w:color w:val="auto"/>
                <w:u w:val="none"/>
                <w:lang w:val="en-AU"/>
              </w:rPr>
            </w:pPr>
            <w:hyperlink r:id="rId18" w:history="1">
              <w:r w:rsidR="00513D64" w:rsidRPr="00F25C10">
                <w:rPr>
                  <w:rStyle w:val="Hyperlink"/>
                  <w:rFonts w:ascii="Garamond" w:hAnsi="Garamond"/>
                  <w:lang w:val="en-AU"/>
                </w:rPr>
                <w:t>http://www.ihi.org/resources/Pages/IHIWhitePapers/IHI-Innovation-System.aspx</w:t>
              </w:r>
            </w:hyperlink>
          </w:p>
        </w:tc>
      </w:tr>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0B4C" w:rsidRPr="00EF0B4C" w:rsidRDefault="00513D64" w:rsidP="00EF0B4C">
            <w:pPr>
              <w:rPr>
                <w:rFonts w:ascii="Garamond" w:hAnsi="Garamond"/>
                <w:lang w:val="en-AU"/>
              </w:rPr>
            </w:pPr>
            <w:r>
              <w:rPr>
                <w:rFonts w:ascii="Garamond" w:hAnsi="Garamond"/>
                <w:lang w:val="en-AU"/>
              </w:rPr>
              <w:t xml:space="preserve">The (US) </w:t>
            </w:r>
            <w:r w:rsidRPr="00513D64">
              <w:rPr>
                <w:rFonts w:ascii="Garamond" w:hAnsi="Garamond"/>
                <w:lang w:val="en-AU"/>
              </w:rPr>
              <w:t>Institute for Healthcare Improvement</w:t>
            </w:r>
            <w:r>
              <w:rPr>
                <w:rFonts w:ascii="Garamond" w:hAnsi="Garamond"/>
                <w:lang w:val="en-AU"/>
              </w:rPr>
              <w:t xml:space="preserve"> has released this ‘white paper’ that seeks to </w:t>
            </w:r>
            <w:r w:rsidRPr="00513D64">
              <w:rPr>
                <w:rFonts w:ascii="Garamond" w:hAnsi="Garamond"/>
                <w:lang w:val="en-AU"/>
              </w:rPr>
              <w:t>describes how a health care organization might create its own internal innovation system, based on the needs of the organization, that focuses on improving health care delivery.</w:t>
            </w:r>
            <w:r w:rsidR="00EF0B4C">
              <w:rPr>
                <w:rFonts w:ascii="Garamond" w:hAnsi="Garamond"/>
                <w:lang w:val="en-AU"/>
              </w:rPr>
              <w:t xml:space="preserve"> </w:t>
            </w:r>
            <w:r w:rsidR="00EF0B4C" w:rsidRPr="00EF0B4C">
              <w:rPr>
                <w:rFonts w:ascii="Garamond" w:hAnsi="Garamond"/>
                <w:lang w:val="en-AU"/>
              </w:rPr>
              <w:t>The paper provides a description of the IHI innovation system and includes guidance on:</w:t>
            </w:r>
          </w:p>
          <w:p w:rsidR="00EF0B4C" w:rsidRPr="00EF0B4C" w:rsidRDefault="00EF0B4C" w:rsidP="00EF0B4C">
            <w:pPr>
              <w:pStyle w:val="ListParagraph"/>
              <w:numPr>
                <w:ilvl w:val="0"/>
                <w:numId w:val="48"/>
              </w:numPr>
              <w:rPr>
                <w:rFonts w:ascii="Garamond" w:hAnsi="Garamond"/>
                <w:lang w:val="en-AU"/>
              </w:rPr>
            </w:pPr>
            <w:r w:rsidRPr="00EF0B4C">
              <w:rPr>
                <w:rFonts w:ascii="Garamond" w:hAnsi="Garamond"/>
                <w:lang w:val="en-AU"/>
              </w:rPr>
              <w:t>Determining the innovation system architecture: goals, priorities, and ded</w:t>
            </w:r>
            <w:r>
              <w:rPr>
                <w:rFonts w:ascii="Garamond" w:hAnsi="Garamond"/>
                <w:lang w:val="en-AU"/>
              </w:rPr>
              <w:t>icated resources for innovation</w:t>
            </w:r>
          </w:p>
          <w:p w:rsidR="00EF0B4C" w:rsidRPr="00EF0B4C" w:rsidRDefault="00EF0B4C" w:rsidP="00EF0B4C">
            <w:pPr>
              <w:pStyle w:val="ListParagraph"/>
              <w:numPr>
                <w:ilvl w:val="0"/>
                <w:numId w:val="48"/>
              </w:numPr>
              <w:rPr>
                <w:rFonts w:ascii="Garamond" w:hAnsi="Garamond"/>
                <w:lang w:val="en-AU"/>
              </w:rPr>
            </w:pPr>
            <w:r w:rsidRPr="00EF0B4C">
              <w:rPr>
                <w:rFonts w:ascii="Garamond" w:hAnsi="Garamond"/>
                <w:lang w:val="en-AU"/>
              </w:rPr>
              <w:t>Creating a disciplined innovation process</w:t>
            </w:r>
          </w:p>
          <w:p w:rsidR="00231FDA" w:rsidRPr="00EF0B4C" w:rsidRDefault="00EF0B4C" w:rsidP="00EF0B4C">
            <w:pPr>
              <w:pStyle w:val="ListParagraph"/>
              <w:numPr>
                <w:ilvl w:val="0"/>
                <w:numId w:val="48"/>
              </w:numPr>
              <w:rPr>
                <w:rFonts w:ascii="Garamond" w:hAnsi="Garamond"/>
                <w:lang w:val="en-AU"/>
              </w:rPr>
            </w:pPr>
            <w:r w:rsidRPr="00EF0B4C">
              <w:rPr>
                <w:rFonts w:ascii="Garamond" w:hAnsi="Garamond"/>
                <w:lang w:val="en-AU"/>
              </w:rPr>
              <w:t>Establishing ongoing management of the innovation system</w:t>
            </w:r>
            <w:r>
              <w:rPr>
                <w:rFonts w:ascii="Garamond" w:hAnsi="Garamond"/>
                <w:lang w:val="en-AU"/>
              </w:rPr>
              <w:t xml:space="preserve"> by</w:t>
            </w:r>
            <w:r w:rsidRPr="00EF0B4C">
              <w:rPr>
                <w:rFonts w:ascii="Garamond" w:hAnsi="Garamond"/>
                <w:lang w:val="en-AU"/>
              </w:rPr>
              <w:t xml:space="preserve"> identifying innovation drivers, developing processes, and integrating operations and innovation</w:t>
            </w:r>
          </w:p>
        </w:tc>
      </w:tr>
    </w:tbl>
    <w:p w:rsidR="00C3692E" w:rsidRDefault="00C3692E">
      <w:pPr>
        <w:rPr>
          <w:rFonts w:ascii="Garamond" w:hAnsi="Garamond"/>
          <w:b/>
          <w:lang w:val="en-AU"/>
        </w:rPr>
      </w:pPr>
    </w:p>
    <w:p w:rsidR="00E56427" w:rsidRDefault="00E56427">
      <w:pPr>
        <w:rPr>
          <w:rFonts w:ascii="Garamond" w:hAnsi="Garamond"/>
          <w:b/>
          <w:lang w:val="en-AU"/>
        </w:rPr>
      </w:pPr>
    </w:p>
    <w:p w:rsidR="005F7C5E" w:rsidRDefault="005F7C5E">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612B6A" w:rsidRPr="000C0FF7" w:rsidRDefault="00612B6A" w:rsidP="005F7C5E">
      <w:pPr>
        <w:keepLines/>
        <w:autoSpaceDE w:val="0"/>
        <w:autoSpaceDN w:val="0"/>
        <w:adjustRightInd w:val="0"/>
        <w:rPr>
          <w:rFonts w:ascii="Garamond" w:hAnsi="Garamond"/>
          <w:i/>
          <w:lang w:val="en-AU"/>
        </w:rPr>
      </w:pPr>
      <w:r w:rsidRPr="000C0FF7">
        <w:rPr>
          <w:rFonts w:ascii="Garamond" w:hAnsi="Garamond"/>
          <w:i/>
          <w:lang w:val="en-AU"/>
        </w:rPr>
        <w:t>National Heart Foundation of Australia and Cardiac Society of Australia and New Zealand: Australian clinical guidelines for the diagnosis and management of atrial fibrillation 2018</w:t>
      </w:r>
    </w:p>
    <w:p w:rsidR="000C0FF7" w:rsidRDefault="000C0FF7" w:rsidP="005F7C5E">
      <w:pPr>
        <w:keepLines/>
        <w:autoSpaceDE w:val="0"/>
        <w:autoSpaceDN w:val="0"/>
        <w:adjustRightInd w:val="0"/>
        <w:rPr>
          <w:rFonts w:ascii="Garamond" w:hAnsi="Garamond"/>
          <w:lang w:val="en-AU"/>
        </w:rPr>
      </w:pPr>
      <w:r w:rsidRPr="000C0FF7">
        <w:rPr>
          <w:rFonts w:ascii="Garamond" w:hAnsi="Garamond"/>
          <w:lang w:val="en-AU"/>
        </w:rPr>
        <w:t>Brieger D, Amerena J, Attia JR, Bajorek B, Chan KH, Connell C, et al</w:t>
      </w:r>
    </w:p>
    <w:p w:rsidR="00612B6A" w:rsidRDefault="000C0FF7" w:rsidP="005F7C5E">
      <w:pPr>
        <w:keepLines/>
        <w:autoSpaceDE w:val="0"/>
        <w:autoSpaceDN w:val="0"/>
        <w:adjustRightInd w:val="0"/>
        <w:rPr>
          <w:rFonts w:ascii="Garamond" w:hAnsi="Garamond"/>
          <w:lang w:val="en-AU"/>
        </w:rPr>
      </w:pPr>
      <w:r w:rsidRPr="000C0FF7">
        <w:rPr>
          <w:rFonts w:ascii="Garamond" w:hAnsi="Garamond"/>
          <w:lang w:val="en-AU"/>
        </w:rPr>
        <w:t>Medical Journal of Australia. 2018</w:t>
      </w:r>
      <w:r>
        <w:rPr>
          <w:rFonts w:ascii="Garamond" w:hAnsi="Garamond"/>
          <w:lang w:val="en-AU"/>
        </w:rPr>
        <w:t xml:space="preserve"> [epub]</w:t>
      </w:r>
      <w:r w:rsidRPr="000C0FF7">
        <w:rPr>
          <w:rFonts w:ascii="Garamond" w:hAnsi="Garamond"/>
          <w:lang w:val="en-AU"/>
        </w:rPr>
        <w:t>.</w:t>
      </w:r>
    </w:p>
    <w:p w:rsidR="000C0FF7" w:rsidRDefault="000C0FF7" w:rsidP="005F7C5E">
      <w:pPr>
        <w:keepLines/>
        <w:autoSpaceDE w:val="0"/>
        <w:autoSpaceDN w:val="0"/>
        <w:adjustRightInd w:val="0"/>
        <w:rPr>
          <w:rFonts w:ascii="Garamond" w:hAnsi="Garamond"/>
          <w:lang w:val="en-AU"/>
        </w:rPr>
      </w:pPr>
    </w:p>
    <w:p w:rsidR="00612B6A" w:rsidRPr="000C0FF7" w:rsidRDefault="00612B6A" w:rsidP="005F7C5E">
      <w:pPr>
        <w:keepLines/>
        <w:autoSpaceDE w:val="0"/>
        <w:autoSpaceDN w:val="0"/>
        <w:adjustRightInd w:val="0"/>
        <w:rPr>
          <w:rFonts w:ascii="Garamond" w:hAnsi="Garamond"/>
          <w:i/>
          <w:lang w:val="en-AU"/>
        </w:rPr>
      </w:pPr>
      <w:r w:rsidRPr="000C0FF7">
        <w:rPr>
          <w:rFonts w:ascii="Garamond" w:hAnsi="Garamond"/>
          <w:i/>
          <w:lang w:val="en-AU"/>
        </w:rPr>
        <w:t>National Heart Foundation of Australia and Cardiac Society of Australia and New Zealand: Australian clinical guidelines for the management of heart failure 2018</w:t>
      </w:r>
    </w:p>
    <w:p w:rsidR="00A64867" w:rsidRDefault="000C0FF7" w:rsidP="000C0FF7">
      <w:pPr>
        <w:keepNext/>
        <w:keepLines/>
        <w:autoSpaceDE w:val="0"/>
        <w:autoSpaceDN w:val="0"/>
        <w:adjustRightInd w:val="0"/>
        <w:rPr>
          <w:rFonts w:ascii="Garamond" w:hAnsi="Garamond"/>
          <w:lang w:val="en-AU"/>
        </w:rPr>
      </w:pPr>
      <w:r w:rsidRPr="000C0FF7">
        <w:rPr>
          <w:rFonts w:ascii="Garamond" w:hAnsi="Garamond"/>
          <w:lang w:val="en-AU"/>
        </w:rPr>
        <w:t>Atherton JJ, Sindone A, De Pasquale CG, Driscoll A, MacDonald PS, Hopper I, et al</w:t>
      </w:r>
    </w:p>
    <w:p w:rsidR="000C0FF7" w:rsidRPr="00E566B0" w:rsidRDefault="000C0FF7" w:rsidP="000C0FF7">
      <w:pPr>
        <w:keepNext/>
        <w:keepLines/>
        <w:autoSpaceDE w:val="0"/>
        <w:autoSpaceDN w:val="0"/>
        <w:adjustRightInd w:val="0"/>
        <w:rPr>
          <w:rFonts w:ascii="Garamond" w:hAnsi="Garamond"/>
          <w:lang w:val="en-AU"/>
        </w:rPr>
      </w:pPr>
      <w:r w:rsidRPr="000C0FF7">
        <w:rPr>
          <w:rFonts w:ascii="Garamond" w:hAnsi="Garamond"/>
          <w:lang w:val="en-AU"/>
        </w:rPr>
        <w:t>Medical Journal of Australia. 2018</w:t>
      </w:r>
      <w:r w:rsidR="00A64867">
        <w:rPr>
          <w:rFonts w:ascii="Garamond" w:hAnsi="Garamond"/>
          <w:lang w:val="en-AU"/>
        </w:rPr>
        <w:t xml:space="preserve"> [epub]</w:t>
      </w:r>
      <w:r w:rsidRPr="000C0FF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Default="000C0FF7" w:rsidP="00E56427">
            <w:pPr>
              <w:rPr>
                <w:rStyle w:val="Hyperlink"/>
                <w:rFonts w:ascii="Garamond" w:hAnsi="Garamond"/>
                <w:color w:val="auto"/>
                <w:u w:val="none"/>
                <w:lang w:val="en-AU"/>
              </w:rPr>
            </w:pPr>
            <w:r w:rsidRPr="000C0FF7">
              <w:rPr>
                <w:rStyle w:val="Hyperlink"/>
                <w:rFonts w:ascii="Garamond" w:hAnsi="Garamond"/>
                <w:color w:val="auto"/>
                <w:u w:val="none"/>
                <w:lang w:val="en-AU"/>
              </w:rPr>
              <w:t xml:space="preserve">Brieger </w:t>
            </w:r>
            <w:r>
              <w:rPr>
                <w:rStyle w:val="Hyperlink"/>
                <w:rFonts w:ascii="Garamond" w:hAnsi="Garamond"/>
                <w:color w:val="auto"/>
                <w:u w:val="none"/>
                <w:lang w:val="en-AU"/>
              </w:rPr>
              <w:t xml:space="preserve"> et al </w:t>
            </w:r>
            <w:hyperlink r:id="rId19" w:history="1">
              <w:r w:rsidRPr="00F25C10">
                <w:rPr>
                  <w:rStyle w:val="Hyperlink"/>
                  <w:rFonts w:ascii="Garamond" w:hAnsi="Garamond"/>
                  <w:lang w:val="en-AU"/>
                </w:rPr>
                <w:t>https://doi.org/10.5694/mja18.00646</w:t>
              </w:r>
            </w:hyperlink>
          </w:p>
          <w:p w:rsidR="000C0FF7" w:rsidRPr="000170DA" w:rsidRDefault="000C0FF7" w:rsidP="000C0FF7">
            <w:pPr>
              <w:rPr>
                <w:rStyle w:val="Hyperlink"/>
                <w:rFonts w:ascii="Garamond" w:hAnsi="Garamond"/>
                <w:color w:val="auto"/>
                <w:u w:val="none"/>
                <w:lang w:val="en-AU"/>
              </w:rPr>
            </w:pPr>
            <w:r>
              <w:rPr>
                <w:rStyle w:val="Hyperlink"/>
                <w:rFonts w:ascii="Garamond" w:hAnsi="Garamond"/>
                <w:color w:val="auto"/>
                <w:u w:val="none"/>
                <w:lang w:val="en-AU"/>
              </w:rPr>
              <w:t xml:space="preserve">Atherton et al </w:t>
            </w:r>
            <w:hyperlink r:id="rId20" w:history="1">
              <w:r w:rsidRPr="00F25C10">
                <w:rPr>
                  <w:rStyle w:val="Hyperlink"/>
                  <w:rFonts w:ascii="Garamond" w:hAnsi="Garamond"/>
                  <w:lang w:val="en-AU"/>
                </w:rPr>
                <w:t>https://doi.org/10.5694/mja18.00647</w:t>
              </w:r>
            </w:hyperlink>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365E9" w:rsidRDefault="000C0FF7" w:rsidP="00A64867">
            <w:pPr>
              <w:rPr>
                <w:rFonts w:ascii="Garamond" w:hAnsi="Garamond"/>
                <w:lang w:val="en-AU"/>
              </w:rPr>
            </w:pPr>
            <w:r>
              <w:rPr>
                <w:rFonts w:ascii="Garamond" w:hAnsi="Garamond"/>
                <w:lang w:val="en-AU"/>
              </w:rPr>
              <w:t xml:space="preserve">The </w:t>
            </w:r>
            <w:r w:rsidRPr="000C0FF7">
              <w:rPr>
                <w:rFonts w:ascii="Garamond" w:hAnsi="Garamond"/>
                <w:lang w:val="en-AU"/>
              </w:rPr>
              <w:t>National Heart Foundation of Australia and Cardiac Society of Australia and New Zealand</w:t>
            </w:r>
            <w:r>
              <w:rPr>
                <w:rFonts w:ascii="Garamond" w:hAnsi="Garamond"/>
                <w:lang w:val="en-AU"/>
              </w:rPr>
              <w:t xml:space="preserve"> have </w:t>
            </w:r>
            <w:r w:rsidR="00A64867">
              <w:rPr>
                <w:rFonts w:ascii="Garamond" w:hAnsi="Garamond"/>
                <w:lang w:val="en-AU"/>
              </w:rPr>
              <w:t xml:space="preserve">developed </w:t>
            </w:r>
            <w:r>
              <w:rPr>
                <w:rFonts w:ascii="Garamond" w:hAnsi="Garamond"/>
                <w:lang w:val="en-AU"/>
              </w:rPr>
              <w:t>these two clinical guidelines</w:t>
            </w:r>
            <w:r w:rsidR="00A64867">
              <w:rPr>
                <w:rFonts w:ascii="Garamond" w:hAnsi="Garamond"/>
                <w:lang w:val="en-AU"/>
              </w:rPr>
              <w:t xml:space="preserve"> for to assist clinicians in caring for adult patients with </w:t>
            </w:r>
            <w:r w:rsidR="00A64867" w:rsidRPr="00A64867">
              <w:rPr>
                <w:rFonts w:ascii="Garamond" w:hAnsi="Garamond"/>
                <w:lang w:val="en-AU"/>
              </w:rPr>
              <w:t>atrial fibrillation</w:t>
            </w:r>
            <w:r w:rsidR="00A64867">
              <w:rPr>
                <w:rFonts w:ascii="Garamond" w:hAnsi="Garamond"/>
                <w:lang w:val="en-AU"/>
              </w:rPr>
              <w:t xml:space="preserve"> and heart failure</w:t>
            </w:r>
            <w:r>
              <w:rPr>
                <w:rFonts w:ascii="Garamond" w:hAnsi="Garamond"/>
                <w:lang w:val="en-AU"/>
              </w:rPr>
              <w:t>.</w:t>
            </w:r>
            <w:r w:rsidR="00A64867">
              <w:rPr>
                <w:rFonts w:ascii="Garamond" w:hAnsi="Garamond"/>
                <w:lang w:val="en-AU"/>
              </w:rPr>
              <w:t xml:space="preserve"> </w:t>
            </w:r>
            <w:r w:rsidR="00A64867" w:rsidRPr="00A64867">
              <w:rPr>
                <w:rFonts w:ascii="Garamond" w:hAnsi="Garamond"/>
                <w:lang w:val="en-AU"/>
              </w:rPr>
              <w:t xml:space="preserve">The full clinical guidelines are available in </w:t>
            </w:r>
            <w:r w:rsidR="00A64867">
              <w:rPr>
                <w:rFonts w:ascii="Garamond" w:hAnsi="Garamond"/>
                <w:lang w:val="en-AU"/>
              </w:rPr>
              <w:t xml:space="preserve">the journal </w:t>
            </w:r>
            <w:r w:rsidR="00A64867" w:rsidRPr="00A64867">
              <w:rPr>
                <w:rFonts w:ascii="Garamond" w:hAnsi="Garamond"/>
                <w:lang w:val="en-AU"/>
              </w:rPr>
              <w:t>Heart, Lung and Circulation at</w:t>
            </w:r>
            <w:r w:rsidR="00A64867">
              <w:rPr>
                <w:rFonts w:ascii="Garamond" w:hAnsi="Garamond"/>
                <w:lang w:val="en-AU"/>
              </w:rPr>
              <w:t xml:space="preserve"> </w:t>
            </w:r>
            <w:hyperlink r:id="rId21" w:history="1">
              <w:r w:rsidR="00A64867" w:rsidRPr="00F25C10">
                <w:rPr>
                  <w:rStyle w:val="Hyperlink"/>
                  <w:rFonts w:ascii="Garamond" w:hAnsi="Garamond"/>
                  <w:lang w:val="en-AU"/>
                </w:rPr>
                <w:t>https://doi.org/10.1016/j.hlc.2018.06.1043</w:t>
              </w:r>
            </w:hyperlink>
            <w:r w:rsidR="00A64867">
              <w:rPr>
                <w:rFonts w:ascii="Garamond" w:hAnsi="Garamond"/>
                <w:lang w:val="en-AU"/>
              </w:rPr>
              <w:t xml:space="preserve"> and </w:t>
            </w:r>
            <w:hyperlink r:id="rId22" w:history="1">
              <w:r w:rsidR="00A64867" w:rsidRPr="00F25C10">
                <w:rPr>
                  <w:rStyle w:val="Hyperlink"/>
                  <w:rFonts w:ascii="Garamond" w:hAnsi="Garamond"/>
                  <w:lang w:val="en-AU"/>
                </w:rPr>
                <w:t>https://doi.org/10.1016/j.hlc.2018.06.1042</w:t>
              </w:r>
            </w:hyperlink>
            <w:r w:rsidR="00A64867">
              <w:rPr>
                <w:rFonts w:ascii="Garamond" w:hAnsi="Garamond"/>
                <w:lang w:val="en-AU"/>
              </w:rPr>
              <w:t xml:space="preserve"> respectively.</w:t>
            </w:r>
          </w:p>
        </w:tc>
      </w:tr>
    </w:tbl>
    <w:p w:rsidR="000C0FF7" w:rsidRDefault="000C0FF7" w:rsidP="000C0FF7">
      <w:pPr>
        <w:keepLines/>
        <w:autoSpaceDE w:val="0"/>
        <w:autoSpaceDN w:val="0"/>
        <w:adjustRightInd w:val="0"/>
        <w:rPr>
          <w:rFonts w:ascii="Garamond" w:hAnsi="Garamond"/>
          <w:lang w:val="en-AU"/>
        </w:rPr>
      </w:pPr>
    </w:p>
    <w:p w:rsidR="00212917" w:rsidRPr="00EF0B4C" w:rsidRDefault="00212917" w:rsidP="00212917">
      <w:pPr>
        <w:keepNext/>
        <w:keepLines/>
        <w:autoSpaceDE w:val="0"/>
        <w:autoSpaceDN w:val="0"/>
        <w:adjustRightInd w:val="0"/>
        <w:rPr>
          <w:rFonts w:ascii="Garamond" w:hAnsi="Garamond"/>
          <w:i/>
          <w:lang w:val="en-AU"/>
        </w:rPr>
      </w:pPr>
      <w:r w:rsidRPr="00EF0B4C">
        <w:rPr>
          <w:rFonts w:ascii="Garamond" w:hAnsi="Garamond"/>
          <w:i/>
          <w:lang w:val="en-AU"/>
        </w:rPr>
        <w:t>NSW Clinical Guidelines: Treatment of Opioid Dependence 2018</w:t>
      </w:r>
    </w:p>
    <w:p w:rsidR="00212917" w:rsidRDefault="00212917" w:rsidP="00212917">
      <w:pPr>
        <w:keepNext/>
        <w:keepLines/>
        <w:autoSpaceDE w:val="0"/>
        <w:autoSpaceDN w:val="0"/>
        <w:adjustRightInd w:val="0"/>
        <w:ind w:left="720" w:hanging="720"/>
        <w:rPr>
          <w:rFonts w:ascii="Garamond" w:hAnsi="Garamond"/>
          <w:lang w:val="en-AU"/>
        </w:rPr>
      </w:pPr>
      <w:r w:rsidRPr="00EF0B4C">
        <w:rPr>
          <w:rFonts w:ascii="Garamond" w:hAnsi="Garamond"/>
          <w:lang w:val="en-AU"/>
        </w:rPr>
        <w:t>NSW Ministry of Health</w:t>
      </w:r>
    </w:p>
    <w:p w:rsidR="00212917" w:rsidRPr="00E566B0" w:rsidRDefault="00212917" w:rsidP="00212917">
      <w:pPr>
        <w:keepNext/>
        <w:keepLines/>
        <w:autoSpaceDE w:val="0"/>
        <w:autoSpaceDN w:val="0"/>
        <w:adjustRightInd w:val="0"/>
        <w:ind w:left="720" w:hanging="720"/>
        <w:rPr>
          <w:rFonts w:ascii="Garamond" w:hAnsi="Garamond"/>
          <w:lang w:val="en-AU"/>
        </w:rPr>
      </w:pPr>
      <w:r w:rsidRPr="00EF0B4C">
        <w:rPr>
          <w:rFonts w:ascii="Garamond" w:hAnsi="Garamond"/>
          <w:lang w:val="en-AU"/>
        </w:rPr>
        <w:t>Sydney: NSW Health; 2018. p. 136.</w:t>
      </w:r>
    </w:p>
    <w:tbl>
      <w:tblPr>
        <w:tblStyle w:val="TableGrid"/>
        <w:tblW w:w="0" w:type="auto"/>
        <w:tblInd w:w="288" w:type="dxa"/>
        <w:tblLayout w:type="fixed"/>
        <w:tblLook w:val="01E0" w:firstRow="1" w:lastRow="1" w:firstColumn="1" w:lastColumn="1" w:noHBand="0" w:noVBand="0"/>
      </w:tblPr>
      <w:tblGrid>
        <w:gridCol w:w="1080"/>
        <w:gridCol w:w="8280"/>
      </w:tblGrid>
      <w:tr w:rsidR="0021291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212917" w:rsidRPr="000170DA" w:rsidRDefault="00212917" w:rsidP="00E564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12917" w:rsidRPr="000170DA" w:rsidRDefault="00BE19DD" w:rsidP="00E56427">
            <w:pPr>
              <w:rPr>
                <w:rStyle w:val="Hyperlink"/>
                <w:rFonts w:ascii="Garamond" w:hAnsi="Garamond"/>
                <w:color w:val="auto"/>
                <w:u w:val="none"/>
                <w:lang w:val="en-AU"/>
              </w:rPr>
            </w:pPr>
            <w:hyperlink r:id="rId23" w:history="1">
              <w:r w:rsidR="00212917" w:rsidRPr="00F25C10">
                <w:rPr>
                  <w:rStyle w:val="Hyperlink"/>
                  <w:rFonts w:ascii="Garamond" w:hAnsi="Garamond"/>
                  <w:lang w:val="en-AU"/>
                </w:rPr>
                <w:t>http://www.health.nsw.gov.au/aod/Pages/nsw-clinical-guidelines-opioid.aspx</w:t>
              </w:r>
            </w:hyperlink>
          </w:p>
        </w:tc>
      </w:tr>
      <w:tr w:rsidR="0021291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212917" w:rsidRPr="000170DA" w:rsidRDefault="0021291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2917" w:rsidRPr="00EF0B4C" w:rsidRDefault="00212917" w:rsidP="00E56427">
            <w:pPr>
              <w:rPr>
                <w:rFonts w:ascii="Garamond" w:hAnsi="Garamond"/>
                <w:lang w:val="en-AU"/>
              </w:rPr>
            </w:pPr>
            <w:r>
              <w:rPr>
                <w:rFonts w:ascii="Garamond" w:hAnsi="Garamond"/>
                <w:lang w:val="en-AU"/>
              </w:rPr>
              <w:t>NSW Health has developed th</w:t>
            </w:r>
            <w:r w:rsidR="00FD59E3">
              <w:rPr>
                <w:rFonts w:ascii="Garamond" w:hAnsi="Garamond"/>
                <w:lang w:val="en-AU"/>
              </w:rPr>
              <w:t>ese</w:t>
            </w:r>
            <w:r>
              <w:rPr>
                <w:rFonts w:ascii="Garamond" w:hAnsi="Garamond"/>
                <w:lang w:val="en-AU"/>
              </w:rPr>
              <w:t xml:space="preserve"> guidelines that seek </w:t>
            </w:r>
            <w:r w:rsidR="00FD59E3">
              <w:rPr>
                <w:rFonts w:ascii="Garamond" w:hAnsi="Garamond"/>
                <w:lang w:val="en-AU"/>
              </w:rPr>
              <w:t xml:space="preserve">to </w:t>
            </w:r>
            <w:r w:rsidRPr="00EF0B4C">
              <w:rPr>
                <w:rFonts w:ascii="Garamond" w:hAnsi="Garamond"/>
                <w:lang w:val="en-AU"/>
              </w:rPr>
              <w:t>provide clinical guidance and policy direction for opioid treatment in NSW. The guidelines aim to:</w:t>
            </w:r>
          </w:p>
          <w:p w:rsidR="00212917" w:rsidRPr="00EF0B4C" w:rsidRDefault="00212917" w:rsidP="00E56427">
            <w:pPr>
              <w:pStyle w:val="ListParagraph"/>
              <w:numPr>
                <w:ilvl w:val="0"/>
                <w:numId w:val="50"/>
              </w:numPr>
              <w:rPr>
                <w:rFonts w:ascii="Garamond" w:hAnsi="Garamond"/>
                <w:lang w:val="en-AU"/>
              </w:rPr>
            </w:pPr>
            <w:r w:rsidRPr="00EF0B4C">
              <w:rPr>
                <w:rFonts w:ascii="Garamond" w:hAnsi="Garamond"/>
                <w:lang w:val="en-AU"/>
              </w:rPr>
              <w:t>improve access to opioid treatment by:</w:t>
            </w:r>
          </w:p>
          <w:p w:rsidR="00212917" w:rsidRPr="00EF0B4C" w:rsidRDefault="00212917" w:rsidP="00E56427">
            <w:pPr>
              <w:pStyle w:val="ListParagraph"/>
              <w:numPr>
                <w:ilvl w:val="0"/>
                <w:numId w:val="49"/>
              </w:numPr>
              <w:rPr>
                <w:rFonts w:ascii="Garamond" w:hAnsi="Garamond"/>
                <w:lang w:val="en-AU"/>
              </w:rPr>
            </w:pPr>
            <w:r w:rsidRPr="00EF0B4C">
              <w:rPr>
                <w:rFonts w:ascii="Garamond" w:hAnsi="Garamond"/>
                <w:lang w:val="en-AU"/>
              </w:rPr>
              <w:t>personalise patient care by introducing a system that differentiates between those who have low/moderate treatment needs and can be treated in community settings and those with complex/high treatment needs and should be referred to and treated in the specialist treatment sector</w:t>
            </w:r>
          </w:p>
          <w:p w:rsidR="00212917" w:rsidRPr="00EF0B4C" w:rsidRDefault="00212917" w:rsidP="00E56427">
            <w:pPr>
              <w:pStyle w:val="ListParagraph"/>
              <w:numPr>
                <w:ilvl w:val="0"/>
                <w:numId w:val="49"/>
              </w:numPr>
              <w:rPr>
                <w:rFonts w:ascii="Garamond" w:hAnsi="Garamond"/>
                <w:lang w:val="en-AU"/>
              </w:rPr>
            </w:pPr>
            <w:r w:rsidRPr="00EF0B4C">
              <w:rPr>
                <w:rFonts w:ascii="Garamond" w:hAnsi="Garamond"/>
                <w:lang w:val="en-AU"/>
              </w:rPr>
              <w:t>support more effective coordination of care across health services.</w:t>
            </w:r>
          </w:p>
          <w:p w:rsidR="00212917" w:rsidRPr="000365E9" w:rsidRDefault="00212917" w:rsidP="00E56427">
            <w:pPr>
              <w:rPr>
                <w:rFonts w:ascii="Garamond" w:hAnsi="Garamond"/>
                <w:lang w:val="en-AU"/>
              </w:rPr>
            </w:pPr>
            <w:r w:rsidRPr="00EF0B4C">
              <w:rPr>
                <w:rFonts w:ascii="Garamond" w:hAnsi="Garamond"/>
                <w:lang w:val="en-AU"/>
              </w:rPr>
              <w:lastRenderedPageBreak/>
              <w:t>These guidelines are intended for use in generalist health settings (for example primary care, hospital, clinic or community settings) as well as specialised drug and alcohol / opioid treatment clinics.</w:t>
            </w:r>
          </w:p>
        </w:tc>
      </w:tr>
    </w:tbl>
    <w:p w:rsidR="00212917" w:rsidRDefault="00212917" w:rsidP="00212917">
      <w:pPr>
        <w:keepLines/>
        <w:autoSpaceDE w:val="0"/>
        <w:autoSpaceDN w:val="0"/>
        <w:adjustRightInd w:val="0"/>
        <w:rPr>
          <w:rFonts w:ascii="Garamond" w:hAnsi="Garamond"/>
          <w:lang w:val="en-AU"/>
        </w:rPr>
      </w:pPr>
    </w:p>
    <w:p w:rsidR="00EF6B15" w:rsidRPr="006B7C63" w:rsidRDefault="004964A4" w:rsidP="00EF6B15">
      <w:pPr>
        <w:keepNext/>
        <w:keepLines/>
        <w:autoSpaceDE w:val="0"/>
        <w:autoSpaceDN w:val="0"/>
        <w:adjustRightInd w:val="0"/>
        <w:rPr>
          <w:rFonts w:ascii="Garamond" w:hAnsi="Garamond"/>
          <w:i/>
          <w:lang w:val="en-AU"/>
        </w:rPr>
      </w:pPr>
      <w:r w:rsidRPr="006B7C63">
        <w:rPr>
          <w:rFonts w:ascii="Garamond" w:hAnsi="Garamond"/>
          <w:i/>
          <w:lang w:val="en-AU"/>
        </w:rPr>
        <w:t>Antimicrobial prescribing for children in primary care</w:t>
      </w:r>
    </w:p>
    <w:p w:rsidR="006B7C63" w:rsidRDefault="006B7C63" w:rsidP="00EF6B15">
      <w:pPr>
        <w:keepNext/>
        <w:keepLines/>
        <w:autoSpaceDE w:val="0"/>
        <w:autoSpaceDN w:val="0"/>
        <w:adjustRightInd w:val="0"/>
        <w:rPr>
          <w:rFonts w:ascii="Garamond" w:hAnsi="Garamond"/>
          <w:lang w:val="en-AU"/>
        </w:rPr>
      </w:pPr>
      <w:r w:rsidRPr="006B7C63">
        <w:rPr>
          <w:rFonts w:ascii="Garamond" w:hAnsi="Garamond"/>
          <w:lang w:val="en-AU"/>
        </w:rPr>
        <w:t>Yan J, Hawes L, Turner L, Mazza D, Pearce C, Buttery J</w:t>
      </w:r>
    </w:p>
    <w:p w:rsidR="004964A4" w:rsidRPr="00E566B0" w:rsidRDefault="006B7C63" w:rsidP="00EF6B15">
      <w:pPr>
        <w:keepNext/>
        <w:keepLines/>
        <w:autoSpaceDE w:val="0"/>
        <w:autoSpaceDN w:val="0"/>
        <w:adjustRightInd w:val="0"/>
        <w:rPr>
          <w:rFonts w:ascii="Garamond" w:hAnsi="Garamond"/>
          <w:lang w:val="en-AU"/>
        </w:rPr>
      </w:pPr>
      <w:r w:rsidRPr="006B7C63">
        <w:rPr>
          <w:rFonts w:ascii="Garamond" w:hAnsi="Garamond"/>
          <w:lang w:val="en-AU"/>
        </w:rPr>
        <w:t>Journal of Paediatrics and Child Health. 2018.</w:t>
      </w:r>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BE19DD" w:rsidP="00E56427">
            <w:pPr>
              <w:rPr>
                <w:rStyle w:val="Hyperlink"/>
                <w:rFonts w:ascii="Garamond" w:hAnsi="Garamond"/>
                <w:color w:val="auto"/>
                <w:u w:val="none"/>
                <w:lang w:val="en-AU"/>
              </w:rPr>
            </w:pPr>
            <w:hyperlink r:id="rId24" w:history="1">
              <w:r w:rsidR="00146DC6" w:rsidRPr="00F25C10">
                <w:rPr>
                  <w:rStyle w:val="Hyperlink"/>
                  <w:rFonts w:ascii="Garamond" w:hAnsi="Garamond"/>
                  <w:lang w:val="en-AU"/>
                </w:rPr>
                <w:t>https://doi.org/10.1111/jpc.14105</w:t>
              </w:r>
            </w:hyperlink>
          </w:p>
        </w:tc>
      </w:tr>
      <w:tr w:rsidR="00EF6B15"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Default="004964A4" w:rsidP="004964A4">
            <w:pPr>
              <w:rPr>
                <w:rFonts w:ascii="Garamond" w:hAnsi="Garamond"/>
                <w:lang w:val="en-AU"/>
              </w:rPr>
            </w:pPr>
            <w:r>
              <w:rPr>
                <w:rFonts w:ascii="Garamond" w:hAnsi="Garamond"/>
                <w:lang w:val="en-AU"/>
              </w:rPr>
              <w:t xml:space="preserve">This Australian study used data extracted from </w:t>
            </w:r>
            <w:r w:rsidRPr="004964A4">
              <w:rPr>
                <w:rFonts w:ascii="Garamond" w:hAnsi="Garamond"/>
                <w:lang w:val="en-AU"/>
              </w:rPr>
              <w:t>39 general practices in eastern metropolitan Melbourne over a 5</w:t>
            </w:r>
            <w:r w:rsidRPr="004964A4">
              <w:rPr>
                <w:rFonts w:ascii="Cambria Math" w:hAnsi="Cambria Math" w:cs="Cambria Math"/>
                <w:lang w:val="en-AU"/>
              </w:rPr>
              <w:t>‐</w:t>
            </w:r>
            <w:r w:rsidRPr="004964A4">
              <w:rPr>
                <w:rFonts w:ascii="Garamond" w:hAnsi="Garamond"/>
                <w:lang w:val="en-AU"/>
              </w:rPr>
              <w:t>year period, 2010</w:t>
            </w:r>
            <w:r w:rsidRPr="004964A4">
              <w:rPr>
                <w:rFonts w:ascii="Garamond" w:hAnsi="Garamond" w:cs="Garamond"/>
                <w:lang w:val="en-AU"/>
              </w:rPr>
              <w:t>–</w:t>
            </w:r>
            <w:r w:rsidRPr="004964A4">
              <w:rPr>
                <w:rFonts w:ascii="Garamond" w:hAnsi="Garamond"/>
                <w:lang w:val="en-AU"/>
              </w:rPr>
              <w:t>2014</w:t>
            </w:r>
            <w:r>
              <w:rPr>
                <w:rFonts w:ascii="Garamond" w:hAnsi="Garamond"/>
                <w:lang w:val="en-AU"/>
              </w:rPr>
              <w:t xml:space="preserve"> in order to examine the patterns of antimicrobial </w:t>
            </w:r>
            <w:r w:rsidR="00146DC6">
              <w:rPr>
                <w:rFonts w:ascii="Garamond" w:hAnsi="Garamond"/>
                <w:lang w:val="en-AU"/>
              </w:rPr>
              <w:t xml:space="preserve">in children. The first </w:t>
            </w:r>
            <w:r w:rsidR="00146DC6" w:rsidRPr="00146DC6">
              <w:rPr>
                <w:rFonts w:ascii="Garamond" w:hAnsi="Garamond"/>
                <w:i/>
                <w:lang w:val="en-AU"/>
              </w:rPr>
              <w:t xml:space="preserve">Australian Atlas of Healthcare Variation </w:t>
            </w:r>
            <w:r w:rsidR="00146DC6">
              <w:rPr>
                <w:rFonts w:ascii="Garamond" w:hAnsi="Garamond"/>
                <w:lang w:val="en-AU"/>
              </w:rPr>
              <w:t xml:space="preserve">demonstrated both high levels and variation of antimicrobial use in Australia. This study found that </w:t>
            </w:r>
          </w:p>
          <w:p w:rsidR="00146DC6" w:rsidRDefault="00146DC6" w:rsidP="00146DC6">
            <w:pPr>
              <w:pStyle w:val="ListParagraph"/>
              <w:numPr>
                <w:ilvl w:val="0"/>
                <w:numId w:val="46"/>
              </w:numPr>
              <w:rPr>
                <w:rFonts w:ascii="Garamond" w:hAnsi="Garamond"/>
                <w:lang w:val="en-AU"/>
              </w:rPr>
            </w:pPr>
            <w:r w:rsidRPr="00146DC6">
              <w:rPr>
                <w:rFonts w:ascii="Garamond" w:hAnsi="Garamond"/>
                <w:lang w:val="en-AU"/>
              </w:rPr>
              <w:t xml:space="preserve">On average, </w:t>
            </w:r>
            <w:r w:rsidRPr="00890D2F">
              <w:rPr>
                <w:rFonts w:ascii="Garamond" w:hAnsi="Garamond"/>
                <w:b/>
                <w:lang w:val="en-AU"/>
              </w:rPr>
              <w:t>one in five</w:t>
            </w:r>
            <w:r w:rsidRPr="00146DC6">
              <w:rPr>
                <w:rFonts w:ascii="Garamond" w:hAnsi="Garamond"/>
                <w:lang w:val="en-AU"/>
              </w:rPr>
              <w:t xml:space="preserve"> individual children was </w:t>
            </w:r>
            <w:r w:rsidRPr="00890D2F">
              <w:rPr>
                <w:rFonts w:ascii="Garamond" w:hAnsi="Garamond"/>
                <w:b/>
                <w:lang w:val="en-AU"/>
              </w:rPr>
              <w:t>prescribed an antibiotic each year</w:t>
            </w:r>
            <w:r w:rsidRPr="00146DC6">
              <w:rPr>
                <w:rFonts w:ascii="Garamond" w:hAnsi="Garamond"/>
                <w:lang w:val="en-AU"/>
              </w:rPr>
              <w:t>.</w:t>
            </w:r>
          </w:p>
          <w:p w:rsidR="00146DC6" w:rsidRDefault="00146DC6" w:rsidP="00146DC6">
            <w:pPr>
              <w:pStyle w:val="ListParagraph"/>
              <w:numPr>
                <w:ilvl w:val="0"/>
                <w:numId w:val="46"/>
              </w:numPr>
              <w:rPr>
                <w:rFonts w:ascii="Garamond" w:hAnsi="Garamond"/>
                <w:lang w:val="en-AU"/>
              </w:rPr>
            </w:pPr>
            <w:r>
              <w:rPr>
                <w:rFonts w:ascii="Garamond" w:hAnsi="Garamond"/>
                <w:lang w:val="en-AU"/>
              </w:rPr>
              <w:t>M</w:t>
            </w:r>
            <w:r w:rsidRPr="00146DC6">
              <w:rPr>
                <w:rFonts w:ascii="Garamond" w:hAnsi="Garamond"/>
                <w:lang w:val="en-AU"/>
              </w:rPr>
              <w:t>ost commonly prescribed antibiotics were cephalexin, amoxycillin/clavulanate, cefaclor, phenoxymethylpenicillin and roxithromycin.</w:t>
            </w:r>
          </w:p>
          <w:p w:rsidR="00146DC6" w:rsidRDefault="00146DC6" w:rsidP="00146DC6">
            <w:pPr>
              <w:pStyle w:val="ListParagraph"/>
              <w:numPr>
                <w:ilvl w:val="0"/>
                <w:numId w:val="46"/>
              </w:numPr>
              <w:rPr>
                <w:rFonts w:ascii="Garamond" w:hAnsi="Garamond"/>
                <w:lang w:val="en-AU"/>
              </w:rPr>
            </w:pPr>
            <w:r w:rsidRPr="00146DC6">
              <w:rPr>
                <w:rFonts w:ascii="Garamond" w:hAnsi="Garamond"/>
                <w:lang w:val="en-AU"/>
              </w:rPr>
              <w:t>Less than 3% of all prescriptions were for amoxycillin.</w:t>
            </w:r>
          </w:p>
          <w:p w:rsidR="00146DC6" w:rsidRDefault="00146DC6" w:rsidP="00146DC6">
            <w:pPr>
              <w:pStyle w:val="ListParagraph"/>
              <w:numPr>
                <w:ilvl w:val="0"/>
                <w:numId w:val="46"/>
              </w:numPr>
              <w:rPr>
                <w:rFonts w:ascii="Garamond" w:hAnsi="Garamond"/>
                <w:lang w:val="en-AU"/>
              </w:rPr>
            </w:pPr>
            <w:r w:rsidRPr="00890D2F">
              <w:rPr>
                <w:rFonts w:ascii="Garamond" w:hAnsi="Garamond"/>
                <w:b/>
                <w:lang w:val="en-AU"/>
              </w:rPr>
              <w:t>Peaks</w:t>
            </w:r>
            <w:r w:rsidRPr="00146DC6">
              <w:rPr>
                <w:rFonts w:ascii="Garamond" w:hAnsi="Garamond"/>
                <w:lang w:val="en-AU"/>
              </w:rPr>
              <w:t xml:space="preserve"> in prescribing were noted over </w:t>
            </w:r>
            <w:r w:rsidRPr="00890D2F">
              <w:rPr>
                <w:rFonts w:ascii="Garamond" w:hAnsi="Garamond"/>
                <w:b/>
                <w:lang w:val="en-AU"/>
              </w:rPr>
              <w:t>winter months</w:t>
            </w:r>
          </w:p>
          <w:p w:rsidR="00146DC6" w:rsidRDefault="00146DC6" w:rsidP="00146DC6">
            <w:pPr>
              <w:pStyle w:val="ListParagraph"/>
              <w:numPr>
                <w:ilvl w:val="0"/>
                <w:numId w:val="46"/>
              </w:numPr>
              <w:rPr>
                <w:rFonts w:ascii="Garamond" w:hAnsi="Garamond"/>
                <w:lang w:val="en-AU"/>
              </w:rPr>
            </w:pPr>
            <w:r w:rsidRPr="00890D2F">
              <w:rPr>
                <w:rFonts w:ascii="Garamond" w:hAnsi="Garamond"/>
                <w:b/>
                <w:lang w:val="en-AU"/>
              </w:rPr>
              <w:t>Reason for prescription</w:t>
            </w:r>
            <w:r w:rsidRPr="00146DC6">
              <w:rPr>
                <w:rFonts w:ascii="Garamond" w:hAnsi="Garamond"/>
                <w:lang w:val="en-AU"/>
              </w:rPr>
              <w:t xml:space="preserve"> was </w:t>
            </w:r>
            <w:r w:rsidRPr="00890D2F">
              <w:rPr>
                <w:rFonts w:ascii="Garamond" w:hAnsi="Garamond"/>
                <w:b/>
                <w:lang w:val="en-AU"/>
              </w:rPr>
              <w:t>not recorded</w:t>
            </w:r>
            <w:r w:rsidRPr="00146DC6">
              <w:rPr>
                <w:rFonts w:ascii="Garamond" w:hAnsi="Garamond"/>
                <w:lang w:val="en-AU"/>
              </w:rPr>
              <w:t xml:space="preserve"> for </w:t>
            </w:r>
            <w:r w:rsidRPr="00890D2F">
              <w:rPr>
                <w:rFonts w:ascii="Garamond" w:hAnsi="Garamond"/>
                <w:b/>
                <w:lang w:val="en-AU"/>
              </w:rPr>
              <w:t>82%</w:t>
            </w:r>
            <w:r w:rsidRPr="00146DC6">
              <w:rPr>
                <w:rFonts w:ascii="Garamond" w:hAnsi="Garamond"/>
                <w:lang w:val="en-AU"/>
              </w:rPr>
              <w:t xml:space="preserve"> of prescriptions.</w:t>
            </w:r>
          </w:p>
          <w:p w:rsidR="00146DC6" w:rsidRDefault="00146DC6" w:rsidP="00146DC6">
            <w:pPr>
              <w:pStyle w:val="ListParagraph"/>
              <w:numPr>
                <w:ilvl w:val="0"/>
                <w:numId w:val="46"/>
              </w:numPr>
              <w:rPr>
                <w:rFonts w:ascii="Garamond" w:hAnsi="Garamond"/>
                <w:lang w:val="en-AU"/>
              </w:rPr>
            </w:pPr>
            <w:r>
              <w:rPr>
                <w:rFonts w:ascii="Garamond" w:hAnsi="Garamond"/>
                <w:lang w:val="en-AU"/>
              </w:rPr>
              <w:t>F</w:t>
            </w:r>
            <w:r w:rsidRPr="00146DC6">
              <w:rPr>
                <w:rFonts w:ascii="Garamond" w:hAnsi="Garamond"/>
                <w:lang w:val="en-AU"/>
              </w:rPr>
              <w:t xml:space="preserve">requency of </w:t>
            </w:r>
            <w:r w:rsidRPr="00890D2F">
              <w:rPr>
                <w:rFonts w:ascii="Garamond" w:hAnsi="Garamond"/>
                <w:b/>
                <w:lang w:val="en-AU"/>
              </w:rPr>
              <w:t>antibiotic prescription per consultation varied substantially</w:t>
            </w:r>
            <w:r w:rsidRPr="00146DC6">
              <w:rPr>
                <w:rFonts w:ascii="Garamond" w:hAnsi="Garamond"/>
                <w:lang w:val="en-AU"/>
              </w:rPr>
              <w:t xml:space="preserve"> (2.1–19.7%) between general practitioner clinics</w:t>
            </w:r>
          </w:p>
          <w:p w:rsidR="00146DC6" w:rsidRPr="00146DC6" w:rsidRDefault="00146DC6" w:rsidP="00146DC6">
            <w:pPr>
              <w:pStyle w:val="ListParagraph"/>
              <w:numPr>
                <w:ilvl w:val="0"/>
                <w:numId w:val="46"/>
              </w:numPr>
              <w:rPr>
                <w:rFonts w:ascii="Garamond" w:hAnsi="Garamond"/>
                <w:lang w:val="en-AU"/>
              </w:rPr>
            </w:pPr>
            <w:r w:rsidRPr="00146DC6">
              <w:rPr>
                <w:rFonts w:ascii="Garamond" w:hAnsi="Garamond"/>
                <w:lang w:val="en-AU"/>
              </w:rPr>
              <w:t>Overall, antibiotic prescribing decreased by 2.3% over the 5</w:t>
            </w:r>
            <w:r w:rsidRPr="00146DC6">
              <w:rPr>
                <w:rFonts w:ascii="Cambria Math" w:hAnsi="Cambria Math" w:cs="Cambria Math"/>
                <w:lang w:val="en-AU"/>
              </w:rPr>
              <w:t>‐</w:t>
            </w:r>
            <w:r w:rsidRPr="00146DC6">
              <w:rPr>
                <w:rFonts w:ascii="Garamond" w:hAnsi="Garamond"/>
                <w:lang w:val="en-AU"/>
              </w:rPr>
              <w:t>year period.</w:t>
            </w:r>
          </w:p>
        </w:tc>
      </w:tr>
    </w:tbl>
    <w:p w:rsidR="00EF6B15" w:rsidRDefault="00EF6B15" w:rsidP="00EF6B15">
      <w:pPr>
        <w:keepLines/>
        <w:autoSpaceDE w:val="0"/>
        <w:autoSpaceDN w:val="0"/>
        <w:adjustRightInd w:val="0"/>
        <w:rPr>
          <w:rFonts w:ascii="Garamond" w:hAnsi="Garamond"/>
          <w:lang w:val="en-AU"/>
        </w:rPr>
      </w:pPr>
    </w:p>
    <w:p w:rsidR="006B7C63" w:rsidRDefault="006B7C63" w:rsidP="00EF6B15">
      <w:pPr>
        <w:keepLines/>
        <w:autoSpaceDE w:val="0"/>
        <w:autoSpaceDN w:val="0"/>
        <w:adjustRightInd w:val="0"/>
        <w:rPr>
          <w:rFonts w:ascii="Garamond" w:hAnsi="Garamond"/>
          <w:lang w:val="en-AU"/>
        </w:rPr>
      </w:pPr>
      <w:r>
        <w:rPr>
          <w:rFonts w:ascii="Garamond" w:hAnsi="Garamond"/>
          <w:lang w:val="en-AU"/>
        </w:rPr>
        <w:t xml:space="preserve">For information about and access to the </w:t>
      </w:r>
      <w:r w:rsidRPr="00146DC6">
        <w:rPr>
          <w:rFonts w:ascii="Garamond" w:hAnsi="Garamond"/>
          <w:i/>
          <w:lang w:val="en-AU"/>
        </w:rPr>
        <w:t xml:space="preserve">Australian Atlas of Healthcare Variation </w:t>
      </w:r>
      <w:r>
        <w:rPr>
          <w:rFonts w:ascii="Garamond" w:hAnsi="Garamond"/>
          <w:lang w:val="en-AU"/>
        </w:rPr>
        <w:t xml:space="preserve">series, see </w:t>
      </w:r>
      <w:hyperlink r:id="rId25" w:history="1">
        <w:r w:rsidRPr="00F25C10">
          <w:rPr>
            <w:rStyle w:val="Hyperlink"/>
            <w:rFonts w:ascii="Garamond" w:hAnsi="Garamond"/>
            <w:lang w:val="en-AU"/>
          </w:rPr>
          <w:t>https://www.safetyandquality.gov.au/atlas/</w:t>
        </w:r>
      </w:hyperlink>
    </w:p>
    <w:p w:rsidR="006B7C63" w:rsidRDefault="006B7C63" w:rsidP="00EF6B15">
      <w:pPr>
        <w:keepLines/>
        <w:autoSpaceDE w:val="0"/>
        <w:autoSpaceDN w:val="0"/>
        <w:adjustRightInd w:val="0"/>
        <w:rPr>
          <w:rFonts w:ascii="Garamond" w:hAnsi="Garamond"/>
          <w:lang w:val="en-AU"/>
        </w:rPr>
      </w:pPr>
    </w:p>
    <w:p w:rsidR="006B7C63" w:rsidRDefault="006B7C63" w:rsidP="00EF6B15">
      <w:pPr>
        <w:keepLines/>
        <w:autoSpaceDE w:val="0"/>
        <w:autoSpaceDN w:val="0"/>
        <w:adjustRightInd w:val="0"/>
        <w:rPr>
          <w:rFonts w:ascii="Garamond" w:hAnsi="Garamond"/>
          <w:lang w:val="en-AU"/>
        </w:rPr>
      </w:pPr>
      <w:r>
        <w:rPr>
          <w:rFonts w:ascii="Garamond" w:hAnsi="Garamond"/>
          <w:lang w:val="en-AU"/>
        </w:rPr>
        <w:t xml:space="preserve">For information about the Commission’s work on </w:t>
      </w:r>
      <w:r w:rsidRPr="006B7C63">
        <w:rPr>
          <w:rFonts w:ascii="Garamond" w:hAnsi="Garamond"/>
          <w:lang w:val="en-AU"/>
        </w:rPr>
        <w:t>antimicrobial</w:t>
      </w:r>
      <w:r>
        <w:rPr>
          <w:rFonts w:ascii="Garamond" w:hAnsi="Garamond"/>
          <w:lang w:val="en-AU"/>
        </w:rPr>
        <w:t xml:space="preserve"> use and resistance in Australia, see </w:t>
      </w:r>
      <w:hyperlink r:id="rId26" w:history="1">
        <w:r w:rsidRPr="00F25C10">
          <w:rPr>
            <w:rStyle w:val="Hyperlink"/>
            <w:rFonts w:ascii="Garamond" w:hAnsi="Garamond"/>
            <w:lang w:val="en-AU"/>
          </w:rPr>
          <w:t>https://www.safetyandquality.gov.au/antimicrobial-use-and-resistance-in-australia/</w:t>
        </w:r>
      </w:hyperlink>
    </w:p>
    <w:p w:rsidR="006B7C63" w:rsidRDefault="006B7C63" w:rsidP="00EF6B15">
      <w:pPr>
        <w:keepLines/>
        <w:autoSpaceDE w:val="0"/>
        <w:autoSpaceDN w:val="0"/>
        <w:adjustRightInd w:val="0"/>
        <w:rPr>
          <w:rFonts w:ascii="Garamond" w:hAnsi="Garamond"/>
          <w:lang w:val="en-AU"/>
        </w:rPr>
      </w:pPr>
    </w:p>
    <w:p w:rsidR="008F2199" w:rsidRPr="00890D2F" w:rsidRDefault="00890D2F" w:rsidP="008F2199">
      <w:pPr>
        <w:keepNext/>
        <w:keepLines/>
        <w:autoSpaceDE w:val="0"/>
        <w:autoSpaceDN w:val="0"/>
        <w:adjustRightInd w:val="0"/>
        <w:rPr>
          <w:rFonts w:ascii="Garamond" w:hAnsi="Garamond"/>
          <w:i/>
          <w:lang w:val="en-AU"/>
        </w:rPr>
      </w:pPr>
      <w:r w:rsidRPr="00890D2F">
        <w:rPr>
          <w:rFonts w:ascii="Garamond" w:hAnsi="Garamond"/>
          <w:i/>
          <w:lang w:val="en-AU"/>
        </w:rPr>
        <w:t>Association of Opioid-Related Adverse Drug Events With Clinical and Cost Outcomes Among Surgical Patients in a Large Integrated Health Care Delivery System</w:t>
      </w:r>
    </w:p>
    <w:p w:rsidR="00D90730" w:rsidRDefault="00D90730" w:rsidP="008F2199">
      <w:pPr>
        <w:keepNext/>
        <w:keepLines/>
        <w:autoSpaceDE w:val="0"/>
        <w:autoSpaceDN w:val="0"/>
        <w:adjustRightInd w:val="0"/>
        <w:rPr>
          <w:rFonts w:ascii="Garamond" w:hAnsi="Garamond"/>
          <w:lang w:val="en-AU"/>
        </w:rPr>
      </w:pPr>
      <w:r w:rsidRPr="00D90730">
        <w:rPr>
          <w:rFonts w:ascii="Garamond" w:hAnsi="Garamond"/>
          <w:lang w:val="en-AU"/>
        </w:rPr>
        <w:t>Shafi S, Collinsworth AW, Copeland LA, Ogola GO, Qiu T, Kouznetsove M, et al</w:t>
      </w:r>
    </w:p>
    <w:p w:rsidR="00890D2F" w:rsidRPr="00E566B0" w:rsidRDefault="00D90730" w:rsidP="008F2199">
      <w:pPr>
        <w:keepNext/>
        <w:keepLines/>
        <w:autoSpaceDE w:val="0"/>
        <w:autoSpaceDN w:val="0"/>
        <w:adjustRightInd w:val="0"/>
        <w:rPr>
          <w:rFonts w:ascii="Garamond" w:hAnsi="Garamond"/>
          <w:lang w:val="en-AU"/>
        </w:rPr>
      </w:pPr>
      <w:r w:rsidRPr="00D90730">
        <w:rPr>
          <w:rFonts w:ascii="Garamond" w:hAnsi="Garamond"/>
          <w:lang w:val="en-AU"/>
        </w:rPr>
        <w:t>JAMA Surgery. 2018</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170DA" w:rsidRDefault="00BE19DD" w:rsidP="00E56427">
            <w:pPr>
              <w:rPr>
                <w:rStyle w:val="Hyperlink"/>
                <w:rFonts w:ascii="Garamond" w:hAnsi="Garamond"/>
                <w:color w:val="auto"/>
                <w:u w:val="none"/>
                <w:lang w:val="en-AU"/>
              </w:rPr>
            </w:pPr>
            <w:hyperlink r:id="rId27" w:history="1">
              <w:r w:rsidR="00890D2F" w:rsidRPr="00F25C10">
                <w:rPr>
                  <w:rStyle w:val="Hyperlink"/>
                  <w:rFonts w:ascii="Garamond" w:hAnsi="Garamond"/>
                  <w:lang w:val="en-AU"/>
                </w:rPr>
                <w:t>https://doi.org/10.1001/jamasurg.2018.1039</w:t>
              </w:r>
            </w:hyperlink>
          </w:p>
        </w:tc>
      </w:tr>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365E9" w:rsidRDefault="00890D2F" w:rsidP="00890D2F">
            <w:pPr>
              <w:rPr>
                <w:rFonts w:ascii="Garamond" w:hAnsi="Garamond"/>
                <w:lang w:val="en-AU"/>
              </w:rPr>
            </w:pPr>
            <w:r>
              <w:rPr>
                <w:rFonts w:ascii="Garamond" w:hAnsi="Garamond"/>
                <w:lang w:val="en-AU"/>
              </w:rPr>
              <w:t xml:space="preserve">Study that used </w:t>
            </w:r>
            <w:r w:rsidRPr="00890D2F">
              <w:rPr>
                <w:rFonts w:ascii="Garamond" w:hAnsi="Garamond"/>
                <w:lang w:val="en-AU"/>
              </w:rPr>
              <w:t xml:space="preserve">clinical and administrative data </w:t>
            </w:r>
            <w:r>
              <w:rPr>
                <w:rFonts w:ascii="Garamond" w:hAnsi="Garamond"/>
                <w:lang w:val="en-AU"/>
              </w:rPr>
              <w:t xml:space="preserve">covering </w:t>
            </w:r>
            <w:r w:rsidRPr="00890D2F">
              <w:rPr>
                <w:rFonts w:ascii="Garamond" w:hAnsi="Garamond"/>
                <w:lang w:val="en-AU"/>
              </w:rPr>
              <w:t>135</w:t>
            </w:r>
            <w:r>
              <w:rPr>
                <w:rFonts w:ascii="Garamond" w:hAnsi="Garamond"/>
                <w:lang w:val="en-AU"/>
              </w:rPr>
              <w:t>,</w:t>
            </w:r>
            <w:r w:rsidRPr="00890D2F">
              <w:rPr>
                <w:lang w:val="en-AU"/>
              </w:rPr>
              <w:t> </w:t>
            </w:r>
            <w:r w:rsidRPr="00890D2F">
              <w:rPr>
                <w:rFonts w:ascii="Garamond" w:hAnsi="Garamond"/>
                <w:lang w:val="en-AU"/>
              </w:rPr>
              <w:t>379 patients</w:t>
            </w:r>
            <w:r>
              <w:rPr>
                <w:rFonts w:ascii="Garamond" w:hAnsi="Garamond"/>
                <w:lang w:val="en-AU"/>
              </w:rPr>
              <w:t xml:space="preserve"> in order to determine </w:t>
            </w:r>
            <w:r w:rsidRPr="00890D2F">
              <w:rPr>
                <w:rFonts w:ascii="Garamond" w:hAnsi="Garamond"/>
                <w:lang w:val="en-AU"/>
              </w:rPr>
              <w:t xml:space="preserve">the incidence and consequences of opioid-related adverse drug events in patients undergoing hospital-based surgical and endoscopic procedures </w:t>
            </w:r>
            <w:r>
              <w:rPr>
                <w:rFonts w:ascii="Garamond" w:hAnsi="Garamond"/>
                <w:lang w:val="en-AU"/>
              </w:rPr>
              <w:t xml:space="preserve">in a US </w:t>
            </w:r>
            <w:r w:rsidRPr="00890D2F">
              <w:rPr>
                <w:rFonts w:ascii="Garamond" w:hAnsi="Garamond"/>
                <w:lang w:val="en-AU"/>
              </w:rPr>
              <w:t>health care system</w:t>
            </w:r>
            <w:r>
              <w:rPr>
                <w:rFonts w:ascii="Garamond" w:hAnsi="Garamond"/>
                <w:lang w:val="en-AU"/>
              </w:rPr>
              <w:t xml:space="preserve"> with 21 hospitals. Of the 135,379 patients, </w:t>
            </w:r>
            <w:r w:rsidRPr="00890D2F">
              <w:rPr>
                <w:rFonts w:ascii="Garamond" w:hAnsi="Garamond"/>
                <w:lang w:val="en-AU"/>
              </w:rPr>
              <w:t>14</w:t>
            </w:r>
            <w:r w:rsidRPr="00890D2F">
              <w:rPr>
                <w:lang w:val="en-AU"/>
              </w:rPr>
              <w:t> </w:t>
            </w:r>
            <w:r w:rsidRPr="00890D2F">
              <w:rPr>
                <w:rFonts w:ascii="Garamond" w:hAnsi="Garamond"/>
                <w:lang w:val="en-AU"/>
              </w:rPr>
              <w:t>386 (</w:t>
            </w:r>
            <w:r w:rsidRPr="00890D2F">
              <w:rPr>
                <w:rFonts w:ascii="Garamond" w:hAnsi="Garamond"/>
                <w:b/>
                <w:lang w:val="en-AU"/>
              </w:rPr>
              <w:t>10.6%</w:t>
            </w:r>
            <w:r w:rsidRPr="00890D2F">
              <w:rPr>
                <w:rFonts w:ascii="Garamond" w:hAnsi="Garamond"/>
                <w:lang w:val="en-AU"/>
              </w:rPr>
              <w:t xml:space="preserve">) experienced </w:t>
            </w:r>
            <w:r w:rsidRPr="00890D2F">
              <w:rPr>
                <w:rFonts w:ascii="Garamond" w:hAnsi="Garamond"/>
                <w:b/>
                <w:lang w:val="en-AU"/>
              </w:rPr>
              <w:t>opioid-related adverse drug events</w:t>
            </w:r>
            <w:r w:rsidRPr="00890D2F">
              <w:rPr>
                <w:rFonts w:ascii="Garamond" w:hAnsi="Garamond"/>
                <w:lang w:val="en-AU"/>
              </w:rPr>
              <w:t>. The</w:t>
            </w:r>
            <w:r>
              <w:rPr>
                <w:rFonts w:ascii="Garamond" w:hAnsi="Garamond"/>
                <w:lang w:val="en-AU"/>
              </w:rPr>
              <w:t xml:space="preserve"> authors report that the</w:t>
            </w:r>
            <w:r w:rsidRPr="00890D2F">
              <w:rPr>
                <w:rFonts w:ascii="Garamond" w:hAnsi="Garamond"/>
                <w:lang w:val="en-AU"/>
              </w:rPr>
              <w:t xml:space="preserve">se events were associated with significantly </w:t>
            </w:r>
            <w:r w:rsidRPr="00890D2F">
              <w:rPr>
                <w:rFonts w:ascii="Garamond" w:hAnsi="Garamond"/>
                <w:b/>
                <w:lang w:val="en-AU"/>
              </w:rPr>
              <w:t>worse patient outcomes</w:t>
            </w:r>
            <w:r w:rsidRPr="00890D2F">
              <w:rPr>
                <w:rFonts w:ascii="Garamond" w:hAnsi="Garamond"/>
                <w:lang w:val="en-AU"/>
              </w:rPr>
              <w:t xml:space="preserve">, including </w:t>
            </w:r>
            <w:r w:rsidRPr="00890D2F">
              <w:rPr>
                <w:rFonts w:ascii="Garamond" w:hAnsi="Garamond"/>
                <w:b/>
                <w:lang w:val="en-AU"/>
              </w:rPr>
              <w:t>increased inpatient mortality</w:t>
            </w:r>
            <w:r w:rsidRPr="00890D2F">
              <w:rPr>
                <w:rFonts w:ascii="Garamond" w:hAnsi="Garamond"/>
                <w:lang w:val="en-AU"/>
              </w:rPr>
              <w:t xml:space="preserve">, greater likelihood of </w:t>
            </w:r>
            <w:r w:rsidRPr="00890D2F">
              <w:rPr>
                <w:rFonts w:ascii="Garamond" w:hAnsi="Garamond"/>
                <w:b/>
                <w:lang w:val="en-AU"/>
              </w:rPr>
              <w:t>discharge to another care facility</w:t>
            </w:r>
            <w:r w:rsidRPr="00890D2F">
              <w:rPr>
                <w:rFonts w:ascii="Garamond" w:hAnsi="Garamond"/>
                <w:lang w:val="en-AU"/>
              </w:rPr>
              <w:t xml:space="preserve">, </w:t>
            </w:r>
            <w:r w:rsidRPr="00890D2F">
              <w:rPr>
                <w:rFonts w:ascii="Garamond" w:hAnsi="Garamond"/>
                <w:b/>
                <w:lang w:val="en-AU"/>
              </w:rPr>
              <w:t>prolonged length of stay</w:t>
            </w:r>
            <w:r w:rsidRPr="00890D2F">
              <w:rPr>
                <w:rFonts w:ascii="Garamond" w:hAnsi="Garamond"/>
                <w:lang w:val="en-AU"/>
              </w:rPr>
              <w:t xml:space="preserve">, </w:t>
            </w:r>
            <w:r w:rsidRPr="00890D2F">
              <w:rPr>
                <w:rFonts w:ascii="Garamond" w:hAnsi="Garamond"/>
                <w:b/>
                <w:lang w:val="en-AU"/>
              </w:rPr>
              <w:t>high cost</w:t>
            </w:r>
            <w:r w:rsidRPr="00890D2F">
              <w:rPr>
                <w:rFonts w:ascii="Garamond" w:hAnsi="Garamond"/>
                <w:lang w:val="en-AU"/>
              </w:rPr>
              <w:t xml:space="preserve"> of hospitalization, and </w:t>
            </w:r>
            <w:r w:rsidRPr="00890D2F">
              <w:rPr>
                <w:rFonts w:ascii="Garamond" w:hAnsi="Garamond"/>
                <w:b/>
                <w:lang w:val="en-AU"/>
              </w:rPr>
              <w:t>higher rate of 30-day readmission</w:t>
            </w:r>
            <w:r w:rsidRPr="00890D2F">
              <w:rPr>
                <w:rFonts w:ascii="Garamond" w:hAnsi="Garamond"/>
                <w:lang w:val="en-AU"/>
              </w:rPr>
              <w:t>.</w:t>
            </w:r>
          </w:p>
        </w:tc>
      </w:tr>
    </w:tbl>
    <w:p w:rsidR="008F2199" w:rsidRDefault="008F2199" w:rsidP="008F2199">
      <w:pPr>
        <w:keepLines/>
        <w:autoSpaceDE w:val="0"/>
        <w:autoSpaceDN w:val="0"/>
        <w:adjustRightInd w:val="0"/>
        <w:rPr>
          <w:rFonts w:ascii="Garamond" w:hAnsi="Garamond"/>
          <w:lang w:val="en-AU"/>
        </w:rPr>
      </w:pPr>
    </w:p>
    <w:p w:rsidR="008F2199" w:rsidRDefault="00890D2F" w:rsidP="008F2199">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medication safety, see </w:t>
      </w:r>
      <w:hyperlink r:id="rId28" w:history="1">
        <w:r w:rsidRPr="00F25C10">
          <w:rPr>
            <w:rStyle w:val="Hyperlink"/>
            <w:rFonts w:ascii="Garamond" w:hAnsi="Garamond"/>
            <w:lang w:val="en-AU"/>
          </w:rPr>
          <w:t>https://www.safetyandquality.gov.au/our-work/medication-safety/</w:t>
        </w:r>
      </w:hyperlink>
      <w:r>
        <w:rPr>
          <w:rFonts w:ascii="Garamond" w:hAnsi="Garamond"/>
          <w:lang w:val="en-AU"/>
        </w:rPr>
        <w:t xml:space="preserve"> </w:t>
      </w:r>
    </w:p>
    <w:p w:rsidR="00890D2F" w:rsidRDefault="00890D2F" w:rsidP="00E56427">
      <w:pPr>
        <w:keepLines/>
        <w:autoSpaceDE w:val="0"/>
        <w:autoSpaceDN w:val="0"/>
        <w:adjustRightInd w:val="0"/>
        <w:rPr>
          <w:rFonts w:ascii="Garamond" w:hAnsi="Garamond"/>
          <w:lang w:val="en-AU"/>
        </w:rPr>
      </w:pPr>
    </w:p>
    <w:p w:rsidR="00D90730" w:rsidRDefault="00D90730" w:rsidP="008F2199">
      <w:pPr>
        <w:keepNext/>
        <w:keepLines/>
        <w:autoSpaceDE w:val="0"/>
        <w:autoSpaceDN w:val="0"/>
        <w:adjustRightInd w:val="0"/>
        <w:rPr>
          <w:rFonts w:ascii="Garamond" w:hAnsi="Garamond"/>
          <w:lang w:val="en-AU"/>
        </w:rPr>
      </w:pPr>
      <w:r>
        <w:rPr>
          <w:rFonts w:ascii="Garamond" w:hAnsi="Garamond"/>
          <w:lang w:val="en-AU"/>
        </w:rPr>
        <w:t>For information on the Commission’s work on safety in e-health, including e</w:t>
      </w:r>
      <w:r w:rsidRPr="00D90730">
        <w:rPr>
          <w:rFonts w:ascii="Garamond" w:hAnsi="Garamond"/>
          <w:lang w:val="en-AU"/>
        </w:rPr>
        <w:t>lectronic medication management (EMM) systems</w:t>
      </w:r>
      <w:r>
        <w:rPr>
          <w:rFonts w:ascii="Garamond" w:hAnsi="Garamond"/>
          <w:lang w:val="en-AU"/>
        </w:rPr>
        <w:t>,</w:t>
      </w:r>
      <w:r w:rsidR="00FD59E3">
        <w:rPr>
          <w:rFonts w:ascii="Garamond" w:hAnsi="Garamond"/>
          <w:lang w:val="en-AU"/>
        </w:rPr>
        <w:t xml:space="preserve"> see</w:t>
      </w:r>
      <w:r w:rsidRPr="00D90730">
        <w:rPr>
          <w:rFonts w:ascii="Garamond" w:hAnsi="Garamond"/>
          <w:lang w:val="en-AU"/>
        </w:rPr>
        <w:t xml:space="preserve"> </w:t>
      </w:r>
      <w:hyperlink r:id="rId29" w:history="1">
        <w:r w:rsidRPr="00F25C10">
          <w:rPr>
            <w:rStyle w:val="Hyperlink"/>
            <w:rFonts w:ascii="Garamond" w:hAnsi="Garamond"/>
            <w:lang w:val="en-AU"/>
          </w:rPr>
          <w:t>https://www.safetyandquality.gov.au/our-work/safety-in-e-health/</w:t>
        </w:r>
      </w:hyperlink>
    </w:p>
    <w:p w:rsidR="00D90730" w:rsidRPr="00D90730" w:rsidRDefault="00D90730" w:rsidP="00E56427">
      <w:pPr>
        <w:keepLines/>
        <w:autoSpaceDE w:val="0"/>
        <w:autoSpaceDN w:val="0"/>
        <w:adjustRightInd w:val="0"/>
        <w:rPr>
          <w:rFonts w:ascii="Garamond" w:hAnsi="Garamond"/>
          <w:lang w:val="en-AU"/>
        </w:rPr>
      </w:pPr>
    </w:p>
    <w:p w:rsidR="00D90730" w:rsidRPr="00D90730" w:rsidRDefault="00D90730" w:rsidP="00D90730">
      <w:pPr>
        <w:keepNext/>
        <w:keepLines/>
        <w:autoSpaceDE w:val="0"/>
        <w:autoSpaceDN w:val="0"/>
        <w:adjustRightInd w:val="0"/>
        <w:rPr>
          <w:rFonts w:ascii="Garamond" w:hAnsi="Garamond"/>
          <w:i/>
          <w:lang w:val="en-AU"/>
        </w:rPr>
      </w:pPr>
      <w:r w:rsidRPr="00D90730">
        <w:rPr>
          <w:rFonts w:ascii="Garamond" w:hAnsi="Garamond"/>
          <w:i/>
          <w:lang w:val="en-AU"/>
        </w:rPr>
        <w:lastRenderedPageBreak/>
        <w:t>Transition to a new electronic health record and pediatric medication safety: lessons learned in pediatrics within a large academic health system</w:t>
      </w:r>
    </w:p>
    <w:p w:rsidR="00D90730" w:rsidRDefault="00D90730" w:rsidP="00890D2F">
      <w:pPr>
        <w:keepNext/>
        <w:keepLines/>
        <w:autoSpaceDE w:val="0"/>
        <w:autoSpaceDN w:val="0"/>
        <w:adjustRightInd w:val="0"/>
        <w:rPr>
          <w:rFonts w:ascii="Garamond" w:hAnsi="Garamond"/>
          <w:lang w:val="en-AU"/>
        </w:rPr>
      </w:pPr>
      <w:r w:rsidRPr="00D90730">
        <w:rPr>
          <w:rFonts w:ascii="Garamond" w:hAnsi="Garamond"/>
          <w:lang w:val="en-AU"/>
        </w:rPr>
        <w:t>Whalen K, Lynch E, Moawad I, John T, Lozowski D, Cummings BM</w:t>
      </w:r>
    </w:p>
    <w:p w:rsidR="00890D2F" w:rsidRPr="00D90730" w:rsidRDefault="00D90730" w:rsidP="00890D2F">
      <w:pPr>
        <w:keepNext/>
        <w:keepLines/>
        <w:autoSpaceDE w:val="0"/>
        <w:autoSpaceDN w:val="0"/>
        <w:adjustRightInd w:val="0"/>
        <w:rPr>
          <w:rFonts w:ascii="Garamond" w:hAnsi="Garamond"/>
          <w:lang w:val="en-AU"/>
        </w:rPr>
      </w:pPr>
      <w:r w:rsidRPr="00D90730">
        <w:rPr>
          <w:rFonts w:ascii="Garamond" w:hAnsi="Garamond"/>
          <w:lang w:val="en-AU"/>
        </w:rPr>
        <w:t>Journal of the American Medical Informatics Association. 2018;25(7):848-54.</w:t>
      </w:r>
    </w:p>
    <w:tbl>
      <w:tblPr>
        <w:tblStyle w:val="TableGrid"/>
        <w:tblW w:w="0" w:type="auto"/>
        <w:tblInd w:w="288" w:type="dxa"/>
        <w:tblLayout w:type="fixed"/>
        <w:tblLook w:val="01E0" w:firstRow="1" w:lastRow="1" w:firstColumn="1" w:lastColumn="1" w:noHBand="0" w:noVBand="0"/>
      </w:tblPr>
      <w:tblGrid>
        <w:gridCol w:w="1080"/>
        <w:gridCol w:w="8280"/>
      </w:tblGrid>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170DA" w:rsidRDefault="00BE19DD" w:rsidP="00E56427">
            <w:pPr>
              <w:rPr>
                <w:rStyle w:val="Hyperlink"/>
                <w:rFonts w:ascii="Garamond" w:hAnsi="Garamond"/>
                <w:color w:val="auto"/>
                <w:u w:val="none"/>
                <w:lang w:val="en-AU"/>
              </w:rPr>
            </w:pPr>
            <w:hyperlink r:id="rId30" w:history="1">
              <w:r w:rsidR="00D90730" w:rsidRPr="00F25C10">
                <w:rPr>
                  <w:rStyle w:val="Hyperlink"/>
                  <w:rFonts w:ascii="Garamond" w:hAnsi="Garamond"/>
                  <w:lang w:val="en-AU"/>
                </w:rPr>
                <w:t>https://doi.org/10.1093/jamia/ocy034</w:t>
              </w:r>
            </w:hyperlink>
          </w:p>
        </w:tc>
      </w:tr>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Default="00D90730" w:rsidP="001F2EC5">
            <w:pPr>
              <w:rPr>
                <w:rFonts w:ascii="Garamond" w:hAnsi="Garamond"/>
                <w:lang w:val="en-AU"/>
              </w:rPr>
            </w:pPr>
            <w:r>
              <w:rPr>
                <w:rFonts w:ascii="Garamond" w:hAnsi="Garamond"/>
                <w:lang w:val="en-AU"/>
              </w:rPr>
              <w:t xml:space="preserve">Paper describing the experience of </w:t>
            </w:r>
            <w:r w:rsidRPr="00D90730">
              <w:rPr>
                <w:rFonts w:ascii="Garamond" w:hAnsi="Garamond"/>
                <w:lang w:val="en-AU"/>
              </w:rPr>
              <w:t>roll-out of a new</w:t>
            </w:r>
            <w:r w:rsidR="001F2EC5">
              <w:t xml:space="preserve"> </w:t>
            </w:r>
            <w:r w:rsidR="001F2EC5" w:rsidRPr="001F2EC5">
              <w:rPr>
                <w:rFonts w:ascii="Garamond" w:hAnsi="Garamond"/>
                <w:lang w:val="en-AU"/>
              </w:rPr>
              <w:t>electronic health record (EHR)</w:t>
            </w:r>
            <w:r w:rsidR="001F2EC5">
              <w:rPr>
                <w:color w:val="2A2A2A"/>
                <w:sz w:val="23"/>
                <w:szCs w:val="23"/>
                <w:shd w:val="clear" w:color="auto" w:fill="EFF2F7"/>
              </w:rPr>
              <w:t xml:space="preserve"> </w:t>
            </w:r>
            <w:r w:rsidRPr="00D90730">
              <w:rPr>
                <w:rFonts w:ascii="Garamond" w:hAnsi="Garamond"/>
                <w:lang w:val="en-AU"/>
              </w:rPr>
              <w:t>in a mixed neonatal, p</w:t>
            </w:r>
            <w:r>
              <w:rPr>
                <w:rFonts w:ascii="Garamond" w:hAnsi="Garamond"/>
                <w:lang w:val="en-AU"/>
              </w:rPr>
              <w:t>a</w:t>
            </w:r>
            <w:r w:rsidRPr="00D90730">
              <w:rPr>
                <w:rFonts w:ascii="Garamond" w:hAnsi="Garamond"/>
                <w:lang w:val="en-AU"/>
              </w:rPr>
              <w:t xml:space="preserve">ediatric and adult </w:t>
            </w:r>
            <w:r>
              <w:rPr>
                <w:rFonts w:ascii="Garamond" w:hAnsi="Garamond"/>
                <w:lang w:val="en-AU"/>
              </w:rPr>
              <w:t xml:space="preserve">hospital </w:t>
            </w:r>
            <w:r w:rsidRPr="00D90730">
              <w:rPr>
                <w:rFonts w:ascii="Garamond" w:hAnsi="Garamond"/>
                <w:lang w:val="en-AU"/>
              </w:rPr>
              <w:t>with staggered implementation</w:t>
            </w:r>
            <w:r w:rsidR="001F2EC5">
              <w:rPr>
                <w:rFonts w:ascii="Garamond" w:hAnsi="Garamond"/>
                <w:lang w:val="en-AU"/>
              </w:rPr>
              <w:t>. The paper examined the m</w:t>
            </w:r>
            <w:r w:rsidR="001F2EC5" w:rsidRPr="001F2EC5">
              <w:rPr>
                <w:rFonts w:ascii="Garamond" w:hAnsi="Garamond"/>
                <w:lang w:val="en-AU"/>
              </w:rPr>
              <w:t>edication safety and implementation challenges and solutions in the p</w:t>
            </w:r>
            <w:r w:rsidR="001F2EC5">
              <w:rPr>
                <w:rFonts w:ascii="Garamond" w:hAnsi="Garamond"/>
                <w:lang w:val="en-AU"/>
              </w:rPr>
              <w:t>a</w:t>
            </w:r>
            <w:r w:rsidR="001F2EC5" w:rsidRPr="001F2EC5">
              <w:rPr>
                <w:rFonts w:ascii="Garamond" w:hAnsi="Garamond"/>
                <w:lang w:val="en-AU"/>
              </w:rPr>
              <w:t>ediatric population</w:t>
            </w:r>
            <w:r w:rsidR="001F2EC5">
              <w:rPr>
                <w:rFonts w:ascii="Garamond" w:hAnsi="Garamond"/>
                <w:lang w:val="en-AU"/>
              </w:rPr>
              <w:t>. This is another example of how changes in technology that are aimed at improving safety and quality can introduce new challenges, but some of these are temporary and many can be anticipated.</w:t>
            </w:r>
          </w:p>
          <w:p w:rsidR="001F2EC5" w:rsidRDefault="001F2EC5" w:rsidP="001F2EC5">
            <w:pPr>
              <w:rPr>
                <w:rFonts w:ascii="Garamond" w:hAnsi="Garamond"/>
                <w:lang w:val="en-AU"/>
              </w:rPr>
            </w:pPr>
            <w:r>
              <w:rPr>
                <w:rFonts w:ascii="Garamond" w:hAnsi="Garamond"/>
                <w:lang w:val="en-AU"/>
              </w:rPr>
              <w:t xml:space="preserve">The authors report that on </w:t>
            </w:r>
            <w:r w:rsidRPr="001F2EC5">
              <w:rPr>
                <w:rFonts w:ascii="Garamond" w:hAnsi="Garamond"/>
                <w:lang w:val="en-AU"/>
              </w:rPr>
              <w:t>implementation, there was a 5-fold increase in the overall number of medication safety reports</w:t>
            </w:r>
            <w:r>
              <w:rPr>
                <w:rFonts w:ascii="Garamond" w:hAnsi="Garamond"/>
                <w:lang w:val="en-AU"/>
              </w:rPr>
              <w:t xml:space="preserve"> but after three months </w:t>
            </w:r>
            <w:r w:rsidRPr="001F2EC5">
              <w:rPr>
                <w:rFonts w:ascii="Garamond" w:hAnsi="Garamond"/>
                <w:lang w:val="en-AU"/>
              </w:rPr>
              <w:t xml:space="preserve">rate of reported medication errors had returned to baseline. The majority of reports were near misses. Three major safety themes </w:t>
            </w:r>
            <w:r>
              <w:rPr>
                <w:rFonts w:ascii="Garamond" w:hAnsi="Garamond"/>
                <w:lang w:val="en-AU"/>
              </w:rPr>
              <w:t>were identified:</w:t>
            </w:r>
          </w:p>
          <w:p w:rsidR="001F2EC5" w:rsidRDefault="001F2EC5" w:rsidP="001F2EC5">
            <w:pPr>
              <w:pStyle w:val="ListParagraph"/>
              <w:numPr>
                <w:ilvl w:val="0"/>
                <w:numId w:val="47"/>
              </w:numPr>
              <w:rPr>
                <w:rFonts w:ascii="Garamond" w:hAnsi="Garamond"/>
                <w:lang w:val="en-AU"/>
              </w:rPr>
            </w:pPr>
            <w:r w:rsidRPr="001F2EC5">
              <w:rPr>
                <w:rFonts w:ascii="Garamond" w:hAnsi="Garamond"/>
                <w:lang w:val="en-AU"/>
              </w:rPr>
              <w:t>enterprise logic in rounding of doses and dosing volumes;</w:t>
            </w:r>
          </w:p>
          <w:p w:rsidR="001F2EC5" w:rsidRDefault="001F2EC5" w:rsidP="001F2EC5">
            <w:pPr>
              <w:pStyle w:val="ListParagraph"/>
              <w:numPr>
                <w:ilvl w:val="0"/>
                <w:numId w:val="47"/>
              </w:numPr>
              <w:rPr>
                <w:rFonts w:ascii="Garamond" w:hAnsi="Garamond"/>
                <w:lang w:val="en-AU"/>
              </w:rPr>
            </w:pPr>
            <w:r w:rsidRPr="001F2EC5">
              <w:rPr>
                <w:rFonts w:ascii="Garamond" w:hAnsi="Garamond"/>
                <w:lang w:val="en-AU"/>
              </w:rPr>
              <w:t>ordering clinician seeing a concentration and product when ordering medications</w:t>
            </w:r>
          </w:p>
          <w:p w:rsidR="001F2EC5" w:rsidRPr="001F2EC5" w:rsidRDefault="001F2EC5" w:rsidP="001F2EC5">
            <w:pPr>
              <w:pStyle w:val="ListParagraph"/>
              <w:numPr>
                <w:ilvl w:val="0"/>
                <w:numId w:val="47"/>
              </w:numPr>
              <w:rPr>
                <w:rFonts w:ascii="Garamond" w:hAnsi="Garamond"/>
                <w:lang w:val="en-AU"/>
              </w:rPr>
            </w:pPr>
            <w:r w:rsidRPr="001F2EC5">
              <w:rPr>
                <w:rFonts w:ascii="Garamond" w:hAnsi="Garamond"/>
                <w:lang w:val="en-AU"/>
              </w:rPr>
              <w:t>the need for standardi</w:t>
            </w:r>
            <w:r>
              <w:rPr>
                <w:rFonts w:ascii="Garamond" w:hAnsi="Garamond"/>
                <w:lang w:val="en-AU"/>
              </w:rPr>
              <w:t>s</w:t>
            </w:r>
            <w:r w:rsidRPr="001F2EC5">
              <w:rPr>
                <w:rFonts w:ascii="Garamond" w:hAnsi="Garamond"/>
                <w:lang w:val="en-AU"/>
              </w:rPr>
              <w:t>ed dosing units through age contexts created issues with continuous infusions and pump library safeguards.</w:t>
            </w:r>
          </w:p>
        </w:tc>
      </w:tr>
    </w:tbl>
    <w:p w:rsidR="008F2199" w:rsidRDefault="008F2199" w:rsidP="008F2199">
      <w:pPr>
        <w:keepLines/>
        <w:autoSpaceDE w:val="0"/>
        <w:autoSpaceDN w:val="0"/>
        <w:adjustRightInd w:val="0"/>
        <w:rPr>
          <w:rFonts w:ascii="Garamond" w:hAnsi="Garamond"/>
          <w:lang w:val="en-AU"/>
        </w:rPr>
      </w:pPr>
    </w:p>
    <w:p w:rsidR="008F2199" w:rsidRPr="001F2EC5" w:rsidRDefault="001F2EC5" w:rsidP="008F2199">
      <w:pPr>
        <w:keepNext/>
        <w:keepLines/>
        <w:autoSpaceDE w:val="0"/>
        <w:autoSpaceDN w:val="0"/>
        <w:adjustRightInd w:val="0"/>
        <w:rPr>
          <w:rFonts w:ascii="Garamond" w:hAnsi="Garamond"/>
          <w:i/>
          <w:lang w:val="en-AU"/>
        </w:rPr>
      </w:pPr>
      <w:r w:rsidRPr="001F2EC5">
        <w:rPr>
          <w:rFonts w:ascii="Garamond" w:hAnsi="Garamond"/>
          <w:i/>
          <w:lang w:val="en-AU"/>
        </w:rPr>
        <w:t>Impact of an antiretroviral stewardship strategy on medication error rates</w:t>
      </w:r>
    </w:p>
    <w:p w:rsidR="001F2EC5" w:rsidRDefault="001F2EC5" w:rsidP="008F2199">
      <w:pPr>
        <w:keepNext/>
        <w:keepLines/>
        <w:autoSpaceDE w:val="0"/>
        <w:autoSpaceDN w:val="0"/>
        <w:adjustRightInd w:val="0"/>
        <w:rPr>
          <w:rFonts w:ascii="Garamond" w:hAnsi="Garamond"/>
          <w:lang w:val="en-AU"/>
        </w:rPr>
      </w:pPr>
      <w:r w:rsidRPr="001F2EC5">
        <w:rPr>
          <w:rFonts w:ascii="Garamond" w:hAnsi="Garamond"/>
          <w:lang w:val="en-AU"/>
        </w:rPr>
        <w:t>Shea KM, Hobbs AL, Shumake JD, Templet DJ, Padilla-Tolentino E, Mondy KE</w:t>
      </w:r>
    </w:p>
    <w:p w:rsidR="001F2EC5" w:rsidRPr="00E566B0" w:rsidRDefault="001F2EC5" w:rsidP="008F2199">
      <w:pPr>
        <w:keepNext/>
        <w:keepLines/>
        <w:autoSpaceDE w:val="0"/>
        <w:autoSpaceDN w:val="0"/>
        <w:adjustRightInd w:val="0"/>
        <w:rPr>
          <w:rFonts w:ascii="Garamond" w:hAnsi="Garamond"/>
          <w:lang w:val="en-AU"/>
        </w:rPr>
      </w:pPr>
      <w:r w:rsidRPr="001F2EC5">
        <w:rPr>
          <w:rFonts w:ascii="Garamond" w:hAnsi="Garamond"/>
          <w:lang w:val="en-AU"/>
        </w:rPr>
        <w:t>American Journal of Health-System Pharmacy. 2018;75(12):876-85.</w:t>
      </w:r>
    </w:p>
    <w:tbl>
      <w:tblPr>
        <w:tblStyle w:val="TableGrid"/>
        <w:tblW w:w="0" w:type="auto"/>
        <w:tblInd w:w="288" w:type="dxa"/>
        <w:tblLayout w:type="fixed"/>
        <w:tblLook w:val="01E0" w:firstRow="1" w:lastRow="1" w:firstColumn="1" w:lastColumn="1" w:noHBand="0" w:noVBand="0"/>
      </w:tblPr>
      <w:tblGrid>
        <w:gridCol w:w="1080"/>
        <w:gridCol w:w="8280"/>
      </w:tblGrid>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170DA" w:rsidRDefault="00BE19DD" w:rsidP="00E56427">
            <w:pPr>
              <w:rPr>
                <w:rStyle w:val="Hyperlink"/>
                <w:rFonts w:ascii="Garamond" w:hAnsi="Garamond"/>
                <w:color w:val="auto"/>
                <w:u w:val="none"/>
                <w:lang w:val="en-AU"/>
              </w:rPr>
            </w:pPr>
            <w:hyperlink r:id="rId31" w:history="1">
              <w:r w:rsidR="001F2EC5" w:rsidRPr="00F25C10">
                <w:rPr>
                  <w:rStyle w:val="Hyperlink"/>
                  <w:rFonts w:ascii="Garamond" w:hAnsi="Garamond"/>
                  <w:lang w:val="en-AU"/>
                </w:rPr>
                <w:t>http://doi.org/10.2146/ajhp170420</w:t>
              </w:r>
            </w:hyperlink>
            <w:r w:rsidR="001F2EC5">
              <w:rPr>
                <w:rStyle w:val="Hyperlink"/>
                <w:rFonts w:ascii="Garamond" w:hAnsi="Garamond"/>
                <w:color w:val="auto"/>
                <w:u w:val="none"/>
                <w:lang w:val="en-AU"/>
              </w:rPr>
              <w:t xml:space="preserve"> </w:t>
            </w:r>
          </w:p>
        </w:tc>
      </w:tr>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365E9" w:rsidRDefault="001F2EC5" w:rsidP="00E56427">
            <w:pPr>
              <w:rPr>
                <w:rFonts w:ascii="Garamond" w:hAnsi="Garamond"/>
                <w:lang w:val="en-AU"/>
              </w:rPr>
            </w:pPr>
            <w:r>
              <w:rPr>
                <w:rFonts w:ascii="Garamond" w:hAnsi="Garamond"/>
                <w:lang w:val="en-AU"/>
              </w:rPr>
              <w:t xml:space="preserve">This study of the implementation of </w:t>
            </w:r>
            <w:r w:rsidRPr="001F2EC5">
              <w:rPr>
                <w:rFonts w:ascii="Garamond" w:hAnsi="Garamond"/>
                <w:lang w:val="en-AU"/>
              </w:rPr>
              <w:t>an antiretroviral stewardship strategy</w:t>
            </w:r>
            <w:r>
              <w:rPr>
                <w:rFonts w:ascii="Garamond" w:hAnsi="Garamond"/>
                <w:lang w:val="en-AU"/>
              </w:rPr>
              <w:t xml:space="preserve"> (</w:t>
            </w:r>
            <w:r w:rsidRPr="001F2EC5">
              <w:rPr>
                <w:rFonts w:ascii="Garamond" w:hAnsi="Garamond"/>
                <w:lang w:val="en-AU"/>
              </w:rPr>
              <w:t>including prospective audit by staff pharmacists through use of an antiretroviral medication therapy checklist at the time of order verification</w:t>
            </w:r>
            <w:r>
              <w:rPr>
                <w:rFonts w:ascii="Garamond" w:hAnsi="Garamond"/>
                <w:lang w:val="en-AU"/>
              </w:rPr>
              <w:t xml:space="preserve">) in a single centre reported </w:t>
            </w:r>
            <w:r w:rsidRPr="001F2EC5">
              <w:rPr>
                <w:rFonts w:ascii="Garamond" w:hAnsi="Garamond"/>
                <w:lang w:val="en-AU"/>
              </w:rPr>
              <w:t xml:space="preserve">significant </w:t>
            </w:r>
            <w:r w:rsidRPr="00F85A78">
              <w:rPr>
                <w:rFonts w:ascii="Garamond" w:hAnsi="Garamond"/>
                <w:b/>
                <w:lang w:val="en-AU"/>
              </w:rPr>
              <w:t>reduction</w:t>
            </w:r>
            <w:r w:rsidRPr="001F2EC5">
              <w:rPr>
                <w:rFonts w:ascii="Garamond" w:hAnsi="Garamond"/>
                <w:lang w:val="en-AU"/>
              </w:rPr>
              <w:t xml:space="preserve"> in the </w:t>
            </w:r>
            <w:r w:rsidRPr="00F85A78">
              <w:rPr>
                <w:rFonts w:ascii="Garamond" w:hAnsi="Garamond"/>
                <w:b/>
                <w:lang w:val="en-AU"/>
              </w:rPr>
              <w:t>overall error rate</w:t>
            </w:r>
            <w:r>
              <w:rPr>
                <w:rFonts w:ascii="Garamond" w:hAnsi="Garamond"/>
                <w:lang w:val="en-AU"/>
              </w:rPr>
              <w:t xml:space="preserve"> and </w:t>
            </w:r>
            <w:r w:rsidRPr="001F2EC5">
              <w:rPr>
                <w:rFonts w:ascii="Garamond" w:hAnsi="Garamond"/>
                <w:lang w:val="en-AU"/>
              </w:rPr>
              <w:t xml:space="preserve">in </w:t>
            </w:r>
            <w:r>
              <w:rPr>
                <w:rFonts w:ascii="Garamond" w:hAnsi="Garamond"/>
                <w:lang w:val="en-AU"/>
              </w:rPr>
              <w:t xml:space="preserve">various </w:t>
            </w:r>
            <w:r w:rsidRPr="001F2EC5">
              <w:rPr>
                <w:rFonts w:ascii="Garamond" w:hAnsi="Garamond"/>
                <w:lang w:val="en-AU"/>
              </w:rPr>
              <w:t>error type</w:t>
            </w:r>
            <w:r>
              <w:rPr>
                <w:rFonts w:ascii="Garamond" w:hAnsi="Garamond"/>
                <w:lang w:val="en-AU"/>
              </w:rPr>
              <w:t>s</w:t>
            </w:r>
            <w:r w:rsidRPr="001F2EC5">
              <w:rPr>
                <w:rFonts w:ascii="Garamond" w:hAnsi="Garamond"/>
                <w:lang w:val="en-AU"/>
              </w:rPr>
              <w:t xml:space="preserve">, including </w:t>
            </w:r>
            <w:r w:rsidRPr="00F85A78">
              <w:rPr>
                <w:rFonts w:ascii="Garamond" w:hAnsi="Garamond"/>
                <w:b/>
                <w:lang w:val="en-AU"/>
              </w:rPr>
              <w:t xml:space="preserve">incorrect/incomplete medication </w:t>
            </w:r>
            <w:r w:rsidRPr="00E56427">
              <w:rPr>
                <w:rFonts w:ascii="Garamond" w:hAnsi="Garamond"/>
                <w:lang w:val="en-AU"/>
              </w:rPr>
              <w:t>regimen</w:t>
            </w:r>
            <w:r w:rsidRPr="001F2EC5">
              <w:rPr>
                <w:rFonts w:ascii="Garamond" w:hAnsi="Garamond"/>
                <w:lang w:val="en-AU"/>
              </w:rPr>
              <w:t xml:space="preserve">, </w:t>
            </w:r>
            <w:r w:rsidRPr="00F85A78">
              <w:rPr>
                <w:rFonts w:ascii="Garamond" w:hAnsi="Garamond"/>
                <w:b/>
                <w:lang w:val="en-AU"/>
              </w:rPr>
              <w:t>incorrect dosing</w:t>
            </w:r>
            <w:r w:rsidRPr="001F2EC5">
              <w:rPr>
                <w:rFonts w:ascii="Garamond" w:hAnsi="Garamond"/>
                <w:lang w:val="en-AU"/>
              </w:rPr>
              <w:t xml:space="preserve"> regimen, </w:t>
            </w:r>
            <w:r w:rsidRPr="00F85A78">
              <w:rPr>
                <w:rFonts w:ascii="Garamond" w:hAnsi="Garamond"/>
                <w:b/>
                <w:lang w:val="en-AU"/>
              </w:rPr>
              <w:t>incorrect renal dose</w:t>
            </w:r>
            <w:r w:rsidRPr="001F2EC5">
              <w:rPr>
                <w:rFonts w:ascii="Garamond" w:hAnsi="Garamond"/>
                <w:lang w:val="en-AU"/>
              </w:rPr>
              <w:t xml:space="preserve"> adjustment, </w:t>
            </w:r>
            <w:r w:rsidRPr="00F85A78">
              <w:rPr>
                <w:rFonts w:ascii="Garamond" w:hAnsi="Garamond"/>
                <w:b/>
                <w:lang w:val="en-AU"/>
              </w:rPr>
              <w:t>incorrect administration</w:t>
            </w:r>
            <w:r w:rsidRPr="001F2EC5">
              <w:rPr>
                <w:rFonts w:ascii="Garamond" w:hAnsi="Garamond"/>
                <w:lang w:val="en-AU"/>
              </w:rPr>
              <w:t xml:space="preserve">, and the presence of a </w:t>
            </w:r>
            <w:r w:rsidRPr="00E56427">
              <w:rPr>
                <w:rFonts w:ascii="Garamond" w:hAnsi="Garamond"/>
                <w:lang w:val="en-AU"/>
              </w:rPr>
              <w:t>major</w:t>
            </w:r>
            <w:r w:rsidRPr="00F85A78">
              <w:rPr>
                <w:rFonts w:ascii="Garamond" w:hAnsi="Garamond"/>
                <w:b/>
                <w:lang w:val="en-AU"/>
              </w:rPr>
              <w:t xml:space="preserve"> drug–drug interaction</w:t>
            </w:r>
            <w:r w:rsidRPr="001F2EC5">
              <w:rPr>
                <w:rFonts w:ascii="Garamond" w:hAnsi="Garamond"/>
                <w:lang w:val="en-AU"/>
              </w:rPr>
              <w:t>.</w:t>
            </w:r>
            <w:r>
              <w:rPr>
                <w:rFonts w:ascii="Garamond" w:hAnsi="Garamond"/>
                <w:lang w:val="en-AU"/>
              </w:rPr>
              <w:t xml:space="preserve"> This is further evidence </w:t>
            </w:r>
            <w:r w:rsidR="00E56427">
              <w:rPr>
                <w:rFonts w:ascii="Garamond" w:hAnsi="Garamond"/>
                <w:lang w:val="en-AU"/>
              </w:rPr>
              <w:t xml:space="preserve">on </w:t>
            </w:r>
            <w:r>
              <w:rPr>
                <w:rFonts w:ascii="Garamond" w:hAnsi="Garamond"/>
                <w:lang w:val="en-AU"/>
              </w:rPr>
              <w:t xml:space="preserve">the </w:t>
            </w:r>
            <w:r w:rsidR="00E56427">
              <w:rPr>
                <w:rFonts w:ascii="Garamond" w:hAnsi="Garamond"/>
                <w:lang w:val="en-AU"/>
              </w:rPr>
              <w:t xml:space="preserve">utility </w:t>
            </w:r>
            <w:r>
              <w:rPr>
                <w:rFonts w:ascii="Garamond" w:hAnsi="Garamond"/>
                <w:lang w:val="en-AU"/>
              </w:rPr>
              <w:t>of stewardship programs.</w:t>
            </w:r>
          </w:p>
        </w:tc>
      </w:tr>
    </w:tbl>
    <w:p w:rsidR="008F2199" w:rsidRDefault="008F2199" w:rsidP="008F2199">
      <w:pPr>
        <w:keepLines/>
        <w:autoSpaceDE w:val="0"/>
        <w:autoSpaceDN w:val="0"/>
        <w:adjustRightInd w:val="0"/>
        <w:rPr>
          <w:rFonts w:ascii="Garamond" w:hAnsi="Garamond"/>
          <w:lang w:val="en-AU"/>
        </w:rPr>
      </w:pPr>
    </w:p>
    <w:p w:rsidR="008F2199" w:rsidRPr="00E56427" w:rsidRDefault="00E56427" w:rsidP="008F2199">
      <w:pPr>
        <w:keepNext/>
        <w:keepLines/>
        <w:autoSpaceDE w:val="0"/>
        <w:autoSpaceDN w:val="0"/>
        <w:adjustRightInd w:val="0"/>
        <w:rPr>
          <w:rFonts w:ascii="Garamond" w:hAnsi="Garamond"/>
          <w:i/>
          <w:lang w:val="en-AU"/>
        </w:rPr>
      </w:pPr>
      <w:r w:rsidRPr="00E56427">
        <w:rPr>
          <w:rFonts w:ascii="Garamond" w:hAnsi="Garamond"/>
          <w:i/>
          <w:lang w:val="en-AU"/>
        </w:rPr>
        <w:t>Targeting the ‘right’ patients for integrated care: stakeholder perspectives from a qualitative study</w:t>
      </w:r>
    </w:p>
    <w:p w:rsidR="00E56427" w:rsidRDefault="00E56427" w:rsidP="008F2199">
      <w:pPr>
        <w:keepNext/>
        <w:keepLines/>
        <w:autoSpaceDE w:val="0"/>
        <w:autoSpaceDN w:val="0"/>
        <w:adjustRightInd w:val="0"/>
        <w:rPr>
          <w:rFonts w:ascii="Garamond" w:hAnsi="Garamond"/>
          <w:lang w:val="en-AU"/>
        </w:rPr>
      </w:pPr>
      <w:r w:rsidRPr="00E56427">
        <w:rPr>
          <w:rFonts w:ascii="Garamond" w:hAnsi="Garamond"/>
          <w:lang w:val="en-AU"/>
        </w:rPr>
        <w:t>Stokes J, Riste L, Cheraghi-Sohi S</w:t>
      </w:r>
    </w:p>
    <w:p w:rsidR="00E56427" w:rsidRPr="00E566B0" w:rsidRDefault="00E56427" w:rsidP="008F2199">
      <w:pPr>
        <w:keepNext/>
        <w:keepLines/>
        <w:autoSpaceDE w:val="0"/>
        <w:autoSpaceDN w:val="0"/>
        <w:adjustRightInd w:val="0"/>
        <w:rPr>
          <w:rFonts w:ascii="Garamond" w:hAnsi="Garamond"/>
          <w:lang w:val="en-AU"/>
        </w:rPr>
      </w:pPr>
      <w:r w:rsidRPr="00E56427">
        <w:rPr>
          <w:rFonts w:ascii="Garamond" w:hAnsi="Garamond"/>
          <w:lang w:val="en-AU"/>
        </w:rPr>
        <w:t>Journal of Health Services Research &amp; Policy. 2018</w:t>
      </w:r>
      <w:r>
        <w:rPr>
          <w:rFonts w:ascii="Garamond" w:hAnsi="Garamond"/>
          <w:lang w:val="en-AU"/>
        </w:rPr>
        <w:t xml:space="preserve"> [epub]</w:t>
      </w:r>
      <w:r w:rsidRPr="00E5642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170DA" w:rsidRDefault="00BE19DD" w:rsidP="00E56427">
            <w:pPr>
              <w:rPr>
                <w:rStyle w:val="Hyperlink"/>
                <w:rFonts w:ascii="Garamond" w:hAnsi="Garamond"/>
                <w:color w:val="auto"/>
                <w:u w:val="none"/>
                <w:lang w:val="en-AU"/>
              </w:rPr>
            </w:pPr>
            <w:hyperlink r:id="rId32" w:history="1">
              <w:r w:rsidR="00E56427" w:rsidRPr="00F25C10">
                <w:rPr>
                  <w:rStyle w:val="Hyperlink"/>
                  <w:rFonts w:ascii="Garamond" w:hAnsi="Garamond"/>
                  <w:lang w:val="en-AU"/>
                </w:rPr>
                <w:t>https://doi.org/10.1177/1355819618788100</w:t>
              </w:r>
            </w:hyperlink>
          </w:p>
        </w:tc>
      </w:tr>
      <w:tr w:rsidR="008F2199"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8F2199" w:rsidRPr="000170DA" w:rsidRDefault="008F2199"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2199" w:rsidRPr="000365E9" w:rsidRDefault="00E56427" w:rsidP="00E56427">
            <w:pPr>
              <w:rPr>
                <w:rFonts w:ascii="Garamond" w:hAnsi="Garamond"/>
                <w:lang w:val="en-AU"/>
              </w:rPr>
            </w:pPr>
            <w:r>
              <w:rPr>
                <w:rFonts w:ascii="Garamond" w:hAnsi="Garamond"/>
                <w:lang w:val="en-AU"/>
              </w:rPr>
              <w:t xml:space="preserve">Better integrated and co-ordinated care is seen as a possible panacea for improving the care of patients with complex and chronic conditions. This qualitative study problematizes this view somewhat. The study is based on </w:t>
            </w:r>
            <w:r w:rsidRPr="00E56427">
              <w:rPr>
                <w:rFonts w:ascii="Garamond" w:hAnsi="Garamond"/>
                <w:lang w:val="en-AU"/>
              </w:rPr>
              <w:t>analysis of qualitative interviews with relevant stakeholders (including programme managers, programme initiators, a representative of the payers, medical and social care professionals and allied health services staff) from two integrated care sites in England</w:t>
            </w:r>
            <w:r>
              <w:rPr>
                <w:rFonts w:ascii="Garamond" w:hAnsi="Garamond"/>
                <w:lang w:val="en-AU"/>
              </w:rPr>
              <w:t xml:space="preserve">. The two sites </w:t>
            </w:r>
            <w:r w:rsidRPr="00E56427">
              <w:rPr>
                <w:rFonts w:ascii="Garamond" w:hAnsi="Garamond"/>
                <w:lang w:val="en-AU"/>
              </w:rPr>
              <w:t xml:space="preserve">focused on individualized management of ‘high-risk’ patients through multidisciplinary team case management. </w:t>
            </w:r>
            <w:r>
              <w:rPr>
                <w:rFonts w:ascii="Garamond" w:hAnsi="Garamond"/>
                <w:lang w:val="en-AU"/>
              </w:rPr>
              <w:t>However, t</w:t>
            </w:r>
            <w:r w:rsidRPr="00E56427">
              <w:rPr>
                <w:rFonts w:ascii="Garamond" w:hAnsi="Garamond"/>
                <w:lang w:val="en-AU"/>
              </w:rPr>
              <w:t>he data-driven approach to targeting patients did not align with stakeholders’ experience of selecting patients in practice. The ‘right’ patients were at lower risk than those recommended by policy, and their complexities were identified as comprising mostly social rather than medical issues.</w:t>
            </w:r>
            <w:r>
              <w:rPr>
                <w:rFonts w:ascii="Garamond" w:hAnsi="Garamond"/>
                <w:lang w:val="en-AU"/>
              </w:rPr>
              <w:t xml:space="preserve"> The authors suggest that this may help </w:t>
            </w:r>
            <w:r w:rsidRPr="00E56427">
              <w:rPr>
                <w:rFonts w:ascii="Garamond" w:hAnsi="Garamond"/>
                <w:lang w:val="en-AU"/>
              </w:rPr>
              <w:t xml:space="preserve">explain why management of high-risk patients has not been found to be effective, undermining the assumption that this approach will lead to cost savings. </w:t>
            </w:r>
            <w:r>
              <w:rPr>
                <w:rFonts w:ascii="Garamond" w:hAnsi="Garamond"/>
                <w:lang w:val="en-AU"/>
              </w:rPr>
              <w:t>They suggest that “</w:t>
            </w:r>
            <w:r w:rsidRPr="00E56427">
              <w:rPr>
                <w:rFonts w:ascii="Garamond" w:hAnsi="Garamond"/>
                <w:lang w:val="en-AU"/>
              </w:rPr>
              <w:t>There is a need to expand beyond an individually targeted approach to incorporate prevention and to address social issues.</w:t>
            </w:r>
            <w:r>
              <w:rPr>
                <w:rFonts w:ascii="Garamond" w:hAnsi="Garamond"/>
                <w:lang w:val="en-AU"/>
              </w:rPr>
              <w:t>”</w:t>
            </w:r>
          </w:p>
        </w:tc>
      </w:tr>
    </w:tbl>
    <w:p w:rsidR="00E56427" w:rsidRDefault="00E56427" w:rsidP="00E56427">
      <w:pPr>
        <w:rPr>
          <w:rFonts w:ascii="Garamond" w:hAnsi="Garamond"/>
          <w:lang w:val="en-AU"/>
        </w:rPr>
      </w:pPr>
      <w:r w:rsidRPr="00C3692E">
        <w:rPr>
          <w:rFonts w:ascii="Garamond" w:hAnsi="Garamond"/>
          <w:lang w:val="en-AU"/>
        </w:rPr>
        <w:lastRenderedPageBreak/>
        <w:t xml:space="preserve">For information on the Commission’s work on </w:t>
      </w:r>
      <w:r>
        <w:rPr>
          <w:rFonts w:ascii="Garamond" w:hAnsi="Garamond"/>
          <w:lang w:val="en-AU"/>
        </w:rPr>
        <w:t xml:space="preserve">patient and consumer </w:t>
      </w:r>
      <w:r w:rsidRPr="00C3692E">
        <w:rPr>
          <w:rFonts w:ascii="Garamond" w:hAnsi="Garamond"/>
          <w:lang w:val="en-AU"/>
        </w:rPr>
        <w:t xml:space="preserve">centred care, see </w:t>
      </w:r>
      <w:hyperlink r:id="rId33" w:history="1">
        <w:r w:rsidRPr="007F0F7A">
          <w:rPr>
            <w:rStyle w:val="Hyperlink"/>
            <w:rFonts w:ascii="Garamond" w:hAnsi="Garamond"/>
            <w:lang w:val="en-AU"/>
          </w:rPr>
          <w:t>https://www.safetyandquality.gov.au/our-work/patient-and-consumer-centred-care/</w:t>
        </w:r>
      </w:hyperlink>
    </w:p>
    <w:p w:rsidR="00E56427" w:rsidRDefault="00E56427" w:rsidP="00E56427">
      <w:pPr>
        <w:keepLines/>
        <w:autoSpaceDE w:val="0"/>
        <w:autoSpaceDN w:val="0"/>
        <w:adjustRightInd w:val="0"/>
        <w:rPr>
          <w:rFonts w:ascii="Garamond" w:hAnsi="Garamond"/>
          <w:lang w:val="en-AU"/>
        </w:rPr>
      </w:pPr>
    </w:p>
    <w:p w:rsidR="00D90730" w:rsidRPr="00612B6A" w:rsidRDefault="00D90730" w:rsidP="00D90730">
      <w:pPr>
        <w:keepNext/>
        <w:keepLines/>
        <w:autoSpaceDE w:val="0"/>
        <w:autoSpaceDN w:val="0"/>
        <w:adjustRightInd w:val="0"/>
        <w:rPr>
          <w:rFonts w:ascii="Garamond" w:hAnsi="Garamond"/>
          <w:i/>
          <w:lang w:val="en-AU"/>
        </w:rPr>
      </w:pPr>
      <w:r w:rsidRPr="00612B6A">
        <w:rPr>
          <w:rFonts w:ascii="Garamond" w:hAnsi="Garamond"/>
          <w:i/>
          <w:lang w:val="en-AU"/>
        </w:rPr>
        <w:t>10,000 good catches: increasing safety event reporting in a pediatric health care system</w:t>
      </w:r>
    </w:p>
    <w:p w:rsidR="00D90730" w:rsidRDefault="00D90730" w:rsidP="00D90730">
      <w:pPr>
        <w:keepNext/>
        <w:keepLines/>
        <w:autoSpaceDE w:val="0"/>
        <w:autoSpaceDN w:val="0"/>
        <w:adjustRightInd w:val="0"/>
        <w:rPr>
          <w:rFonts w:ascii="Garamond" w:hAnsi="Garamond"/>
          <w:lang w:val="en-AU"/>
        </w:rPr>
      </w:pPr>
      <w:r w:rsidRPr="00612B6A">
        <w:rPr>
          <w:rFonts w:ascii="Garamond" w:hAnsi="Garamond"/>
          <w:lang w:val="en-AU"/>
        </w:rPr>
        <w:t>Crandall KM, Almuhanna A, Cady R, Fahey L, Floyd TT, Freiburg D, et al</w:t>
      </w:r>
    </w:p>
    <w:p w:rsidR="00D90730" w:rsidRPr="00E566B0" w:rsidRDefault="00D90730" w:rsidP="00D90730">
      <w:pPr>
        <w:keepNext/>
        <w:keepLines/>
        <w:autoSpaceDE w:val="0"/>
        <w:autoSpaceDN w:val="0"/>
        <w:adjustRightInd w:val="0"/>
        <w:rPr>
          <w:rFonts w:ascii="Garamond" w:hAnsi="Garamond"/>
          <w:lang w:val="en-AU"/>
        </w:rPr>
      </w:pPr>
      <w:r w:rsidRPr="00612B6A">
        <w:rPr>
          <w:rFonts w:ascii="Garamond" w:hAnsi="Garamond"/>
          <w:lang w:val="en-AU"/>
        </w:rPr>
        <w:t>Pediatric Quality &amp; Safety. 2018;3(2):e072.</w:t>
      </w:r>
    </w:p>
    <w:tbl>
      <w:tblPr>
        <w:tblStyle w:val="TableGrid"/>
        <w:tblW w:w="0" w:type="auto"/>
        <w:tblInd w:w="288" w:type="dxa"/>
        <w:tblLayout w:type="fixed"/>
        <w:tblLook w:val="01E0" w:firstRow="1" w:lastRow="1" w:firstColumn="1" w:lastColumn="1" w:noHBand="0" w:noVBand="0"/>
      </w:tblPr>
      <w:tblGrid>
        <w:gridCol w:w="1080"/>
        <w:gridCol w:w="8280"/>
      </w:tblGrid>
      <w:tr w:rsidR="00D90730"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D90730" w:rsidRPr="000170DA" w:rsidRDefault="00D90730"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90730" w:rsidRPr="000170DA" w:rsidRDefault="00BE19DD" w:rsidP="00E56427">
            <w:pPr>
              <w:rPr>
                <w:rStyle w:val="Hyperlink"/>
                <w:rFonts w:ascii="Garamond" w:hAnsi="Garamond"/>
                <w:color w:val="auto"/>
                <w:u w:val="none"/>
                <w:lang w:val="en-AU"/>
              </w:rPr>
            </w:pPr>
            <w:hyperlink r:id="rId34" w:history="1">
              <w:r w:rsidR="00D90730" w:rsidRPr="00F25C10">
                <w:rPr>
                  <w:rStyle w:val="Hyperlink"/>
                  <w:rFonts w:ascii="Garamond" w:hAnsi="Garamond"/>
                  <w:lang w:val="en-AU"/>
                </w:rPr>
                <w:t>https://doi.org/10.1097/pq9.0000000000000072</w:t>
              </w:r>
            </w:hyperlink>
          </w:p>
        </w:tc>
      </w:tr>
      <w:tr w:rsidR="00D90730"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D90730" w:rsidRPr="000170DA" w:rsidRDefault="00D90730"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0730" w:rsidRPr="000365E9" w:rsidRDefault="00D90730" w:rsidP="00E56427">
            <w:pPr>
              <w:rPr>
                <w:rFonts w:ascii="Garamond" w:hAnsi="Garamond"/>
                <w:lang w:val="en-AU"/>
              </w:rPr>
            </w:pPr>
            <w:r>
              <w:rPr>
                <w:rFonts w:ascii="Garamond" w:hAnsi="Garamond"/>
                <w:lang w:val="en-AU"/>
              </w:rPr>
              <w:t xml:space="preserve">Paper describing how a US paediatric ‘health care system’ devised and implemented a safety reporting system that sought to encourage reporting as a means of improving reliability and the safety culture. </w:t>
            </w:r>
          </w:p>
        </w:tc>
      </w:tr>
    </w:tbl>
    <w:p w:rsidR="00D90730" w:rsidRDefault="00D90730" w:rsidP="00D90730">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BE19DD" w:rsidP="00900052">
            <w:pPr>
              <w:keepNext/>
              <w:rPr>
                <w:rFonts w:ascii="Garamond" w:hAnsi="Garamond"/>
                <w:lang w:val="en-AU"/>
              </w:rPr>
            </w:pPr>
            <w:hyperlink r:id="rId35"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350DE" w:rsidRDefault="00A350DE" w:rsidP="00A350DE">
            <w:pPr>
              <w:pStyle w:val="ListParagraph"/>
              <w:numPr>
                <w:ilvl w:val="0"/>
                <w:numId w:val="14"/>
              </w:numPr>
              <w:rPr>
                <w:rFonts w:ascii="Garamond" w:hAnsi="Garamond"/>
                <w:lang w:val="en-AU"/>
              </w:rPr>
            </w:pPr>
            <w:r w:rsidRPr="00A350DE">
              <w:rPr>
                <w:rFonts w:ascii="Garamond" w:hAnsi="Garamond"/>
                <w:lang w:val="en-AU"/>
              </w:rPr>
              <w:t xml:space="preserve">The problem with </w:t>
            </w:r>
            <w:r w:rsidRPr="00A350DE">
              <w:rPr>
                <w:rFonts w:ascii="Garamond" w:hAnsi="Garamond"/>
                <w:b/>
                <w:lang w:val="en-AU"/>
              </w:rPr>
              <w:t>pay-for-performance</w:t>
            </w:r>
            <w:r w:rsidRPr="00A350DE">
              <w:rPr>
                <w:rFonts w:ascii="Garamond" w:hAnsi="Garamond"/>
                <w:lang w:val="en-AU"/>
              </w:rPr>
              <w:t xml:space="preserve"> schemes </w:t>
            </w:r>
            <w:r>
              <w:rPr>
                <w:rFonts w:ascii="Garamond" w:hAnsi="Garamond"/>
                <w:lang w:val="en-AU"/>
              </w:rPr>
              <w:t>(</w:t>
            </w:r>
            <w:r w:rsidRPr="00A350DE">
              <w:rPr>
                <w:rFonts w:ascii="Garamond" w:hAnsi="Garamond"/>
                <w:lang w:val="en-AU"/>
              </w:rPr>
              <w:t>Suhas Gondi, Derek Soled, Ashish Jha</w:t>
            </w:r>
            <w:r>
              <w:rPr>
                <w:rFonts w:ascii="Garamond" w:hAnsi="Garamond"/>
                <w:lang w:val="en-AU"/>
              </w:rPr>
              <w:t>)</w:t>
            </w:r>
          </w:p>
          <w:p w:rsidR="0000530E" w:rsidRPr="00467B47" w:rsidRDefault="00A350DE" w:rsidP="00555D5B">
            <w:pPr>
              <w:pStyle w:val="ListParagraph"/>
              <w:numPr>
                <w:ilvl w:val="0"/>
                <w:numId w:val="14"/>
              </w:numPr>
              <w:rPr>
                <w:rFonts w:ascii="Garamond" w:hAnsi="Garamond"/>
                <w:lang w:val="en-AU"/>
              </w:rPr>
            </w:pPr>
            <w:r w:rsidRPr="00A350DE">
              <w:rPr>
                <w:rFonts w:ascii="Garamond" w:hAnsi="Garamond"/>
                <w:lang w:val="en-AU"/>
              </w:rPr>
              <w:t xml:space="preserve">Public reporting of </w:t>
            </w:r>
            <w:r w:rsidRPr="00A350DE">
              <w:rPr>
                <w:rFonts w:ascii="Garamond" w:hAnsi="Garamond"/>
                <w:b/>
                <w:lang w:val="en-AU"/>
              </w:rPr>
              <w:t>antipsychotic prescribing in nursing homes</w:t>
            </w:r>
            <w:r w:rsidRPr="00A350DE">
              <w:rPr>
                <w:rFonts w:ascii="Garamond" w:hAnsi="Garamond"/>
                <w:lang w:val="en-AU"/>
              </w:rPr>
              <w:t>: population-based interrupted time series analyses (Noah M Ivers, Monica Taljaard, Vasily Giannakeas, Catherine Reis, E</w:t>
            </w:r>
            <w:r>
              <w:rPr>
                <w:rFonts w:ascii="Garamond" w:hAnsi="Garamond"/>
                <w:lang w:val="en-AU"/>
              </w:rPr>
              <w:t>velyn Williams, Susan Bronskill)</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BE19DD" w:rsidP="00290461">
            <w:pPr>
              <w:keepNext/>
              <w:rPr>
                <w:rFonts w:ascii="Garamond" w:hAnsi="Garamond"/>
                <w:lang w:val="en-AU"/>
              </w:rPr>
            </w:pPr>
            <w:hyperlink r:id="rId36"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B580D" w:rsidRPr="00BB580D" w:rsidRDefault="00BB580D" w:rsidP="00BB580D">
            <w:pPr>
              <w:pStyle w:val="ListParagraph"/>
              <w:numPr>
                <w:ilvl w:val="0"/>
                <w:numId w:val="14"/>
              </w:numPr>
              <w:jc w:val="both"/>
              <w:rPr>
                <w:rFonts w:ascii="Garamond" w:hAnsi="Garamond"/>
                <w:lang w:val="en-AU"/>
              </w:rPr>
            </w:pPr>
            <w:r w:rsidRPr="00BB580D">
              <w:rPr>
                <w:rFonts w:ascii="Garamond" w:hAnsi="Garamond"/>
                <w:lang w:val="en-AU"/>
              </w:rPr>
              <w:t xml:space="preserve">Translating evidence in complex systems: a comparative review of </w:t>
            </w:r>
            <w:r w:rsidRPr="00BB580D">
              <w:rPr>
                <w:rFonts w:ascii="Garamond" w:hAnsi="Garamond"/>
                <w:b/>
                <w:lang w:val="en-AU"/>
              </w:rPr>
              <w:t>implementation and improvement frameworks</w:t>
            </w:r>
            <w:r w:rsidRPr="00BB580D">
              <w:rPr>
                <w:rFonts w:ascii="Garamond" w:hAnsi="Garamond"/>
                <w:lang w:val="en-AU"/>
              </w:rPr>
              <w:t xml:space="preserve"> (Julie E Reed; Stuart Green; Cathy Howe</w:t>
            </w:r>
            <w:r>
              <w:rPr>
                <w:rFonts w:ascii="Garamond" w:hAnsi="Garamond"/>
                <w:lang w:val="en-AU"/>
              </w:rPr>
              <w:t>)</w:t>
            </w:r>
          </w:p>
          <w:p w:rsidR="00BB580D" w:rsidRPr="00BB580D" w:rsidRDefault="00BB580D" w:rsidP="00BB580D">
            <w:pPr>
              <w:pStyle w:val="ListParagraph"/>
              <w:numPr>
                <w:ilvl w:val="0"/>
                <w:numId w:val="14"/>
              </w:numPr>
              <w:jc w:val="both"/>
              <w:rPr>
                <w:rFonts w:ascii="Garamond" w:hAnsi="Garamond"/>
                <w:lang w:val="en-AU"/>
              </w:rPr>
            </w:pPr>
            <w:r w:rsidRPr="00BB580D">
              <w:rPr>
                <w:rFonts w:ascii="Garamond" w:hAnsi="Garamond"/>
                <w:lang w:val="en-AU"/>
              </w:rPr>
              <w:t xml:space="preserve">Obesity in total laparoscopic hysterectomy for </w:t>
            </w:r>
            <w:r w:rsidRPr="00BB580D">
              <w:rPr>
                <w:rFonts w:ascii="Garamond" w:hAnsi="Garamond"/>
                <w:b/>
                <w:lang w:val="en-AU"/>
              </w:rPr>
              <w:t>early stage endometrial cancer</w:t>
            </w:r>
            <w:r w:rsidRPr="00BB580D">
              <w:rPr>
                <w:rFonts w:ascii="Garamond" w:hAnsi="Garamond"/>
                <w:lang w:val="en-AU"/>
              </w:rPr>
              <w:t>: health gain and inpatient resource use (N R Armfield; M Janda; A Obermair</w:t>
            </w:r>
            <w:r>
              <w:rPr>
                <w:rFonts w:ascii="Garamond" w:hAnsi="Garamond"/>
                <w:lang w:val="en-AU"/>
              </w:rPr>
              <w:t>)</w:t>
            </w:r>
          </w:p>
          <w:p w:rsidR="008F617D" w:rsidRPr="00DA6435" w:rsidRDefault="00BB580D" w:rsidP="00BB580D">
            <w:pPr>
              <w:pStyle w:val="ListParagraph"/>
              <w:numPr>
                <w:ilvl w:val="0"/>
                <w:numId w:val="14"/>
              </w:numPr>
              <w:jc w:val="both"/>
              <w:rPr>
                <w:rFonts w:ascii="Garamond" w:hAnsi="Garamond"/>
                <w:lang w:val="en-AU"/>
              </w:rPr>
            </w:pPr>
            <w:r w:rsidRPr="00BB580D">
              <w:rPr>
                <w:rFonts w:ascii="Garamond" w:hAnsi="Garamond"/>
                <w:lang w:val="en-AU"/>
              </w:rPr>
              <w:t xml:space="preserve">Goal attainment and renal outcomes in patients enrolled in the </w:t>
            </w:r>
            <w:r w:rsidRPr="00BB580D">
              <w:rPr>
                <w:rFonts w:ascii="Garamond" w:hAnsi="Garamond"/>
                <w:b/>
                <w:lang w:val="en-AU"/>
              </w:rPr>
              <w:t>chronic kidney disease care</w:t>
            </w:r>
            <w:r w:rsidRPr="00BB580D">
              <w:rPr>
                <w:rFonts w:ascii="Garamond" w:hAnsi="Garamond"/>
                <w:lang w:val="en-AU"/>
              </w:rPr>
              <w:t xml:space="preserve"> program in Taiwan: a 3-year observational study </w:t>
            </w:r>
            <w:r>
              <w:rPr>
                <w:rFonts w:ascii="Garamond" w:hAnsi="Garamond"/>
                <w:lang w:val="en-AU"/>
              </w:rPr>
              <w:t>(</w:t>
            </w:r>
            <w:r w:rsidRPr="00BB580D">
              <w:rPr>
                <w:rFonts w:ascii="Garamond" w:hAnsi="Garamond"/>
                <w:lang w:val="en-AU"/>
              </w:rPr>
              <w:t>Yi Wang; Yueh-Ting Lee; Wen-Chin Lee; Hwee-Yeong Ng; Chien-Hsing Wu</w:t>
            </w:r>
            <w:r>
              <w:rPr>
                <w:rFonts w:ascii="Garamond" w:hAnsi="Garamond"/>
                <w:lang w:val="en-AU"/>
              </w:rPr>
              <w:t xml:space="preserve">; </w:t>
            </w:r>
            <w:r w:rsidRPr="00BB580D">
              <w:rPr>
                <w:rFonts w:ascii="Garamond" w:hAnsi="Garamond"/>
                <w:lang w:val="en-AU"/>
              </w:rPr>
              <w:t>Chien-Te Lee</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BE19DD" w:rsidP="00817F1F">
      <w:pPr>
        <w:keepNext/>
        <w:keepLines/>
        <w:rPr>
          <w:rFonts w:ascii="Garamond" w:hAnsi="Garamond"/>
          <w:u w:val="single"/>
          <w:lang w:val="en-AU"/>
        </w:rPr>
      </w:pPr>
      <w:hyperlink r:id="rId37"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8F2199" w:rsidRDefault="00555D5B" w:rsidP="00555D5B">
      <w:pPr>
        <w:pStyle w:val="ListParagraph"/>
        <w:keepNext/>
        <w:keepLines/>
        <w:numPr>
          <w:ilvl w:val="0"/>
          <w:numId w:val="14"/>
        </w:numPr>
        <w:rPr>
          <w:rFonts w:ascii="Garamond" w:hAnsi="Garamond"/>
          <w:lang w:val="en-AU"/>
        </w:rPr>
      </w:pPr>
      <w:r>
        <w:rPr>
          <w:rFonts w:ascii="Garamond" w:hAnsi="Garamond"/>
          <w:lang w:val="en-AU"/>
        </w:rPr>
        <w:t xml:space="preserve">NICE Guideline NG102 </w:t>
      </w:r>
      <w:r w:rsidRPr="00555D5B">
        <w:rPr>
          <w:rFonts w:ascii="Garamond" w:hAnsi="Garamond"/>
          <w:b/>
          <w:i/>
          <w:lang w:val="en-AU"/>
        </w:rPr>
        <w:t>Community pharmacies</w:t>
      </w:r>
      <w:r w:rsidRPr="00555D5B">
        <w:rPr>
          <w:rFonts w:ascii="Garamond" w:hAnsi="Garamond"/>
          <w:i/>
          <w:lang w:val="en-AU"/>
        </w:rPr>
        <w:t>: promoting health and wellbeing</w:t>
      </w:r>
      <w:r>
        <w:rPr>
          <w:rFonts w:ascii="Garamond" w:hAnsi="Garamond"/>
          <w:lang w:val="en-AU"/>
        </w:rPr>
        <w:br/>
        <w:t xml:space="preserve"> </w:t>
      </w:r>
      <w:hyperlink r:id="rId38" w:history="1">
        <w:r w:rsidRPr="00F25C10">
          <w:rPr>
            <w:rStyle w:val="Hyperlink"/>
            <w:rFonts w:ascii="Garamond" w:hAnsi="Garamond"/>
            <w:lang w:val="en-AU"/>
          </w:rPr>
          <w:t>https://www.nice.org.uk/guidance/ng102</w:t>
        </w:r>
      </w:hyperlink>
    </w:p>
    <w:p w:rsidR="00CF668B" w:rsidRDefault="00CF668B" w:rsidP="00555D5B">
      <w:pPr>
        <w:keepLines/>
        <w:jc w:val="both"/>
        <w:rPr>
          <w:rFonts w:ascii="Garamond" w:hAnsi="Garamond"/>
          <w:i/>
          <w:lang w:val="en-AU"/>
        </w:rPr>
      </w:pPr>
    </w:p>
    <w:p w:rsidR="004C4F8A" w:rsidRPr="007A47A8" w:rsidRDefault="004C4F8A" w:rsidP="004C4F8A">
      <w:pPr>
        <w:keepNext/>
        <w:keepLines/>
        <w:rPr>
          <w:rFonts w:ascii="Garamond" w:hAnsi="Garamond"/>
          <w:i/>
          <w:lang w:val="en-AU"/>
        </w:rPr>
      </w:pPr>
      <w:r w:rsidRPr="007A47A8">
        <w:rPr>
          <w:rFonts w:ascii="Garamond" w:hAnsi="Garamond"/>
          <w:i/>
          <w:lang w:val="en-AU"/>
        </w:rPr>
        <w:lastRenderedPageBreak/>
        <w:t>[UK] National Institute for Health Research</w:t>
      </w:r>
    </w:p>
    <w:p w:rsidR="004C4F8A" w:rsidRPr="007A47A8" w:rsidRDefault="004C4F8A" w:rsidP="004C4F8A">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4C4F8A" w:rsidRDefault="004C4F8A" w:rsidP="004C4F8A">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b/>
          <w:lang w:val="en-AU"/>
        </w:rPr>
        <w:t>Outpatient video consultations</w:t>
      </w:r>
      <w:r w:rsidRPr="004C4F8A">
        <w:rPr>
          <w:rFonts w:ascii="Garamond" w:hAnsi="Garamond"/>
          <w:lang w:val="en-AU"/>
        </w:rPr>
        <w:t xml:space="preserve"> are feasi</w:t>
      </w:r>
      <w:r>
        <w:rPr>
          <w:rFonts w:ascii="Garamond" w:hAnsi="Garamond"/>
          <w:lang w:val="en-AU"/>
        </w:rPr>
        <w:t>ble but challenging for the NHS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Ultrasound shows potential for confirming the diagnosis of </w:t>
      </w:r>
      <w:r w:rsidRPr="004C4F8A">
        <w:rPr>
          <w:rFonts w:ascii="Garamond" w:hAnsi="Garamond"/>
          <w:b/>
          <w:lang w:val="en-AU"/>
        </w:rPr>
        <w:t>pneumonia in children</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School-based self-regulation interventions can improve </w:t>
      </w:r>
      <w:r w:rsidRPr="004C4F8A">
        <w:rPr>
          <w:rFonts w:ascii="Garamond" w:hAnsi="Garamond"/>
          <w:b/>
          <w:lang w:val="en-AU"/>
        </w:rPr>
        <w:t>child academic, health and behavioural outcomes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A reminder that </w:t>
      </w:r>
      <w:r w:rsidRPr="004C4F8A">
        <w:rPr>
          <w:rFonts w:ascii="Garamond" w:hAnsi="Garamond"/>
          <w:b/>
          <w:lang w:val="en-AU"/>
        </w:rPr>
        <w:t>too much oxygen</w:t>
      </w:r>
      <w:r w:rsidRPr="004C4F8A">
        <w:rPr>
          <w:rFonts w:ascii="Garamond" w:hAnsi="Garamond"/>
          <w:lang w:val="en-AU"/>
        </w:rPr>
        <w:t xml:space="preserve"> increases </w:t>
      </w:r>
      <w:r>
        <w:rPr>
          <w:rFonts w:ascii="Garamond" w:hAnsi="Garamond"/>
          <w:lang w:val="en-AU"/>
        </w:rPr>
        <w:t>mortality in acutely ill adults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Structured training impr</w:t>
      </w:r>
      <w:r>
        <w:rPr>
          <w:rFonts w:ascii="Garamond" w:hAnsi="Garamond"/>
          <w:lang w:val="en-AU"/>
        </w:rPr>
        <w:t xml:space="preserve">oves skills of </w:t>
      </w:r>
      <w:r w:rsidRPr="004C4F8A">
        <w:rPr>
          <w:rFonts w:ascii="Garamond" w:hAnsi="Garamond"/>
          <w:b/>
          <w:lang w:val="en-AU"/>
        </w:rPr>
        <w:t>wheelchair users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Varicose vein injections </w:t>
      </w:r>
      <w:r>
        <w:rPr>
          <w:rFonts w:ascii="Garamond" w:hAnsi="Garamond"/>
          <w:lang w:val="en-AU"/>
        </w:rPr>
        <w:t xml:space="preserve">help new </w:t>
      </w:r>
      <w:r w:rsidRPr="004C4F8A">
        <w:rPr>
          <w:rFonts w:ascii="Garamond" w:hAnsi="Garamond"/>
          <w:b/>
          <w:lang w:val="en-AU"/>
        </w:rPr>
        <w:t>venous leg ulcers</w:t>
      </w:r>
      <w:r>
        <w:rPr>
          <w:rFonts w:ascii="Garamond" w:hAnsi="Garamond"/>
          <w:lang w:val="en-AU"/>
        </w:rPr>
        <w:t xml:space="preserve"> heal</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Enhanced recovery programmes after </w:t>
      </w:r>
      <w:r w:rsidRPr="004C4F8A">
        <w:rPr>
          <w:rFonts w:ascii="Garamond" w:hAnsi="Garamond"/>
          <w:b/>
          <w:lang w:val="en-AU"/>
        </w:rPr>
        <w:t>stomach cancer surgery</w:t>
      </w:r>
      <w:r w:rsidRPr="004C4F8A">
        <w:rPr>
          <w:rFonts w:ascii="Garamond" w:hAnsi="Garamond"/>
          <w:lang w:val="en-AU"/>
        </w:rPr>
        <w:t xml:space="preserve"> reduce hospital stay w</w:t>
      </w:r>
      <w:r>
        <w:rPr>
          <w:rFonts w:ascii="Garamond" w:hAnsi="Garamond"/>
          <w:lang w:val="en-AU"/>
        </w:rPr>
        <w:t>ithout increasing complications</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Lamotrigine is not effective for the treatment of </w:t>
      </w:r>
      <w:r w:rsidRPr="004C4F8A">
        <w:rPr>
          <w:rFonts w:ascii="Garamond" w:hAnsi="Garamond"/>
          <w:b/>
          <w:lang w:val="en-AU"/>
        </w:rPr>
        <w:t>borderline personality disorder</w:t>
      </w:r>
    </w:p>
    <w:p w:rsidR="004C4F8A" w:rsidRPr="004C4F8A" w:rsidRDefault="004C4F8A" w:rsidP="004C4F8A">
      <w:pPr>
        <w:pStyle w:val="ListParagraph"/>
        <w:keepNext/>
        <w:keepLines/>
        <w:numPr>
          <w:ilvl w:val="0"/>
          <w:numId w:val="14"/>
        </w:numPr>
        <w:rPr>
          <w:rFonts w:ascii="Garamond" w:hAnsi="Garamond"/>
          <w:lang w:val="en-AU"/>
        </w:rPr>
      </w:pPr>
      <w:r w:rsidRPr="004C4F8A">
        <w:rPr>
          <w:rFonts w:ascii="Garamond" w:hAnsi="Garamond"/>
          <w:b/>
          <w:lang w:val="en-AU"/>
        </w:rPr>
        <w:t>Gallbladder surgery</w:t>
      </w:r>
      <w:r w:rsidRPr="004C4F8A">
        <w:rPr>
          <w:rFonts w:ascii="Garamond" w:hAnsi="Garamond"/>
          <w:lang w:val="en-AU"/>
        </w:rPr>
        <w:t xml:space="preserve"> through a single-incision is more risky tha</w:t>
      </w:r>
      <w:r>
        <w:rPr>
          <w:rFonts w:ascii="Garamond" w:hAnsi="Garamond"/>
          <w:lang w:val="en-AU"/>
        </w:rPr>
        <w:t>n a multiple incision technique</w:t>
      </w:r>
    </w:p>
    <w:p w:rsidR="004C4F8A" w:rsidRDefault="004C4F8A" w:rsidP="004C4F8A">
      <w:pPr>
        <w:pStyle w:val="ListParagraph"/>
        <w:keepNext/>
        <w:keepLines/>
        <w:numPr>
          <w:ilvl w:val="0"/>
          <w:numId w:val="14"/>
        </w:numPr>
        <w:rPr>
          <w:rFonts w:ascii="Garamond" w:hAnsi="Garamond"/>
          <w:lang w:val="en-AU"/>
        </w:rPr>
      </w:pPr>
      <w:r w:rsidRPr="004C4F8A">
        <w:rPr>
          <w:rFonts w:ascii="Garamond" w:hAnsi="Garamond"/>
          <w:lang w:val="en-AU"/>
        </w:rPr>
        <w:t xml:space="preserve">Testing oxygen levels of </w:t>
      </w:r>
      <w:r w:rsidRPr="004C4F8A">
        <w:rPr>
          <w:rFonts w:ascii="Garamond" w:hAnsi="Garamond"/>
          <w:b/>
          <w:lang w:val="en-AU"/>
        </w:rPr>
        <w:t>newborn babies</w:t>
      </w:r>
      <w:r w:rsidRPr="004C4F8A">
        <w:rPr>
          <w:rFonts w:ascii="Garamond" w:hAnsi="Garamond"/>
          <w:lang w:val="en-AU"/>
        </w:rPr>
        <w:t xml:space="preserve"> helps find </w:t>
      </w:r>
      <w:r w:rsidRPr="004C4F8A">
        <w:rPr>
          <w:rFonts w:ascii="Garamond" w:hAnsi="Garamond"/>
          <w:b/>
          <w:lang w:val="en-AU"/>
        </w:rPr>
        <w:t>serious heart defects</w:t>
      </w:r>
      <w:r w:rsidRPr="004C4F8A">
        <w:rPr>
          <w:rFonts w:ascii="Garamond" w:hAnsi="Garamond"/>
          <w:lang w:val="en-AU"/>
        </w:rPr>
        <w:t>.</w:t>
      </w:r>
    </w:p>
    <w:p w:rsidR="004C4F8A" w:rsidRDefault="004C4F8A" w:rsidP="00EC0C87">
      <w:pPr>
        <w:keepLines/>
        <w:rPr>
          <w:rFonts w:ascii="Garamond" w:hAnsi="Garamond"/>
          <w:i/>
          <w:lang w:val="en-AU"/>
        </w:rPr>
      </w:pPr>
    </w:p>
    <w:p w:rsidR="004964A4" w:rsidRDefault="004964A4" w:rsidP="00EC0C87">
      <w:pPr>
        <w:keepLines/>
        <w:rPr>
          <w:rFonts w:ascii="Garamond" w:hAnsi="Garamond"/>
          <w:i/>
          <w:lang w:val="en-AU"/>
        </w:rPr>
      </w:pPr>
      <w:r w:rsidRPr="004964A4">
        <w:rPr>
          <w:rFonts w:ascii="Garamond" w:hAnsi="Garamond"/>
          <w:i/>
          <w:lang w:val="en-AU"/>
        </w:rPr>
        <w:t>European Centre for Disease Prevention and Control Public Health Training</w:t>
      </w:r>
    </w:p>
    <w:p w:rsidR="008F2199" w:rsidRDefault="00BE19DD" w:rsidP="00EC0C87">
      <w:pPr>
        <w:keepLines/>
        <w:rPr>
          <w:rFonts w:ascii="Garamond" w:hAnsi="Garamond"/>
          <w:lang w:val="en-AU"/>
        </w:rPr>
      </w:pPr>
      <w:hyperlink r:id="rId39" w:history="1">
        <w:r w:rsidR="004964A4" w:rsidRPr="00F25C10">
          <w:rPr>
            <w:rStyle w:val="Hyperlink"/>
            <w:rFonts w:ascii="Garamond" w:hAnsi="Garamond"/>
            <w:lang w:val="en-AU"/>
          </w:rPr>
          <w:t>https://eva.ecdc.europa.eu/course/index.php?categoryid=34</w:t>
        </w:r>
      </w:hyperlink>
    </w:p>
    <w:p w:rsidR="004964A4" w:rsidRDefault="004964A4" w:rsidP="00EC0C87">
      <w:pPr>
        <w:keepLines/>
        <w:rPr>
          <w:rFonts w:ascii="Garamond" w:hAnsi="Garamond"/>
          <w:lang w:val="en-AU"/>
        </w:rPr>
      </w:pPr>
      <w:r w:rsidRPr="004964A4">
        <w:rPr>
          <w:rFonts w:ascii="Garamond" w:hAnsi="Garamond"/>
          <w:lang w:val="en-AU"/>
        </w:rPr>
        <w:t xml:space="preserve">The European Centre for Disease Prevention and Control Public Health Training Section </w:t>
      </w:r>
      <w:r>
        <w:rPr>
          <w:rFonts w:ascii="Garamond" w:hAnsi="Garamond"/>
          <w:lang w:val="en-AU"/>
        </w:rPr>
        <w:t xml:space="preserve">has developed </w:t>
      </w:r>
      <w:r w:rsidRPr="004964A4">
        <w:rPr>
          <w:rFonts w:ascii="Garamond" w:hAnsi="Garamond"/>
          <w:lang w:val="en-AU"/>
        </w:rPr>
        <w:t xml:space="preserve">training materials for </w:t>
      </w:r>
    </w:p>
    <w:p w:rsidR="004964A4" w:rsidRPr="004964A4" w:rsidRDefault="004964A4" w:rsidP="004964A4">
      <w:pPr>
        <w:pStyle w:val="ListParagraph"/>
        <w:keepLines/>
        <w:numPr>
          <w:ilvl w:val="0"/>
          <w:numId w:val="45"/>
        </w:numPr>
        <w:rPr>
          <w:rFonts w:ascii="Garamond" w:hAnsi="Garamond"/>
          <w:lang w:val="en-AU"/>
        </w:rPr>
      </w:pPr>
      <w:r w:rsidRPr="004964A4">
        <w:rPr>
          <w:rFonts w:ascii="Garamond" w:hAnsi="Garamond"/>
          <w:lang w:val="en-AU"/>
        </w:rPr>
        <w:t>Development, Implementation and Evaluation of Prudent Antibiotics use Campaigns</w:t>
      </w:r>
    </w:p>
    <w:p w:rsidR="004964A4" w:rsidRPr="004964A4" w:rsidRDefault="004964A4" w:rsidP="004964A4">
      <w:pPr>
        <w:pStyle w:val="ListParagraph"/>
        <w:keepLines/>
        <w:numPr>
          <w:ilvl w:val="0"/>
          <w:numId w:val="45"/>
        </w:numPr>
        <w:rPr>
          <w:rFonts w:ascii="Garamond" w:hAnsi="Garamond"/>
          <w:lang w:val="en-AU"/>
        </w:rPr>
      </w:pPr>
      <w:r w:rsidRPr="004964A4">
        <w:rPr>
          <w:rFonts w:ascii="Garamond" w:hAnsi="Garamond"/>
          <w:lang w:val="en-AU"/>
        </w:rPr>
        <w:t xml:space="preserve">Legionnaires' Disease </w:t>
      </w:r>
    </w:p>
    <w:p w:rsidR="004964A4" w:rsidRPr="004964A4" w:rsidRDefault="004964A4" w:rsidP="004964A4">
      <w:pPr>
        <w:pStyle w:val="ListParagraph"/>
        <w:keepLines/>
        <w:numPr>
          <w:ilvl w:val="0"/>
          <w:numId w:val="45"/>
        </w:numPr>
        <w:rPr>
          <w:rFonts w:ascii="Garamond" w:hAnsi="Garamond"/>
          <w:lang w:val="en-AU"/>
        </w:rPr>
      </w:pPr>
      <w:r w:rsidRPr="004964A4">
        <w:rPr>
          <w:rFonts w:ascii="Garamond" w:hAnsi="Garamond"/>
          <w:lang w:val="en-AU"/>
        </w:rPr>
        <w:t>Multi-Drug Resistant Micro-organisms in Health Care Settings</w:t>
      </w:r>
    </w:p>
    <w:p w:rsidR="004964A4" w:rsidRPr="004964A4" w:rsidRDefault="004964A4" w:rsidP="004964A4">
      <w:pPr>
        <w:pStyle w:val="ListParagraph"/>
        <w:keepLines/>
        <w:numPr>
          <w:ilvl w:val="0"/>
          <w:numId w:val="45"/>
        </w:numPr>
        <w:rPr>
          <w:rFonts w:ascii="Garamond" w:hAnsi="Garamond"/>
          <w:lang w:val="en-AU"/>
        </w:rPr>
      </w:pPr>
      <w:r w:rsidRPr="004964A4">
        <w:rPr>
          <w:rFonts w:ascii="Garamond" w:hAnsi="Garamond"/>
          <w:lang w:val="en-AU"/>
        </w:rPr>
        <w:t>Point Prevalence Surveys</w:t>
      </w:r>
    </w:p>
    <w:p w:rsidR="004964A4" w:rsidRPr="004964A4" w:rsidRDefault="004964A4" w:rsidP="004964A4">
      <w:pPr>
        <w:pStyle w:val="ListParagraph"/>
        <w:keepLines/>
        <w:numPr>
          <w:ilvl w:val="0"/>
          <w:numId w:val="45"/>
        </w:numPr>
        <w:rPr>
          <w:rFonts w:ascii="Garamond" w:hAnsi="Garamond"/>
          <w:lang w:val="en-AU"/>
        </w:rPr>
      </w:pPr>
      <w:r w:rsidRPr="004964A4">
        <w:rPr>
          <w:rFonts w:ascii="Garamond" w:hAnsi="Garamond"/>
          <w:lang w:val="en-AU"/>
        </w:rPr>
        <w:t>Epidemiological aspects of Vaccine Preventable Diseases</w:t>
      </w:r>
      <w:r>
        <w:rPr>
          <w:rFonts w:ascii="Garamond" w:hAnsi="Garamond"/>
          <w:lang w:val="en-AU"/>
        </w:rPr>
        <w:t>.</w:t>
      </w:r>
    </w:p>
    <w:p w:rsidR="004964A4" w:rsidRDefault="004964A4" w:rsidP="00EC0C87">
      <w:pPr>
        <w:keepLines/>
        <w:rPr>
          <w:rFonts w:ascii="Garamond" w:hAnsi="Garamond"/>
          <w:lang w:val="en-AU"/>
        </w:rPr>
      </w:pPr>
    </w:p>
    <w:p w:rsidR="004964A4" w:rsidRPr="00F85A78" w:rsidRDefault="00F85A78" w:rsidP="00EC0C87">
      <w:pPr>
        <w:keepLines/>
        <w:rPr>
          <w:rFonts w:ascii="Garamond" w:hAnsi="Garamond"/>
          <w:i/>
          <w:lang w:val="en-AU"/>
        </w:rPr>
      </w:pPr>
      <w:r w:rsidRPr="00F85A78">
        <w:rPr>
          <w:rFonts w:ascii="Garamond" w:hAnsi="Garamond"/>
          <w:i/>
          <w:lang w:val="en-AU"/>
        </w:rPr>
        <w:t>[USA] Governance Quality Engagement Diagnostic</w:t>
      </w:r>
    </w:p>
    <w:bookmarkStart w:id="1" w:name="_GoBack"/>
    <w:p w:rsidR="00F85A78" w:rsidRDefault="00BE19DD" w:rsidP="00EC0C87">
      <w:pPr>
        <w:keepLines/>
        <w:rPr>
          <w:rFonts w:ascii="Garamond" w:hAnsi="Garamond"/>
          <w:lang w:val="en-AU"/>
        </w:rPr>
      </w:pPr>
      <w:r>
        <w:fldChar w:fldCharType="begin"/>
      </w:r>
      <w:r>
        <w:instrText xml:space="preserve"> HYPERLINK "http://trustees.aha.org/checklists/TI_0718_Conway-quality-tool.pdf" </w:instrText>
      </w:r>
      <w:r>
        <w:fldChar w:fldCharType="separate"/>
      </w:r>
      <w:r w:rsidR="00F85A78" w:rsidRPr="00F25C10">
        <w:rPr>
          <w:rStyle w:val="Hyperlink"/>
          <w:rFonts w:ascii="Garamond" w:hAnsi="Garamond"/>
          <w:lang w:val="en-AU"/>
        </w:rPr>
        <w:t>http://trustees.aha.org/checklists/TI_0718_Conway-quality-tool.pdf</w:t>
      </w:r>
      <w:r>
        <w:rPr>
          <w:rStyle w:val="Hyperlink"/>
          <w:rFonts w:ascii="Garamond" w:hAnsi="Garamond"/>
          <w:lang w:val="en-AU"/>
        </w:rPr>
        <w:fldChar w:fldCharType="end"/>
      </w:r>
    </w:p>
    <w:p w:rsidR="00F85A78" w:rsidRDefault="00F85A78" w:rsidP="00EC0C87">
      <w:pPr>
        <w:keepLines/>
        <w:rPr>
          <w:rFonts w:ascii="Garamond" w:hAnsi="Garamond"/>
          <w:lang w:val="en-AU"/>
        </w:rPr>
      </w:pPr>
      <w:r w:rsidRPr="00F85A78">
        <w:rPr>
          <w:rFonts w:ascii="Garamond" w:hAnsi="Garamond"/>
          <w:lang w:val="en-AU"/>
        </w:rPr>
        <w:t xml:space="preserve">The </w:t>
      </w:r>
      <w:r>
        <w:rPr>
          <w:rFonts w:ascii="Garamond" w:hAnsi="Garamond"/>
          <w:lang w:val="en-AU"/>
        </w:rPr>
        <w:t xml:space="preserve">American Hospital Association has made available the </w:t>
      </w:r>
      <w:r w:rsidRPr="00F85A78">
        <w:rPr>
          <w:rFonts w:ascii="Garamond" w:hAnsi="Garamond"/>
          <w:i/>
          <w:lang w:val="en-AU"/>
        </w:rPr>
        <w:t>Governance Quality Engagement Diagnostic</w:t>
      </w:r>
      <w:r w:rsidRPr="00F85A78">
        <w:rPr>
          <w:rFonts w:ascii="Garamond" w:hAnsi="Garamond"/>
          <w:lang w:val="en-AU"/>
        </w:rPr>
        <w:t xml:space="preserve"> </w:t>
      </w:r>
      <w:r>
        <w:rPr>
          <w:rFonts w:ascii="Garamond" w:hAnsi="Garamond"/>
          <w:lang w:val="en-AU"/>
        </w:rPr>
        <w:t xml:space="preserve">tool. The tool </w:t>
      </w:r>
      <w:r w:rsidRPr="00F85A78">
        <w:rPr>
          <w:rFonts w:ascii="Garamond" w:hAnsi="Garamond"/>
          <w:lang w:val="en-AU"/>
        </w:rPr>
        <w:t xml:space="preserve">is </w:t>
      </w:r>
      <w:r>
        <w:rPr>
          <w:rFonts w:ascii="Garamond" w:hAnsi="Garamond"/>
          <w:lang w:val="en-AU"/>
        </w:rPr>
        <w:t>described as “</w:t>
      </w:r>
      <w:r w:rsidRPr="00F85A78">
        <w:rPr>
          <w:rFonts w:ascii="Garamond" w:hAnsi="Garamond"/>
          <w:lang w:val="en-AU"/>
        </w:rPr>
        <w:t>a self-assessment tool that can help health care boards and leaders highlight barriers and challenges to effective board engagement in quality oversight</w:t>
      </w:r>
      <w:r>
        <w:rPr>
          <w:rFonts w:ascii="Garamond" w:hAnsi="Garamond"/>
          <w:lang w:val="en-AU"/>
        </w:rPr>
        <w:t>”</w:t>
      </w:r>
      <w:r w:rsidRPr="00F85A78">
        <w:rPr>
          <w:rFonts w:ascii="Garamond" w:hAnsi="Garamond"/>
          <w:lang w:val="en-AU"/>
        </w:rPr>
        <w:t>.</w:t>
      </w:r>
    </w:p>
    <w:bookmarkEnd w:id="1"/>
    <w:p w:rsidR="00F85A78" w:rsidRPr="004964A4" w:rsidRDefault="00F85A78"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27" w:rsidRDefault="00E56427">
      <w:r>
        <w:separator/>
      </w:r>
    </w:p>
  </w:endnote>
  <w:endnote w:type="continuationSeparator" w:id="0">
    <w:p w:rsidR="00E56427" w:rsidRDefault="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27" w:rsidRDefault="00E56427"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E19DD">
      <w:rPr>
        <w:rStyle w:val="PageNumber"/>
        <w:noProof/>
      </w:rPr>
      <w:t>6</w:t>
    </w:r>
    <w:r>
      <w:rPr>
        <w:rStyle w:val="PageNumber"/>
      </w:rPr>
      <w:fldChar w:fldCharType="end"/>
    </w:r>
  </w:p>
  <w:p w:rsidR="00E56427" w:rsidRPr="001E78F0" w:rsidRDefault="00E56427"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27" w:rsidRPr="001E78F0" w:rsidRDefault="00E56427"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E19DD">
      <w:rPr>
        <w:rStyle w:val="PageNumber"/>
        <w:rFonts w:ascii="Garamond" w:hAnsi="Garamond"/>
        <w:noProof/>
      </w:rPr>
      <w:t>5</w:t>
    </w:r>
    <w:r w:rsidRPr="001E78F0">
      <w:rPr>
        <w:rStyle w:val="PageNumber"/>
        <w:rFonts w:ascii="Garamond" w:hAnsi="Garamond"/>
      </w:rPr>
      <w:fldChar w:fldCharType="end"/>
    </w:r>
  </w:p>
  <w:p w:rsidR="00E56427" w:rsidRPr="001E78F0" w:rsidRDefault="00E56427"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27" w:rsidRDefault="00E56427">
      <w:r>
        <w:separator/>
      </w:r>
    </w:p>
  </w:footnote>
  <w:footnote w:type="continuationSeparator" w:id="0">
    <w:p w:rsidR="00E56427" w:rsidRDefault="00E5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B53CCA"/>
    <w:multiLevelType w:val="hybridMultilevel"/>
    <w:tmpl w:val="B6CC53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nsid w:val="095F37B4"/>
    <w:multiLevelType w:val="hybridMultilevel"/>
    <w:tmpl w:val="8258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E82919"/>
    <w:multiLevelType w:val="hybridMultilevel"/>
    <w:tmpl w:val="CA74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BE4136"/>
    <w:multiLevelType w:val="hybridMultilevel"/>
    <w:tmpl w:val="CC36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0CB4D8E"/>
    <w:multiLevelType w:val="hybridMultilevel"/>
    <w:tmpl w:val="F064E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7F3C82"/>
    <w:multiLevelType w:val="hybridMultilevel"/>
    <w:tmpl w:val="FBACA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7912108"/>
    <w:multiLevelType w:val="hybridMultilevel"/>
    <w:tmpl w:val="B568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A13682"/>
    <w:multiLevelType w:val="hybridMultilevel"/>
    <w:tmpl w:val="B20E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0645A4"/>
    <w:multiLevelType w:val="hybridMultilevel"/>
    <w:tmpl w:val="95742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B40398"/>
    <w:multiLevelType w:val="hybridMultilevel"/>
    <w:tmpl w:val="F8403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AC6C42"/>
    <w:multiLevelType w:val="hybridMultilevel"/>
    <w:tmpl w:val="B876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ED7C31"/>
    <w:multiLevelType w:val="hybridMultilevel"/>
    <w:tmpl w:val="4ECE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337B81"/>
    <w:multiLevelType w:val="hybridMultilevel"/>
    <w:tmpl w:val="9A9C0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D90650"/>
    <w:multiLevelType w:val="hybridMultilevel"/>
    <w:tmpl w:val="B748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6F0567"/>
    <w:multiLevelType w:val="hybridMultilevel"/>
    <w:tmpl w:val="D932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E323B4"/>
    <w:multiLevelType w:val="hybridMultilevel"/>
    <w:tmpl w:val="CBA89CB8"/>
    <w:lvl w:ilvl="0" w:tplc="4D307930">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7">
    <w:nsid w:val="679B6DB2"/>
    <w:multiLevelType w:val="hybridMultilevel"/>
    <w:tmpl w:val="2932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A3409DE"/>
    <w:multiLevelType w:val="hybridMultilevel"/>
    <w:tmpl w:val="55E4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8E1801"/>
    <w:multiLevelType w:val="hybridMultilevel"/>
    <w:tmpl w:val="04DA6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C7019D"/>
    <w:multiLevelType w:val="hybridMultilevel"/>
    <w:tmpl w:val="09067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8A1289"/>
    <w:multiLevelType w:val="hybridMultilevel"/>
    <w:tmpl w:val="9EE8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DE409C"/>
    <w:multiLevelType w:val="hybridMultilevel"/>
    <w:tmpl w:val="0DA8309E"/>
    <w:lvl w:ilvl="0" w:tplc="6AB2BD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C5B0D13"/>
    <w:multiLevelType w:val="hybridMultilevel"/>
    <w:tmpl w:val="947CF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B707F5"/>
    <w:multiLevelType w:val="hybridMultilevel"/>
    <w:tmpl w:val="E2EE7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6"/>
  </w:num>
  <w:num w:numId="15">
    <w:abstractNumId w:val="10"/>
  </w:num>
  <w:num w:numId="16">
    <w:abstractNumId w:val="22"/>
  </w:num>
  <w:num w:numId="17">
    <w:abstractNumId w:val="44"/>
  </w:num>
  <w:num w:numId="18">
    <w:abstractNumId w:val="39"/>
  </w:num>
  <w:num w:numId="19">
    <w:abstractNumId w:val="15"/>
  </w:num>
  <w:num w:numId="20">
    <w:abstractNumId w:val="28"/>
  </w:num>
  <w:num w:numId="21">
    <w:abstractNumId w:val="43"/>
  </w:num>
  <w:num w:numId="22">
    <w:abstractNumId w:val="16"/>
  </w:num>
  <w:num w:numId="23">
    <w:abstractNumId w:val="23"/>
  </w:num>
  <w:num w:numId="24">
    <w:abstractNumId w:val="29"/>
  </w:num>
  <w:num w:numId="25">
    <w:abstractNumId w:val="24"/>
  </w:num>
  <w:num w:numId="26">
    <w:abstractNumId w:val="46"/>
  </w:num>
  <w:num w:numId="27">
    <w:abstractNumId w:val="45"/>
  </w:num>
  <w:num w:numId="28">
    <w:abstractNumId w:val="20"/>
  </w:num>
  <w:num w:numId="29">
    <w:abstractNumId w:val="37"/>
  </w:num>
  <w:num w:numId="30">
    <w:abstractNumId w:val="33"/>
  </w:num>
  <w:num w:numId="31">
    <w:abstractNumId w:val="42"/>
  </w:num>
  <w:num w:numId="32">
    <w:abstractNumId w:val="30"/>
  </w:num>
  <w:num w:numId="33">
    <w:abstractNumId w:val="11"/>
  </w:num>
  <w:num w:numId="34">
    <w:abstractNumId w:val="36"/>
  </w:num>
  <w:num w:numId="35">
    <w:abstractNumId w:val="14"/>
  </w:num>
  <w:num w:numId="36">
    <w:abstractNumId w:val="34"/>
  </w:num>
  <w:num w:numId="37">
    <w:abstractNumId w:val="31"/>
  </w:num>
  <w:num w:numId="38">
    <w:abstractNumId w:val="21"/>
  </w:num>
  <w:num w:numId="39">
    <w:abstractNumId w:val="38"/>
  </w:num>
  <w:num w:numId="40">
    <w:abstractNumId w:val="12"/>
  </w:num>
  <w:num w:numId="41">
    <w:abstractNumId w:val="18"/>
  </w:num>
  <w:num w:numId="42">
    <w:abstractNumId w:val="47"/>
  </w:num>
  <w:num w:numId="43">
    <w:abstractNumId w:val="40"/>
  </w:num>
  <w:num w:numId="44">
    <w:abstractNumId w:val="48"/>
  </w:num>
  <w:num w:numId="45">
    <w:abstractNumId w:val="49"/>
  </w:num>
  <w:num w:numId="46">
    <w:abstractNumId w:val="19"/>
  </w:num>
  <w:num w:numId="47">
    <w:abstractNumId w:val="27"/>
  </w:num>
  <w:num w:numId="48">
    <w:abstractNumId w:val="13"/>
  </w:num>
  <w:num w:numId="49">
    <w:abstractNumId w:val="17"/>
  </w:num>
  <w:num w:numId="5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hi.org/resources/Pages/IHIWhitePapers/IHI-Innovation-System.aspx" TargetMode="External"/><Relationship Id="rId26" Type="http://schemas.openxmlformats.org/officeDocument/2006/relationships/hyperlink" Target="https://www.safetyandquality.gov.au/antimicrobial-use-and-resistance-in-australia/" TargetMode="External"/><Relationship Id="rId39" Type="http://schemas.openxmlformats.org/officeDocument/2006/relationships/hyperlink" Target="https://eva.ecdc.europa.eu/course/index.php?categoryid=34" TargetMode="External"/><Relationship Id="rId3" Type="http://schemas.openxmlformats.org/officeDocument/2006/relationships/styles" Target="styles.xml"/><Relationship Id="rId21" Type="http://schemas.openxmlformats.org/officeDocument/2006/relationships/hyperlink" Target="https://doi.org/10.1016/j.hlc.2018.06.1043" TargetMode="External"/><Relationship Id="rId34" Type="http://schemas.openxmlformats.org/officeDocument/2006/relationships/hyperlink" Target="https://doi.org/10.1097/pq9.0000000000000072"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rimary-health-care/" TargetMode="External"/><Relationship Id="rId25" Type="http://schemas.openxmlformats.org/officeDocument/2006/relationships/hyperlink" Target="https://www.safetyandquality.gov.au/atlas/" TargetMode="External"/><Relationship Id="rId33" Type="http://schemas.openxmlformats.org/officeDocument/2006/relationships/hyperlink" Target="https://www.safetyandquality.gov.au/our-work/patient-and-consumer-centred-care/" TargetMode="External"/><Relationship Id="rId38" Type="http://schemas.openxmlformats.org/officeDocument/2006/relationships/hyperlink" Target="https://www.nice.org.uk/guidance/ng102" TargetMode="External"/><Relationship Id="rId2" Type="http://schemas.openxmlformats.org/officeDocument/2006/relationships/numbering" Target="numbering.xml"/><Relationship Id="rId16" Type="http://schemas.openxmlformats.org/officeDocument/2006/relationships/hyperlink" Target="https://grattan.edu.au/report/mapping-primary-care-in-australia/" TargetMode="External"/><Relationship Id="rId20" Type="http://schemas.openxmlformats.org/officeDocument/2006/relationships/hyperlink" Target="https://doi.org/10.5694/mja18.00647" TargetMode="External"/><Relationship Id="rId29" Type="http://schemas.openxmlformats.org/officeDocument/2006/relationships/hyperlink" Target="https://www.safetyandquality.gov.au/our-work/safety-in-e-health/"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111/jpc.14105" TargetMode="External"/><Relationship Id="rId32" Type="http://schemas.openxmlformats.org/officeDocument/2006/relationships/hyperlink" Target="https://doi.org/10.1177/1355819618788100" TargetMode="External"/><Relationship Id="rId37" Type="http://schemas.openxmlformats.org/officeDocument/2006/relationships/hyperlink" Target="https://www.nice.org.uk"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health.nsw.gov.au/aod/Pages/nsw-clinical-guidelines-opioid.aspx" TargetMode="External"/><Relationship Id="rId28" Type="http://schemas.openxmlformats.org/officeDocument/2006/relationships/hyperlink" Target="https://www.safetyandquality.gov.au/our-work/medication-safety/" TargetMode="External"/><Relationship Id="rId36" Type="http://schemas.openxmlformats.org/officeDocument/2006/relationships/hyperlink" Target="https://academic.oup.com/intqhc/advance-access"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5694/mja18.00646" TargetMode="External"/><Relationship Id="rId31" Type="http://schemas.openxmlformats.org/officeDocument/2006/relationships/hyperlink" Target="http://doi.org/10.2146/ajhp17042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16/j.hlc.2018.06.1042" TargetMode="External"/><Relationship Id="rId27" Type="http://schemas.openxmlformats.org/officeDocument/2006/relationships/hyperlink" Target="https://doi.org/10.1001/jamasurg.2018.1039" TargetMode="External"/><Relationship Id="rId30" Type="http://schemas.openxmlformats.org/officeDocument/2006/relationships/hyperlink" Target="https://doi.org/10.1093/jamia/ocy034" TargetMode="External"/><Relationship Id="rId35" Type="http://schemas.openxmlformats.org/officeDocument/2006/relationships/hyperlink" Target="https://qualitysafety.bmj.com/content/early/rece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0D1C-33F5-4C77-8AE5-80FE5BAF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2788</Words>
  <Characters>15896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18647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2018-03-02T02:34:00Z</cp:lastPrinted>
  <dcterms:created xsi:type="dcterms:W3CDTF">2018-08-03T01:55:00Z</dcterms:created>
  <dcterms:modified xsi:type="dcterms:W3CDTF">2018-08-03T01:55:00Z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