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3535D0">
      <w:pPr>
        <w:pStyle w:val="Heading1"/>
        <w:ind w:left="2160" w:hanging="2160"/>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D763DB">
        <w:rPr>
          <w:rFonts w:ascii="Garamond" w:hAnsi="Garamond"/>
          <w:color w:val="000000"/>
          <w:lang w:val="en-AU"/>
        </w:rPr>
        <w:t>9</w:t>
      </w:r>
      <w:r w:rsidR="00711E47">
        <w:rPr>
          <w:rFonts w:ascii="Garamond" w:hAnsi="Garamond"/>
          <w:color w:val="000000"/>
          <w:lang w:val="en-AU"/>
        </w:rPr>
        <w:t>6</w:t>
      </w:r>
    </w:p>
    <w:p w:rsidR="00755242" w:rsidRPr="00467B47" w:rsidRDefault="0066228E" w:rsidP="00F738B5">
      <w:pPr>
        <w:rPr>
          <w:rFonts w:ascii="Garamond" w:hAnsi="Garamond"/>
          <w:lang w:val="en-AU"/>
        </w:rPr>
      </w:pPr>
      <w:r>
        <w:rPr>
          <w:rFonts w:ascii="Garamond" w:hAnsi="Garamond"/>
          <w:lang w:val="en-AU"/>
        </w:rPr>
        <w:t>1</w:t>
      </w:r>
      <w:r w:rsidR="00711E47">
        <w:rPr>
          <w:rFonts w:ascii="Garamond" w:hAnsi="Garamond"/>
          <w:lang w:val="en-AU"/>
        </w:rPr>
        <w:t>9</w:t>
      </w:r>
      <w:r w:rsidR="005D5B69">
        <w:rPr>
          <w:rFonts w:ascii="Garamond" w:hAnsi="Garamond"/>
          <w:lang w:val="en-AU"/>
        </w:rPr>
        <w:t xml:space="preserve"> Novem</w:t>
      </w:r>
      <w:r w:rsidR="00D763DB">
        <w:rPr>
          <w:rFonts w:ascii="Garamond" w:hAnsi="Garamond"/>
          <w:lang w:val="en-AU"/>
        </w:rPr>
        <w:t>be</w:t>
      </w:r>
      <w:r w:rsidR="008C7B4B">
        <w:rPr>
          <w:rFonts w:ascii="Garamond" w:hAnsi="Garamond"/>
          <w:lang w:val="en-AU"/>
        </w:rPr>
        <w:t xml:space="preserv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r w:rsidR="0016673A" w:rsidRPr="0016673A">
        <w:t xml:space="preserve"> </w:t>
      </w:r>
      <w:r w:rsidR="0016673A" w:rsidRPr="0016673A">
        <w:rPr>
          <w:rStyle w:val="Hyperlink"/>
          <w:rFonts w:ascii="Garamond" w:hAnsi="Garamond"/>
          <w:lang w:val="en-AU"/>
        </w:rPr>
        <w:t>10.1136/bmjqs-2018-008219</w:t>
      </w:r>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A475CA" w:rsidP="00210235">
      <w:pPr>
        <w:keepNext/>
        <w:pBdr>
          <w:top w:val="single" w:sz="4" w:space="1" w:color="auto"/>
        </w:pBdr>
        <w:rPr>
          <w:rFonts w:ascii="Garamond" w:hAnsi="Garamond"/>
          <w:b/>
          <w:lang w:val="en-AU"/>
        </w:rPr>
      </w:pPr>
      <w:r>
        <w:rPr>
          <w:rFonts w:ascii="Garamond" w:hAnsi="Garamond"/>
          <w:noProof/>
          <w:lang w:val="en-AU" w:eastAsia="en-AU"/>
        </w:rPr>
        <w:drawing>
          <wp:anchor distT="0" distB="0" distL="114300" distR="114300" simplePos="0" relativeHeight="251660288" behindDoc="0" locked="0" layoutInCell="1" allowOverlap="1" wp14:anchorId="38AA8DDE" wp14:editId="02116009">
            <wp:simplePos x="0" y="0"/>
            <wp:positionH relativeFrom="column">
              <wp:posOffset>3264535</wp:posOffset>
            </wp:positionH>
            <wp:positionV relativeFrom="paragraph">
              <wp:posOffset>398145</wp:posOffset>
            </wp:positionV>
            <wp:extent cx="3578225" cy="4766945"/>
            <wp:effectExtent l="0" t="0" r="3175" b="0"/>
            <wp:wrapSquare wrapText="bothSides"/>
            <wp:docPr id="2" name="Picture 2" descr="\\central.health\dfsuserenv\Users\User_07\JOHNNI\Desktop\Pressure injur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Pressure injurie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8225" cy="476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235"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6"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B51BC2" w:rsidRDefault="005B1160">
      <w:pPr>
        <w:rPr>
          <w:rFonts w:ascii="Garamond" w:hAnsi="Garamond"/>
          <w:b/>
          <w:lang w:val="en-AU"/>
        </w:rPr>
      </w:pPr>
      <w:r w:rsidRPr="005B1160">
        <w:rPr>
          <w:rFonts w:ascii="Garamond" w:hAnsi="Garamond"/>
          <w:b/>
          <w:lang w:val="en-AU"/>
        </w:rPr>
        <w:t>2018 World Wide Pressure Injury Prevention Day</w:t>
      </w:r>
    </w:p>
    <w:p w:rsidR="005B1160" w:rsidRDefault="003535D0">
      <w:pPr>
        <w:rPr>
          <w:rFonts w:ascii="Garamond" w:hAnsi="Garamond"/>
          <w:lang w:val="en-AU"/>
        </w:rPr>
      </w:pPr>
      <w:hyperlink r:id="rId17" w:history="1">
        <w:r w:rsidR="005B1160" w:rsidRPr="005342F5">
          <w:rPr>
            <w:rStyle w:val="Hyperlink"/>
            <w:rFonts w:ascii="Garamond" w:hAnsi="Garamond"/>
            <w:lang w:val="en-AU"/>
          </w:rPr>
          <w:t>http://www.npuap.org/resources/educational-and-clinical-resources/2018-world-wide-pressure-injury-prevention-day/</w:t>
        </w:r>
      </w:hyperlink>
    </w:p>
    <w:p w:rsidR="005B1160" w:rsidRDefault="005B1160" w:rsidP="005B1160">
      <w:pPr>
        <w:rPr>
          <w:rFonts w:ascii="Garamond" w:hAnsi="Garamond"/>
          <w:lang w:val="en-AU"/>
        </w:rPr>
      </w:pPr>
    </w:p>
    <w:p w:rsidR="005B1160" w:rsidRDefault="005B1160" w:rsidP="005B1160">
      <w:pPr>
        <w:rPr>
          <w:rFonts w:ascii="Garamond" w:hAnsi="Garamond"/>
          <w:lang w:val="en-AU"/>
        </w:rPr>
      </w:pPr>
      <w:r w:rsidRPr="005B1160">
        <w:rPr>
          <w:rFonts w:ascii="Garamond" w:hAnsi="Garamond"/>
          <w:lang w:val="en-AU"/>
        </w:rPr>
        <w:t xml:space="preserve">The </w:t>
      </w:r>
      <w:r>
        <w:rPr>
          <w:rFonts w:ascii="Garamond" w:hAnsi="Garamond"/>
          <w:lang w:val="en-AU"/>
        </w:rPr>
        <w:t xml:space="preserve">[US] </w:t>
      </w:r>
      <w:r w:rsidRPr="005B1160">
        <w:rPr>
          <w:rFonts w:ascii="Garamond" w:hAnsi="Garamond"/>
          <w:lang w:val="en-AU"/>
        </w:rPr>
        <w:t>National Pressure Ulcer Advisory Panel (NPUAP)</w:t>
      </w:r>
      <w:r>
        <w:rPr>
          <w:rFonts w:ascii="Garamond" w:hAnsi="Garamond"/>
          <w:lang w:val="en-AU"/>
        </w:rPr>
        <w:t xml:space="preserve"> has deemed 15 November 2018 as </w:t>
      </w:r>
      <w:r w:rsidRPr="005B1160">
        <w:rPr>
          <w:rFonts w:ascii="Garamond" w:hAnsi="Garamond"/>
          <w:lang w:val="en-AU"/>
        </w:rPr>
        <w:t>World Wide Pressure Injury Prevention Day. The objective of World Wide Pressure Injury Prevention Day is to increase national awareness for pressure injury prevention and to educate the public on this topic.</w:t>
      </w:r>
      <w:r>
        <w:rPr>
          <w:rFonts w:ascii="Garamond" w:hAnsi="Garamond"/>
          <w:lang w:val="en-AU"/>
        </w:rPr>
        <w:t xml:space="preserve"> The NPUAP has created this page of educational and clinical resources to mark the day.</w:t>
      </w:r>
    </w:p>
    <w:p w:rsidR="00A475CA" w:rsidRDefault="00A475CA" w:rsidP="005B1160">
      <w:pPr>
        <w:rPr>
          <w:rFonts w:ascii="Garamond" w:hAnsi="Garamond"/>
          <w:lang w:val="en-AU"/>
        </w:rPr>
      </w:pPr>
    </w:p>
    <w:p w:rsidR="00DF1A39" w:rsidRDefault="00DF1A39" w:rsidP="005B1160">
      <w:pPr>
        <w:rPr>
          <w:rFonts w:ascii="Garamond" w:hAnsi="Garamond"/>
          <w:lang w:val="en-AU"/>
        </w:rPr>
      </w:pPr>
    </w:p>
    <w:p w:rsidR="00E14C5A" w:rsidRDefault="00E14C5A" w:rsidP="005B1160">
      <w:pPr>
        <w:rPr>
          <w:rFonts w:ascii="Garamond" w:hAnsi="Garamond"/>
          <w:lang w:val="en-AU"/>
        </w:rPr>
      </w:pPr>
      <w:r w:rsidRPr="00E14C5A">
        <w:rPr>
          <w:rFonts w:ascii="Garamond" w:hAnsi="Garamond"/>
          <w:lang w:val="en-AU"/>
        </w:rPr>
        <w:t>Worldwide STOP Pressure Injury (Ulcer) day started in 2012. This initiative aims to increase awareness of pressure injuries amongst the public, medical professionals and politicians. The European Pressure Ulcer Advisory Panel (EPUAP) joined and encouraged countries internationally to participate.</w:t>
      </w:r>
      <w:r>
        <w:rPr>
          <w:rFonts w:ascii="Garamond" w:hAnsi="Garamond"/>
          <w:lang w:val="en-AU"/>
        </w:rPr>
        <w:t xml:space="preserve"> </w:t>
      </w:r>
    </w:p>
    <w:p w:rsidR="00E14C5A" w:rsidRDefault="003535D0" w:rsidP="005B1160">
      <w:pPr>
        <w:rPr>
          <w:rFonts w:ascii="Garamond" w:hAnsi="Garamond"/>
          <w:lang w:val="en-AU"/>
        </w:rPr>
      </w:pPr>
      <w:hyperlink r:id="rId18" w:history="1">
        <w:r w:rsidR="00E14C5A" w:rsidRPr="005342F5">
          <w:rPr>
            <w:rStyle w:val="Hyperlink"/>
            <w:rFonts w:ascii="Garamond" w:hAnsi="Garamond"/>
            <w:lang w:val="en-AU"/>
          </w:rPr>
          <w:t>http://www.epuap.org/</w:t>
        </w:r>
      </w:hyperlink>
    </w:p>
    <w:p w:rsidR="00702C0F" w:rsidRDefault="00702C0F" w:rsidP="005B1160">
      <w:pPr>
        <w:rPr>
          <w:rFonts w:ascii="Garamond" w:hAnsi="Garamond"/>
          <w:lang w:val="en-AU"/>
        </w:rPr>
      </w:pPr>
      <w:r w:rsidRPr="00702C0F">
        <w:rPr>
          <w:rFonts w:ascii="Garamond" w:hAnsi="Garamond"/>
          <w:lang w:val="en-AU"/>
        </w:rPr>
        <w:lastRenderedPageBreak/>
        <w:t>For the 2018 Stop Pressure Injury Day, the NPUAP, EPUAP and</w:t>
      </w:r>
      <w:r>
        <w:rPr>
          <w:rFonts w:ascii="Garamond" w:hAnsi="Garamond"/>
          <w:lang w:val="en-AU"/>
        </w:rPr>
        <w:t xml:space="preserve"> t</w:t>
      </w:r>
      <w:r w:rsidRPr="00702C0F">
        <w:rPr>
          <w:rFonts w:ascii="Garamond" w:hAnsi="Garamond"/>
          <w:lang w:val="en-AU"/>
        </w:rPr>
        <w:t xml:space="preserve">he Pan Pacific Pressure Injury Alliance (PPPIA) are promoting the </w:t>
      </w:r>
      <w:r w:rsidRPr="00702C0F">
        <w:rPr>
          <w:rFonts w:ascii="Garamond" w:hAnsi="Garamond"/>
          <w:i/>
          <w:lang w:val="en-AU"/>
        </w:rPr>
        <w:t>International Pressure Injury Guideline</w:t>
      </w:r>
      <w:r>
        <w:rPr>
          <w:rFonts w:ascii="Garamond" w:hAnsi="Garamond"/>
          <w:lang w:val="en-AU"/>
        </w:rPr>
        <w:t xml:space="preserve">. The guideline </w:t>
      </w:r>
      <w:r w:rsidRPr="00702C0F">
        <w:rPr>
          <w:rFonts w:ascii="Garamond" w:hAnsi="Garamond"/>
          <w:lang w:val="en-AU"/>
        </w:rPr>
        <w:t xml:space="preserve">is available </w:t>
      </w:r>
      <w:r>
        <w:rPr>
          <w:rFonts w:ascii="Garamond" w:hAnsi="Garamond"/>
          <w:lang w:val="en-AU"/>
        </w:rPr>
        <w:t xml:space="preserve">from </w:t>
      </w:r>
      <w:r w:rsidRPr="00702C0F">
        <w:rPr>
          <w:rFonts w:ascii="Garamond" w:hAnsi="Garamond"/>
          <w:lang w:val="en-AU"/>
        </w:rPr>
        <w:t>the New Zealand Wound Care Society website</w:t>
      </w:r>
      <w:r>
        <w:rPr>
          <w:rFonts w:ascii="Garamond" w:hAnsi="Garamond"/>
          <w:lang w:val="en-AU"/>
        </w:rPr>
        <w:t xml:space="preserve"> at </w:t>
      </w:r>
      <w:hyperlink r:id="rId19" w:history="1">
        <w:r w:rsidRPr="005342F5">
          <w:rPr>
            <w:rStyle w:val="Hyperlink"/>
            <w:rFonts w:ascii="Garamond" w:hAnsi="Garamond"/>
            <w:lang w:val="en-AU"/>
          </w:rPr>
          <w:t>https://nzwcs.org.nz/who-we-are/pressure-injury-advisory-group/70-2014-prevention-and-treatment-of-pressure-ulcers-clinical-practice-guideline</w:t>
        </w:r>
      </w:hyperlink>
    </w:p>
    <w:p w:rsidR="00E14C5A" w:rsidRDefault="00E14C5A" w:rsidP="005B1160">
      <w:pPr>
        <w:rPr>
          <w:rFonts w:ascii="Garamond" w:hAnsi="Garamond"/>
          <w:lang w:val="en-AU"/>
        </w:rPr>
      </w:pPr>
    </w:p>
    <w:p w:rsidR="00DF1A39" w:rsidRDefault="00DF1A39" w:rsidP="005B1160">
      <w:pPr>
        <w:rPr>
          <w:rFonts w:ascii="Garamond" w:hAnsi="Garamond"/>
          <w:lang w:val="en-AU"/>
        </w:rPr>
      </w:pPr>
      <w:r>
        <w:rPr>
          <w:rFonts w:ascii="Garamond" w:hAnsi="Garamond"/>
          <w:lang w:val="en-AU"/>
        </w:rPr>
        <w:t xml:space="preserve">The New Zealand Wound Care Society has also developed </w:t>
      </w:r>
      <w:r w:rsidR="00E14C5A">
        <w:rPr>
          <w:rFonts w:ascii="Garamond" w:hAnsi="Garamond"/>
          <w:lang w:val="en-AU"/>
        </w:rPr>
        <w:t xml:space="preserve">a webpage of resources and links, including some in a number of languages. </w:t>
      </w:r>
      <w:r w:rsidR="00702C0F">
        <w:rPr>
          <w:rFonts w:ascii="Garamond" w:hAnsi="Garamond"/>
          <w:lang w:val="en-AU"/>
        </w:rPr>
        <w:t xml:space="preserve">The webpage is at </w:t>
      </w:r>
      <w:hyperlink r:id="rId20" w:history="1">
        <w:r w:rsidR="00702C0F" w:rsidRPr="005342F5">
          <w:rPr>
            <w:rStyle w:val="Hyperlink"/>
            <w:rFonts w:ascii="Garamond" w:hAnsi="Garamond"/>
            <w:lang w:val="en-AU"/>
          </w:rPr>
          <w:t>https://www.nzwcs.org.nz/resources/stop-pi-day</w:t>
        </w:r>
      </w:hyperlink>
    </w:p>
    <w:p w:rsidR="00702C0F" w:rsidRPr="005B1160" w:rsidRDefault="00702C0F" w:rsidP="005B1160">
      <w:pPr>
        <w:rPr>
          <w:rFonts w:ascii="Garamond" w:hAnsi="Garamond"/>
          <w:lang w:val="en-AU"/>
        </w:rPr>
      </w:pPr>
    </w:p>
    <w:p w:rsidR="00B51BC2" w:rsidRDefault="00E14C5A">
      <w:pPr>
        <w:rPr>
          <w:rFonts w:ascii="Garamond" w:hAnsi="Garamond"/>
          <w:lang w:val="en-AU"/>
        </w:rPr>
      </w:pPr>
      <w:r>
        <w:rPr>
          <w:rFonts w:ascii="Garamond" w:hAnsi="Garamond"/>
          <w:noProof/>
          <w:lang w:val="en-AU" w:eastAsia="en-AU"/>
        </w:rPr>
        <w:drawing>
          <wp:inline distT="0" distB="0" distL="0" distR="0">
            <wp:extent cx="5644444" cy="1758669"/>
            <wp:effectExtent l="0" t="0" r="0" b="0"/>
            <wp:docPr id="4" name="Picture 4" descr="\\central.health\dfsuserenv\Users\User_07\JOHNNI\Desktop\NZ press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Desktop\NZ pressur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657" cy="1758735"/>
                    </a:xfrm>
                    <a:prstGeom prst="rect">
                      <a:avLst/>
                    </a:prstGeom>
                    <a:noFill/>
                    <a:ln>
                      <a:noFill/>
                    </a:ln>
                  </pic:spPr>
                </pic:pic>
              </a:graphicData>
            </a:graphic>
          </wp:inline>
        </w:drawing>
      </w:r>
    </w:p>
    <w:p w:rsidR="00702C0F" w:rsidRDefault="00702C0F">
      <w:pPr>
        <w:rPr>
          <w:rFonts w:ascii="Garamond" w:hAnsi="Garamond"/>
          <w:lang w:val="en-AU"/>
        </w:rPr>
      </w:pPr>
    </w:p>
    <w:p w:rsidR="00DF1A39" w:rsidRDefault="005B1160">
      <w:pPr>
        <w:rPr>
          <w:rFonts w:ascii="Garamond" w:hAnsi="Garamond"/>
          <w:lang w:val="en-AU"/>
        </w:rPr>
      </w:pPr>
      <w:r>
        <w:rPr>
          <w:rFonts w:ascii="Garamond" w:hAnsi="Garamond"/>
          <w:lang w:val="en-AU"/>
        </w:rPr>
        <w:t xml:space="preserve">The prevention of pressure injuries are addressed in the Comprehensive Care standard of the </w:t>
      </w:r>
      <w:r w:rsidRPr="005B1160">
        <w:rPr>
          <w:rFonts w:ascii="Garamond" w:hAnsi="Garamond"/>
          <w:lang w:val="en-AU"/>
        </w:rPr>
        <w:t>National Safety and Quality Health Service (NSQHS) Standards</w:t>
      </w:r>
      <w:r>
        <w:rPr>
          <w:rFonts w:ascii="Garamond" w:hAnsi="Garamond"/>
          <w:lang w:val="en-AU"/>
        </w:rPr>
        <w:t xml:space="preserve">. For information about the </w:t>
      </w:r>
      <w:r w:rsidRPr="005B1160">
        <w:rPr>
          <w:rFonts w:ascii="Garamond" w:hAnsi="Garamond"/>
          <w:lang w:val="en-AU"/>
        </w:rPr>
        <w:t>NSQHS Standards</w:t>
      </w:r>
      <w:r>
        <w:rPr>
          <w:rFonts w:ascii="Garamond" w:hAnsi="Garamond"/>
          <w:lang w:val="en-AU"/>
        </w:rPr>
        <w:t xml:space="preserve">, see the Commission’s </w:t>
      </w:r>
      <w:r w:rsidRPr="005B1160">
        <w:rPr>
          <w:rFonts w:ascii="Garamond" w:hAnsi="Garamond"/>
          <w:lang w:val="en-AU"/>
        </w:rPr>
        <w:t>NSQHS Standards</w:t>
      </w:r>
      <w:r>
        <w:rPr>
          <w:rFonts w:ascii="Garamond" w:hAnsi="Garamond"/>
          <w:lang w:val="en-AU"/>
        </w:rPr>
        <w:t xml:space="preserve"> microsite at </w:t>
      </w:r>
      <w:hyperlink r:id="rId22" w:history="1">
        <w:r w:rsidRPr="005342F5">
          <w:rPr>
            <w:rStyle w:val="Hyperlink"/>
            <w:rFonts w:ascii="Garamond" w:hAnsi="Garamond"/>
            <w:lang w:val="en-AU"/>
          </w:rPr>
          <w:t>http://www.nationalstandards.safetyandquality.gov.au</w:t>
        </w:r>
      </w:hyperlink>
    </w:p>
    <w:p w:rsidR="005B1160" w:rsidRDefault="005B1160">
      <w:pPr>
        <w:rPr>
          <w:rFonts w:ascii="Garamond" w:hAnsi="Garamond"/>
          <w:lang w:val="en-AU"/>
        </w:rPr>
      </w:pPr>
      <w:r>
        <w:rPr>
          <w:rFonts w:ascii="Garamond" w:hAnsi="Garamond"/>
          <w:noProof/>
          <w:lang w:val="en-AU" w:eastAsia="en-AU"/>
        </w:rPr>
        <w:drawing>
          <wp:inline distT="0" distB="0" distL="0" distR="0">
            <wp:extent cx="5644444" cy="2011329"/>
            <wp:effectExtent l="0" t="0" r="0" b="8255"/>
            <wp:docPr id="1" name="Picture 1" descr="http://www.nationalstandards.safetyandquality.gov.au" title="Image banner for National Safety and Quality Health Service Standard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Q17-167-NSQHS-Carousel-DES03-27Nov17.jpg"/>
                    <pic:cNvPicPr>
                      <a:picLocks noChangeAspect="1" noChangeArrowheads="1"/>
                    </pic:cNvPicPr>
                  </pic:nvPicPr>
                  <pic:blipFill rotWithShape="1">
                    <a:blip r:embed="rId23">
                      <a:extLst>
                        <a:ext uri="{28A0092B-C50C-407E-A947-70E740481C1C}">
                          <a14:useLocalDpi xmlns:a14="http://schemas.microsoft.com/office/drawing/2010/main" val="0"/>
                        </a:ext>
                      </a:extLst>
                    </a:blip>
                    <a:srcRect b="15655"/>
                    <a:stretch/>
                  </pic:blipFill>
                  <pic:spPr bwMode="auto">
                    <a:xfrm>
                      <a:off x="0" y="0"/>
                      <a:ext cx="5707803" cy="2033906"/>
                    </a:xfrm>
                    <a:prstGeom prst="rect">
                      <a:avLst/>
                    </a:prstGeom>
                    <a:noFill/>
                    <a:ln>
                      <a:noFill/>
                    </a:ln>
                    <a:extLst>
                      <a:ext uri="{53640926-AAD7-44D8-BBD7-CCE9431645EC}">
                        <a14:shadowObscured xmlns:a14="http://schemas.microsoft.com/office/drawing/2010/main"/>
                      </a:ext>
                    </a:extLst>
                  </pic:spPr>
                </pic:pic>
              </a:graphicData>
            </a:graphic>
          </wp:inline>
        </w:drawing>
      </w:r>
    </w:p>
    <w:p w:rsidR="005B1160" w:rsidRPr="00B51BC2" w:rsidRDefault="005B1160">
      <w:pPr>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230F7E" w:rsidRPr="001D3352" w:rsidRDefault="001D3352" w:rsidP="00C3692E">
      <w:pPr>
        <w:keepLines/>
        <w:autoSpaceDE w:val="0"/>
        <w:autoSpaceDN w:val="0"/>
        <w:adjustRightInd w:val="0"/>
        <w:rPr>
          <w:rFonts w:ascii="Garamond" w:hAnsi="Garamond"/>
          <w:i/>
          <w:lang w:val="en-AU"/>
        </w:rPr>
      </w:pPr>
      <w:r w:rsidRPr="001D3352">
        <w:rPr>
          <w:rFonts w:ascii="Garamond" w:hAnsi="Garamond"/>
          <w:i/>
          <w:lang w:val="en-AU"/>
        </w:rPr>
        <w:t>Digital Health Implementation Playbook</w:t>
      </w:r>
    </w:p>
    <w:p w:rsidR="001D3352" w:rsidRDefault="001D3352" w:rsidP="00C3692E">
      <w:pPr>
        <w:keepLines/>
        <w:autoSpaceDE w:val="0"/>
        <w:autoSpaceDN w:val="0"/>
        <w:adjustRightInd w:val="0"/>
        <w:rPr>
          <w:rFonts w:ascii="Garamond" w:hAnsi="Garamond"/>
          <w:lang w:val="en-AU"/>
        </w:rPr>
      </w:pPr>
      <w:r w:rsidRPr="001D3352">
        <w:rPr>
          <w:rFonts w:ascii="Garamond" w:hAnsi="Garamond"/>
          <w:lang w:val="en-AU"/>
        </w:rPr>
        <w:t>American Medical Association</w:t>
      </w:r>
    </w:p>
    <w:p w:rsidR="001D3352" w:rsidRDefault="001D3352" w:rsidP="00C3692E">
      <w:pPr>
        <w:keepLines/>
        <w:autoSpaceDE w:val="0"/>
        <w:autoSpaceDN w:val="0"/>
        <w:adjustRightInd w:val="0"/>
        <w:rPr>
          <w:rFonts w:ascii="Garamond" w:hAnsi="Garamond"/>
          <w:lang w:val="en-AU"/>
        </w:rPr>
      </w:pPr>
      <w:r w:rsidRPr="001D3352">
        <w:rPr>
          <w:rFonts w:ascii="Garamond" w:hAnsi="Garamond"/>
          <w:lang w:val="en-AU"/>
        </w:rPr>
        <w:t xml:space="preserve">Chicago: American Medical Association; 2018. </w:t>
      </w:r>
      <w:proofErr w:type="gramStart"/>
      <w:r w:rsidRPr="001D3352">
        <w:rPr>
          <w:rFonts w:ascii="Garamond" w:hAnsi="Garamond"/>
          <w:lang w:val="en-AU"/>
        </w:rPr>
        <w:t>p. 96.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D335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6637" w:rsidRPr="000170DA" w:rsidRDefault="003535D0" w:rsidP="00230F7E">
            <w:pPr>
              <w:rPr>
                <w:rStyle w:val="Hyperlink"/>
                <w:rFonts w:ascii="Garamond" w:hAnsi="Garamond"/>
                <w:color w:val="auto"/>
                <w:u w:val="none"/>
                <w:lang w:val="en-AU"/>
              </w:rPr>
            </w:pPr>
            <w:hyperlink r:id="rId24" w:history="1">
              <w:r w:rsidR="001D3352" w:rsidRPr="005342F5">
                <w:rPr>
                  <w:rStyle w:val="Hyperlink"/>
                  <w:rFonts w:ascii="Garamond" w:hAnsi="Garamond"/>
                  <w:lang w:val="en-AU"/>
                </w:rPr>
                <w:t>https://www.ama-assn.org/ama-digital-health-implementation-playbook</w:t>
              </w:r>
            </w:hyperlink>
            <w:r w:rsidR="001D3352">
              <w:rPr>
                <w:rStyle w:val="Hyperlink"/>
                <w:rFonts w:ascii="Garamond" w:hAnsi="Garamond"/>
                <w:color w:val="auto"/>
                <w:u w:val="none"/>
                <w:lang w:val="en-AU"/>
              </w:rPr>
              <w:t xml:space="preserve"> </w:t>
            </w:r>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06D2" w:rsidRPr="00DC06D2" w:rsidRDefault="001D3352" w:rsidP="00E9603F">
            <w:pPr>
              <w:rPr>
                <w:rFonts w:ascii="Garamond" w:hAnsi="Garamond"/>
                <w:lang w:val="en-AU"/>
              </w:rPr>
            </w:pPr>
            <w:r>
              <w:rPr>
                <w:rFonts w:ascii="Garamond" w:hAnsi="Garamond"/>
                <w:lang w:val="en-AU"/>
              </w:rPr>
              <w:t xml:space="preserve">The </w:t>
            </w:r>
            <w:r w:rsidRPr="001D3352">
              <w:rPr>
                <w:rFonts w:ascii="Garamond" w:hAnsi="Garamond"/>
                <w:lang w:val="en-AU"/>
              </w:rPr>
              <w:t xml:space="preserve">American Medical Association (AMA) has created </w:t>
            </w:r>
            <w:r>
              <w:rPr>
                <w:rFonts w:ascii="Garamond" w:hAnsi="Garamond"/>
                <w:lang w:val="en-AU"/>
              </w:rPr>
              <w:t xml:space="preserve">this </w:t>
            </w:r>
            <w:r w:rsidRPr="001D3352">
              <w:rPr>
                <w:rFonts w:ascii="Garamond" w:hAnsi="Garamond"/>
                <w:lang w:val="en-AU"/>
              </w:rPr>
              <w:t>resource to help physicians extend care with technologies that are changing the way patients interact with healthcare.</w:t>
            </w:r>
            <w:r>
              <w:rPr>
                <w:rFonts w:ascii="Garamond" w:hAnsi="Garamond"/>
                <w:lang w:val="en-AU"/>
              </w:rPr>
              <w:t xml:space="preserve"> </w:t>
            </w:r>
            <w:r w:rsidRPr="001D3352">
              <w:rPr>
                <w:rFonts w:ascii="Garamond" w:hAnsi="Garamond"/>
                <w:lang w:val="en-AU"/>
              </w:rPr>
              <w:t xml:space="preserve">The </w:t>
            </w:r>
            <w:r w:rsidRPr="001D3352">
              <w:rPr>
                <w:rFonts w:ascii="Garamond" w:hAnsi="Garamond"/>
                <w:i/>
                <w:lang w:val="en-AU"/>
              </w:rPr>
              <w:t>Playbook</w:t>
            </w:r>
            <w:r w:rsidRPr="001D3352">
              <w:rPr>
                <w:rFonts w:ascii="Garamond" w:hAnsi="Garamond"/>
                <w:lang w:val="en-AU"/>
              </w:rPr>
              <w:t xml:space="preserve"> offers a guide for providers to applying digital health solutions, including key steps, best practices, and resources to achiev</w:t>
            </w:r>
            <w:r w:rsidR="00E9603F">
              <w:rPr>
                <w:rFonts w:ascii="Garamond" w:hAnsi="Garamond"/>
                <w:lang w:val="en-AU"/>
              </w:rPr>
              <w:t>ing</w:t>
            </w:r>
            <w:r w:rsidRPr="001D3352">
              <w:rPr>
                <w:rFonts w:ascii="Garamond" w:hAnsi="Garamond"/>
                <w:lang w:val="en-AU"/>
              </w:rPr>
              <w:t xml:space="preserve"> digital health adoption.</w:t>
            </w:r>
            <w:r>
              <w:rPr>
                <w:rFonts w:ascii="Garamond" w:hAnsi="Garamond"/>
                <w:lang w:val="en-AU"/>
              </w:rPr>
              <w:t xml:space="preserve"> </w:t>
            </w:r>
            <w:r w:rsidRPr="001D3352">
              <w:rPr>
                <w:rFonts w:ascii="Garamond" w:hAnsi="Garamond"/>
                <w:lang w:val="en-AU"/>
              </w:rPr>
              <w:t xml:space="preserve">The Playbook is designed for care teams and administrators in medical practices of </w:t>
            </w:r>
            <w:r w:rsidR="00E9603F">
              <w:rPr>
                <w:rFonts w:ascii="Garamond" w:hAnsi="Garamond"/>
                <w:lang w:val="en-AU"/>
              </w:rPr>
              <w:t xml:space="preserve">any </w:t>
            </w:r>
            <w:r w:rsidRPr="001D3352">
              <w:rPr>
                <w:rFonts w:ascii="Garamond" w:hAnsi="Garamond"/>
                <w:lang w:val="en-AU"/>
              </w:rPr>
              <w:t xml:space="preserve">and specialty. </w:t>
            </w:r>
            <w:r w:rsidR="00E9603F">
              <w:rPr>
                <w:rFonts w:ascii="Garamond" w:hAnsi="Garamond"/>
                <w:lang w:val="en-AU"/>
              </w:rPr>
              <w:t xml:space="preserve">It is intended to be </w:t>
            </w:r>
            <w:r w:rsidRPr="001D3352">
              <w:rPr>
                <w:rFonts w:ascii="Garamond" w:hAnsi="Garamond"/>
                <w:lang w:val="en-AU"/>
              </w:rPr>
              <w:t xml:space="preserve">a </w:t>
            </w:r>
            <w:r w:rsidR="00E9603F">
              <w:rPr>
                <w:rFonts w:ascii="Garamond" w:hAnsi="Garamond"/>
                <w:lang w:val="en-AU"/>
              </w:rPr>
              <w:t>‘</w:t>
            </w:r>
            <w:r w:rsidRPr="001D3352">
              <w:rPr>
                <w:rFonts w:ascii="Garamond" w:hAnsi="Garamond"/>
                <w:lang w:val="en-AU"/>
              </w:rPr>
              <w:t>living document</w:t>
            </w:r>
            <w:r w:rsidR="00E9603F">
              <w:rPr>
                <w:rFonts w:ascii="Garamond" w:hAnsi="Garamond"/>
                <w:lang w:val="en-AU"/>
              </w:rPr>
              <w:t>’</w:t>
            </w:r>
            <w:r w:rsidRPr="001D3352">
              <w:rPr>
                <w:rFonts w:ascii="Garamond" w:hAnsi="Garamond"/>
                <w:lang w:val="en-AU"/>
              </w:rPr>
              <w:t xml:space="preserve"> that will be updated over time. As </w:t>
            </w:r>
            <w:r w:rsidR="00E9603F">
              <w:rPr>
                <w:rFonts w:ascii="Garamond" w:hAnsi="Garamond"/>
                <w:lang w:val="en-AU"/>
              </w:rPr>
              <w:t xml:space="preserve">it </w:t>
            </w:r>
            <w:r w:rsidRPr="001D3352">
              <w:rPr>
                <w:rFonts w:ascii="Garamond" w:hAnsi="Garamond"/>
                <w:lang w:val="en-AU"/>
              </w:rPr>
              <w:t xml:space="preserve">evolves, it will provide a 12-steps process to guide the implementation of </w:t>
            </w:r>
            <w:r w:rsidR="00E9603F">
              <w:rPr>
                <w:rFonts w:ascii="Garamond" w:hAnsi="Garamond"/>
                <w:lang w:val="en-AU"/>
              </w:rPr>
              <w:t xml:space="preserve">various </w:t>
            </w:r>
            <w:r w:rsidRPr="001D3352">
              <w:rPr>
                <w:rFonts w:ascii="Garamond" w:hAnsi="Garamond"/>
                <w:lang w:val="en-AU"/>
              </w:rPr>
              <w:t>digital health solutions. The first six steps are core to the implementation of any solution, while the subsequent six steps focus on specific digital health solutions and the considerations relevant to that specific technology.</w:t>
            </w:r>
          </w:p>
        </w:tc>
      </w:tr>
    </w:tbl>
    <w:p w:rsidR="00282D29" w:rsidRDefault="00282D29" w:rsidP="00C17C82">
      <w:pPr>
        <w:keepNext/>
        <w:ind w:left="720" w:hanging="720"/>
        <w:rPr>
          <w:rFonts w:ascii="Garamond" w:hAnsi="Garamond"/>
          <w:b/>
          <w:lang w:val="en-AU"/>
        </w:rPr>
      </w:pPr>
      <w:r>
        <w:rPr>
          <w:rFonts w:ascii="Garamond" w:hAnsi="Garamond"/>
          <w:b/>
          <w:lang w:val="en-AU"/>
        </w:rPr>
        <w:lastRenderedPageBreak/>
        <w:t>Journal articles</w:t>
      </w:r>
    </w:p>
    <w:p w:rsidR="0016673A" w:rsidRDefault="0016673A" w:rsidP="0016673A">
      <w:pPr>
        <w:keepNext/>
        <w:keepLines/>
        <w:autoSpaceDE w:val="0"/>
        <w:autoSpaceDN w:val="0"/>
        <w:adjustRightInd w:val="0"/>
        <w:rPr>
          <w:rFonts w:ascii="Garamond" w:hAnsi="Garamond"/>
          <w:i/>
          <w:lang w:val="en-AU"/>
        </w:rPr>
      </w:pPr>
    </w:p>
    <w:p w:rsidR="0016673A" w:rsidRDefault="001D3352" w:rsidP="0016673A">
      <w:pPr>
        <w:keepNext/>
        <w:keepLines/>
        <w:autoSpaceDE w:val="0"/>
        <w:autoSpaceDN w:val="0"/>
        <w:adjustRightInd w:val="0"/>
        <w:rPr>
          <w:rFonts w:ascii="Garamond" w:hAnsi="Garamond"/>
          <w:i/>
          <w:lang w:val="en-AU"/>
        </w:rPr>
      </w:pPr>
      <w:r w:rsidRPr="001D3352">
        <w:rPr>
          <w:rFonts w:ascii="Garamond" w:hAnsi="Garamond"/>
          <w:i/>
          <w:lang w:val="en-AU"/>
        </w:rPr>
        <w:t>Engaging patients to improve quality of care: a systematic review</w:t>
      </w:r>
    </w:p>
    <w:p w:rsidR="0000418A" w:rsidRDefault="0000418A" w:rsidP="0016673A">
      <w:pPr>
        <w:keepNext/>
        <w:keepLines/>
        <w:autoSpaceDE w:val="0"/>
        <w:autoSpaceDN w:val="0"/>
        <w:adjustRightInd w:val="0"/>
        <w:rPr>
          <w:rFonts w:ascii="Garamond" w:hAnsi="Garamond"/>
          <w:lang w:val="en-AU"/>
        </w:rPr>
      </w:pPr>
      <w:r w:rsidRPr="0000418A">
        <w:rPr>
          <w:rFonts w:ascii="Garamond" w:hAnsi="Garamond"/>
          <w:lang w:val="en-AU"/>
        </w:rPr>
        <w:t>Bombard Y, Baker GR, Orlando E, Fancott C, Bhatia P, Casalino S, et al</w:t>
      </w:r>
    </w:p>
    <w:p w:rsidR="0000418A" w:rsidRPr="0000418A" w:rsidRDefault="0000418A" w:rsidP="0016673A">
      <w:pPr>
        <w:keepNext/>
        <w:keepLines/>
        <w:autoSpaceDE w:val="0"/>
        <w:autoSpaceDN w:val="0"/>
        <w:adjustRightInd w:val="0"/>
        <w:rPr>
          <w:rFonts w:ascii="Garamond" w:hAnsi="Garamond"/>
          <w:lang w:val="en-AU"/>
        </w:rPr>
      </w:pPr>
      <w:bookmarkStart w:id="1" w:name="_GoBack"/>
      <w:bookmarkEnd w:id="1"/>
      <w:proofErr w:type="gramStart"/>
      <w:r w:rsidRPr="0000418A">
        <w:rPr>
          <w:rFonts w:ascii="Garamond" w:hAnsi="Garamond"/>
          <w:lang w:val="en-AU"/>
        </w:rPr>
        <w:t>Implementation Science.</w:t>
      </w:r>
      <w:proofErr w:type="gramEnd"/>
      <w:r w:rsidRPr="0000418A">
        <w:rPr>
          <w:rFonts w:ascii="Garamond" w:hAnsi="Garamond"/>
          <w:lang w:val="en-AU"/>
        </w:rPr>
        <w:t xml:space="preserve"> 2018</w:t>
      </w:r>
      <w:proofErr w:type="gramStart"/>
      <w:r w:rsidRPr="0000418A">
        <w:rPr>
          <w:rFonts w:ascii="Garamond" w:hAnsi="Garamond"/>
          <w:lang w:val="en-AU"/>
        </w:rPr>
        <w:t>;13</w:t>
      </w:r>
      <w:proofErr w:type="gramEnd"/>
      <w:r w:rsidRPr="0000418A">
        <w:rPr>
          <w:rFonts w:ascii="Garamond" w:hAnsi="Garamond"/>
          <w:lang w:val="en-AU"/>
        </w:rPr>
        <w:t>(1):98.</w:t>
      </w:r>
    </w:p>
    <w:p w:rsidR="001D3352" w:rsidRDefault="001D3352" w:rsidP="0016673A">
      <w:pPr>
        <w:keepNext/>
        <w:keepLines/>
        <w:autoSpaceDE w:val="0"/>
        <w:autoSpaceDN w:val="0"/>
        <w:adjustRightInd w:val="0"/>
        <w:rPr>
          <w:rFonts w:ascii="Garamond" w:hAnsi="Garamond"/>
          <w:lang w:val="en-AU"/>
        </w:rPr>
      </w:pPr>
    </w:p>
    <w:p w:rsidR="00AF19B2" w:rsidRPr="00AF19B2" w:rsidRDefault="00AF19B2" w:rsidP="0016673A">
      <w:pPr>
        <w:keepNext/>
        <w:keepLines/>
        <w:autoSpaceDE w:val="0"/>
        <w:autoSpaceDN w:val="0"/>
        <w:adjustRightInd w:val="0"/>
        <w:rPr>
          <w:rFonts w:ascii="Garamond" w:hAnsi="Garamond"/>
          <w:i/>
          <w:lang w:val="en-AU"/>
        </w:rPr>
      </w:pPr>
      <w:r w:rsidRPr="00AF19B2">
        <w:rPr>
          <w:rFonts w:ascii="Garamond" w:hAnsi="Garamond"/>
          <w:i/>
          <w:lang w:val="en-AU"/>
        </w:rPr>
        <w:t>Patient and family engagement in incident investigations: exploring hospital manager and incident investigators' experiences and challenges</w:t>
      </w:r>
    </w:p>
    <w:p w:rsidR="00B238AE" w:rsidRDefault="00B238AE" w:rsidP="0016673A">
      <w:pPr>
        <w:keepNext/>
        <w:keepLines/>
        <w:autoSpaceDE w:val="0"/>
        <w:autoSpaceDN w:val="0"/>
        <w:adjustRightInd w:val="0"/>
        <w:rPr>
          <w:rFonts w:ascii="Garamond" w:hAnsi="Garamond"/>
          <w:lang w:val="en-AU"/>
        </w:rPr>
      </w:pPr>
      <w:r w:rsidRPr="00B238AE">
        <w:rPr>
          <w:rFonts w:ascii="Garamond" w:hAnsi="Garamond"/>
          <w:lang w:val="en-AU"/>
        </w:rPr>
        <w:t xml:space="preserve">Kok J, Leistikow I, </w:t>
      </w:r>
      <w:proofErr w:type="gramStart"/>
      <w:r w:rsidRPr="00B238AE">
        <w:rPr>
          <w:rFonts w:ascii="Garamond" w:hAnsi="Garamond"/>
          <w:lang w:val="en-AU"/>
        </w:rPr>
        <w:t>Bal</w:t>
      </w:r>
      <w:proofErr w:type="gramEnd"/>
      <w:r w:rsidRPr="00B238AE">
        <w:rPr>
          <w:rFonts w:ascii="Garamond" w:hAnsi="Garamond"/>
          <w:lang w:val="en-AU"/>
        </w:rPr>
        <w:t xml:space="preserve"> R</w:t>
      </w:r>
    </w:p>
    <w:p w:rsidR="00B238AE" w:rsidRDefault="00B238AE" w:rsidP="0016673A">
      <w:pPr>
        <w:keepNext/>
        <w:keepLines/>
        <w:autoSpaceDE w:val="0"/>
        <w:autoSpaceDN w:val="0"/>
        <w:adjustRightInd w:val="0"/>
        <w:rPr>
          <w:rFonts w:ascii="Garamond" w:hAnsi="Garamond"/>
          <w:lang w:val="en-AU"/>
        </w:rPr>
      </w:pPr>
      <w:proofErr w:type="gramStart"/>
      <w:r w:rsidRPr="00B238AE">
        <w:rPr>
          <w:rFonts w:ascii="Garamond" w:hAnsi="Garamond"/>
          <w:lang w:val="en-AU"/>
        </w:rPr>
        <w:t>Journal of Health Services Research &amp; Policy.</w:t>
      </w:r>
      <w:proofErr w:type="gramEnd"/>
      <w:r w:rsidRPr="00B238AE">
        <w:rPr>
          <w:rFonts w:ascii="Garamond" w:hAnsi="Garamond"/>
          <w:lang w:val="en-AU"/>
        </w:rPr>
        <w:t xml:space="preserve"> 2018</w:t>
      </w:r>
      <w:proofErr w:type="gramStart"/>
      <w:r w:rsidRPr="00B238AE">
        <w:rPr>
          <w:rFonts w:ascii="Garamond" w:hAnsi="Garamond"/>
          <w:lang w:val="en-AU"/>
        </w:rPr>
        <w:t>;23</w:t>
      </w:r>
      <w:proofErr w:type="gramEnd"/>
      <w:r w:rsidRPr="00B238AE">
        <w:rPr>
          <w:rFonts w:ascii="Garamond" w:hAnsi="Garamond"/>
          <w:lang w:val="en-AU"/>
        </w:rPr>
        <w:t>(4):252-61.</w:t>
      </w:r>
    </w:p>
    <w:p w:rsidR="00AF19B2" w:rsidRDefault="00AF19B2" w:rsidP="0016673A">
      <w:pPr>
        <w:keepNext/>
        <w:keepLines/>
        <w:autoSpaceDE w:val="0"/>
        <w:autoSpaceDN w:val="0"/>
        <w:adjustRightInd w:val="0"/>
        <w:rPr>
          <w:rFonts w:ascii="Garamond" w:hAnsi="Garamond"/>
          <w:lang w:val="en-AU"/>
        </w:rPr>
      </w:pPr>
    </w:p>
    <w:p w:rsidR="00AF19B2" w:rsidRPr="00AF19B2" w:rsidRDefault="00AF19B2" w:rsidP="0016673A">
      <w:pPr>
        <w:keepNext/>
        <w:keepLines/>
        <w:autoSpaceDE w:val="0"/>
        <w:autoSpaceDN w:val="0"/>
        <w:adjustRightInd w:val="0"/>
        <w:rPr>
          <w:rFonts w:ascii="Garamond" w:hAnsi="Garamond"/>
          <w:i/>
          <w:lang w:val="en-AU"/>
        </w:rPr>
      </w:pPr>
      <w:r w:rsidRPr="00AF19B2">
        <w:rPr>
          <w:rFonts w:ascii="Garamond" w:hAnsi="Garamond"/>
          <w:i/>
          <w:lang w:val="en-AU"/>
        </w:rPr>
        <w:t>Learning from patients' experiences related to diagnostic errors is essential for progress in patient safety</w:t>
      </w:r>
    </w:p>
    <w:p w:rsidR="00B238AE" w:rsidRDefault="00B238AE" w:rsidP="0016673A">
      <w:pPr>
        <w:keepNext/>
        <w:keepLines/>
        <w:autoSpaceDE w:val="0"/>
        <w:autoSpaceDN w:val="0"/>
        <w:adjustRightInd w:val="0"/>
        <w:rPr>
          <w:rFonts w:ascii="Garamond" w:hAnsi="Garamond"/>
          <w:lang w:val="en-AU"/>
        </w:rPr>
      </w:pPr>
      <w:r w:rsidRPr="00B238AE">
        <w:rPr>
          <w:rFonts w:ascii="Garamond" w:hAnsi="Garamond"/>
          <w:lang w:val="en-AU"/>
        </w:rPr>
        <w:t>Giardina TD, Haskell H, Menon S, Hallisy J, Southwick FS, Sarkar U, et al</w:t>
      </w:r>
    </w:p>
    <w:p w:rsidR="00AF19B2" w:rsidRPr="00E566B0" w:rsidRDefault="00B238AE" w:rsidP="0016673A">
      <w:pPr>
        <w:keepNext/>
        <w:keepLines/>
        <w:autoSpaceDE w:val="0"/>
        <w:autoSpaceDN w:val="0"/>
        <w:adjustRightInd w:val="0"/>
        <w:rPr>
          <w:rFonts w:ascii="Garamond" w:hAnsi="Garamond"/>
          <w:lang w:val="en-AU"/>
        </w:rPr>
      </w:pPr>
      <w:proofErr w:type="gramStart"/>
      <w:r w:rsidRPr="00B238AE">
        <w:rPr>
          <w:rFonts w:ascii="Garamond" w:hAnsi="Garamond"/>
          <w:lang w:val="en-AU"/>
        </w:rPr>
        <w:t>Health Affairs.</w:t>
      </w:r>
      <w:proofErr w:type="gramEnd"/>
      <w:r w:rsidRPr="00B238AE">
        <w:rPr>
          <w:rFonts w:ascii="Garamond" w:hAnsi="Garamond"/>
          <w:lang w:val="en-AU"/>
        </w:rPr>
        <w:t xml:space="preserve"> 2018</w:t>
      </w:r>
      <w:proofErr w:type="gramStart"/>
      <w:r w:rsidRPr="00B238AE">
        <w:rPr>
          <w:rFonts w:ascii="Garamond" w:hAnsi="Garamond"/>
          <w:lang w:val="en-AU"/>
        </w:rPr>
        <w:t>;37</w:t>
      </w:r>
      <w:proofErr w:type="gramEnd"/>
      <w:r w:rsidRPr="00B238AE">
        <w:rPr>
          <w:rFonts w:ascii="Garamond" w:hAnsi="Garamond"/>
          <w:lang w:val="en-AU"/>
        </w:rPr>
        <w:t>(11):1821-7.</w:t>
      </w:r>
    </w:p>
    <w:tbl>
      <w:tblPr>
        <w:tblStyle w:val="TableGrid"/>
        <w:tblW w:w="0" w:type="auto"/>
        <w:tblInd w:w="288" w:type="dxa"/>
        <w:tblLayout w:type="fixed"/>
        <w:tblLook w:val="01E0" w:firstRow="1" w:lastRow="1" w:firstColumn="1" w:lastColumn="1" w:noHBand="0" w:noVBand="0"/>
      </w:tblPr>
      <w:tblGrid>
        <w:gridCol w:w="1080"/>
        <w:gridCol w:w="8280"/>
      </w:tblGrid>
      <w:tr w:rsidR="0016673A"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AF19B2" w:rsidRPr="00AF19B2" w:rsidRDefault="0016673A" w:rsidP="00637408">
            <w:pPr>
              <w:rPr>
                <w:rStyle w:val="Hyperlink"/>
                <w:rFonts w:ascii="Garamond" w:hAnsi="Garamond"/>
                <w:color w:val="auto"/>
                <w:u w:val="none"/>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673A" w:rsidRDefault="00AF19B2" w:rsidP="001D3352">
            <w:pPr>
              <w:rPr>
                <w:rStyle w:val="Hyperlink"/>
                <w:rFonts w:ascii="Garamond" w:hAnsi="Garamond"/>
                <w:lang w:val="en-AU"/>
              </w:rPr>
            </w:pPr>
            <w:r w:rsidRPr="00AF19B2">
              <w:rPr>
                <w:rFonts w:ascii="Garamond" w:hAnsi="Garamond"/>
              </w:rPr>
              <w:t xml:space="preserve">Bombard et al </w:t>
            </w:r>
            <w:hyperlink r:id="rId25" w:history="1">
              <w:r w:rsidR="001D3352" w:rsidRPr="005342F5">
                <w:rPr>
                  <w:rStyle w:val="Hyperlink"/>
                  <w:rFonts w:ascii="Garamond" w:hAnsi="Garamond"/>
                  <w:lang w:val="en-AU"/>
                </w:rPr>
                <w:t>https://doi.org/10.1186/s13012-018-0784-z</w:t>
              </w:r>
            </w:hyperlink>
          </w:p>
          <w:p w:rsidR="00AF19B2" w:rsidRDefault="00AF19B2" w:rsidP="00AF19B2">
            <w:pPr>
              <w:keepNext/>
              <w:keepLines/>
              <w:autoSpaceDE w:val="0"/>
              <w:autoSpaceDN w:val="0"/>
              <w:adjustRightInd w:val="0"/>
              <w:rPr>
                <w:rFonts w:ascii="Garamond" w:hAnsi="Garamond"/>
                <w:lang w:val="en-AU"/>
              </w:rPr>
            </w:pPr>
            <w:r>
              <w:rPr>
                <w:rFonts w:ascii="Garamond" w:hAnsi="Garamond"/>
                <w:lang w:val="en-AU"/>
              </w:rPr>
              <w:t xml:space="preserve">Kok et al </w:t>
            </w:r>
            <w:hyperlink r:id="rId26" w:history="1">
              <w:r w:rsidRPr="00A43587">
                <w:rPr>
                  <w:rStyle w:val="Hyperlink"/>
                  <w:rFonts w:ascii="Garamond" w:hAnsi="Garamond"/>
                  <w:lang w:val="en-AU"/>
                </w:rPr>
                <w:t>http://doi.org/10.1177/1355819618788586</w:t>
              </w:r>
            </w:hyperlink>
          </w:p>
          <w:p w:rsidR="00AF19B2" w:rsidRPr="000170DA" w:rsidRDefault="00AF19B2" w:rsidP="00AF19B2">
            <w:pPr>
              <w:keepNext/>
              <w:keepLines/>
              <w:autoSpaceDE w:val="0"/>
              <w:autoSpaceDN w:val="0"/>
              <w:adjustRightInd w:val="0"/>
              <w:rPr>
                <w:rStyle w:val="Hyperlink"/>
                <w:rFonts w:ascii="Garamond" w:hAnsi="Garamond"/>
                <w:color w:val="auto"/>
                <w:u w:val="none"/>
                <w:lang w:val="en-AU"/>
              </w:rPr>
            </w:pPr>
            <w:r>
              <w:rPr>
                <w:rFonts w:ascii="Garamond" w:hAnsi="Garamond"/>
                <w:lang w:val="en-AU"/>
              </w:rPr>
              <w:t xml:space="preserve">Giardina et al </w:t>
            </w:r>
            <w:hyperlink r:id="rId27" w:history="1">
              <w:r w:rsidRPr="00A43587">
                <w:rPr>
                  <w:rStyle w:val="Hyperlink"/>
                  <w:rFonts w:ascii="Garamond" w:hAnsi="Garamond"/>
                  <w:lang w:val="en-AU"/>
                </w:rPr>
                <w:t>http://doi.org/10.1377/hlthaff.2018.0698</w:t>
              </w:r>
            </w:hyperlink>
          </w:p>
        </w:tc>
      </w:tr>
      <w:tr w:rsidR="0016673A"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16673A" w:rsidRPr="000170DA" w:rsidRDefault="0016673A"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673A" w:rsidRDefault="00AF19B2" w:rsidP="00637408">
            <w:pPr>
              <w:rPr>
                <w:rFonts w:ascii="Garamond" w:hAnsi="Garamond"/>
                <w:lang w:val="en-AU"/>
              </w:rPr>
            </w:pPr>
            <w:r>
              <w:rPr>
                <w:rFonts w:ascii="Garamond" w:hAnsi="Garamond"/>
                <w:lang w:val="en-AU"/>
              </w:rPr>
              <w:t>A number of items looking at the value and utility of the patient experience in informing safety and quality improvements We speak of a patient, consumer or person-centred approach to care. While that does involve ensuring that the patient is the focus of the care episode, it is actually more than that. It is also the inclusion of the patient in a series of partnerships.</w:t>
            </w:r>
          </w:p>
          <w:p w:rsidR="0000418A" w:rsidRDefault="00AF19B2" w:rsidP="0000418A">
            <w:pPr>
              <w:rPr>
                <w:rFonts w:ascii="Garamond" w:hAnsi="Garamond"/>
                <w:lang w:val="en-AU"/>
              </w:rPr>
            </w:pPr>
            <w:r>
              <w:rPr>
                <w:rFonts w:ascii="Garamond" w:hAnsi="Garamond"/>
                <w:lang w:val="en-AU"/>
              </w:rPr>
              <w:t>Bombard et al provide a systematic review on the issue of involving patients in the improvement of care.</w:t>
            </w:r>
            <w:r w:rsidR="0000418A">
              <w:rPr>
                <w:rFonts w:ascii="Garamond" w:hAnsi="Garamond"/>
                <w:lang w:val="en-AU"/>
              </w:rPr>
              <w:t xml:space="preserve"> The review focused on 48 studies that reported on the </w:t>
            </w:r>
            <w:r w:rsidR="0000418A" w:rsidRPr="0000418A">
              <w:rPr>
                <w:rFonts w:ascii="Garamond" w:hAnsi="Garamond"/>
                <w:lang w:val="en-AU"/>
              </w:rPr>
              <w:t>input of patients, family members, or caregivers on health care quality improvement initiatives</w:t>
            </w:r>
            <w:r w:rsidR="0000418A">
              <w:rPr>
                <w:rFonts w:ascii="Garamond" w:hAnsi="Garamond"/>
                <w:lang w:val="en-AU"/>
              </w:rPr>
              <w:t xml:space="preserve">. The authors sought </w:t>
            </w:r>
            <w:r w:rsidR="0000418A" w:rsidRPr="0000418A">
              <w:rPr>
                <w:rFonts w:ascii="Garamond" w:hAnsi="Garamond"/>
                <w:lang w:val="en-AU"/>
              </w:rPr>
              <w:t>to identify factors that facilitate successful engagement, patients' perceptions regarding their involvement, and patient engagement outcomes.</w:t>
            </w:r>
            <w:r w:rsidR="00F86BC3">
              <w:rPr>
                <w:rFonts w:ascii="Garamond" w:hAnsi="Garamond"/>
                <w:lang w:val="en-AU"/>
              </w:rPr>
              <w:t xml:space="preserve"> The simple answer is that yes, “</w:t>
            </w:r>
            <w:r w:rsidR="00F86BC3" w:rsidRPr="00F86BC3">
              <w:rPr>
                <w:rFonts w:ascii="Garamond" w:hAnsi="Garamond"/>
                <w:b/>
                <w:lang w:val="en-AU"/>
              </w:rPr>
              <w:t>Patient engagement can inform patient and provider education and policies</w:t>
            </w:r>
            <w:r w:rsidR="00F86BC3" w:rsidRPr="00F86BC3">
              <w:rPr>
                <w:rFonts w:ascii="Garamond" w:hAnsi="Garamond"/>
                <w:lang w:val="en-AU"/>
              </w:rPr>
              <w:t xml:space="preserve">, as well as </w:t>
            </w:r>
            <w:r w:rsidR="00F86BC3" w:rsidRPr="00F86BC3">
              <w:rPr>
                <w:rFonts w:ascii="Garamond" w:hAnsi="Garamond"/>
                <w:b/>
                <w:lang w:val="en-AU"/>
              </w:rPr>
              <w:t>enhance service delivery and governance</w:t>
            </w:r>
            <w:r w:rsidR="00F86BC3" w:rsidRPr="00F86BC3">
              <w:rPr>
                <w:rFonts w:ascii="Garamond" w:hAnsi="Garamond"/>
                <w:lang w:val="en-AU"/>
              </w:rPr>
              <w:t>.</w:t>
            </w:r>
            <w:r w:rsidR="00F86BC3">
              <w:rPr>
                <w:rFonts w:ascii="Garamond" w:hAnsi="Garamond"/>
                <w:lang w:val="en-AU"/>
              </w:rPr>
              <w:t>”</w:t>
            </w:r>
          </w:p>
          <w:p w:rsidR="004A3046" w:rsidRDefault="00AF19B2" w:rsidP="00637408">
            <w:pPr>
              <w:rPr>
                <w:rFonts w:ascii="Garamond" w:hAnsi="Garamond"/>
                <w:lang w:val="en-AU"/>
              </w:rPr>
            </w:pPr>
            <w:r>
              <w:rPr>
                <w:rFonts w:ascii="Garamond" w:hAnsi="Garamond"/>
                <w:lang w:val="en-AU"/>
              </w:rPr>
              <w:t>Kok et al focus on the how hospital managers and incident investigators have worked with patients and families in investigations</w:t>
            </w:r>
            <w:r w:rsidR="004A3046">
              <w:rPr>
                <w:rFonts w:ascii="Garamond" w:hAnsi="Garamond"/>
                <w:lang w:val="en-AU"/>
              </w:rPr>
              <w:t>. This qualitative study from the Netherlands used interviews in 13 hospitals to examine</w:t>
            </w:r>
            <w:r w:rsidR="004A3046">
              <w:t xml:space="preserve"> </w:t>
            </w:r>
            <w:r w:rsidR="004A3046" w:rsidRPr="004A3046">
              <w:rPr>
                <w:rFonts w:ascii="Garamond" w:hAnsi="Garamond"/>
                <w:lang w:val="en-AU"/>
              </w:rPr>
              <w:t>incident investigation routines and their experiences of involving affected patients or family members</w:t>
            </w:r>
            <w:r w:rsidR="004A3046">
              <w:rPr>
                <w:rFonts w:ascii="Garamond" w:hAnsi="Garamond"/>
                <w:lang w:val="en-AU"/>
              </w:rPr>
              <w:t>. While seen as important and providing useful information, the authors suggest that the existing approach is not deriving the full benefit</w:t>
            </w:r>
            <w:r w:rsidR="00B238AE">
              <w:rPr>
                <w:rFonts w:ascii="Garamond" w:hAnsi="Garamond"/>
                <w:lang w:val="en-AU"/>
              </w:rPr>
              <w:t xml:space="preserve"> and that “</w:t>
            </w:r>
            <w:r w:rsidR="00B238AE" w:rsidRPr="00B238AE">
              <w:rPr>
                <w:rFonts w:ascii="Garamond" w:hAnsi="Garamond"/>
                <w:lang w:val="en-AU"/>
              </w:rPr>
              <w:t xml:space="preserve">by placing </w:t>
            </w:r>
            <w:r w:rsidR="00B238AE" w:rsidRPr="00B238AE">
              <w:rPr>
                <w:rFonts w:ascii="Garamond" w:hAnsi="Garamond"/>
                <w:b/>
                <w:lang w:val="en-AU"/>
              </w:rPr>
              <w:t>patient and family criteria of significance at the centre of incident investigations</w:t>
            </w:r>
            <w:r w:rsidR="00B238AE" w:rsidRPr="00B238AE">
              <w:rPr>
                <w:rFonts w:ascii="Garamond" w:hAnsi="Garamond"/>
                <w:lang w:val="en-AU"/>
              </w:rPr>
              <w:t xml:space="preserve"> </w:t>
            </w:r>
            <w:r w:rsidR="00B238AE">
              <w:rPr>
                <w:rFonts w:ascii="Garamond" w:hAnsi="Garamond"/>
                <w:lang w:val="en-AU"/>
              </w:rPr>
              <w:t>…</w:t>
            </w:r>
            <w:r w:rsidR="00B238AE" w:rsidRPr="00B238AE">
              <w:rPr>
                <w:rFonts w:ascii="Garamond" w:hAnsi="Garamond"/>
                <w:lang w:val="en-AU"/>
              </w:rPr>
              <w:t xml:space="preserve">, hospitals may be able to expand their </w:t>
            </w:r>
            <w:r w:rsidR="00B238AE" w:rsidRPr="00B238AE">
              <w:rPr>
                <w:rFonts w:ascii="Garamond" w:hAnsi="Garamond"/>
                <w:b/>
                <w:lang w:val="en-AU"/>
              </w:rPr>
              <w:t>learning potential and improve patient-centeredness</w:t>
            </w:r>
            <w:r w:rsidR="00B238AE" w:rsidRPr="00B238AE">
              <w:rPr>
                <w:rFonts w:ascii="Garamond" w:hAnsi="Garamond"/>
                <w:lang w:val="en-AU"/>
              </w:rPr>
              <w:t xml:space="preserve"> following an incident.</w:t>
            </w:r>
            <w:r w:rsidR="00B238AE">
              <w:rPr>
                <w:rFonts w:ascii="Garamond" w:hAnsi="Garamond"/>
                <w:lang w:val="en-AU"/>
              </w:rPr>
              <w:t>”</w:t>
            </w:r>
          </w:p>
          <w:p w:rsidR="00B238AE" w:rsidRPr="000365E9" w:rsidRDefault="00AF19B2" w:rsidP="0000418A">
            <w:pPr>
              <w:rPr>
                <w:rFonts w:ascii="Garamond" w:hAnsi="Garamond"/>
                <w:lang w:val="en-AU"/>
              </w:rPr>
            </w:pPr>
            <w:r>
              <w:rPr>
                <w:rFonts w:ascii="Garamond" w:hAnsi="Garamond"/>
                <w:lang w:val="en-AU"/>
              </w:rPr>
              <w:t xml:space="preserve">Giardina et al discuss how the patient perspective in diagnostic errors can contribute to improving the safety aspects of diagnosis. </w:t>
            </w:r>
            <w:r w:rsidR="00B238AE">
              <w:rPr>
                <w:rFonts w:ascii="Garamond" w:hAnsi="Garamond"/>
                <w:lang w:val="en-AU"/>
              </w:rPr>
              <w:t>They argue that to date the research into diagnostic error has “</w:t>
            </w:r>
            <w:r w:rsidR="00B238AE" w:rsidRPr="00B238AE">
              <w:rPr>
                <w:rFonts w:ascii="Garamond" w:hAnsi="Garamond"/>
                <w:lang w:val="en-AU"/>
              </w:rPr>
              <w:t>largely focused on individual clinicians’ decision making and system design, while overlooking information from patients</w:t>
            </w:r>
            <w:r w:rsidR="00B238AE">
              <w:rPr>
                <w:rFonts w:ascii="Garamond" w:hAnsi="Garamond"/>
                <w:lang w:val="en-AU"/>
              </w:rPr>
              <w:t xml:space="preserve">”. They describe their analysis of adverse event reports that revealed many </w:t>
            </w:r>
            <w:r w:rsidR="00B238AE" w:rsidRPr="0000418A">
              <w:rPr>
                <w:rFonts w:ascii="Garamond" w:hAnsi="Garamond"/>
                <w:b/>
                <w:lang w:val="en-AU"/>
              </w:rPr>
              <w:t>patient narratives of diagnostic error</w:t>
            </w:r>
            <w:r w:rsidR="00B238AE" w:rsidRPr="00B238AE">
              <w:rPr>
                <w:rFonts w:ascii="Garamond" w:hAnsi="Garamond"/>
                <w:lang w:val="en-AU"/>
              </w:rPr>
              <w:t>.</w:t>
            </w:r>
            <w:r w:rsidR="0000418A">
              <w:rPr>
                <w:rFonts w:ascii="Garamond" w:hAnsi="Garamond"/>
                <w:lang w:val="en-AU"/>
              </w:rPr>
              <w:t xml:space="preserve"> These narratives had p</w:t>
            </w:r>
            <w:r w:rsidR="00B238AE" w:rsidRPr="00B238AE">
              <w:rPr>
                <w:rFonts w:ascii="Garamond" w:hAnsi="Garamond"/>
                <w:lang w:val="en-AU"/>
              </w:rPr>
              <w:t xml:space="preserve">roblems related to </w:t>
            </w:r>
            <w:r w:rsidR="00B238AE" w:rsidRPr="0000418A">
              <w:rPr>
                <w:rFonts w:ascii="Garamond" w:hAnsi="Garamond"/>
                <w:b/>
                <w:lang w:val="en-AU"/>
              </w:rPr>
              <w:t>patient-physician interactions</w:t>
            </w:r>
            <w:r w:rsidR="0000418A">
              <w:rPr>
                <w:rFonts w:ascii="Garamond" w:hAnsi="Garamond"/>
                <w:lang w:val="en-AU"/>
              </w:rPr>
              <w:t>, including “</w:t>
            </w:r>
            <w:r w:rsidR="00B238AE" w:rsidRPr="00B238AE">
              <w:rPr>
                <w:rFonts w:ascii="Garamond" w:hAnsi="Garamond"/>
                <w:lang w:val="en-AU"/>
              </w:rPr>
              <w:t>behavioral and interpersonal factors that reflected unprofessional clinician behavior, including ignoring patients’ knowledge, disrespecting patients, failing to communicate, and manipulation or deception</w:t>
            </w:r>
            <w:r w:rsidR="0000418A">
              <w:rPr>
                <w:rFonts w:ascii="Garamond" w:hAnsi="Garamond"/>
                <w:lang w:val="en-AU"/>
              </w:rPr>
              <w:t>”</w:t>
            </w:r>
            <w:r w:rsidR="00B238AE" w:rsidRPr="00B238AE">
              <w:rPr>
                <w:rFonts w:ascii="Garamond" w:hAnsi="Garamond"/>
                <w:lang w:val="en-AU"/>
              </w:rPr>
              <w:t xml:space="preserve">. </w:t>
            </w:r>
            <w:r w:rsidR="0000418A">
              <w:rPr>
                <w:rFonts w:ascii="Garamond" w:hAnsi="Garamond"/>
                <w:lang w:val="en-AU"/>
              </w:rPr>
              <w:t>The authors asset that understating “</w:t>
            </w:r>
            <w:r w:rsidR="00B238AE" w:rsidRPr="0000418A">
              <w:rPr>
                <w:rFonts w:ascii="Garamond" w:hAnsi="Garamond"/>
                <w:b/>
                <w:lang w:val="en-AU"/>
              </w:rPr>
              <w:t>Patients’ perspectives</w:t>
            </w:r>
            <w:r w:rsidR="00B238AE" w:rsidRPr="00B238AE">
              <w:rPr>
                <w:rFonts w:ascii="Garamond" w:hAnsi="Garamond"/>
                <w:lang w:val="en-AU"/>
              </w:rPr>
              <w:t xml:space="preserve"> can lead to a </w:t>
            </w:r>
            <w:r w:rsidR="00B238AE" w:rsidRPr="0000418A">
              <w:rPr>
                <w:rFonts w:ascii="Garamond" w:hAnsi="Garamond"/>
                <w:b/>
                <w:lang w:val="en-AU"/>
              </w:rPr>
              <w:t>more comprehensive understanding of why diagnostic errors occur</w:t>
            </w:r>
            <w:r w:rsidR="00B238AE" w:rsidRPr="00B238AE">
              <w:rPr>
                <w:rFonts w:ascii="Garamond" w:hAnsi="Garamond"/>
                <w:lang w:val="en-AU"/>
              </w:rPr>
              <w:t xml:space="preserve"> and help develop strategies for mitigation. Health systems should develop and implement formal programs to collect patients’ experiences with the diagnostic process and use these data to promote an organizational culture that strives to reduce harm from diagnostic error.</w:t>
            </w:r>
            <w:r w:rsidR="0000418A">
              <w:rPr>
                <w:rFonts w:ascii="Garamond" w:hAnsi="Garamond"/>
                <w:lang w:val="en-AU"/>
              </w:rPr>
              <w:t>”</w:t>
            </w:r>
          </w:p>
        </w:tc>
      </w:tr>
    </w:tbl>
    <w:p w:rsidR="00AF19B2" w:rsidRPr="00AF19B2" w:rsidRDefault="00AF19B2" w:rsidP="008B2926">
      <w:pPr>
        <w:keepNext/>
        <w:keepLines/>
        <w:autoSpaceDE w:val="0"/>
        <w:autoSpaceDN w:val="0"/>
        <w:adjustRightInd w:val="0"/>
        <w:rPr>
          <w:rFonts w:ascii="Garamond" w:hAnsi="Garamond"/>
          <w:lang w:val="en-AU"/>
        </w:rPr>
      </w:pPr>
      <w:r w:rsidRPr="00AF19B2">
        <w:rPr>
          <w:rFonts w:ascii="Garamond" w:hAnsi="Garamond"/>
          <w:lang w:val="en-AU"/>
        </w:rPr>
        <w:lastRenderedPageBreak/>
        <w:t xml:space="preserve">For information about the Commission’s work on </w:t>
      </w:r>
      <w:r>
        <w:rPr>
          <w:rFonts w:ascii="Garamond" w:hAnsi="Garamond"/>
          <w:lang w:val="en-AU"/>
        </w:rPr>
        <w:t>patient and consumer centred care</w:t>
      </w:r>
      <w:r w:rsidRPr="00AF19B2">
        <w:rPr>
          <w:rFonts w:ascii="Garamond" w:hAnsi="Garamond"/>
          <w:lang w:val="en-AU"/>
        </w:rPr>
        <w:t>, see</w:t>
      </w:r>
      <w:r>
        <w:rPr>
          <w:rFonts w:ascii="Garamond" w:hAnsi="Garamond"/>
          <w:lang w:val="en-AU"/>
        </w:rPr>
        <w:t xml:space="preserve"> </w:t>
      </w:r>
      <w:hyperlink r:id="rId28" w:history="1">
        <w:r w:rsidRPr="00A43587">
          <w:rPr>
            <w:rStyle w:val="Hyperlink"/>
            <w:rFonts w:ascii="Garamond" w:hAnsi="Garamond"/>
            <w:lang w:val="en-AU"/>
          </w:rPr>
          <w:t>https://www.safetyandquality.gov.au/our-work/patient-and-consumer-centred-care/</w:t>
        </w:r>
      </w:hyperlink>
    </w:p>
    <w:p w:rsidR="00AF19B2" w:rsidRDefault="00AF19B2" w:rsidP="008B2926">
      <w:pPr>
        <w:keepNext/>
        <w:keepLines/>
        <w:autoSpaceDE w:val="0"/>
        <w:autoSpaceDN w:val="0"/>
        <w:adjustRightInd w:val="0"/>
        <w:rPr>
          <w:rFonts w:ascii="Garamond" w:hAnsi="Garamond"/>
          <w:i/>
          <w:lang w:val="en-AU"/>
        </w:rPr>
      </w:pPr>
    </w:p>
    <w:p w:rsidR="00AF19B2" w:rsidRDefault="00AF19B2" w:rsidP="008B2926">
      <w:pPr>
        <w:keepNext/>
        <w:keepLines/>
        <w:autoSpaceDE w:val="0"/>
        <w:autoSpaceDN w:val="0"/>
        <w:adjustRightInd w:val="0"/>
        <w:rPr>
          <w:rFonts w:ascii="Garamond" w:hAnsi="Garamond"/>
          <w:i/>
          <w:lang w:val="en-AU"/>
        </w:rPr>
      </w:pPr>
      <w:r w:rsidRPr="00AF19B2">
        <w:rPr>
          <w:rFonts w:ascii="Garamond" w:hAnsi="Garamond"/>
          <w:i/>
          <w:lang w:val="en-AU"/>
        </w:rPr>
        <w:t>Developing and evaluating clinical leadership interventions for frontline healthcare providers: a review of the literature</w:t>
      </w:r>
    </w:p>
    <w:p w:rsidR="004A3046" w:rsidRDefault="004A3046" w:rsidP="008B2926">
      <w:pPr>
        <w:keepNext/>
        <w:keepLines/>
        <w:autoSpaceDE w:val="0"/>
        <w:autoSpaceDN w:val="0"/>
        <w:adjustRightInd w:val="0"/>
        <w:rPr>
          <w:rFonts w:ascii="Garamond" w:hAnsi="Garamond"/>
          <w:lang w:val="en-AU"/>
        </w:rPr>
      </w:pPr>
      <w:r w:rsidRPr="004A3046">
        <w:rPr>
          <w:rFonts w:ascii="Garamond" w:hAnsi="Garamond"/>
          <w:lang w:val="en-AU"/>
        </w:rPr>
        <w:t>Mianda S, Voce A</w:t>
      </w:r>
    </w:p>
    <w:p w:rsidR="00AF19B2" w:rsidRPr="004A3046" w:rsidRDefault="004A3046" w:rsidP="008B2926">
      <w:pPr>
        <w:keepNext/>
        <w:keepLines/>
        <w:autoSpaceDE w:val="0"/>
        <w:autoSpaceDN w:val="0"/>
        <w:adjustRightInd w:val="0"/>
        <w:rPr>
          <w:rFonts w:ascii="Garamond" w:hAnsi="Garamond"/>
          <w:lang w:val="en-AU"/>
        </w:rPr>
      </w:pPr>
      <w:proofErr w:type="gramStart"/>
      <w:r w:rsidRPr="004A3046">
        <w:rPr>
          <w:rFonts w:ascii="Garamond" w:hAnsi="Garamond"/>
          <w:lang w:val="en-AU"/>
        </w:rPr>
        <w:t>BMC Health Services Research.</w:t>
      </w:r>
      <w:proofErr w:type="gramEnd"/>
      <w:r w:rsidRPr="004A3046">
        <w:rPr>
          <w:rFonts w:ascii="Garamond" w:hAnsi="Garamond"/>
          <w:lang w:val="en-AU"/>
        </w:rPr>
        <w:t xml:space="preserve"> 2018</w:t>
      </w:r>
      <w:proofErr w:type="gramStart"/>
      <w:r w:rsidRPr="004A3046">
        <w:rPr>
          <w:rFonts w:ascii="Garamond" w:hAnsi="Garamond"/>
          <w:lang w:val="en-AU"/>
        </w:rPr>
        <w:t>;18</w:t>
      </w:r>
      <w:proofErr w:type="gramEnd"/>
      <w:r w:rsidRPr="004A3046">
        <w:rPr>
          <w:rFonts w:ascii="Garamond" w:hAnsi="Garamond"/>
          <w:lang w:val="en-AU"/>
        </w:rPr>
        <w:t>(1):747.</w:t>
      </w:r>
    </w:p>
    <w:tbl>
      <w:tblPr>
        <w:tblStyle w:val="TableGrid"/>
        <w:tblW w:w="0" w:type="auto"/>
        <w:tblInd w:w="288" w:type="dxa"/>
        <w:tblLayout w:type="fixed"/>
        <w:tblLook w:val="01E0" w:firstRow="1" w:lastRow="1" w:firstColumn="1" w:lastColumn="1" w:noHBand="0" w:noVBand="0"/>
      </w:tblPr>
      <w:tblGrid>
        <w:gridCol w:w="1080"/>
        <w:gridCol w:w="8280"/>
      </w:tblGrid>
      <w:tr w:rsidR="008B2926"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8B2926" w:rsidRPr="000170DA" w:rsidRDefault="008B2926" w:rsidP="0063740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2926" w:rsidRPr="000170DA" w:rsidRDefault="003535D0" w:rsidP="00637408">
            <w:pPr>
              <w:rPr>
                <w:rStyle w:val="Hyperlink"/>
                <w:rFonts w:ascii="Garamond" w:hAnsi="Garamond"/>
                <w:color w:val="auto"/>
                <w:u w:val="none"/>
                <w:lang w:val="en-AU"/>
              </w:rPr>
            </w:pPr>
            <w:hyperlink r:id="rId29" w:history="1">
              <w:r w:rsidR="00AF19B2" w:rsidRPr="00A43587">
                <w:rPr>
                  <w:rStyle w:val="Hyperlink"/>
                  <w:rFonts w:ascii="Garamond" w:hAnsi="Garamond"/>
                  <w:lang w:val="en-AU"/>
                </w:rPr>
                <w:t>http://doi.org/10.1186/s12913-018-3561-4</w:t>
              </w:r>
            </w:hyperlink>
          </w:p>
        </w:tc>
      </w:tr>
      <w:tr w:rsidR="008B2926"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8B2926" w:rsidRPr="000170DA" w:rsidRDefault="008B2926"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19B2" w:rsidRPr="000365E9" w:rsidRDefault="00AF19B2" w:rsidP="004A3046">
            <w:pPr>
              <w:rPr>
                <w:rFonts w:ascii="Garamond" w:hAnsi="Garamond"/>
                <w:lang w:val="en-AU"/>
              </w:rPr>
            </w:pPr>
            <w:r>
              <w:rPr>
                <w:rFonts w:ascii="Garamond" w:hAnsi="Garamond"/>
                <w:lang w:val="en-AU"/>
              </w:rPr>
              <w:t xml:space="preserve">This piece reports on a systematic review examining clinical leadership </w:t>
            </w:r>
            <w:r w:rsidR="00E9603F">
              <w:rPr>
                <w:rFonts w:ascii="Garamond" w:hAnsi="Garamond"/>
                <w:lang w:val="en-AU"/>
              </w:rPr>
              <w:t xml:space="preserve">training </w:t>
            </w:r>
            <w:r w:rsidR="004A3046">
              <w:rPr>
                <w:rFonts w:ascii="Garamond" w:hAnsi="Garamond"/>
                <w:lang w:val="en-AU"/>
              </w:rPr>
              <w:t xml:space="preserve">with a focus on </w:t>
            </w:r>
            <w:r w:rsidR="004A3046" w:rsidRPr="004A3046">
              <w:rPr>
                <w:rFonts w:ascii="Garamond" w:hAnsi="Garamond"/>
                <w:lang w:val="en-AU"/>
              </w:rPr>
              <w:t>clinical leadership development interventions among frontline healthcare providers, particularly for improved maternal and newborn care.</w:t>
            </w:r>
            <w:r w:rsidR="004A3046">
              <w:rPr>
                <w:rFonts w:ascii="Garamond" w:hAnsi="Garamond"/>
                <w:lang w:val="en-AU"/>
              </w:rPr>
              <w:t xml:space="preserve"> Eventually, 24 papers were identified and included in the review. The reported interventions</w:t>
            </w:r>
            <w:r w:rsidR="004A3046" w:rsidRPr="004A3046">
              <w:rPr>
                <w:rFonts w:ascii="Garamond" w:hAnsi="Garamond"/>
                <w:lang w:val="en-AU"/>
              </w:rPr>
              <w:t xml:space="preserve"> for clinical leadership development involved the development of clinical skills, leadership competencies, teamwork, the environment of care and patient care. Work-based learning with experiential teaching techniques </w:t>
            </w:r>
            <w:r w:rsidR="004A3046">
              <w:rPr>
                <w:rFonts w:ascii="Garamond" w:hAnsi="Garamond"/>
                <w:lang w:val="en-AU"/>
              </w:rPr>
              <w:t>was</w:t>
            </w:r>
            <w:r w:rsidR="004A3046" w:rsidRPr="004A3046">
              <w:rPr>
                <w:rFonts w:ascii="Garamond" w:hAnsi="Garamond"/>
                <w:lang w:val="en-AU"/>
              </w:rPr>
              <w:t xml:space="preserve"> reported as the most effective, to ensure the clinical leadership development of frontline healthcare providers.</w:t>
            </w:r>
            <w:r w:rsidR="004A3046">
              <w:rPr>
                <w:rFonts w:ascii="Garamond" w:hAnsi="Garamond"/>
                <w:lang w:val="en-AU"/>
              </w:rPr>
              <w:t xml:space="preserve"> The authors suggest that “</w:t>
            </w:r>
            <w:r w:rsidR="004A3046" w:rsidRPr="004A3046">
              <w:rPr>
                <w:rFonts w:ascii="Garamond" w:hAnsi="Garamond"/>
                <w:b/>
                <w:lang w:val="en-AU"/>
              </w:rPr>
              <w:t>Clinical leadership development</w:t>
            </w:r>
            <w:r w:rsidR="004A3046" w:rsidRPr="004A3046">
              <w:rPr>
                <w:rFonts w:ascii="Garamond" w:hAnsi="Garamond"/>
                <w:lang w:val="en-AU"/>
              </w:rPr>
              <w:t xml:space="preserve"> is an </w:t>
            </w:r>
            <w:r w:rsidR="004A3046" w:rsidRPr="004A3046">
              <w:rPr>
                <w:rFonts w:ascii="Garamond" w:hAnsi="Garamond"/>
                <w:b/>
                <w:lang w:val="en-AU"/>
              </w:rPr>
              <w:t>on-going process</w:t>
            </w:r>
            <w:r w:rsidR="004A3046" w:rsidRPr="004A3046">
              <w:rPr>
                <w:rFonts w:ascii="Garamond" w:hAnsi="Garamond"/>
                <w:lang w:val="en-AU"/>
              </w:rPr>
              <w:t xml:space="preserve"> and must target both novice and veteran frontline health care providers. The content of clinical leadership development interventions must encompass a </w:t>
            </w:r>
            <w:r w:rsidR="004A3046" w:rsidRPr="004A3046">
              <w:rPr>
                <w:rFonts w:ascii="Garamond" w:hAnsi="Garamond"/>
                <w:b/>
                <w:lang w:val="en-AU"/>
              </w:rPr>
              <w:t>holistic conceptualization of clinical leadership</w:t>
            </w:r>
            <w:r w:rsidR="004A3046" w:rsidRPr="004A3046">
              <w:rPr>
                <w:rFonts w:ascii="Garamond" w:hAnsi="Garamond"/>
                <w:lang w:val="en-AU"/>
              </w:rPr>
              <w:t xml:space="preserve">, and should use </w:t>
            </w:r>
            <w:r w:rsidR="004A3046" w:rsidRPr="004A3046">
              <w:rPr>
                <w:rFonts w:ascii="Garamond" w:hAnsi="Garamond"/>
                <w:b/>
                <w:lang w:val="en-AU"/>
              </w:rPr>
              <w:t>work-based learning</w:t>
            </w:r>
            <w:r w:rsidR="004A3046" w:rsidRPr="004A3046">
              <w:rPr>
                <w:rFonts w:ascii="Garamond" w:hAnsi="Garamond"/>
                <w:lang w:val="en-AU"/>
              </w:rPr>
              <w:t xml:space="preserve">, and </w:t>
            </w:r>
            <w:r w:rsidR="004A3046" w:rsidRPr="004A3046">
              <w:rPr>
                <w:rFonts w:ascii="Garamond" w:hAnsi="Garamond"/>
                <w:b/>
                <w:lang w:val="en-AU"/>
              </w:rPr>
              <w:t>team-based approaches</w:t>
            </w:r>
            <w:r w:rsidR="004A3046" w:rsidRPr="004A3046">
              <w:rPr>
                <w:rFonts w:ascii="Garamond" w:hAnsi="Garamond"/>
                <w:lang w:val="en-AU"/>
              </w:rPr>
              <w:t>, to improve clinical leadership competencies of frontline healthcare providers, and overall service delivery.</w:t>
            </w:r>
            <w:r w:rsidR="004A3046">
              <w:rPr>
                <w:rFonts w:ascii="Garamond" w:hAnsi="Garamond"/>
                <w:lang w:val="en-AU"/>
              </w:rPr>
              <w:t>”</w:t>
            </w:r>
          </w:p>
        </w:tc>
      </w:tr>
    </w:tbl>
    <w:p w:rsidR="008B2926" w:rsidRDefault="008B2926" w:rsidP="008B2926">
      <w:pPr>
        <w:keepNext/>
        <w:keepLines/>
        <w:autoSpaceDE w:val="0"/>
        <w:autoSpaceDN w:val="0"/>
        <w:adjustRightInd w:val="0"/>
        <w:rPr>
          <w:rFonts w:ascii="Garamond" w:hAnsi="Garamond"/>
          <w:i/>
          <w:lang w:val="en-AU"/>
        </w:rPr>
      </w:pPr>
    </w:p>
    <w:p w:rsidR="008B2926" w:rsidRPr="00AF19B2" w:rsidRDefault="00AF19B2" w:rsidP="008B2926">
      <w:pPr>
        <w:keepNext/>
        <w:keepLines/>
        <w:autoSpaceDE w:val="0"/>
        <w:autoSpaceDN w:val="0"/>
        <w:adjustRightInd w:val="0"/>
        <w:rPr>
          <w:rFonts w:ascii="Garamond" w:hAnsi="Garamond"/>
          <w:i/>
          <w:lang w:val="en-AU"/>
        </w:rPr>
      </w:pPr>
      <w:r w:rsidRPr="00AF19B2">
        <w:rPr>
          <w:rFonts w:ascii="Garamond" w:hAnsi="Garamond"/>
          <w:i/>
          <w:lang w:val="en-AU"/>
        </w:rPr>
        <w:t>The influence of stress responses on surgical performance and outcomes: literature review and the development of the surgical stress effects (SSE) framework</w:t>
      </w:r>
    </w:p>
    <w:p w:rsidR="00B238AE" w:rsidRDefault="00B238AE" w:rsidP="008B2926">
      <w:pPr>
        <w:keepNext/>
        <w:keepLines/>
        <w:autoSpaceDE w:val="0"/>
        <w:autoSpaceDN w:val="0"/>
        <w:adjustRightInd w:val="0"/>
        <w:rPr>
          <w:rFonts w:ascii="Garamond" w:hAnsi="Garamond"/>
          <w:lang w:val="en-AU"/>
        </w:rPr>
      </w:pPr>
      <w:r w:rsidRPr="00B238AE">
        <w:rPr>
          <w:rFonts w:ascii="Garamond" w:hAnsi="Garamond"/>
          <w:lang w:val="en-AU"/>
        </w:rPr>
        <w:t>Chrouser KL, Xu J, Hallbeck S, Weinger MB, Partin MR</w:t>
      </w:r>
    </w:p>
    <w:p w:rsidR="00AF19B2" w:rsidRPr="00E566B0" w:rsidRDefault="00B238AE" w:rsidP="008B2926">
      <w:pPr>
        <w:keepNext/>
        <w:keepLines/>
        <w:autoSpaceDE w:val="0"/>
        <w:autoSpaceDN w:val="0"/>
        <w:adjustRightInd w:val="0"/>
        <w:rPr>
          <w:rFonts w:ascii="Garamond" w:hAnsi="Garamond"/>
          <w:lang w:val="en-AU"/>
        </w:rPr>
      </w:pPr>
      <w:proofErr w:type="gramStart"/>
      <w:r w:rsidRPr="00B238AE">
        <w:rPr>
          <w:rFonts w:ascii="Garamond" w:hAnsi="Garamond"/>
          <w:lang w:val="en-AU"/>
        </w:rPr>
        <w:t>The American Journal of Surgery.</w:t>
      </w:r>
      <w:proofErr w:type="gramEnd"/>
      <w:r w:rsidRPr="00B238AE">
        <w:rPr>
          <w:rFonts w:ascii="Garamond" w:hAnsi="Garamond"/>
          <w:lang w:val="en-AU"/>
        </w:rPr>
        <w:t xml:space="preserve"> 2018</w:t>
      </w:r>
      <w:proofErr w:type="gramStart"/>
      <w:r w:rsidRPr="00B238AE">
        <w:rPr>
          <w:rFonts w:ascii="Garamond" w:hAnsi="Garamond"/>
          <w:lang w:val="en-AU"/>
        </w:rPr>
        <w:t>;216</w:t>
      </w:r>
      <w:proofErr w:type="gramEnd"/>
      <w:r w:rsidRPr="00B238AE">
        <w:rPr>
          <w:rFonts w:ascii="Garamond" w:hAnsi="Garamond"/>
          <w:lang w:val="en-AU"/>
        </w:rPr>
        <w:t>(3):573-84.</w:t>
      </w:r>
    </w:p>
    <w:tbl>
      <w:tblPr>
        <w:tblStyle w:val="TableGrid"/>
        <w:tblW w:w="0" w:type="auto"/>
        <w:tblInd w:w="288" w:type="dxa"/>
        <w:tblLayout w:type="fixed"/>
        <w:tblLook w:val="01E0" w:firstRow="1" w:lastRow="1" w:firstColumn="1" w:lastColumn="1" w:noHBand="0" w:noVBand="0"/>
      </w:tblPr>
      <w:tblGrid>
        <w:gridCol w:w="1080"/>
        <w:gridCol w:w="8280"/>
      </w:tblGrid>
      <w:tr w:rsidR="008B2926"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8B2926" w:rsidRPr="000170DA" w:rsidRDefault="008B2926" w:rsidP="0063740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B2926" w:rsidRPr="000170DA" w:rsidRDefault="003535D0" w:rsidP="00637408">
            <w:pPr>
              <w:rPr>
                <w:rStyle w:val="Hyperlink"/>
                <w:rFonts w:ascii="Garamond" w:hAnsi="Garamond"/>
                <w:color w:val="auto"/>
                <w:u w:val="none"/>
                <w:lang w:val="en-AU"/>
              </w:rPr>
            </w:pPr>
            <w:hyperlink r:id="rId30" w:history="1">
              <w:r w:rsidR="00AF19B2" w:rsidRPr="00A43587">
                <w:rPr>
                  <w:rStyle w:val="Hyperlink"/>
                  <w:rFonts w:ascii="Garamond" w:hAnsi="Garamond"/>
                  <w:lang w:val="en-AU"/>
                </w:rPr>
                <w:t>http://doi.org/10.1016/j.amjsurg.2018.02.017</w:t>
              </w:r>
            </w:hyperlink>
          </w:p>
        </w:tc>
      </w:tr>
      <w:tr w:rsidR="008B2926"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8B2926" w:rsidRPr="000170DA" w:rsidRDefault="008B2926"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9603F" w:rsidRPr="000365E9" w:rsidRDefault="00E9603F" w:rsidP="00B238AE">
            <w:pPr>
              <w:rPr>
                <w:rFonts w:ascii="Garamond" w:hAnsi="Garamond"/>
                <w:lang w:val="en-AU"/>
              </w:rPr>
            </w:pPr>
            <w:r>
              <w:rPr>
                <w:rFonts w:ascii="Garamond" w:hAnsi="Garamond"/>
                <w:lang w:val="en-AU"/>
              </w:rPr>
              <w:t>Following on the teamwork issues that were included in some of the previous items, this piece looks at how stress in the surgical team and individuals can affect the team, including behaviours, performance and outcomes.</w:t>
            </w:r>
            <w:r w:rsidR="00B238AE">
              <w:rPr>
                <w:rFonts w:ascii="Garamond" w:hAnsi="Garamond"/>
                <w:lang w:val="en-AU"/>
              </w:rPr>
              <w:t xml:space="preserve"> Following a literature search looking at </w:t>
            </w:r>
            <w:r w:rsidR="00B238AE" w:rsidRPr="00B238AE">
              <w:rPr>
                <w:rFonts w:ascii="Garamond" w:hAnsi="Garamond"/>
                <w:lang w:val="en-AU"/>
              </w:rPr>
              <w:t>the relationship between negative (emotional and behavio</w:t>
            </w:r>
            <w:r w:rsidR="00B238AE">
              <w:rPr>
                <w:rFonts w:ascii="Garamond" w:hAnsi="Garamond"/>
                <w:lang w:val="en-AU"/>
              </w:rPr>
              <w:t>u</w:t>
            </w:r>
            <w:r w:rsidR="00B238AE" w:rsidRPr="00B238AE">
              <w:rPr>
                <w:rFonts w:ascii="Garamond" w:hAnsi="Garamond"/>
                <w:lang w:val="en-AU"/>
              </w:rPr>
              <w:t>ral) responses to acute intraoperative stressors and provider performance or patient surgical outcomes</w:t>
            </w:r>
            <w:r w:rsidR="00B238AE">
              <w:rPr>
                <w:rFonts w:ascii="Garamond" w:hAnsi="Garamond"/>
                <w:lang w:val="en-AU"/>
              </w:rPr>
              <w:t xml:space="preserve">, the authors have developed a framework, </w:t>
            </w:r>
            <w:r w:rsidR="00B238AE" w:rsidRPr="00B238AE">
              <w:rPr>
                <w:rFonts w:ascii="Garamond" w:hAnsi="Garamond"/>
                <w:lang w:val="en-AU"/>
              </w:rPr>
              <w:t>Surgical Stress Effects (SSE) framework</w:t>
            </w:r>
            <w:r w:rsidR="00B238AE">
              <w:rPr>
                <w:rFonts w:ascii="Garamond" w:hAnsi="Garamond"/>
                <w:lang w:val="en-AU"/>
              </w:rPr>
              <w:t>, that attempts to illustrate</w:t>
            </w:r>
            <w:r w:rsidR="00B238AE" w:rsidRPr="00B238AE">
              <w:rPr>
                <w:rFonts w:ascii="Garamond" w:hAnsi="Garamond"/>
                <w:lang w:val="en-AU"/>
              </w:rPr>
              <w:t xml:space="preserve"> how </w:t>
            </w:r>
            <w:r w:rsidR="00B238AE">
              <w:rPr>
                <w:rFonts w:ascii="Garamond" w:hAnsi="Garamond"/>
                <w:lang w:val="en-AU"/>
              </w:rPr>
              <w:t xml:space="preserve">those </w:t>
            </w:r>
            <w:r w:rsidR="00B238AE" w:rsidRPr="00B238AE">
              <w:rPr>
                <w:rFonts w:ascii="Garamond" w:hAnsi="Garamond"/>
                <w:lang w:val="en-AU"/>
              </w:rPr>
              <w:t>emotional and behavio</w:t>
            </w:r>
            <w:r w:rsidR="00B238AE">
              <w:rPr>
                <w:rFonts w:ascii="Garamond" w:hAnsi="Garamond"/>
                <w:lang w:val="en-AU"/>
              </w:rPr>
              <w:t>u</w:t>
            </w:r>
            <w:r w:rsidR="00B238AE" w:rsidRPr="00B238AE">
              <w:rPr>
                <w:rFonts w:ascii="Garamond" w:hAnsi="Garamond"/>
                <w:lang w:val="en-AU"/>
              </w:rPr>
              <w:t xml:space="preserve">ral responses to stressors can influence individual surgical </w:t>
            </w:r>
            <w:r w:rsidR="00B238AE">
              <w:rPr>
                <w:rFonts w:ascii="Garamond" w:hAnsi="Garamond"/>
                <w:lang w:val="en-AU"/>
              </w:rPr>
              <w:t xml:space="preserve">clinician </w:t>
            </w:r>
            <w:r w:rsidR="00B238AE" w:rsidRPr="00B238AE">
              <w:rPr>
                <w:rFonts w:ascii="Garamond" w:hAnsi="Garamond"/>
                <w:lang w:val="en-AU"/>
              </w:rPr>
              <w:t xml:space="preserve">performance, team performance, and patient outcomes. It also </w:t>
            </w:r>
            <w:r w:rsidR="00B238AE">
              <w:rPr>
                <w:rFonts w:ascii="Garamond" w:hAnsi="Garamond"/>
                <w:lang w:val="en-AU"/>
              </w:rPr>
              <w:t xml:space="preserve">seeks to indicate </w:t>
            </w:r>
            <w:r w:rsidR="00B238AE" w:rsidRPr="00B238AE">
              <w:rPr>
                <w:rFonts w:ascii="Garamond" w:hAnsi="Garamond"/>
                <w:lang w:val="en-AU"/>
              </w:rPr>
              <w:t xml:space="preserve">how </w:t>
            </w:r>
            <w:r w:rsidR="00B238AE">
              <w:rPr>
                <w:rFonts w:ascii="Garamond" w:hAnsi="Garamond"/>
                <w:lang w:val="en-AU"/>
              </w:rPr>
              <w:t>“</w:t>
            </w:r>
            <w:r w:rsidR="00B238AE" w:rsidRPr="00B238AE">
              <w:rPr>
                <w:rFonts w:ascii="Garamond" w:hAnsi="Garamond"/>
                <w:lang w:val="en-AU"/>
              </w:rPr>
              <w:t>uncompensated intraoperative threats and errors can lead to adverse events</w:t>
            </w:r>
            <w:r w:rsidR="00B238AE">
              <w:rPr>
                <w:rFonts w:ascii="Garamond" w:hAnsi="Garamond"/>
                <w:lang w:val="en-AU"/>
              </w:rPr>
              <w:t>”.</w:t>
            </w:r>
          </w:p>
        </w:tc>
      </w:tr>
    </w:tbl>
    <w:p w:rsidR="008B2926" w:rsidRDefault="008B2926" w:rsidP="008B2926">
      <w:pPr>
        <w:keepNext/>
        <w:keepLines/>
        <w:autoSpaceDE w:val="0"/>
        <w:autoSpaceDN w:val="0"/>
        <w:adjustRightInd w:val="0"/>
        <w:rPr>
          <w:rFonts w:ascii="Garamond" w:hAnsi="Garamond"/>
          <w:i/>
          <w:lang w:val="en-AU"/>
        </w:rPr>
      </w:pPr>
    </w:p>
    <w:p w:rsidR="001D3352" w:rsidRPr="007B20EB" w:rsidRDefault="001D3352" w:rsidP="001D3352">
      <w:pPr>
        <w:keepNext/>
        <w:rPr>
          <w:rFonts w:ascii="Garamond" w:hAnsi="Garamond"/>
          <w:i/>
          <w:lang w:val="en-AU"/>
        </w:rPr>
      </w:pPr>
      <w:r w:rsidRPr="007B20EB">
        <w:rPr>
          <w:rFonts w:ascii="Garamond" w:hAnsi="Garamond"/>
          <w:i/>
          <w:lang w:val="en-AU"/>
        </w:rPr>
        <w:t>Pennsylvania Patient Safety Advisory</w:t>
      </w:r>
    </w:p>
    <w:p w:rsidR="001D3352" w:rsidRDefault="001D3352" w:rsidP="001D3352">
      <w:pPr>
        <w:keepNext/>
        <w:rPr>
          <w:rFonts w:ascii="Garamond" w:hAnsi="Garamond"/>
          <w:lang w:val="en-AU"/>
        </w:rPr>
      </w:pPr>
      <w:r w:rsidRPr="001D3352">
        <w:rPr>
          <w:rFonts w:ascii="Garamond" w:hAnsi="Garamond"/>
          <w:lang w:val="en-AU"/>
        </w:rPr>
        <w:t>October 31, 2018, Vol. 15, Suppl. 1</w:t>
      </w:r>
    </w:p>
    <w:tbl>
      <w:tblPr>
        <w:tblStyle w:val="TableGrid"/>
        <w:tblW w:w="0" w:type="auto"/>
        <w:tblInd w:w="288" w:type="dxa"/>
        <w:tblLayout w:type="fixed"/>
        <w:tblLook w:val="01E0" w:firstRow="1" w:lastRow="1" w:firstColumn="1" w:lastColumn="1" w:noHBand="0" w:noVBand="0"/>
      </w:tblPr>
      <w:tblGrid>
        <w:gridCol w:w="1080"/>
        <w:gridCol w:w="8280"/>
      </w:tblGrid>
      <w:tr w:rsidR="001D3352" w:rsidRPr="00C3014C" w:rsidTr="00F4314D">
        <w:tc>
          <w:tcPr>
            <w:tcW w:w="1080" w:type="dxa"/>
            <w:tcBorders>
              <w:top w:val="single" w:sz="4" w:space="0" w:color="auto"/>
              <w:left w:val="single" w:sz="4" w:space="0" w:color="auto"/>
              <w:bottom w:val="single" w:sz="4" w:space="0" w:color="auto"/>
              <w:right w:val="single" w:sz="4" w:space="0" w:color="auto"/>
            </w:tcBorders>
            <w:vAlign w:val="center"/>
          </w:tcPr>
          <w:p w:rsidR="001D3352" w:rsidRPr="00C3014C" w:rsidRDefault="001D3352" w:rsidP="00F4314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D3352" w:rsidRPr="00C3014C" w:rsidRDefault="003535D0" w:rsidP="00F4314D">
            <w:pPr>
              <w:rPr>
                <w:rStyle w:val="Hyperlink"/>
                <w:rFonts w:ascii="Garamond" w:hAnsi="Garamond"/>
                <w:color w:val="auto"/>
                <w:u w:val="none"/>
                <w:lang w:val="en-AU"/>
              </w:rPr>
            </w:pPr>
            <w:hyperlink r:id="rId31" w:history="1">
              <w:r w:rsidR="001D3352" w:rsidRPr="005342F5">
                <w:rPr>
                  <w:rStyle w:val="Hyperlink"/>
                  <w:rFonts w:ascii="Garamond" w:hAnsi="Garamond"/>
                  <w:lang w:val="en-AU"/>
                </w:rPr>
                <w:t>http://patientsafety.pa.gov/ADVISORIES/Pages/201810_home.aspx</w:t>
              </w:r>
            </w:hyperlink>
            <w:r w:rsidR="001D3352">
              <w:rPr>
                <w:rStyle w:val="Hyperlink"/>
                <w:rFonts w:ascii="Garamond" w:hAnsi="Garamond"/>
                <w:color w:val="auto"/>
                <w:u w:val="none"/>
                <w:lang w:val="en-AU"/>
              </w:rPr>
              <w:t xml:space="preserve"> </w:t>
            </w:r>
          </w:p>
        </w:tc>
      </w:tr>
      <w:tr w:rsidR="001D3352" w:rsidRPr="00C3014C" w:rsidTr="00F4314D">
        <w:tc>
          <w:tcPr>
            <w:tcW w:w="1080" w:type="dxa"/>
            <w:tcBorders>
              <w:top w:val="single" w:sz="4" w:space="0" w:color="auto"/>
              <w:left w:val="single" w:sz="4" w:space="0" w:color="auto"/>
              <w:bottom w:val="single" w:sz="4" w:space="0" w:color="auto"/>
              <w:right w:val="single" w:sz="4" w:space="0" w:color="auto"/>
            </w:tcBorders>
            <w:vAlign w:val="center"/>
          </w:tcPr>
          <w:p w:rsidR="001D3352" w:rsidRPr="00C3014C" w:rsidRDefault="001D3352" w:rsidP="00F4314D">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D3352" w:rsidRDefault="001D3352" w:rsidP="00F4314D">
            <w:pPr>
              <w:rPr>
                <w:rFonts w:ascii="Garamond" w:hAnsi="Garamond"/>
                <w:lang w:val="en-AU"/>
              </w:rPr>
            </w:pPr>
            <w:r>
              <w:rPr>
                <w:rFonts w:ascii="Garamond" w:hAnsi="Garamond"/>
                <w:lang w:val="en-AU"/>
              </w:rPr>
              <w:t xml:space="preserve">The </w:t>
            </w:r>
            <w:r w:rsidRPr="0002112F">
              <w:rPr>
                <w:rFonts w:ascii="Garamond" w:hAnsi="Garamond"/>
                <w:lang w:val="en-AU"/>
              </w:rPr>
              <w:t xml:space="preserve">Pennsylvania Patient Safety Authority </w:t>
            </w:r>
            <w:r>
              <w:rPr>
                <w:rFonts w:ascii="Garamond" w:hAnsi="Garamond"/>
                <w:lang w:val="en-AU"/>
              </w:rPr>
              <w:t xml:space="preserve">has published a supplement to their </w:t>
            </w:r>
            <w:r w:rsidRPr="007B20EB">
              <w:rPr>
                <w:rFonts w:ascii="Garamond" w:hAnsi="Garamond"/>
                <w:i/>
                <w:lang w:val="en-AU"/>
              </w:rPr>
              <w:t>Pennsylvania Patient Safety Advisory</w:t>
            </w:r>
            <w:r>
              <w:rPr>
                <w:rFonts w:ascii="Garamond" w:hAnsi="Garamond"/>
                <w:lang w:val="en-AU"/>
              </w:rPr>
              <w:t xml:space="preserve">. </w:t>
            </w:r>
            <w:r w:rsidR="00EF1C69">
              <w:rPr>
                <w:rFonts w:ascii="Garamond" w:hAnsi="Garamond"/>
                <w:lang w:val="en-AU"/>
              </w:rPr>
              <w:t>T</w:t>
            </w:r>
            <w:r>
              <w:rPr>
                <w:rFonts w:ascii="Garamond" w:hAnsi="Garamond"/>
                <w:lang w:val="en-AU"/>
              </w:rPr>
              <w:t xml:space="preserve">his special issue </w:t>
            </w:r>
            <w:r w:rsidR="00EF1C69">
              <w:rPr>
                <w:rFonts w:ascii="Garamond" w:hAnsi="Garamond"/>
                <w:lang w:val="en-AU"/>
              </w:rPr>
              <w:t xml:space="preserve">focuses on </w:t>
            </w:r>
            <w:r w:rsidR="00EF1C69" w:rsidRPr="00EF1C69">
              <w:rPr>
                <w:rFonts w:ascii="Garamond" w:hAnsi="Garamond"/>
                <w:lang w:val="en-AU"/>
              </w:rPr>
              <w:t>the challenges involved in the diagnostic process.</w:t>
            </w:r>
            <w:r w:rsidR="00EF1C69">
              <w:rPr>
                <w:rFonts w:ascii="Garamond" w:hAnsi="Garamond"/>
                <w:lang w:val="en-AU"/>
              </w:rPr>
              <w:t xml:space="preserve"> Items in this special issue </w:t>
            </w:r>
            <w:r>
              <w:rPr>
                <w:rFonts w:ascii="Garamond" w:hAnsi="Garamond"/>
                <w:lang w:val="en-AU"/>
              </w:rPr>
              <w:t>include:</w:t>
            </w:r>
          </w:p>
          <w:p w:rsidR="00EF1C69" w:rsidRPr="00EF1C69" w:rsidRDefault="00EF1C69" w:rsidP="00EF1C69">
            <w:pPr>
              <w:pStyle w:val="ListParagraph"/>
              <w:numPr>
                <w:ilvl w:val="0"/>
                <w:numId w:val="31"/>
              </w:numPr>
              <w:rPr>
                <w:rFonts w:ascii="Garamond" w:hAnsi="Garamond"/>
                <w:lang w:val="en-AU"/>
              </w:rPr>
            </w:pPr>
            <w:r w:rsidRPr="00EF1C69">
              <w:rPr>
                <w:rFonts w:ascii="Garamond" w:hAnsi="Garamond"/>
                <w:lang w:val="en-AU"/>
              </w:rPr>
              <w:t xml:space="preserve">Identifying and Learning from </w:t>
            </w:r>
            <w:r w:rsidRPr="00EF1C69">
              <w:rPr>
                <w:rFonts w:ascii="Garamond" w:hAnsi="Garamond"/>
                <w:b/>
                <w:lang w:val="en-AU"/>
              </w:rPr>
              <w:t>Events Involving Diagnostic Error</w:t>
            </w:r>
            <w:r w:rsidRPr="00EF1C69">
              <w:rPr>
                <w:rFonts w:ascii="Garamond" w:hAnsi="Garamond"/>
                <w:lang w:val="en-AU"/>
              </w:rPr>
              <w:t xml:space="preserve">: It’s a Process – Healthcare facilities can </w:t>
            </w:r>
            <w:r w:rsidR="0086048C">
              <w:rPr>
                <w:rFonts w:ascii="Garamond" w:hAnsi="Garamond"/>
                <w:lang w:val="en-AU"/>
              </w:rPr>
              <w:t xml:space="preserve">use </w:t>
            </w:r>
            <w:r w:rsidRPr="00EF1C69">
              <w:rPr>
                <w:rFonts w:ascii="Garamond" w:hAnsi="Garamond"/>
                <w:lang w:val="en-AU"/>
              </w:rPr>
              <w:t>the modified DEER taxonomy to classify events from various sources, identify vulnerabilities in the diagnostic process, and prioritize areas for learning and improvement.</w:t>
            </w:r>
          </w:p>
          <w:p w:rsidR="00EF1C69" w:rsidRPr="00EF1C69" w:rsidRDefault="00EF1C69" w:rsidP="00EF1C69">
            <w:pPr>
              <w:pStyle w:val="ListParagraph"/>
              <w:numPr>
                <w:ilvl w:val="0"/>
                <w:numId w:val="31"/>
              </w:numPr>
              <w:rPr>
                <w:rFonts w:ascii="Garamond" w:hAnsi="Garamond"/>
                <w:lang w:val="en-AU"/>
              </w:rPr>
            </w:pPr>
            <w:r w:rsidRPr="00EF1C69">
              <w:rPr>
                <w:rFonts w:ascii="Garamond" w:hAnsi="Garamond"/>
                <w:lang w:val="en-AU"/>
              </w:rPr>
              <w:t xml:space="preserve">Beyond the Lab: The Link between </w:t>
            </w:r>
            <w:r w:rsidRPr="00EF1C69">
              <w:rPr>
                <w:rFonts w:ascii="Garamond" w:hAnsi="Garamond"/>
                <w:b/>
                <w:lang w:val="en-AU"/>
              </w:rPr>
              <w:t>Health IT and Laboratory Test Problems</w:t>
            </w:r>
            <w:r w:rsidRPr="00EF1C69">
              <w:rPr>
                <w:rFonts w:ascii="Garamond" w:hAnsi="Garamond"/>
                <w:lang w:val="en-AU"/>
              </w:rPr>
              <w:t xml:space="preserve"> – As the role of health IT in the laboratory testing process has advanced, so too has the possibility for patient safety to be compromised.</w:t>
            </w:r>
          </w:p>
          <w:p w:rsidR="00EF1C69" w:rsidRPr="00EF1C69" w:rsidRDefault="00EF1C69" w:rsidP="00EF1C69">
            <w:pPr>
              <w:pStyle w:val="ListParagraph"/>
              <w:numPr>
                <w:ilvl w:val="0"/>
                <w:numId w:val="31"/>
              </w:numPr>
              <w:rPr>
                <w:rFonts w:ascii="Garamond" w:hAnsi="Garamond"/>
                <w:lang w:val="en-AU"/>
              </w:rPr>
            </w:pPr>
            <w:r w:rsidRPr="00EF1C69">
              <w:rPr>
                <w:rFonts w:ascii="Garamond" w:hAnsi="Garamond"/>
                <w:lang w:val="en-AU"/>
              </w:rPr>
              <w:lastRenderedPageBreak/>
              <w:t xml:space="preserve">Ask the Experts: A Roundtable Discussion with Some of the Nation's Leaders in </w:t>
            </w:r>
            <w:r w:rsidRPr="00EF1C69">
              <w:rPr>
                <w:rFonts w:ascii="Garamond" w:hAnsi="Garamond"/>
                <w:b/>
                <w:lang w:val="en-AU"/>
              </w:rPr>
              <w:t>Improving Diagnosis</w:t>
            </w:r>
            <w:r w:rsidRPr="00EF1C69">
              <w:rPr>
                <w:rFonts w:ascii="Garamond" w:hAnsi="Garamond"/>
                <w:lang w:val="en-AU"/>
              </w:rPr>
              <w:t xml:space="preserve"> –</w:t>
            </w:r>
            <w:r>
              <w:rPr>
                <w:rFonts w:ascii="Garamond" w:hAnsi="Garamond"/>
                <w:lang w:val="en-AU"/>
              </w:rPr>
              <w:t xml:space="preserve"> T</w:t>
            </w:r>
            <w:r w:rsidRPr="00EF1C69">
              <w:rPr>
                <w:rFonts w:ascii="Garamond" w:hAnsi="Garamond"/>
                <w:lang w:val="en-AU"/>
              </w:rPr>
              <w:t>he Authority convened an expert panel of 10 speakers to discuss issues in diagnostic error and strategies for improvement.</w:t>
            </w:r>
          </w:p>
          <w:p w:rsidR="00EF1C69" w:rsidRPr="00EF1C69" w:rsidRDefault="00EF1C69" w:rsidP="00EF1C69">
            <w:pPr>
              <w:pStyle w:val="ListParagraph"/>
              <w:numPr>
                <w:ilvl w:val="0"/>
                <w:numId w:val="31"/>
              </w:numPr>
              <w:rPr>
                <w:rFonts w:ascii="Garamond" w:hAnsi="Garamond"/>
                <w:lang w:val="en-AU"/>
              </w:rPr>
            </w:pPr>
            <w:r w:rsidRPr="00EF1C69">
              <w:rPr>
                <w:rFonts w:ascii="Garamond" w:hAnsi="Garamond"/>
                <w:b/>
                <w:lang w:val="en-AU"/>
              </w:rPr>
              <w:t>Misdiagnosis</w:t>
            </w:r>
            <w:r w:rsidRPr="00EF1C69">
              <w:rPr>
                <w:rFonts w:ascii="Garamond" w:hAnsi="Garamond"/>
                <w:lang w:val="en-AU"/>
              </w:rPr>
              <w:t xml:space="preserve"> Can Cause Guilt for Those </w:t>
            </w:r>
            <w:r w:rsidRPr="00EF1C69">
              <w:rPr>
                <w:rFonts w:ascii="Garamond" w:hAnsi="Garamond"/>
                <w:b/>
                <w:lang w:val="en-AU"/>
              </w:rPr>
              <w:t>Seeking Resolution</w:t>
            </w:r>
            <w:r w:rsidRPr="00EF1C69">
              <w:rPr>
                <w:rFonts w:ascii="Garamond" w:hAnsi="Garamond"/>
                <w:lang w:val="en-AU"/>
              </w:rPr>
              <w:t>: From the Bedside to the Courtroom, the Perspective of a Clinician Turned Malpractice Attorney –</w:t>
            </w:r>
            <w:r>
              <w:rPr>
                <w:rFonts w:ascii="Garamond" w:hAnsi="Garamond"/>
                <w:lang w:val="en-AU"/>
              </w:rPr>
              <w:t xml:space="preserve"> D</w:t>
            </w:r>
            <w:r w:rsidRPr="00EF1C69">
              <w:rPr>
                <w:rFonts w:ascii="Garamond" w:hAnsi="Garamond"/>
                <w:lang w:val="en-AU"/>
              </w:rPr>
              <w:t>iscusses how, as a team, the practitioner and patient can avoid the guilt associated with diagnostic error and its aftermath, by working through the differential diagnosis process together to improve patient safety.</w:t>
            </w:r>
          </w:p>
          <w:p w:rsidR="00EF1C69" w:rsidRPr="00EF1C69" w:rsidRDefault="00EF1C69" w:rsidP="00EF1C69">
            <w:pPr>
              <w:pStyle w:val="ListParagraph"/>
              <w:numPr>
                <w:ilvl w:val="0"/>
                <w:numId w:val="31"/>
              </w:numPr>
              <w:rPr>
                <w:rFonts w:ascii="Garamond" w:hAnsi="Garamond"/>
                <w:lang w:val="en-AU"/>
              </w:rPr>
            </w:pPr>
            <w:r w:rsidRPr="00EF1C69">
              <w:rPr>
                <w:rFonts w:ascii="Garamond" w:hAnsi="Garamond"/>
                <w:lang w:val="en-AU"/>
              </w:rPr>
              <w:t xml:space="preserve">The Star of the </w:t>
            </w:r>
            <w:r w:rsidRPr="00EF1C69">
              <w:rPr>
                <w:rFonts w:ascii="Garamond" w:hAnsi="Garamond"/>
                <w:b/>
                <w:lang w:val="en-AU"/>
              </w:rPr>
              <w:t>Diagnostic Journey</w:t>
            </w:r>
            <w:r w:rsidRPr="00EF1C69">
              <w:rPr>
                <w:rFonts w:ascii="Garamond" w:hAnsi="Garamond"/>
                <w:lang w:val="en-AU"/>
              </w:rPr>
              <w:t xml:space="preserve">: Assessing </w:t>
            </w:r>
            <w:r w:rsidRPr="00EF1C69">
              <w:rPr>
                <w:rFonts w:ascii="Garamond" w:hAnsi="Garamond"/>
                <w:b/>
                <w:lang w:val="en-AU"/>
              </w:rPr>
              <w:t>Patient Perspectives</w:t>
            </w:r>
            <w:r w:rsidRPr="00EF1C69">
              <w:rPr>
                <w:rFonts w:ascii="Garamond" w:hAnsi="Garamond"/>
                <w:lang w:val="en-AU"/>
              </w:rPr>
              <w:t xml:space="preserve"> – The needs of every patient may be different; still, healthcare professionals should view the patient and family as a focal point in the journey to diagnosis.</w:t>
            </w:r>
          </w:p>
          <w:p w:rsidR="00EF1C69" w:rsidRPr="00EF1C69" w:rsidRDefault="00EF1C69" w:rsidP="00EF1C69">
            <w:pPr>
              <w:pStyle w:val="ListParagraph"/>
              <w:numPr>
                <w:ilvl w:val="0"/>
                <w:numId w:val="31"/>
              </w:numPr>
              <w:rPr>
                <w:rFonts w:ascii="Garamond" w:hAnsi="Garamond"/>
                <w:lang w:val="en-AU"/>
              </w:rPr>
            </w:pPr>
            <w:r w:rsidRPr="00EF1C69">
              <w:rPr>
                <w:rFonts w:ascii="Garamond" w:hAnsi="Garamond"/>
                <w:b/>
                <w:lang w:val="en-AU"/>
              </w:rPr>
              <w:t>Failures in the Diagnostic Process</w:t>
            </w:r>
            <w:r w:rsidRPr="00EF1C69">
              <w:rPr>
                <w:rFonts w:ascii="Garamond" w:hAnsi="Garamond"/>
                <w:lang w:val="en-AU"/>
              </w:rPr>
              <w:t xml:space="preserve"> When Assessing </w:t>
            </w:r>
            <w:r w:rsidRPr="00EF1C69">
              <w:rPr>
                <w:rFonts w:ascii="Garamond" w:hAnsi="Garamond"/>
                <w:b/>
                <w:lang w:val="en-AU"/>
              </w:rPr>
              <w:t>Suicidal Intent</w:t>
            </w:r>
            <w:r w:rsidRPr="00EF1C69">
              <w:rPr>
                <w:rFonts w:ascii="Garamond" w:hAnsi="Garamond"/>
                <w:lang w:val="en-AU"/>
              </w:rPr>
              <w:t xml:space="preserve"> – Improving information gathering at all stages of the patient’s crisis and ensuring that relevant data is communicated throughout the continuum of care can contribute to a more accurate diagnostic process.</w:t>
            </w:r>
          </w:p>
          <w:p w:rsidR="00EF1C69" w:rsidRPr="00EF1C69" w:rsidRDefault="00EF1C69" w:rsidP="00EF1C69">
            <w:pPr>
              <w:pStyle w:val="ListParagraph"/>
              <w:numPr>
                <w:ilvl w:val="0"/>
                <w:numId w:val="31"/>
              </w:numPr>
              <w:rPr>
                <w:rFonts w:ascii="Garamond" w:hAnsi="Garamond"/>
                <w:lang w:val="en-AU"/>
              </w:rPr>
            </w:pPr>
            <w:r w:rsidRPr="00EF1C69">
              <w:rPr>
                <w:rFonts w:ascii="Garamond" w:hAnsi="Garamond"/>
                <w:lang w:val="en-AU"/>
              </w:rPr>
              <w:t xml:space="preserve">From Virtual Autopsies to Expedited Stroke Detection: How Facilities are </w:t>
            </w:r>
            <w:r w:rsidRPr="00EF1C69">
              <w:rPr>
                <w:rFonts w:ascii="Garamond" w:hAnsi="Garamond"/>
                <w:b/>
                <w:lang w:val="en-AU"/>
              </w:rPr>
              <w:t>Improving the Diagnostic Process</w:t>
            </w:r>
          </w:p>
          <w:p w:rsidR="00EF1C69" w:rsidRPr="00EF1C69" w:rsidRDefault="00EF1C69" w:rsidP="00EF1C69">
            <w:pPr>
              <w:pStyle w:val="ListParagraph"/>
              <w:numPr>
                <w:ilvl w:val="0"/>
                <w:numId w:val="31"/>
              </w:numPr>
              <w:rPr>
                <w:rFonts w:ascii="Garamond" w:hAnsi="Garamond"/>
                <w:lang w:val="en-AU"/>
              </w:rPr>
            </w:pPr>
            <w:r w:rsidRPr="00EF1C69">
              <w:rPr>
                <w:rFonts w:ascii="Garamond" w:hAnsi="Garamond"/>
                <w:lang w:val="en-AU"/>
              </w:rPr>
              <w:t xml:space="preserve">Getting Creative: Harnessing </w:t>
            </w:r>
            <w:r w:rsidRPr="00EF1C69">
              <w:rPr>
                <w:rFonts w:ascii="Garamond" w:hAnsi="Garamond"/>
                <w:b/>
                <w:lang w:val="en-AU"/>
              </w:rPr>
              <w:t>Synergy to Tackle Big Patient Safety Challenges</w:t>
            </w:r>
            <w:r w:rsidRPr="00EF1C69">
              <w:rPr>
                <w:rFonts w:ascii="Garamond" w:hAnsi="Garamond"/>
                <w:lang w:val="en-AU"/>
              </w:rPr>
              <w:t xml:space="preserve"> –</w:t>
            </w:r>
            <w:r>
              <w:rPr>
                <w:rFonts w:ascii="Garamond" w:hAnsi="Garamond"/>
                <w:lang w:val="en-AU"/>
              </w:rPr>
              <w:t xml:space="preserve"> A</w:t>
            </w:r>
            <w:r w:rsidRPr="00EF1C69">
              <w:rPr>
                <w:rFonts w:ascii="Garamond" w:hAnsi="Garamond"/>
                <w:lang w:val="en-AU"/>
              </w:rPr>
              <w:t xml:space="preserve"> conceptual framework that can be used to tackle any complex patient safety challenge, as well as a learning journey in progress to address diagnostic error.</w:t>
            </w:r>
          </w:p>
          <w:p w:rsidR="00EF1C69" w:rsidRPr="00EF1C69" w:rsidRDefault="00EF1C69" w:rsidP="00EF1C69">
            <w:pPr>
              <w:pStyle w:val="ListParagraph"/>
              <w:numPr>
                <w:ilvl w:val="0"/>
                <w:numId w:val="31"/>
              </w:numPr>
              <w:rPr>
                <w:rFonts w:ascii="Garamond" w:hAnsi="Garamond"/>
                <w:lang w:val="en-AU"/>
              </w:rPr>
            </w:pPr>
            <w:r w:rsidRPr="00EF1C69">
              <w:rPr>
                <w:rFonts w:ascii="Garamond" w:hAnsi="Garamond"/>
                <w:b/>
                <w:lang w:val="en-AU"/>
              </w:rPr>
              <w:t>Acquiring Diagnostic Skill</w:t>
            </w:r>
            <w:r w:rsidRPr="00EF1C69">
              <w:rPr>
                <w:rFonts w:ascii="Garamond" w:hAnsi="Garamond"/>
                <w:lang w:val="en-AU"/>
              </w:rPr>
              <w:t xml:space="preserve">: Understanding the Decision Making Processes Used by Experts – </w:t>
            </w:r>
            <w:r>
              <w:rPr>
                <w:rFonts w:ascii="Garamond" w:hAnsi="Garamond"/>
                <w:lang w:val="en-AU"/>
              </w:rPr>
              <w:t>H</w:t>
            </w:r>
            <w:r w:rsidRPr="00EF1C69">
              <w:rPr>
                <w:rFonts w:ascii="Garamond" w:hAnsi="Garamond"/>
                <w:lang w:val="en-AU"/>
              </w:rPr>
              <w:t>ow contemporary Safety-II principles align with the premise that providing appreciation and reinforcing successful identification of diagnostic patterns will improve the diagnostic process.</w:t>
            </w:r>
          </w:p>
          <w:p w:rsidR="001D3352" w:rsidRPr="0002112F" w:rsidRDefault="00EF1C69" w:rsidP="00EF1C69">
            <w:pPr>
              <w:pStyle w:val="ListParagraph"/>
              <w:numPr>
                <w:ilvl w:val="0"/>
                <w:numId w:val="31"/>
              </w:numPr>
              <w:rPr>
                <w:rFonts w:ascii="Garamond" w:hAnsi="Garamond"/>
                <w:b/>
                <w:lang w:val="en-AU"/>
              </w:rPr>
            </w:pPr>
            <w:r w:rsidRPr="00EF1C69">
              <w:rPr>
                <w:rFonts w:ascii="Garamond" w:hAnsi="Garamond"/>
                <w:b/>
                <w:lang w:val="en-AU"/>
              </w:rPr>
              <w:t>Improving Diagnosis</w:t>
            </w:r>
            <w:r w:rsidRPr="00EF1C69">
              <w:rPr>
                <w:rFonts w:ascii="Garamond" w:hAnsi="Garamond"/>
                <w:lang w:val="en-AU"/>
              </w:rPr>
              <w:t>: Action and Insights</w:t>
            </w:r>
            <w:r>
              <w:rPr>
                <w:rFonts w:ascii="Garamond" w:hAnsi="Garamond"/>
                <w:lang w:val="en-AU"/>
              </w:rPr>
              <w:t xml:space="preserve"> – D</w:t>
            </w:r>
            <w:r w:rsidRPr="00EF1C69">
              <w:rPr>
                <w:rFonts w:ascii="Garamond" w:hAnsi="Garamond"/>
                <w:lang w:val="en-AU"/>
              </w:rPr>
              <w:t>iscusses highlights from the special issue and explains that theory and conceptual understanding of diagnostic error are important, but understanding must be translated into actions that lead to solutions to improve diagnosis and reduce harm and death from diagnostic error.</w:t>
            </w:r>
          </w:p>
        </w:tc>
      </w:tr>
    </w:tbl>
    <w:p w:rsidR="001D3352" w:rsidRDefault="001D3352" w:rsidP="00032917">
      <w:pPr>
        <w:keepNext/>
        <w:keepLines/>
        <w:autoSpaceDE w:val="0"/>
        <w:autoSpaceDN w:val="0"/>
        <w:adjustRightInd w:val="0"/>
        <w:rPr>
          <w:rFonts w:ascii="Garamond" w:hAnsi="Garamond"/>
          <w:i/>
          <w:lang w:val="en-AU"/>
        </w:rPr>
      </w:pPr>
    </w:p>
    <w:p w:rsidR="003535D0" w:rsidRDefault="003535D0" w:rsidP="00032917">
      <w:pPr>
        <w:keepNext/>
        <w:keepLines/>
        <w:autoSpaceDE w:val="0"/>
        <w:autoSpaceDN w:val="0"/>
        <w:adjustRightInd w:val="0"/>
        <w:rPr>
          <w:rFonts w:ascii="Garamond" w:hAnsi="Garamond"/>
          <w:i/>
          <w:lang w:val="en-AU"/>
        </w:rPr>
      </w:pPr>
    </w:p>
    <w:p w:rsidR="003535D0" w:rsidRDefault="003535D0" w:rsidP="00032917">
      <w:pPr>
        <w:keepNext/>
        <w:keepLines/>
        <w:autoSpaceDE w:val="0"/>
        <w:autoSpaceDN w:val="0"/>
        <w:adjustRightInd w:val="0"/>
        <w:rPr>
          <w:rFonts w:ascii="Garamond" w:hAnsi="Garamond"/>
          <w:i/>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E14C5A" w:rsidRPr="0009148E" w:rsidRDefault="00E14C5A" w:rsidP="00070CFE">
      <w:pPr>
        <w:rPr>
          <w:rFonts w:ascii="Garamond" w:hAnsi="Garamond"/>
          <w:i/>
          <w:lang w:val="en-AU"/>
        </w:rPr>
      </w:pPr>
      <w:r w:rsidRPr="0009148E">
        <w:rPr>
          <w:rFonts w:ascii="Garamond" w:hAnsi="Garamond"/>
          <w:i/>
          <w:lang w:val="en-AU"/>
        </w:rPr>
        <w:t>Medical Devices Safety Update</w:t>
      </w:r>
    </w:p>
    <w:p w:rsidR="00E14C5A" w:rsidRDefault="00E14C5A" w:rsidP="00070CFE">
      <w:pPr>
        <w:rPr>
          <w:rFonts w:ascii="Garamond" w:hAnsi="Garamond"/>
          <w:lang w:val="en-AU"/>
        </w:rPr>
      </w:pPr>
      <w:r w:rsidRPr="00E14C5A">
        <w:rPr>
          <w:rFonts w:ascii="Garamond" w:hAnsi="Garamond"/>
          <w:lang w:val="en-AU"/>
        </w:rPr>
        <w:t>Volume 6, Number 6, November 2018</w:t>
      </w:r>
    </w:p>
    <w:p w:rsidR="00E14C5A" w:rsidRDefault="003535D0" w:rsidP="00070CFE">
      <w:pPr>
        <w:rPr>
          <w:rFonts w:ascii="Garamond" w:hAnsi="Garamond"/>
          <w:lang w:val="en-AU"/>
        </w:rPr>
      </w:pPr>
      <w:hyperlink r:id="rId32" w:history="1">
        <w:r w:rsidR="00E14C5A" w:rsidRPr="005342F5">
          <w:rPr>
            <w:rStyle w:val="Hyperlink"/>
            <w:rFonts w:ascii="Garamond" w:hAnsi="Garamond"/>
            <w:lang w:val="en-AU"/>
          </w:rPr>
          <w:t>https://www.tga.gov.au/publication-issue/medical-devices-safety-update-volume-6-number-6-november-2018</w:t>
        </w:r>
      </w:hyperlink>
    </w:p>
    <w:p w:rsidR="0009148E" w:rsidRPr="00D9161E" w:rsidRDefault="0009148E" w:rsidP="0009148E">
      <w:pPr>
        <w:keepNext/>
        <w:rPr>
          <w:rFonts w:ascii="Garamond" w:hAnsi="Garamond"/>
          <w:lang w:val="en-AU"/>
        </w:rPr>
      </w:pPr>
      <w:r w:rsidRPr="00D9161E">
        <w:rPr>
          <w:rFonts w:ascii="Garamond" w:hAnsi="Garamond"/>
          <w:lang w:val="en-AU"/>
        </w:rPr>
        <w:t>The Therapeutic Goods Administration (TGA) has released the latest edition of its medical device safety bulletin. Topics covered in this issue include:</w:t>
      </w:r>
    </w:p>
    <w:p w:rsidR="0009148E" w:rsidRPr="0009148E" w:rsidRDefault="0009148E" w:rsidP="0009148E">
      <w:pPr>
        <w:pStyle w:val="ListParagraph"/>
        <w:keepNext/>
        <w:numPr>
          <w:ilvl w:val="0"/>
          <w:numId w:val="30"/>
        </w:numPr>
        <w:rPr>
          <w:rFonts w:ascii="Garamond" w:hAnsi="Garamond"/>
          <w:lang w:val="en-AU"/>
        </w:rPr>
      </w:pPr>
      <w:r w:rsidRPr="0009148E">
        <w:rPr>
          <w:rFonts w:ascii="Garamond" w:hAnsi="Garamond"/>
          <w:lang w:val="en-AU"/>
        </w:rPr>
        <w:t xml:space="preserve">Be alert to standards to prevent risk of </w:t>
      </w:r>
      <w:r w:rsidRPr="0009148E">
        <w:rPr>
          <w:rFonts w:ascii="Garamond" w:hAnsi="Garamond"/>
          <w:b/>
          <w:lang w:val="en-AU"/>
        </w:rPr>
        <w:t>misconnections</w:t>
      </w:r>
    </w:p>
    <w:p w:rsidR="0009148E" w:rsidRPr="0009148E" w:rsidRDefault="0009148E" w:rsidP="0009148E">
      <w:pPr>
        <w:pStyle w:val="ListParagraph"/>
        <w:keepNext/>
        <w:numPr>
          <w:ilvl w:val="0"/>
          <w:numId w:val="30"/>
        </w:numPr>
        <w:rPr>
          <w:rFonts w:ascii="Garamond" w:hAnsi="Garamond"/>
          <w:lang w:val="en-AU"/>
        </w:rPr>
      </w:pPr>
      <w:r w:rsidRPr="0009148E">
        <w:rPr>
          <w:rFonts w:ascii="Garamond" w:hAnsi="Garamond"/>
          <w:b/>
          <w:lang w:val="en-AU"/>
        </w:rPr>
        <w:t>Eltrombopag</w:t>
      </w:r>
      <w:r w:rsidRPr="0009148E">
        <w:rPr>
          <w:rFonts w:ascii="Garamond" w:hAnsi="Garamond"/>
          <w:lang w:val="en-AU"/>
        </w:rPr>
        <w:t>: reports of interference with bilirubin and creatinine test results</w:t>
      </w:r>
    </w:p>
    <w:p w:rsidR="0009148E" w:rsidRPr="0009148E" w:rsidRDefault="0009148E" w:rsidP="0009148E">
      <w:pPr>
        <w:pStyle w:val="ListParagraph"/>
        <w:keepNext/>
        <w:numPr>
          <w:ilvl w:val="0"/>
          <w:numId w:val="30"/>
        </w:numPr>
        <w:rPr>
          <w:rFonts w:ascii="Garamond" w:hAnsi="Garamond"/>
          <w:lang w:val="en-AU"/>
        </w:rPr>
      </w:pPr>
      <w:r w:rsidRPr="0009148E">
        <w:rPr>
          <w:rFonts w:ascii="Garamond" w:hAnsi="Garamond"/>
          <w:b/>
          <w:lang w:val="en-AU"/>
        </w:rPr>
        <w:t>Amniotic fluid tests</w:t>
      </w:r>
      <w:r w:rsidRPr="0009148E">
        <w:rPr>
          <w:rFonts w:ascii="Garamond" w:hAnsi="Garamond"/>
          <w:lang w:val="en-AU"/>
        </w:rPr>
        <w:t xml:space="preserve"> should be used in conjunction with a clinical assessment</w:t>
      </w:r>
    </w:p>
    <w:p w:rsidR="0009148E" w:rsidRDefault="0009148E" w:rsidP="0009148E">
      <w:pPr>
        <w:pStyle w:val="ListParagraph"/>
        <w:keepNext/>
        <w:numPr>
          <w:ilvl w:val="0"/>
          <w:numId w:val="30"/>
        </w:numPr>
        <w:rPr>
          <w:rFonts w:ascii="Garamond" w:hAnsi="Garamond"/>
          <w:lang w:val="en-AU"/>
        </w:rPr>
      </w:pPr>
      <w:r w:rsidRPr="0009148E">
        <w:rPr>
          <w:rFonts w:ascii="Garamond" w:hAnsi="Garamond"/>
          <w:lang w:val="en-AU"/>
        </w:rPr>
        <w:t xml:space="preserve">What to report? Please report </w:t>
      </w:r>
      <w:r w:rsidRPr="0009148E">
        <w:rPr>
          <w:rFonts w:ascii="Garamond" w:hAnsi="Garamond"/>
          <w:b/>
          <w:lang w:val="en-AU"/>
        </w:rPr>
        <w:t>adverse events</w:t>
      </w:r>
      <w:r w:rsidRPr="0009148E">
        <w:rPr>
          <w:rFonts w:ascii="Garamond" w:hAnsi="Garamond"/>
          <w:lang w:val="en-AU"/>
        </w:rPr>
        <w:t>, as well as near misses</w:t>
      </w:r>
      <w:r>
        <w:rPr>
          <w:rFonts w:ascii="Garamond" w:hAnsi="Garamond"/>
          <w:lang w:val="en-AU"/>
        </w:rPr>
        <w:t>.</w:t>
      </w:r>
    </w:p>
    <w:p w:rsidR="00E14C5A" w:rsidRDefault="00E14C5A" w:rsidP="00070CFE">
      <w:pPr>
        <w:rPr>
          <w:rFonts w:ascii="Garamond" w:hAnsi="Garamond"/>
          <w:lang w:val="en-AU"/>
        </w:rPr>
      </w:pPr>
    </w:p>
    <w:p w:rsidR="00E14C5A" w:rsidRPr="0009148E" w:rsidRDefault="0009148E" w:rsidP="003535D0">
      <w:pPr>
        <w:keepNext/>
        <w:rPr>
          <w:rFonts w:ascii="Garamond" w:hAnsi="Garamond"/>
          <w:i/>
          <w:lang w:val="en-AU"/>
        </w:rPr>
      </w:pPr>
      <w:r w:rsidRPr="0009148E">
        <w:rPr>
          <w:rFonts w:ascii="Garamond" w:hAnsi="Garamond"/>
          <w:i/>
          <w:lang w:val="en-AU"/>
        </w:rPr>
        <w:lastRenderedPageBreak/>
        <w:t>[USA] Reducing Diagnostic Errors in Primary Care Pediatrics Toolkit</w:t>
      </w:r>
    </w:p>
    <w:p w:rsidR="0009148E" w:rsidRDefault="00D73A9E" w:rsidP="003535D0">
      <w:pPr>
        <w:keepNext/>
        <w:rPr>
          <w:rFonts w:ascii="Garamond" w:hAnsi="Garamond"/>
          <w:lang w:val="en-AU"/>
        </w:rPr>
      </w:pPr>
      <w:hyperlink r:id="rId33" w:history="1">
        <w:r w:rsidR="0009148E" w:rsidRPr="005342F5">
          <w:rPr>
            <w:rStyle w:val="Hyperlink"/>
            <w:rFonts w:ascii="Garamond" w:hAnsi="Garamond"/>
            <w:lang w:val="en-AU"/>
          </w:rPr>
          <w:t>https://www.ahrq.gov/professionals/quality-patient-safety/diagnostic-safety/toolkit.html</w:t>
        </w:r>
      </w:hyperlink>
    </w:p>
    <w:p w:rsidR="0009148E" w:rsidRPr="0009148E" w:rsidRDefault="0009148E" w:rsidP="0009148E">
      <w:pPr>
        <w:rPr>
          <w:rFonts w:ascii="Garamond" w:hAnsi="Garamond"/>
          <w:lang w:val="en-AU"/>
        </w:rPr>
      </w:pPr>
      <w:r>
        <w:rPr>
          <w:rFonts w:ascii="Garamond" w:hAnsi="Garamond"/>
          <w:lang w:val="en-AU"/>
        </w:rPr>
        <w:t xml:space="preserve">The US Agency for Healthcare Research and Quality (ARHQ) has produces this toolkit </w:t>
      </w:r>
      <w:r w:rsidRPr="0009148E">
        <w:rPr>
          <w:rFonts w:ascii="Garamond" w:hAnsi="Garamond"/>
          <w:lang w:val="en-AU"/>
        </w:rPr>
        <w:t>to assist primary care practice teams with a systematic approach to reduce diagnostic errors among children in three important areas:</w:t>
      </w:r>
    </w:p>
    <w:p w:rsidR="0009148E" w:rsidRPr="0009148E" w:rsidRDefault="0009148E" w:rsidP="0009148E">
      <w:pPr>
        <w:pStyle w:val="ListParagraph"/>
        <w:numPr>
          <w:ilvl w:val="0"/>
          <w:numId w:val="14"/>
        </w:numPr>
        <w:rPr>
          <w:rFonts w:ascii="Garamond" w:hAnsi="Garamond"/>
          <w:lang w:val="en-AU"/>
        </w:rPr>
      </w:pPr>
      <w:r w:rsidRPr="0009148E">
        <w:rPr>
          <w:rFonts w:ascii="Garamond" w:hAnsi="Garamond"/>
          <w:lang w:val="en-AU"/>
        </w:rPr>
        <w:t>Elevated blood pressure, which is misdiagnosed in 74 to 87 percent of children</w:t>
      </w:r>
    </w:p>
    <w:p w:rsidR="0009148E" w:rsidRPr="0009148E" w:rsidRDefault="0009148E" w:rsidP="0009148E">
      <w:pPr>
        <w:pStyle w:val="ListParagraph"/>
        <w:numPr>
          <w:ilvl w:val="0"/>
          <w:numId w:val="14"/>
        </w:numPr>
        <w:rPr>
          <w:rFonts w:ascii="Garamond" w:hAnsi="Garamond"/>
          <w:lang w:val="en-AU"/>
        </w:rPr>
      </w:pPr>
      <w:r w:rsidRPr="0009148E">
        <w:rPr>
          <w:rFonts w:ascii="Garamond" w:hAnsi="Garamond"/>
          <w:lang w:val="en-AU"/>
        </w:rPr>
        <w:t>Adolescent depression, which affects nearly 10 percent of teenagers, and is misdiagnosed in almost 75 percent of adolescents</w:t>
      </w:r>
    </w:p>
    <w:p w:rsidR="0009148E" w:rsidRPr="0009148E" w:rsidRDefault="0009148E" w:rsidP="0009148E">
      <w:pPr>
        <w:pStyle w:val="ListParagraph"/>
        <w:numPr>
          <w:ilvl w:val="0"/>
          <w:numId w:val="14"/>
        </w:numPr>
        <w:rPr>
          <w:rFonts w:ascii="Garamond" w:hAnsi="Garamond"/>
          <w:lang w:val="en-AU"/>
        </w:rPr>
      </w:pPr>
      <w:r w:rsidRPr="0009148E">
        <w:rPr>
          <w:rFonts w:ascii="Garamond" w:hAnsi="Garamond"/>
          <w:lang w:val="en-AU"/>
        </w:rPr>
        <w:t>Actionable p</w:t>
      </w:r>
      <w:r w:rsidR="00FC5844">
        <w:rPr>
          <w:rFonts w:ascii="Garamond" w:hAnsi="Garamond"/>
          <w:lang w:val="en-AU"/>
        </w:rPr>
        <w:t>a</w:t>
      </w:r>
      <w:r w:rsidRPr="0009148E">
        <w:rPr>
          <w:rFonts w:ascii="Garamond" w:hAnsi="Garamond"/>
          <w:lang w:val="en-AU"/>
        </w:rPr>
        <w:t>ediatric diagnostic tests, which are potentially delayed up to 26 percent of the time.</w:t>
      </w:r>
    </w:p>
    <w:p w:rsidR="0009148E" w:rsidRDefault="0009148E" w:rsidP="0009148E">
      <w:pPr>
        <w:rPr>
          <w:rFonts w:ascii="Garamond" w:hAnsi="Garamond"/>
          <w:lang w:val="en-AU"/>
        </w:rPr>
      </w:pPr>
      <w:r w:rsidRPr="0009148E">
        <w:rPr>
          <w:rFonts w:ascii="Garamond" w:hAnsi="Garamond"/>
          <w:lang w:val="en-AU"/>
        </w:rPr>
        <w:t>This toolkit walks teams through the measurement, screening, recognition, diagnosis, follow-up, and reduction of diagnostic errors in these areas. It is based on clinical evidence, best practices, and a compilation of resources from the project, which involved over 100 primary care physicians and their care teams working across the United States</w:t>
      </w:r>
      <w:r>
        <w:rPr>
          <w:rFonts w:ascii="Garamond" w:hAnsi="Garamond"/>
          <w:lang w:val="en-AU"/>
        </w:rPr>
        <w:t xml:space="preserve"> of America</w:t>
      </w:r>
      <w:r w:rsidRPr="0009148E">
        <w:rPr>
          <w:rFonts w:ascii="Garamond" w:hAnsi="Garamond"/>
          <w:lang w:val="en-AU"/>
        </w:rPr>
        <w:t xml:space="preserve"> to improve care for children.</w:t>
      </w:r>
    </w:p>
    <w:p w:rsidR="0009148E" w:rsidRDefault="0009148E" w:rsidP="00070CFE">
      <w:pPr>
        <w:rPr>
          <w:rFonts w:ascii="Garamond" w:hAnsi="Garamond"/>
          <w:lang w:val="en-AU"/>
        </w:rPr>
      </w:pPr>
    </w:p>
    <w:p w:rsidR="00310160" w:rsidRPr="004964A4" w:rsidRDefault="00310160"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4"/>
      <w:footerReference w:type="default" r:id="rId3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8B" w:rsidRDefault="00044A8B">
      <w:r>
        <w:separator/>
      </w:r>
    </w:p>
  </w:endnote>
  <w:endnote w:type="continuationSeparator" w:id="0">
    <w:p w:rsidR="00044A8B" w:rsidRDefault="000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Default="00044A8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535D0">
      <w:rPr>
        <w:rStyle w:val="PageNumber"/>
        <w:noProof/>
      </w:rPr>
      <w:t>6</w:t>
    </w:r>
    <w:r>
      <w:rPr>
        <w:rStyle w:val="PageNumber"/>
      </w:rPr>
      <w:fldChar w:fldCharType="end"/>
    </w:r>
  </w:p>
  <w:p w:rsidR="00044A8B" w:rsidRPr="001E78F0" w:rsidRDefault="00044A8B"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39</w:t>
    </w:r>
    <w:r w:rsidR="00711E47">
      <w:rPr>
        <w:rFonts w:ascii="Garamond" w:hAnsi="Garamond"/>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Pr="001E78F0" w:rsidRDefault="00044A8B"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3535D0">
      <w:rPr>
        <w:rStyle w:val="PageNumber"/>
        <w:rFonts w:ascii="Garamond" w:hAnsi="Garamond"/>
        <w:noProof/>
      </w:rPr>
      <w:t>5</w:t>
    </w:r>
    <w:r w:rsidRPr="001E78F0">
      <w:rPr>
        <w:rStyle w:val="PageNumber"/>
        <w:rFonts w:ascii="Garamond" w:hAnsi="Garamond"/>
      </w:rPr>
      <w:fldChar w:fldCharType="end"/>
    </w:r>
  </w:p>
  <w:p w:rsidR="00044A8B" w:rsidRPr="001E78F0" w:rsidRDefault="00044A8B"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39</w:t>
    </w:r>
    <w:r w:rsidR="00711E47">
      <w:rPr>
        <w:rFonts w:ascii="Garamond" w:hAnsi="Garamond"/>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8B" w:rsidRDefault="00044A8B">
      <w:r>
        <w:separator/>
      </w:r>
    </w:p>
  </w:footnote>
  <w:footnote w:type="continuationSeparator" w:id="0">
    <w:p w:rsidR="00044A8B" w:rsidRDefault="0004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8A4602"/>
    <w:multiLevelType w:val="hybridMultilevel"/>
    <w:tmpl w:val="11D46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046D9"/>
    <w:multiLevelType w:val="hybridMultilevel"/>
    <w:tmpl w:val="7C1E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6546F3"/>
    <w:multiLevelType w:val="hybridMultilevel"/>
    <w:tmpl w:val="46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BF63F5"/>
    <w:multiLevelType w:val="hybridMultilevel"/>
    <w:tmpl w:val="8F0EB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262B8A"/>
    <w:multiLevelType w:val="hybridMultilevel"/>
    <w:tmpl w:val="32E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EA2693"/>
    <w:multiLevelType w:val="hybridMultilevel"/>
    <w:tmpl w:val="17580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A22134"/>
    <w:multiLevelType w:val="hybridMultilevel"/>
    <w:tmpl w:val="FD3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1"/>
  </w:num>
  <w:num w:numId="15">
    <w:abstractNumId w:val="22"/>
  </w:num>
  <w:num w:numId="16">
    <w:abstractNumId w:val="12"/>
  </w:num>
  <w:num w:numId="17">
    <w:abstractNumId w:val="16"/>
  </w:num>
  <w:num w:numId="18">
    <w:abstractNumId w:val="27"/>
  </w:num>
  <w:num w:numId="19">
    <w:abstractNumId w:val="26"/>
  </w:num>
  <w:num w:numId="20">
    <w:abstractNumId w:val="18"/>
  </w:num>
  <w:num w:numId="21">
    <w:abstractNumId w:val="15"/>
  </w:num>
  <w:num w:numId="22">
    <w:abstractNumId w:val="10"/>
  </w:num>
  <w:num w:numId="23">
    <w:abstractNumId w:val="19"/>
  </w:num>
  <w:num w:numId="24">
    <w:abstractNumId w:val="23"/>
  </w:num>
  <w:num w:numId="25">
    <w:abstractNumId w:val="14"/>
  </w:num>
  <w:num w:numId="26">
    <w:abstractNumId w:val="29"/>
  </w:num>
  <w:num w:numId="27">
    <w:abstractNumId w:val="25"/>
  </w:num>
  <w:num w:numId="28">
    <w:abstractNumId w:val="17"/>
  </w:num>
  <w:num w:numId="29">
    <w:abstractNumId w:val="11"/>
  </w:num>
  <w:num w:numId="30">
    <w:abstractNumId w:val="13"/>
  </w:num>
  <w:num w:numId="3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18A"/>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208"/>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026"/>
    <w:rsid w:val="00353533"/>
    <w:rsid w:val="003535D0"/>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046"/>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DEC"/>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DEA"/>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8C"/>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5CA"/>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48A"/>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9B2"/>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AE"/>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A9E"/>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C5A"/>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03F"/>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6BC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844"/>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epuap.org/" TargetMode="External"/><Relationship Id="rId26" Type="http://schemas.openxmlformats.org/officeDocument/2006/relationships/hyperlink" Target="http://doi.org/10.1177/1355819618788586"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npuap.org/resources/educational-and-clinical-resources/2018-world-wide-pressure-injury-prevention-day/" TargetMode="External"/><Relationship Id="rId25" Type="http://schemas.openxmlformats.org/officeDocument/2006/relationships/hyperlink" Target="https://doi.org/10.1186/s13012-018-0784-z" TargetMode="External"/><Relationship Id="rId33" Type="http://schemas.openxmlformats.org/officeDocument/2006/relationships/hyperlink" Target="https://www.ahrq.gov/professionals/quality-patient-safety/diagnostic-safety/toolkit.html" TargetMode="External"/><Relationship Id="rId2" Type="http://schemas.openxmlformats.org/officeDocument/2006/relationships/numbering" Target="numbering.xml"/><Relationship Id="rId16" Type="http://schemas.openxmlformats.org/officeDocument/2006/relationships/hyperlink" Target="mailto:niall.johnson@safetyandquality.gov.au" TargetMode="External"/><Relationship Id="rId20" Type="http://schemas.openxmlformats.org/officeDocument/2006/relationships/hyperlink" Target="https://www.nzwcs.org.nz/resources/stop-pi-day" TargetMode="External"/><Relationship Id="rId29" Type="http://schemas.openxmlformats.org/officeDocument/2006/relationships/hyperlink" Target="http://doi.org/10.1186/s12913-018-356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www.ama-assn.org/ama-digital-health-implementation-playbook" TargetMode="External"/><Relationship Id="rId32" Type="http://schemas.openxmlformats.org/officeDocument/2006/relationships/hyperlink" Target="https://www.tga.gov.au/publication-issue/medical-devices-safety-update-volume-6-number-6-november-201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4.jpeg"/><Relationship Id="rId28" Type="http://schemas.openxmlformats.org/officeDocument/2006/relationships/hyperlink" Target="https://www.safetyandquality.gov.au/our-work/patient-and-consumer-centred-care/" TargetMode="External"/><Relationship Id="rId36" Type="http://schemas.openxmlformats.org/officeDocument/2006/relationships/fontTable" Target="fontTable.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nzwcs.org.nz/who-we-are/pressure-injury-advisory-group/70-2014-prevention-and-treatment-of-pressure-ulcers-clinical-practice-guideline" TargetMode="External"/><Relationship Id="rId31" Type="http://schemas.openxmlformats.org/officeDocument/2006/relationships/hyperlink" Target="http://patientsafety.pa.gov/ADVISORIES/Pages/201810_home.aspx"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www.nationalstandards.safetyandquality.gov.au" TargetMode="External"/><Relationship Id="rId27" Type="http://schemas.openxmlformats.org/officeDocument/2006/relationships/hyperlink" Target="http://doi.org/10.1377/hlthaff.2018.0698" TargetMode="External"/><Relationship Id="rId30" Type="http://schemas.openxmlformats.org/officeDocument/2006/relationships/hyperlink" Target="http://doi.org/10.1016/j.amjsurg.2018.02.017"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1892-F7F7-444A-A34D-AEC6738B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6</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17006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9</cp:revision>
  <cp:lastPrinted>2018-03-02T02:34:00Z</cp:lastPrinted>
  <dcterms:created xsi:type="dcterms:W3CDTF">2018-11-11T21:19:00Z</dcterms:created>
  <dcterms:modified xsi:type="dcterms:W3CDTF">2018-11-13T05:10:00Z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