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4603C9" w:rsidP="00F738B5">
      <w:pPr>
        <w:rPr>
          <w:rFonts w:ascii="Garamond" w:hAnsi="Garamond"/>
          <w:lang w:val="en-AU"/>
        </w:rPr>
      </w:pPr>
      <w:r>
        <w:rPr>
          <w:rFonts w:ascii="Garamond" w:hAnsi="Garamond"/>
          <w:lang w:val="en-AU"/>
        </w:rPr>
        <w:t>Issue 406</w:t>
      </w:r>
    </w:p>
    <w:p w:rsidR="00755242" w:rsidRPr="00467B47" w:rsidRDefault="00A66104" w:rsidP="00F738B5">
      <w:pPr>
        <w:rPr>
          <w:rFonts w:ascii="Garamond" w:hAnsi="Garamond"/>
          <w:lang w:val="en-AU"/>
        </w:rPr>
      </w:pPr>
      <w:r>
        <w:rPr>
          <w:rFonts w:ascii="Garamond" w:hAnsi="Garamond"/>
          <w:lang w:val="en-AU"/>
        </w:rPr>
        <w:t>1</w:t>
      </w:r>
      <w:r w:rsidR="004603C9">
        <w:rPr>
          <w:rFonts w:ascii="Garamond" w:hAnsi="Garamond"/>
          <w:lang w:val="en-AU"/>
        </w:rPr>
        <w:t>8</w:t>
      </w:r>
      <w:r w:rsidR="00831B85">
        <w:rPr>
          <w:rFonts w:ascii="Garamond" w:hAnsi="Garamond"/>
          <w:lang w:val="en-AU"/>
        </w:rPr>
        <w:t xml:space="preserve"> Febr</w:t>
      </w:r>
      <w:r w:rsidR="006C06FF">
        <w:rPr>
          <w:rFonts w:ascii="Garamond" w:hAnsi="Garamond"/>
          <w:lang w:val="en-AU"/>
        </w:rPr>
        <w:t>uary 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846A49">
        <w:rPr>
          <w:rFonts w:ascii="Garamond" w:hAnsi="Garamond"/>
          <w:bCs/>
          <w:lang w:val="en-AU"/>
        </w:rPr>
        <w:t>, Suzanna Henderson</w:t>
      </w:r>
    </w:p>
    <w:p w:rsidR="0055445F" w:rsidRDefault="0055445F">
      <w:pPr>
        <w:rPr>
          <w:rFonts w:ascii="Garamond" w:hAnsi="Garamond"/>
          <w:b/>
          <w:lang w:val="en-AU"/>
        </w:rPr>
      </w:pPr>
    </w:p>
    <w:p w:rsidR="00846A49" w:rsidRPr="00846A49" w:rsidRDefault="00846A49" w:rsidP="00846A49">
      <w:pPr>
        <w:ind w:left="720" w:hanging="720"/>
        <w:jc w:val="both"/>
        <w:rPr>
          <w:rFonts w:ascii="Garamond" w:hAnsi="Garamond"/>
          <w:b/>
          <w:lang w:val="en-AU"/>
        </w:rPr>
      </w:pPr>
      <w:r w:rsidRPr="00846A49">
        <w:rPr>
          <w:rFonts w:ascii="Garamond" w:hAnsi="Garamond"/>
          <w:b/>
          <w:lang w:val="en-AU"/>
        </w:rPr>
        <w:t>Measuring patient safety culture</w:t>
      </w:r>
    </w:p>
    <w:p w:rsidR="00846A49" w:rsidRDefault="004C3D5A" w:rsidP="00846A49">
      <w:pPr>
        <w:ind w:left="720" w:hanging="720"/>
        <w:jc w:val="both"/>
        <w:rPr>
          <w:rFonts w:ascii="Garamond" w:hAnsi="Garamond"/>
          <w:lang w:val="en-AU"/>
        </w:rPr>
      </w:pPr>
      <w:hyperlink r:id="rId16" w:history="1">
        <w:r w:rsidR="00846A49" w:rsidRPr="003331B5">
          <w:rPr>
            <w:rStyle w:val="Hyperlink"/>
            <w:rFonts w:ascii="Garamond" w:hAnsi="Garamond"/>
            <w:lang w:val="en-AU"/>
          </w:rPr>
          <w:t>https://www.surveymonkey.com/r/ACSQHCsafetyculture</w:t>
        </w:r>
      </w:hyperlink>
    </w:p>
    <w:p w:rsidR="00846A49" w:rsidRPr="00846A49" w:rsidRDefault="00846A49" w:rsidP="00846A49">
      <w:pPr>
        <w:ind w:left="720" w:hanging="720"/>
        <w:jc w:val="both"/>
        <w:rPr>
          <w:rFonts w:ascii="Garamond" w:hAnsi="Garamond"/>
          <w:lang w:val="en-AU"/>
        </w:rPr>
      </w:pPr>
    </w:p>
    <w:p w:rsidR="00846A49" w:rsidRPr="00846A49" w:rsidRDefault="00846A49" w:rsidP="00846A49">
      <w:pPr>
        <w:keepNext/>
        <w:keepLines/>
        <w:autoSpaceDE w:val="0"/>
        <w:autoSpaceDN w:val="0"/>
        <w:adjustRightInd w:val="0"/>
        <w:rPr>
          <w:rFonts w:ascii="Garamond" w:hAnsi="Garamond"/>
          <w:lang w:val="en-AU"/>
        </w:rPr>
      </w:pPr>
      <w:r w:rsidRPr="00846A49">
        <w:rPr>
          <w:rFonts w:ascii="Garamond" w:hAnsi="Garamond"/>
          <w:lang w:val="en-AU"/>
        </w:rPr>
        <w:t xml:space="preserve">The Australian Commission on Safety and Quality in Health Care invites hospital staff to assist with its project on measuring patient safety culture through an </w:t>
      </w:r>
      <w:hyperlink r:id="rId17" w:history="1">
        <w:r w:rsidRPr="00846A49">
          <w:rPr>
            <w:rStyle w:val="Hyperlink"/>
            <w:rFonts w:ascii="Garamond" w:hAnsi="Garamond"/>
            <w:lang w:val="en-AU"/>
          </w:rPr>
          <w:t>online survey</w:t>
        </w:r>
      </w:hyperlink>
      <w:r w:rsidRPr="00846A49">
        <w:rPr>
          <w:rFonts w:ascii="Garamond" w:hAnsi="Garamond"/>
          <w:lang w:val="en-AU"/>
        </w:rPr>
        <w:t xml:space="preserve">. </w:t>
      </w:r>
    </w:p>
    <w:p w:rsidR="00846A49" w:rsidRPr="00846A49" w:rsidRDefault="00846A49" w:rsidP="00846A49">
      <w:pPr>
        <w:keepNext/>
        <w:keepLines/>
        <w:autoSpaceDE w:val="0"/>
        <w:autoSpaceDN w:val="0"/>
        <w:adjustRightInd w:val="0"/>
        <w:rPr>
          <w:rFonts w:ascii="Garamond" w:hAnsi="Garamond"/>
          <w:lang w:val="en-AU"/>
        </w:rPr>
      </w:pPr>
      <w:r w:rsidRPr="00846A49">
        <w:rPr>
          <w:rFonts w:ascii="Garamond" w:hAnsi="Garamond"/>
          <w:lang w:val="en-AU"/>
        </w:rPr>
        <w:t xml:space="preserve"> </w:t>
      </w:r>
    </w:p>
    <w:p w:rsidR="00846A49" w:rsidRPr="00846A49" w:rsidRDefault="00846A49" w:rsidP="00846A49">
      <w:pPr>
        <w:keepNext/>
        <w:keepLines/>
        <w:autoSpaceDE w:val="0"/>
        <w:autoSpaceDN w:val="0"/>
        <w:adjustRightInd w:val="0"/>
        <w:rPr>
          <w:rFonts w:ascii="Garamond" w:hAnsi="Garamond"/>
          <w:lang w:val="en-AU"/>
        </w:rPr>
      </w:pPr>
      <w:r w:rsidRPr="00846A49">
        <w:rPr>
          <w:rFonts w:ascii="Garamond" w:hAnsi="Garamond"/>
          <w:lang w:val="en-AU"/>
        </w:rPr>
        <w:t>The survey forms part of a consultation to identify the elements of patient safety culture that are seen as important for measurement. The survey will be complemented with interviews from hospital executives and engagement of hospital staff through an expert advisory group. These consultations will be used to identify which of the available validated surveys is best suited to the Australian context.</w:t>
      </w:r>
    </w:p>
    <w:p w:rsidR="00846A49" w:rsidRPr="00846A49" w:rsidRDefault="00846A49" w:rsidP="00846A49">
      <w:pPr>
        <w:keepNext/>
        <w:keepLines/>
        <w:autoSpaceDE w:val="0"/>
        <w:autoSpaceDN w:val="0"/>
        <w:adjustRightInd w:val="0"/>
        <w:rPr>
          <w:rFonts w:ascii="Garamond" w:hAnsi="Garamond"/>
          <w:lang w:val="en-AU"/>
        </w:rPr>
      </w:pPr>
    </w:p>
    <w:p w:rsidR="00846A49" w:rsidRPr="00846A49" w:rsidRDefault="00846A49" w:rsidP="00846A49">
      <w:pPr>
        <w:keepNext/>
        <w:keepLines/>
        <w:autoSpaceDE w:val="0"/>
        <w:autoSpaceDN w:val="0"/>
        <w:adjustRightInd w:val="0"/>
        <w:rPr>
          <w:rFonts w:ascii="Garamond" w:hAnsi="Garamond"/>
          <w:lang w:val="en-AU"/>
        </w:rPr>
      </w:pPr>
      <w:r w:rsidRPr="00846A49">
        <w:rPr>
          <w:rFonts w:ascii="Garamond" w:hAnsi="Garamond"/>
          <w:lang w:val="en-AU"/>
        </w:rPr>
        <w:t xml:space="preserve">The survey is open to hospital staff including clinical, auxiliary and support staff until </w:t>
      </w:r>
      <w:r w:rsidRPr="00846A49">
        <w:rPr>
          <w:rFonts w:ascii="Garamond" w:hAnsi="Garamond"/>
          <w:b/>
          <w:lang w:val="en-AU"/>
        </w:rPr>
        <w:t>27 February 2019</w:t>
      </w:r>
      <w:r>
        <w:rPr>
          <w:rFonts w:ascii="Garamond" w:hAnsi="Garamond"/>
          <w:lang w:val="en-AU"/>
        </w:rPr>
        <w:t xml:space="preserve"> </w:t>
      </w:r>
      <w:r w:rsidRPr="00846A49">
        <w:rPr>
          <w:rFonts w:ascii="Garamond" w:hAnsi="Garamond"/>
          <w:lang w:val="en-AU"/>
        </w:rPr>
        <w:t xml:space="preserve">and takes approximately 10 minutes to complete. Additional information is included on the first page of the survey. </w:t>
      </w:r>
    </w:p>
    <w:p w:rsidR="00846A49" w:rsidRPr="00846A49" w:rsidRDefault="00846A49" w:rsidP="00846A49">
      <w:pPr>
        <w:keepNext/>
        <w:keepLines/>
        <w:autoSpaceDE w:val="0"/>
        <w:autoSpaceDN w:val="0"/>
        <w:adjustRightInd w:val="0"/>
        <w:rPr>
          <w:rFonts w:ascii="Garamond" w:hAnsi="Garamond"/>
          <w:lang w:val="en-AU"/>
        </w:rPr>
      </w:pPr>
    </w:p>
    <w:p w:rsidR="00624F52" w:rsidRPr="00624F52" w:rsidRDefault="00846A49" w:rsidP="00846A49">
      <w:pPr>
        <w:keepNext/>
        <w:keepLines/>
        <w:autoSpaceDE w:val="0"/>
        <w:autoSpaceDN w:val="0"/>
        <w:adjustRightInd w:val="0"/>
        <w:rPr>
          <w:rFonts w:ascii="Garamond" w:hAnsi="Garamond"/>
          <w:lang w:val="en-AU"/>
        </w:rPr>
      </w:pPr>
      <w:r w:rsidRPr="00846A49">
        <w:rPr>
          <w:rFonts w:ascii="Garamond" w:hAnsi="Garamond"/>
          <w:lang w:val="en-AU"/>
        </w:rPr>
        <w:t xml:space="preserve">For questions, contact our Indicator Development team on 02 9126 3600 or email </w:t>
      </w:r>
      <w:hyperlink r:id="rId18" w:history="1">
        <w:r w:rsidRPr="003331B5">
          <w:rPr>
            <w:rStyle w:val="Hyperlink"/>
            <w:rFonts w:ascii="Garamond" w:hAnsi="Garamond"/>
            <w:lang w:val="en-AU"/>
          </w:rPr>
          <w:t>indicators@safetyandquality.gov.au</w:t>
        </w:r>
      </w:hyperlink>
      <w:r w:rsidRPr="00846A49">
        <w:rPr>
          <w:rFonts w:ascii="Garamond" w:hAnsi="Garamond"/>
          <w:lang w:val="en-AU"/>
        </w:rPr>
        <w:t>.</w:t>
      </w:r>
      <w:r>
        <w:rPr>
          <w:rFonts w:ascii="Garamond" w:hAnsi="Garamond"/>
          <w:lang w:val="en-AU"/>
        </w:rPr>
        <w:t xml:space="preserve"> </w:t>
      </w:r>
    </w:p>
    <w:p w:rsidR="00846A49" w:rsidRDefault="00846A49">
      <w:pPr>
        <w:rPr>
          <w:rFonts w:ascii="Garamond" w:hAnsi="Garamond"/>
          <w:b/>
          <w:lang w:val="en-AU"/>
        </w:rPr>
      </w:pPr>
      <w:r>
        <w:rPr>
          <w:rFonts w:ascii="Garamond" w:hAnsi="Garamond"/>
          <w:b/>
          <w:lang w:val="en-AU"/>
        </w:rPr>
        <w:br w:type="page"/>
      </w:r>
    </w:p>
    <w:p w:rsidR="00282D29" w:rsidRDefault="00282D29">
      <w:pPr>
        <w:rPr>
          <w:rFonts w:ascii="Garamond" w:hAnsi="Garamond"/>
          <w:b/>
          <w:lang w:val="en-AU"/>
        </w:rPr>
      </w:pPr>
      <w:r>
        <w:rPr>
          <w:rFonts w:ascii="Garamond" w:hAnsi="Garamond"/>
          <w:b/>
          <w:lang w:val="en-AU"/>
        </w:rPr>
        <w:lastRenderedPageBreak/>
        <w:t>Reports</w:t>
      </w:r>
    </w:p>
    <w:p w:rsidR="00C3692E" w:rsidRDefault="00C3692E" w:rsidP="00C3692E">
      <w:pPr>
        <w:keepLines/>
        <w:autoSpaceDE w:val="0"/>
        <w:autoSpaceDN w:val="0"/>
        <w:adjustRightInd w:val="0"/>
        <w:rPr>
          <w:rFonts w:ascii="Garamond" w:hAnsi="Garamond"/>
          <w:lang w:val="en-AU"/>
        </w:rPr>
      </w:pPr>
    </w:p>
    <w:p w:rsidR="00D4757F" w:rsidRPr="009F2B79" w:rsidRDefault="000A3D26" w:rsidP="00D85F32">
      <w:pPr>
        <w:keepLines/>
        <w:autoSpaceDE w:val="0"/>
        <w:autoSpaceDN w:val="0"/>
        <w:adjustRightInd w:val="0"/>
        <w:rPr>
          <w:rFonts w:ascii="Garamond" w:hAnsi="Garamond"/>
          <w:i/>
          <w:lang w:val="en-AU"/>
        </w:rPr>
      </w:pPr>
      <w:r w:rsidRPr="009F2B79">
        <w:rPr>
          <w:rFonts w:ascii="Garamond" w:hAnsi="Garamond"/>
          <w:i/>
          <w:lang w:val="en-AU"/>
        </w:rPr>
        <w:t>Spinal Services. GIRFT programme national speciality report. Jan</w:t>
      </w:r>
      <w:r w:rsidR="00D4757F" w:rsidRPr="009F2B79">
        <w:rPr>
          <w:rFonts w:ascii="Garamond" w:hAnsi="Garamond"/>
          <w:i/>
          <w:lang w:val="en-AU"/>
        </w:rPr>
        <w:t>uary 2019</w:t>
      </w:r>
    </w:p>
    <w:p w:rsidR="009F2B79" w:rsidRDefault="009F2B79" w:rsidP="00D85F32">
      <w:pPr>
        <w:keepLines/>
        <w:autoSpaceDE w:val="0"/>
        <w:autoSpaceDN w:val="0"/>
        <w:adjustRightInd w:val="0"/>
        <w:rPr>
          <w:rFonts w:ascii="Garamond" w:hAnsi="Garamond"/>
          <w:lang w:val="en-AU"/>
        </w:rPr>
      </w:pPr>
      <w:r w:rsidRPr="009F2B79">
        <w:rPr>
          <w:rFonts w:ascii="Garamond" w:hAnsi="Garamond"/>
          <w:lang w:val="en-AU"/>
        </w:rPr>
        <w:t>Hutton M</w:t>
      </w:r>
    </w:p>
    <w:p w:rsidR="00D4757F" w:rsidRDefault="009F2B79" w:rsidP="00D85F32">
      <w:pPr>
        <w:keepLines/>
        <w:autoSpaceDE w:val="0"/>
        <w:autoSpaceDN w:val="0"/>
        <w:adjustRightInd w:val="0"/>
        <w:rPr>
          <w:rFonts w:ascii="Garamond" w:hAnsi="Garamond"/>
          <w:lang w:val="en-AU"/>
        </w:rPr>
      </w:pPr>
      <w:r w:rsidRPr="009F2B79">
        <w:rPr>
          <w:rFonts w:ascii="Garamond" w:hAnsi="Garamond"/>
          <w:lang w:val="en-AU"/>
        </w:rPr>
        <w:t>London: NHS Improvement; 2019. p. 101.</w:t>
      </w:r>
    </w:p>
    <w:tbl>
      <w:tblPr>
        <w:tblStyle w:val="TableGrid"/>
        <w:tblW w:w="0" w:type="auto"/>
        <w:tblInd w:w="288" w:type="dxa"/>
        <w:tblLayout w:type="fixed"/>
        <w:tblLook w:val="01E0" w:firstRow="1" w:lastRow="1" w:firstColumn="1" w:lastColumn="1" w:noHBand="0" w:noVBand="0"/>
      </w:tblPr>
      <w:tblGrid>
        <w:gridCol w:w="1080"/>
        <w:gridCol w:w="8280"/>
      </w:tblGrid>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A64A9" w:rsidRPr="000170DA" w:rsidRDefault="004C3D5A" w:rsidP="00D4757F">
            <w:pPr>
              <w:rPr>
                <w:rStyle w:val="Hyperlink"/>
                <w:rFonts w:ascii="Garamond" w:hAnsi="Garamond"/>
                <w:color w:val="auto"/>
                <w:u w:val="none"/>
                <w:lang w:val="en-AU"/>
              </w:rPr>
            </w:pPr>
            <w:hyperlink r:id="rId19" w:history="1">
              <w:r w:rsidR="007A64A9" w:rsidRPr="00B30810">
                <w:rPr>
                  <w:rStyle w:val="Hyperlink"/>
                  <w:rFonts w:ascii="Garamond" w:hAnsi="Garamond"/>
                  <w:lang w:val="en-AU"/>
                </w:rPr>
                <w:t>https://gettingitrightfirsttime.co.uk/spinal-surgery-report/</w:t>
              </w:r>
            </w:hyperlink>
            <w:r w:rsidR="007A64A9">
              <w:rPr>
                <w:rStyle w:val="Hyperlink"/>
                <w:rFonts w:ascii="Garamond" w:hAnsi="Garamond"/>
                <w:color w:val="auto"/>
                <w:u w:val="none"/>
                <w:lang w:val="en-AU"/>
              </w:rPr>
              <w:t xml:space="preserve"> </w:t>
            </w:r>
          </w:p>
        </w:tc>
      </w:tr>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5F32" w:rsidRDefault="00D4757F" w:rsidP="007A64A9">
            <w:pPr>
              <w:rPr>
                <w:rFonts w:ascii="Garamond" w:hAnsi="Garamond"/>
                <w:lang w:val="en-AU"/>
              </w:rPr>
            </w:pPr>
            <w:r>
              <w:rPr>
                <w:rFonts w:ascii="Garamond" w:hAnsi="Garamond"/>
                <w:lang w:val="en-AU"/>
              </w:rPr>
              <w:t xml:space="preserve">The UK’s </w:t>
            </w:r>
            <w:r w:rsidRPr="00D4757F">
              <w:rPr>
                <w:rFonts w:ascii="Garamond" w:hAnsi="Garamond"/>
                <w:lang w:val="en-AU"/>
              </w:rPr>
              <w:t>Getting it Right First Time</w:t>
            </w:r>
            <w:r>
              <w:rPr>
                <w:rFonts w:ascii="Garamond" w:hAnsi="Garamond"/>
                <w:lang w:val="en-AU"/>
              </w:rPr>
              <w:t xml:space="preserve"> (GIRFT) has released this report on spinal treatment that reports variation in the management of l</w:t>
            </w:r>
            <w:r w:rsidRPr="00D4757F">
              <w:rPr>
                <w:rFonts w:ascii="Garamond" w:hAnsi="Garamond"/>
                <w:lang w:val="en-AU"/>
              </w:rPr>
              <w:t>ower back and radicular</w:t>
            </w:r>
            <w:r w:rsidR="007A64A9">
              <w:rPr>
                <w:rFonts w:ascii="Garamond" w:hAnsi="Garamond"/>
                <w:lang w:val="en-AU"/>
              </w:rPr>
              <w:t xml:space="preserve"> </w:t>
            </w:r>
            <w:r w:rsidR="007A64A9" w:rsidRPr="007A64A9">
              <w:rPr>
                <w:rFonts w:ascii="Garamond" w:hAnsi="Garamond"/>
                <w:lang w:val="en-AU"/>
              </w:rPr>
              <w:t>(sciatica</w:t>
            </w:r>
            <w:r w:rsidR="007A64A9">
              <w:rPr>
                <w:rFonts w:ascii="Garamond" w:hAnsi="Garamond"/>
                <w:lang w:val="en-AU"/>
              </w:rPr>
              <w:t>)</w:t>
            </w:r>
            <w:r w:rsidRPr="00D4757F">
              <w:rPr>
                <w:rFonts w:ascii="Garamond" w:hAnsi="Garamond"/>
                <w:lang w:val="en-AU"/>
              </w:rPr>
              <w:t xml:space="preserve"> pain in Englan</w:t>
            </w:r>
            <w:r>
              <w:rPr>
                <w:rFonts w:ascii="Garamond" w:hAnsi="Garamond"/>
                <w:lang w:val="en-AU"/>
              </w:rPr>
              <w:t xml:space="preserve">d. Some of this </w:t>
            </w:r>
            <w:r w:rsidR="007A64A9">
              <w:rPr>
                <w:rFonts w:ascii="Garamond" w:hAnsi="Garamond"/>
                <w:lang w:val="en-AU"/>
              </w:rPr>
              <w:t xml:space="preserve">treatment </w:t>
            </w:r>
            <w:r>
              <w:rPr>
                <w:rFonts w:ascii="Garamond" w:hAnsi="Garamond"/>
                <w:lang w:val="en-AU"/>
              </w:rPr>
              <w:t>is also in contradiction to existing guidance.</w:t>
            </w:r>
            <w:r w:rsidR="007A64A9">
              <w:rPr>
                <w:rFonts w:ascii="Garamond" w:hAnsi="Garamond"/>
                <w:lang w:val="en-AU"/>
              </w:rPr>
              <w:t xml:space="preserve"> For example, in ‘</w:t>
            </w:r>
            <w:r w:rsidR="007A64A9" w:rsidRPr="007A64A9">
              <w:rPr>
                <w:rFonts w:ascii="Garamond" w:hAnsi="Garamond"/>
                <w:lang w:val="en-AU"/>
              </w:rPr>
              <w:t>2015 to 2018 an average of 5.7% of patients with back pain received three or more facet joint injections in a year despite evidence and guidance advising against them</w:t>
            </w:r>
            <w:r w:rsidR="007A64A9">
              <w:rPr>
                <w:rFonts w:ascii="Garamond" w:hAnsi="Garamond"/>
                <w:lang w:val="en-AU"/>
              </w:rPr>
              <w:t>’, with t</w:t>
            </w:r>
            <w:r w:rsidR="007A64A9" w:rsidRPr="007A64A9">
              <w:rPr>
                <w:rFonts w:ascii="Garamond" w:hAnsi="Garamond"/>
                <w:lang w:val="en-AU"/>
              </w:rPr>
              <w:t xml:space="preserve">he annual cost of repeat injections estimated </w:t>
            </w:r>
            <w:r w:rsidR="007A64A9">
              <w:rPr>
                <w:rFonts w:ascii="Garamond" w:hAnsi="Garamond"/>
                <w:lang w:val="en-AU"/>
              </w:rPr>
              <w:t xml:space="preserve">to be </w:t>
            </w:r>
            <w:r w:rsidR="007A64A9" w:rsidRPr="007A64A9">
              <w:rPr>
                <w:rFonts w:ascii="Garamond" w:hAnsi="Garamond"/>
                <w:lang w:val="en-AU"/>
              </w:rPr>
              <w:t>£10.5m.</w:t>
            </w:r>
            <w:r w:rsidR="007A64A9">
              <w:rPr>
                <w:rFonts w:ascii="Garamond" w:hAnsi="Garamond"/>
                <w:lang w:val="en-AU"/>
              </w:rPr>
              <w:t xml:space="preserve"> The report recommends that patients receiving these injections should receive </w:t>
            </w:r>
            <w:r w:rsidR="007A64A9" w:rsidRPr="007A64A9">
              <w:rPr>
                <w:rFonts w:ascii="Garamond" w:hAnsi="Garamond"/>
                <w:lang w:val="en-AU"/>
              </w:rPr>
              <w:t>longer-term physical and psychological rehabilitation programmes</w:t>
            </w:r>
            <w:r w:rsidR="007A64A9">
              <w:rPr>
                <w:rFonts w:ascii="Garamond" w:hAnsi="Garamond"/>
                <w:lang w:val="en-AU"/>
              </w:rPr>
              <w:t xml:space="preserve">, ideally </w:t>
            </w:r>
            <w:r w:rsidR="007A64A9" w:rsidRPr="007A64A9">
              <w:rPr>
                <w:rFonts w:ascii="Garamond" w:hAnsi="Garamond"/>
                <w:lang w:val="en-AU"/>
              </w:rPr>
              <w:t xml:space="preserve">to </w:t>
            </w:r>
            <w:r w:rsidR="007A64A9">
              <w:rPr>
                <w:rFonts w:ascii="Garamond" w:hAnsi="Garamond"/>
                <w:lang w:val="en-AU"/>
              </w:rPr>
              <w:t>home.</w:t>
            </w:r>
          </w:p>
          <w:p w:rsidR="007A64A9" w:rsidRDefault="007A64A9" w:rsidP="007A64A9">
            <w:pPr>
              <w:rPr>
                <w:rFonts w:ascii="Garamond" w:hAnsi="Garamond"/>
                <w:lang w:val="en-AU"/>
              </w:rPr>
            </w:pPr>
            <w:r>
              <w:rPr>
                <w:rFonts w:ascii="Garamond" w:hAnsi="Garamond"/>
                <w:lang w:val="en-AU"/>
              </w:rPr>
              <w:t xml:space="preserve">The report contains 22 </w:t>
            </w:r>
            <w:r w:rsidRPr="007A64A9">
              <w:rPr>
                <w:rFonts w:ascii="Garamond" w:hAnsi="Garamond"/>
                <w:lang w:val="en-AU"/>
              </w:rPr>
              <w:t xml:space="preserve">recommendations </w:t>
            </w:r>
            <w:r>
              <w:rPr>
                <w:rFonts w:ascii="Garamond" w:hAnsi="Garamond"/>
                <w:lang w:val="en-AU"/>
              </w:rPr>
              <w:t xml:space="preserve">that offer </w:t>
            </w:r>
            <w:r w:rsidRPr="007A64A9">
              <w:rPr>
                <w:rFonts w:ascii="Garamond" w:hAnsi="Garamond"/>
                <w:lang w:val="en-AU"/>
              </w:rPr>
              <w:t xml:space="preserve">opportunities to improve the patient experience through earlier discharge from hospital, reducing cancelled operations and ensuring trusts are equipped to deliver the best care in the most-timely manner. It is estimated </w:t>
            </w:r>
            <w:r>
              <w:rPr>
                <w:rFonts w:ascii="Garamond" w:hAnsi="Garamond"/>
                <w:lang w:val="en-AU"/>
              </w:rPr>
              <w:t xml:space="preserve">that </w:t>
            </w:r>
            <w:r w:rsidRPr="007A64A9">
              <w:rPr>
                <w:rFonts w:ascii="Garamond" w:hAnsi="Garamond"/>
                <w:lang w:val="en-AU"/>
              </w:rPr>
              <w:t>the recommendations could deliver cost efficiencies of up to £27m.</w:t>
            </w:r>
            <w:r>
              <w:rPr>
                <w:rFonts w:ascii="Garamond" w:hAnsi="Garamond"/>
                <w:lang w:val="en-AU"/>
              </w:rPr>
              <w:t xml:space="preserve"> The recommendations focus on better and more patient-centric care, for example:</w:t>
            </w:r>
          </w:p>
          <w:p w:rsidR="007A64A9" w:rsidRPr="007A64A9" w:rsidRDefault="007A64A9" w:rsidP="007A64A9">
            <w:pPr>
              <w:pStyle w:val="ListParagraph"/>
              <w:numPr>
                <w:ilvl w:val="0"/>
                <w:numId w:val="42"/>
              </w:numPr>
              <w:rPr>
                <w:rFonts w:ascii="Garamond" w:hAnsi="Garamond"/>
                <w:lang w:val="en-AU"/>
              </w:rPr>
            </w:pPr>
            <w:r w:rsidRPr="007A64A9">
              <w:rPr>
                <w:rFonts w:ascii="Garamond" w:hAnsi="Garamond"/>
                <w:lang w:val="en-AU"/>
              </w:rPr>
              <w:t xml:space="preserve">For patients with suspected cauda equina syndrome, referral without delay to 24 hour magnetic resonance imaging </w:t>
            </w:r>
            <w:r>
              <w:rPr>
                <w:rFonts w:ascii="Garamond" w:hAnsi="Garamond"/>
                <w:lang w:val="en-AU"/>
              </w:rPr>
              <w:t xml:space="preserve">(MRI) </w:t>
            </w:r>
            <w:r w:rsidRPr="007A64A9">
              <w:rPr>
                <w:rFonts w:ascii="Garamond" w:hAnsi="Garamond"/>
                <w:lang w:val="en-AU"/>
              </w:rPr>
              <w:t xml:space="preserve">scanning in hospitals. </w:t>
            </w:r>
            <w:r>
              <w:rPr>
                <w:rFonts w:ascii="Garamond" w:hAnsi="Garamond"/>
                <w:lang w:val="en-AU"/>
              </w:rPr>
              <w:t>I</w:t>
            </w:r>
            <w:r w:rsidRPr="007A64A9">
              <w:rPr>
                <w:rFonts w:ascii="Garamond" w:hAnsi="Garamond"/>
                <w:lang w:val="en-AU"/>
              </w:rPr>
              <w:t xml:space="preserve">f not treated quickly </w:t>
            </w:r>
            <w:r>
              <w:rPr>
                <w:rFonts w:ascii="Garamond" w:hAnsi="Garamond"/>
                <w:lang w:val="en-AU"/>
              </w:rPr>
              <w:t xml:space="preserve">this condition </w:t>
            </w:r>
            <w:r w:rsidRPr="007A64A9">
              <w:rPr>
                <w:rFonts w:ascii="Garamond" w:hAnsi="Garamond"/>
                <w:lang w:val="en-AU"/>
              </w:rPr>
              <w:t>can lead to a range of disabilities including permanent limb paralysis and permanent loss of bowel and bladder function.</w:t>
            </w:r>
          </w:p>
          <w:p w:rsidR="007A64A9" w:rsidRPr="007A64A9" w:rsidRDefault="007A64A9" w:rsidP="007A64A9">
            <w:pPr>
              <w:pStyle w:val="ListParagraph"/>
              <w:numPr>
                <w:ilvl w:val="0"/>
                <w:numId w:val="42"/>
              </w:numPr>
              <w:rPr>
                <w:rFonts w:ascii="Garamond" w:hAnsi="Garamond"/>
                <w:lang w:val="en-AU"/>
              </w:rPr>
            </w:pPr>
            <w:r>
              <w:rPr>
                <w:rFonts w:ascii="Garamond" w:hAnsi="Garamond"/>
                <w:lang w:val="en-AU"/>
              </w:rPr>
              <w:t>A</w:t>
            </w:r>
            <w:r w:rsidRPr="007A64A9">
              <w:rPr>
                <w:rFonts w:ascii="Garamond" w:hAnsi="Garamond"/>
                <w:lang w:val="en-AU"/>
              </w:rPr>
              <w:t>ll major trauma centres should have 24/7 ability to stabilise and decompress the spine in patients with a fractured or dislocated spine. The median time from injury to surgery is one day, but a third of patients wait two days or more.</w:t>
            </w:r>
          </w:p>
          <w:p w:rsidR="007A64A9" w:rsidRPr="007A64A9" w:rsidRDefault="007A64A9" w:rsidP="007A64A9">
            <w:pPr>
              <w:pStyle w:val="ListParagraph"/>
              <w:numPr>
                <w:ilvl w:val="0"/>
                <w:numId w:val="42"/>
              </w:numPr>
              <w:rPr>
                <w:rFonts w:ascii="Garamond" w:hAnsi="Garamond"/>
                <w:lang w:val="en-AU"/>
              </w:rPr>
            </w:pPr>
            <w:r>
              <w:rPr>
                <w:rFonts w:ascii="Garamond" w:hAnsi="Garamond"/>
                <w:lang w:val="en-AU"/>
              </w:rPr>
              <w:t xml:space="preserve">Changes to the </w:t>
            </w:r>
            <w:r w:rsidRPr="007A64A9">
              <w:rPr>
                <w:rFonts w:ascii="Garamond" w:hAnsi="Garamond"/>
                <w:lang w:val="en-AU"/>
              </w:rPr>
              <w:t xml:space="preserve">referral pathway </w:t>
            </w:r>
            <w:r>
              <w:rPr>
                <w:rFonts w:ascii="Garamond" w:hAnsi="Garamond"/>
                <w:lang w:val="en-AU"/>
              </w:rPr>
              <w:t xml:space="preserve">for </w:t>
            </w:r>
            <w:r w:rsidRPr="007A64A9">
              <w:rPr>
                <w:rFonts w:ascii="Garamond" w:hAnsi="Garamond"/>
                <w:lang w:val="en-AU"/>
              </w:rPr>
              <w:t xml:space="preserve">patients </w:t>
            </w:r>
            <w:r>
              <w:rPr>
                <w:rFonts w:ascii="Garamond" w:hAnsi="Garamond"/>
                <w:lang w:val="en-AU"/>
              </w:rPr>
              <w:t xml:space="preserve">with </w:t>
            </w:r>
            <w:r w:rsidRPr="007A64A9">
              <w:rPr>
                <w:rFonts w:ascii="Garamond" w:hAnsi="Garamond"/>
                <w:lang w:val="en-AU"/>
              </w:rPr>
              <w:t xml:space="preserve">paediatric spinal deformity surgery </w:t>
            </w:r>
            <w:r>
              <w:rPr>
                <w:rFonts w:ascii="Garamond" w:hAnsi="Garamond"/>
                <w:lang w:val="en-AU"/>
              </w:rPr>
              <w:t>to reduce waiting times and risk of cancellation.</w:t>
            </w:r>
          </w:p>
        </w:tc>
      </w:tr>
    </w:tbl>
    <w:p w:rsidR="00846A49" w:rsidRDefault="00846A49" w:rsidP="00C17C82">
      <w:pPr>
        <w:keepNext/>
        <w:ind w:left="720" w:hanging="720"/>
        <w:rPr>
          <w:rFonts w:ascii="Garamond" w:hAnsi="Garamond"/>
          <w:b/>
          <w:lang w:val="en-AU"/>
        </w:rPr>
      </w:pPr>
    </w:p>
    <w:p w:rsidR="00846A49" w:rsidRDefault="00846A49" w:rsidP="00C17C82">
      <w:pPr>
        <w:keepNext/>
        <w:ind w:left="720" w:hanging="720"/>
        <w:rPr>
          <w:rFonts w:ascii="Garamond" w:hAnsi="Garamond"/>
          <w:b/>
          <w:lang w:val="en-AU"/>
        </w:rPr>
      </w:pPr>
    </w:p>
    <w:p w:rsidR="001E327F" w:rsidRDefault="001E327F" w:rsidP="00C17C82">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846A49" w:rsidRPr="00A86878" w:rsidRDefault="00846A49" w:rsidP="00846A49">
      <w:pPr>
        <w:keepNext/>
        <w:keepLines/>
        <w:autoSpaceDE w:val="0"/>
        <w:autoSpaceDN w:val="0"/>
        <w:adjustRightInd w:val="0"/>
        <w:rPr>
          <w:rFonts w:ascii="Garamond" w:hAnsi="Garamond"/>
          <w:i/>
          <w:lang w:val="en-AU"/>
        </w:rPr>
      </w:pPr>
      <w:r w:rsidRPr="00A86878">
        <w:rPr>
          <w:rFonts w:ascii="Garamond" w:hAnsi="Garamond"/>
          <w:i/>
          <w:lang w:val="en-AU"/>
        </w:rPr>
        <w:t>Exercise for preventing falls in older people living in the community</w:t>
      </w:r>
    </w:p>
    <w:p w:rsidR="00846A49" w:rsidRDefault="00846A49" w:rsidP="00846A49">
      <w:pPr>
        <w:keepNext/>
        <w:keepLines/>
        <w:autoSpaceDE w:val="0"/>
        <w:autoSpaceDN w:val="0"/>
        <w:adjustRightInd w:val="0"/>
        <w:rPr>
          <w:rFonts w:ascii="Garamond" w:hAnsi="Garamond"/>
          <w:lang w:val="en-AU"/>
        </w:rPr>
      </w:pPr>
      <w:r w:rsidRPr="00EB0285">
        <w:rPr>
          <w:rFonts w:ascii="Garamond" w:hAnsi="Garamond"/>
          <w:lang w:val="en-AU"/>
        </w:rPr>
        <w:t xml:space="preserve">Sherrington C, </w:t>
      </w:r>
      <w:proofErr w:type="spellStart"/>
      <w:r w:rsidRPr="00EB0285">
        <w:rPr>
          <w:rFonts w:ascii="Garamond" w:hAnsi="Garamond"/>
          <w:lang w:val="en-AU"/>
        </w:rPr>
        <w:t>Fairhall</w:t>
      </w:r>
      <w:proofErr w:type="spellEnd"/>
      <w:r w:rsidRPr="00EB0285">
        <w:rPr>
          <w:rFonts w:ascii="Garamond" w:hAnsi="Garamond"/>
          <w:lang w:val="en-AU"/>
        </w:rPr>
        <w:t xml:space="preserve"> NJ, </w:t>
      </w:r>
      <w:proofErr w:type="spellStart"/>
      <w:r w:rsidRPr="00EB0285">
        <w:rPr>
          <w:rFonts w:ascii="Garamond" w:hAnsi="Garamond"/>
          <w:lang w:val="en-AU"/>
        </w:rPr>
        <w:t>Wallbank</w:t>
      </w:r>
      <w:proofErr w:type="spellEnd"/>
      <w:r w:rsidRPr="00EB0285">
        <w:rPr>
          <w:rFonts w:ascii="Garamond" w:hAnsi="Garamond"/>
          <w:lang w:val="en-AU"/>
        </w:rPr>
        <w:t xml:space="preserve"> GK, Tiedemann A, A MZ, Howard K, et al</w:t>
      </w:r>
    </w:p>
    <w:p w:rsidR="00846A49" w:rsidRPr="00E566B0" w:rsidRDefault="00846A49" w:rsidP="00846A49">
      <w:pPr>
        <w:keepNext/>
        <w:keepLines/>
        <w:autoSpaceDE w:val="0"/>
        <w:autoSpaceDN w:val="0"/>
        <w:adjustRightInd w:val="0"/>
        <w:rPr>
          <w:rFonts w:ascii="Garamond" w:hAnsi="Garamond"/>
          <w:lang w:val="en-AU"/>
        </w:rPr>
      </w:pPr>
      <w:proofErr w:type="gramStart"/>
      <w:r w:rsidRPr="00EB0285">
        <w:rPr>
          <w:rFonts w:ascii="Garamond" w:hAnsi="Garamond"/>
          <w:lang w:val="en-AU"/>
        </w:rPr>
        <w:t>Cochrane Database of Systematic Reviews 2019.</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46A49"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846A49" w:rsidRPr="000170DA" w:rsidRDefault="00846A49" w:rsidP="001D684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46A49" w:rsidRPr="000170DA" w:rsidRDefault="004C3D5A" w:rsidP="001D6846">
            <w:pPr>
              <w:rPr>
                <w:rStyle w:val="Hyperlink"/>
                <w:rFonts w:ascii="Garamond" w:hAnsi="Garamond"/>
                <w:color w:val="auto"/>
                <w:u w:val="none"/>
                <w:lang w:val="en-AU"/>
              </w:rPr>
            </w:pPr>
            <w:hyperlink r:id="rId20" w:history="1">
              <w:r w:rsidR="00846A49" w:rsidRPr="00BE3F02">
                <w:rPr>
                  <w:rStyle w:val="Hyperlink"/>
                  <w:rFonts w:ascii="Garamond" w:hAnsi="Garamond"/>
                  <w:lang w:val="en-AU"/>
                </w:rPr>
                <w:t>https://doi.org/10.1002/14651858.CD012424.pub2</w:t>
              </w:r>
            </w:hyperlink>
          </w:p>
        </w:tc>
      </w:tr>
      <w:tr w:rsidR="00846A49"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846A49" w:rsidRPr="000170DA" w:rsidRDefault="00846A49" w:rsidP="001D684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46A49" w:rsidRPr="00831B85" w:rsidRDefault="00846A49" w:rsidP="001D6846">
            <w:pPr>
              <w:rPr>
                <w:rFonts w:ascii="Garamond" w:hAnsi="Garamond"/>
                <w:lang w:val="en-AU"/>
              </w:rPr>
            </w:pPr>
            <w:r>
              <w:rPr>
                <w:rFonts w:ascii="Garamond" w:hAnsi="Garamond"/>
                <w:lang w:val="en-AU"/>
              </w:rPr>
              <w:t xml:space="preserve">This Cochrane review sought to </w:t>
            </w:r>
            <w:r w:rsidRPr="00A86878">
              <w:rPr>
                <w:rFonts w:ascii="Garamond" w:hAnsi="Garamond"/>
                <w:lang w:val="en-AU"/>
              </w:rPr>
              <w:t>assess the effects (benefits and harms) of exercise interventions for preventing falls in older people living in the community</w:t>
            </w:r>
            <w:r>
              <w:rPr>
                <w:rFonts w:ascii="Garamond" w:hAnsi="Garamond"/>
                <w:lang w:val="en-AU"/>
              </w:rPr>
              <w:t xml:space="preserve">. Based on 108 randomised </w:t>
            </w:r>
            <w:r w:rsidRPr="00A86878">
              <w:rPr>
                <w:rFonts w:ascii="Garamond" w:hAnsi="Garamond"/>
                <w:lang w:val="en-AU"/>
              </w:rPr>
              <w:t>controlled trials</w:t>
            </w:r>
            <w:r>
              <w:rPr>
                <w:rFonts w:ascii="Garamond" w:hAnsi="Garamond"/>
                <w:lang w:val="en-AU"/>
              </w:rPr>
              <w:t xml:space="preserve"> (RCTs) </w:t>
            </w:r>
            <w:r w:rsidRPr="00A86878">
              <w:rPr>
                <w:rFonts w:ascii="Garamond" w:hAnsi="Garamond"/>
                <w:lang w:val="en-AU"/>
              </w:rPr>
              <w:t>with 23,407 participants</w:t>
            </w:r>
            <w:r>
              <w:rPr>
                <w:rFonts w:ascii="Garamond" w:hAnsi="Garamond"/>
                <w:lang w:val="en-AU"/>
              </w:rPr>
              <w:t xml:space="preserve"> the authors report ‘</w:t>
            </w:r>
            <w:r w:rsidRPr="00A86878">
              <w:rPr>
                <w:rFonts w:ascii="Garamond" w:hAnsi="Garamond"/>
                <w:b/>
                <w:lang w:val="en-AU"/>
              </w:rPr>
              <w:t>Exercise programmes reduce the rate of falls and the number of people experiencing falls in older people living in the community</w:t>
            </w:r>
            <w:r w:rsidRPr="00A86878">
              <w:rPr>
                <w:rFonts w:ascii="Garamond" w:hAnsi="Garamond"/>
                <w:lang w:val="en-AU"/>
              </w:rPr>
              <w:t xml:space="preserve"> (high-certainty evidence).</w:t>
            </w:r>
            <w:r>
              <w:rPr>
                <w:rFonts w:ascii="Garamond" w:hAnsi="Garamond"/>
                <w:lang w:val="en-AU"/>
              </w:rPr>
              <w:t>’ They went on to observe that ‘The ex</w:t>
            </w:r>
            <w:r w:rsidRPr="00A86878">
              <w:rPr>
                <w:rFonts w:ascii="Garamond" w:hAnsi="Garamond"/>
                <w:lang w:val="en-AU"/>
              </w:rPr>
              <w:t xml:space="preserve">ercise programmes that reduce falls primarily involve </w:t>
            </w:r>
            <w:r w:rsidRPr="00A86878">
              <w:rPr>
                <w:rFonts w:ascii="Garamond" w:hAnsi="Garamond"/>
                <w:b/>
                <w:lang w:val="en-AU"/>
              </w:rPr>
              <w:t>balance and functional exercises</w:t>
            </w:r>
            <w:r w:rsidRPr="00A86878">
              <w:rPr>
                <w:rFonts w:ascii="Garamond" w:hAnsi="Garamond"/>
                <w:lang w:val="en-AU"/>
              </w:rPr>
              <w:t>, while programmes that probably reduce falls include multiple exercise categories (typically balance and functional exercises plus resistance exercises). Tai Chi may also prevent falls but we are uncertain of the effect of resistance exercise (without balance and functional exercises), dance, or walking on the rate of falls.</w:t>
            </w:r>
            <w:r>
              <w:rPr>
                <w:rFonts w:ascii="Garamond" w:hAnsi="Garamond"/>
                <w:lang w:val="en-AU"/>
              </w:rPr>
              <w:t>’</w:t>
            </w:r>
          </w:p>
        </w:tc>
      </w:tr>
    </w:tbl>
    <w:p w:rsidR="00846A49" w:rsidRDefault="00846A49" w:rsidP="00846A49">
      <w:pPr>
        <w:rPr>
          <w:rFonts w:ascii="Garamond" w:hAnsi="Garamond"/>
          <w:i/>
          <w:lang w:val="en-AU"/>
        </w:rPr>
      </w:pPr>
    </w:p>
    <w:p w:rsidR="00846A49" w:rsidRDefault="00846A49" w:rsidP="00846A49">
      <w:pPr>
        <w:keepNext/>
        <w:keepLines/>
        <w:autoSpaceDE w:val="0"/>
        <w:autoSpaceDN w:val="0"/>
        <w:adjustRightInd w:val="0"/>
        <w:rPr>
          <w:rFonts w:ascii="Garamond" w:hAnsi="Garamond"/>
          <w:lang w:val="en-AU"/>
        </w:rPr>
      </w:pPr>
      <w:r w:rsidRPr="006E0777">
        <w:rPr>
          <w:rFonts w:ascii="Garamond" w:hAnsi="Garamond"/>
          <w:lang w:val="en-AU"/>
        </w:rPr>
        <w:lastRenderedPageBreak/>
        <w:t xml:space="preserve">For information on the Commission’s work on </w:t>
      </w:r>
      <w:r>
        <w:rPr>
          <w:rFonts w:ascii="Garamond" w:hAnsi="Garamond"/>
          <w:lang w:val="en-AU"/>
        </w:rPr>
        <w:t>falls prevention</w:t>
      </w:r>
      <w:r w:rsidRPr="006E0777">
        <w:rPr>
          <w:rFonts w:ascii="Garamond" w:hAnsi="Garamond"/>
          <w:lang w:val="en-AU"/>
        </w:rPr>
        <w:t>, see</w:t>
      </w:r>
      <w:r>
        <w:rPr>
          <w:rFonts w:ascii="Garamond" w:hAnsi="Garamond"/>
          <w:lang w:val="en-AU"/>
        </w:rPr>
        <w:t xml:space="preserve"> </w:t>
      </w:r>
      <w:hyperlink r:id="rId21" w:history="1">
        <w:r w:rsidRPr="00BE3F02">
          <w:rPr>
            <w:rStyle w:val="Hyperlink"/>
            <w:rFonts w:ascii="Garamond" w:hAnsi="Garamond"/>
            <w:lang w:val="en-AU"/>
          </w:rPr>
          <w:t>https://www.safetyandquality.gov.au/our-work/falls-prevention/</w:t>
        </w:r>
      </w:hyperlink>
    </w:p>
    <w:p w:rsidR="00846A49" w:rsidRDefault="00846A49" w:rsidP="00846A49">
      <w:pPr>
        <w:keepNext/>
        <w:keepLines/>
        <w:autoSpaceDE w:val="0"/>
        <w:autoSpaceDN w:val="0"/>
        <w:adjustRightInd w:val="0"/>
        <w:rPr>
          <w:rFonts w:ascii="Garamond" w:hAnsi="Garamond"/>
          <w:lang w:val="en-AU"/>
        </w:rPr>
      </w:pPr>
    </w:p>
    <w:p w:rsidR="00831B85" w:rsidRPr="004603C9" w:rsidRDefault="004603C9" w:rsidP="00831B85">
      <w:pPr>
        <w:keepNext/>
        <w:keepLines/>
        <w:autoSpaceDE w:val="0"/>
        <w:autoSpaceDN w:val="0"/>
        <w:adjustRightInd w:val="0"/>
        <w:rPr>
          <w:rFonts w:ascii="Garamond" w:hAnsi="Garamond"/>
          <w:i/>
          <w:lang w:val="en-AU"/>
        </w:rPr>
      </w:pPr>
      <w:r w:rsidRPr="004603C9">
        <w:rPr>
          <w:rFonts w:ascii="Garamond" w:hAnsi="Garamond"/>
          <w:i/>
          <w:lang w:val="en-AU"/>
        </w:rPr>
        <w:t>New guidelines from the Thrombosis and Haemostasis Society of Australia and New Zealand for the diagnosis and management of venous thromboembolism</w:t>
      </w:r>
    </w:p>
    <w:p w:rsidR="008A0FAC" w:rsidRDefault="008A0FAC" w:rsidP="00831B85">
      <w:pPr>
        <w:keepNext/>
        <w:keepLines/>
        <w:autoSpaceDE w:val="0"/>
        <w:autoSpaceDN w:val="0"/>
        <w:adjustRightInd w:val="0"/>
        <w:rPr>
          <w:rFonts w:ascii="Garamond" w:hAnsi="Garamond"/>
          <w:lang w:val="en-AU"/>
        </w:rPr>
      </w:pPr>
      <w:r w:rsidRPr="008A0FAC">
        <w:rPr>
          <w:rFonts w:ascii="Garamond" w:hAnsi="Garamond"/>
          <w:lang w:val="en-AU"/>
        </w:rPr>
        <w:t>Tran HA, Gibbs H, Merriman E, Curnow JL, Young L, Bennett A, et al.</w:t>
      </w:r>
    </w:p>
    <w:p w:rsidR="00E5659D" w:rsidRPr="00E566B0" w:rsidRDefault="008A0FAC" w:rsidP="00831B85">
      <w:pPr>
        <w:keepNext/>
        <w:keepLines/>
        <w:autoSpaceDE w:val="0"/>
        <w:autoSpaceDN w:val="0"/>
        <w:adjustRightInd w:val="0"/>
        <w:rPr>
          <w:rFonts w:ascii="Garamond" w:hAnsi="Garamond"/>
          <w:lang w:val="en-AU"/>
        </w:rPr>
      </w:pPr>
      <w:r w:rsidRPr="008A0FAC">
        <w:rPr>
          <w:rFonts w:ascii="Garamond" w:hAnsi="Garamond"/>
          <w:lang w:val="en-AU"/>
        </w:rPr>
        <w:t>Medical Journal of Australia 2019.</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4C3D5A" w:rsidP="007C3E5C">
            <w:pPr>
              <w:rPr>
                <w:rStyle w:val="Hyperlink"/>
                <w:rFonts w:ascii="Garamond" w:hAnsi="Garamond"/>
                <w:color w:val="auto"/>
                <w:u w:val="none"/>
                <w:lang w:val="en-AU"/>
              </w:rPr>
            </w:pPr>
            <w:hyperlink r:id="rId22" w:history="1">
              <w:r w:rsidR="004603C9" w:rsidRPr="00B30810">
                <w:rPr>
                  <w:rStyle w:val="Hyperlink"/>
                  <w:rFonts w:ascii="Garamond" w:hAnsi="Garamond"/>
                  <w:lang w:val="en-AU"/>
                </w:rPr>
                <w:t>https://doi.org/10.5694/mja2.50004</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A305BE" w:rsidP="00A305BE">
            <w:pPr>
              <w:rPr>
                <w:rFonts w:ascii="Garamond" w:hAnsi="Garamond"/>
                <w:lang w:val="en-AU"/>
              </w:rPr>
            </w:pPr>
            <w:r>
              <w:rPr>
                <w:rFonts w:ascii="Garamond" w:hAnsi="Garamond"/>
                <w:lang w:val="en-AU"/>
              </w:rPr>
              <w:t>As the abstract for this paper notes, v</w:t>
            </w:r>
            <w:r w:rsidRPr="00A305BE">
              <w:rPr>
                <w:rFonts w:ascii="Garamond" w:hAnsi="Garamond"/>
                <w:lang w:val="en-AU"/>
              </w:rPr>
              <w:t>enous thromboembolism</w:t>
            </w:r>
            <w:r>
              <w:rPr>
                <w:rFonts w:ascii="Garamond" w:hAnsi="Garamond"/>
                <w:lang w:val="en-AU"/>
              </w:rPr>
              <w:t xml:space="preserve"> (VTE)</w:t>
            </w:r>
            <w:r w:rsidRPr="00A305BE">
              <w:rPr>
                <w:rFonts w:ascii="Garamond" w:hAnsi="Garamond"/>
                <w:lang w:val="en-AU"/>
              </w:rPr>
              <w:t>, including deep vein thrombosis (DVT) and pulmonary embolism (PE), is the third most common cardiovascular disease and, globally, more than an estimated 10 million people have it yearly. It is a chronic and recurrent disease.</w:t>
            </w:r>
            <w:r>
              <w:rPr>
                <w:rFonts w:ascii="Garamond" w:hAnsi="Garamond"/>
                <w:lang w:val="en-AU"/>
              </w:rPr>
              <w:t xml:space="preserve"> VTE is also a common </w:t>
            </w:r>
            <w:r w:rsidRPr="00A305BE">
              <w:rPr>
                <w:rFonts w:ascii="Garamond" w:hAnsi="Garamond"/>
                <w:lang w:val="en-AU"/>
              </w:rPr>
              <w:t>hospital-acquired complication (HAC)</w:t>
            </w:r>
            <w:r>
              <w:rPr>
                <w:rFonts w:ascii="Garamond" w:hAnsi="Garamond"/>
                <w:lang w:val="en-AU"/>
              </w:rPr>
              <w:t xml:space="preserve">. A HAC is </w:t>
            </w:r>
            <w:r w:rsidRPr="00A305BE">
              <w:rPr>
                <w:rFonts w:ascii="Garamond" w:hAnsi="Garamond"/>
                <w:lang w:val="en-AU"/>
              </w:rPr>
              <w:t>a complication for which clinical risk mitigation strategies may reduce (but not necessarily eliminate) the risk of that complication occurring</w:t>
            </w:r>
            <w:r>
              <w:rPr>
                <w:rFonts w:ascii="Garamond" w:hAnsi="Garamond"/>
                <w:lang w:val="en-AU"/>
              </w:rPr>
              <w:t>.</w:t>
            </w:r>
          </w:p>
          <w:p w:rsidR="00A305BE" w:rsidRDefault="00A305BE" w:rsidP="00A305BE">
            <w:pPr>
              <w:rPr>
                <w:rFonts w:ascii="Garamond" w:hAnsi="Garamond"/>
                <w:lang w:val="en-AU"/>
              </w:rPr>
            </w:pPr>
            <w:r>
              <w:rPr>
                <w:rFonts w:ascii="Garamond" w:hAnsi="Garamond"/>
                <w:lang w:val="en-AU"/>
              </w:rPr>
              <w:t xml:space="preserve">This paper in the </w:t>
            </w:r>
            <w:r w:rsidRPr="00333E20">
              <w:rPr>
                <w:rFonts w:ascii="Garamond" w:hAnsi="Garamond"/>
                <w:i/>
                <w:lang w:val="en-AU"/>
              </w:rPr>
              <w:t>Medical Journal of Australia</w:t>
            </w:r>
            <w:r>
              <w:rPr>
                <w:rFonts w:ascii="Garamond" w:hAnsi="Garamond"/>
                <w:lang w:val="en-AU"/>
              </w:rPr>
              <w:t xml:space="preserve"> reports on the recent development of guidelines </w:t>
            </w:r>
            <w:r w:rsidRPr="00A305BE">
              <w:rPr>
                <w:rFonts w:ascii="Garamond" w:hAnsi="Garamond"/>
                <w:lang w:val="en-AU"/>
              </w:rPr>
              <w:t>for the diagnosis and management of DVT and PE on behalf of the Thrombosis and Haemostasis Society of Australia and New Zealand</w:t>
            </w:r>
            <w:r>
              <w:rPr>
                <w:rFonts w:ascii="Garamond" w:hAnsi="Garamond"/>
                <w:lang w:val="en-AU"/>
              </w:rPr>
              <w:t>.</w:t>
            </w:r>
            <w:r w:rsidR="008A0FAC">
              <w:rPr>
                <w:rFonts w:ascii="Garamond" w:hAnsi="Garamond"/>
                <w:lang w:val="en-AU"/>
              </w:rPr>
              <w:t xml:space="preserve"> The main recommendations include:</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Diagnosis of VTE should be established with imaging; it may be excluded by the use of clinical prediction rules combined with D</w:t>
            </w:r>
            <w:r w:rsidRPr="008A0FAC">
              <w:rPr>
                <w:rFonts w:ascii="Cambria Math" w:hAnsi="Cambria Math" w:cs="Cambria Math"/>
                <w:lang w:val="en-AU"/>
              </w:rPr>
              <w:t>‐</w:t>
            </w:r>
            <w:r w:rsidRPr="008A0FAC">
              <w:rPr>
                <w:rFonts w:ascii="Garamond" w:hAnsi="Garamond"/>
                <w:lang w:val="en-AU"/>
              </w:rPr>
              <w:t>dimer testing.</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Proximal DVT or PE caused by a major surgery or trauma that is no longer present should be treated with anticoagulant therapy for 3 months.</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Proximal DVT or PE that is unprovoked or associated with a transient risk factor (non</w:t>
            </w:r>
            <w:r w:rsidRPr="008A0FAC">
              <w:rPr>
                <w:rFonts w:ascii="Cambria Math" w:hAnsi="Cambria Math" w:cs="Cambria Math"/>
                <w:lang w:val="en-AU"/>
              </w:rPr>
              <w:t>‐</w:t>
            </w:r>
            <w:r w:rsidRPr="008A0FAC">
              <w:rPr>
                <w:rFonts w:ascii="Garamond" w:hAnsi="Garamond"/>
                <w:lang w:val="en-AU"/>
              </w:rPr>
              <w:t>surgical) should be treated with anticoagulant therapy for 3–6 months.</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Proximal DVT or PE that is recurrent (two or more) and provoked by active cancer or antiphospholipid syndrome should receive extended anticoagulation.</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Distal DVT caused by a major provoking factor that is no longer present should be treated with anticoagulant therapy for 6 weeks.</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For patients continuing with extended anticoagulant therapy, either therapeutic or low dose direct oral anticoagulants can be prescribed and is preferred over warfarin in the absence of contraindications.</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Routine thrombophilia testing is not indicated.</w:t>
            </w:r>
          </w:p>
          <w:p w:rsidR="008A0FAC" w:rsidRPr="008A0FAC" w:rsidRDefault="008A0FAC" w:rsidP="008A0FAC">
            <w:pPr>
              <w:pStyle w:val="ListParagraph"/>
              <w:numPr>
                <w:ilvl w:val="0"/>
                <w:numId w:val="41"/>
              </w:numPr>
              <w:rPr>
                <w:rFonts w:ascii="Garamond" w:hAnsi="Garamond"/>
                <w:lang w:val="en-AU"/>
              </w:rPr>
            </w:pPr>
            <w:r w:rsidRPr="008A0FAC">
              <w:rPr>
                <w:rFonts w:ascii="Garamond" w:hAnsi="Garamond"/>
                <w:lang w:val="en-AU"/>
              </w:rPr>
              <w:t>Thrombolysis or a suitable alternative is indicated for massive (haemodynamically unstable) PE.</w:t>
            </w:r>
          </w:p>
          <w:p w:rsidR="00A305BE" w:rsidRPr="00831B85" w:rsidRDefault="008A0FAC" w:rsidP="008A0FAC">
            <w:pPr>
              <w:rPr>
                <w:rFonts w:ascii="Garamond" w:hAnsi="Garamond"/>
                <w:lang w:val="en-AU"/>
              </w:rPr>
            </w:pPr>
            <w:r>
              <w:rPr>
                <w:rFonts w:ascii="Garamond" w:hAnsi="Garamond"/>
                <w:lang w:val="en-AU"/>
              </w:rPr>
              <w:t>The major change</w:t>
            </w:r>
            <w:r w:rsidRPr="008A0FAC">
              <w:rPr>
                <w:rFonts w:ascii="Garamond" w:hAnsi="Garamond"/>
                <w:lang w:val="en-AU"/>
              </w:rPr>
              <w:t xml:space="preserve"> in management as a result of the guideline</w:t>
            </w:r>
            <w:r>
              <w:rPr>
                <w:rFonts w:ascii="Garamond" w:hAnsi="Garamond"/>
                <w:lang w:val="en-AU"/>
              </w:rPr>
              <w:t xml:space="preserve"> is that m</w:t>
            </w:r>
            <w:r w:rsidRPr="008A0FAC">
              <w:rPr>
                <w:rFonts w:ascii="Garamond" w:hAnsi="Garamond"/>
                <w:lang w:val="en-AU"/>
              </w:rPr>
              <w:t>ost patients with acute VTE should be treated with a factor Xa inhibitor and be assessed for extended anticoagulation.</w:t>
            </w:r>
            <w:r>
              <w:rPr>
                <w:rFonts w:ascii="Garamond" w:hAnsi="Garamond"/>
                <w:lang w:val="en-AU"/>
              </w:rPr>
              <w:t xml:space="preserve"> </w:t>
            </w:r>
          </w:p>
        </w:tc>
      </w:tr>
    </w:tbl>
    <w:p w:rsidR="00831B85" w:rsidRDefault="00831B85" w:rsidP="00831B85">
      <w:pPr>
        <w:rPr>
          <w:rFonts w:ascii="Garamond" w:hAnsi="Garamond"/>
          <w:i/>
          <w:lang w:val="en-AU"/>
        </w:rPr>
      </w:pPr>
    </w:p>
    <w:p w:rsidR="003836B6" w:rsidRPr="003836B6" w:rsidRDefault="003836B6" w:rsidP="00831B85">
      <w:pPr>
        <w:rPr>
          <w:rFonts w:ascii="Garamond" w:hAnsi="Garamond"/>
          <w:lang w:val="en-AU"/>
        </w:rPr>
      </w:pPr>
      <w:r w:rsidRPr="003836B6">
        <w:rPr>
          <w:rFonts w:ascii="Garamond" w:hAnsi="Garamond"/>
          <w:lang w:val="en-AU"/>
        </w:rPr>
        <w:t xml:space="preserve">For information about the Commission’s work, including the </w:t>
      </w:r>
      <w:r>
        <w:rPr>
          <w:rFonts w:ascii="Garamond" w:hAnsi="Garamond"/>
          <w:lang w:val="en-AU"/>
        </w:rPr>
        <w:t xml:space="preserve">2018 </w:t>
      </w:r>
      <w:r w:rsidRPr="003836B6">
        <w:rPr>
          <w:rFonts w:ascii="Garamond" w:hAnsi="Garamond"/>
          <w:i/>
          <w:lang w:val="en-AU"/>
        </w:rPr>
        <w:t>Venous Thromboembolism Prevention Clinical Care Standard</w:t>
      </w:r>
      <w:r>
        <w:rPr>
          <w:rFonts w:ascii="Garamond" w:hAnsi="Garamond"/>
          <w:lang w:val="en-AU"/>
        </w:rPr>
        <w:t xml:space="preserve">, </w:t>
      </w:r>
      <w:r w:rsidRPr="003836B6">
        <w:rPr>
          <w:rFonts w:ascii="Garamond" w:hAnsi="Garamond"/>
          <w:lang w:val="en-AU"/>
        </w:rPr>
        <w:t xml:space="preserve">see </w:t>
      </w:r>
      <w:hyperlink r:id="rId23" w:history="1">
        <w:r w:rsidRPr="00B30810">
          <w:rPr>
            <w:rStyle w:val="Hyperlink"/>
            <w:rFonts w:ascii="Garamond" w:hAnsi="Garamond"/>
            <w:lang w:val="en-AU"/>
          </w:rPr>
          <w:t>https://www.safetyandquality.gov.au/our-work/clinical-care-standards/venous-thromboembolism-prevention-clinical-care-standard/</w:t>
        </w:r>
      </w:hyperlink>
    </w:p>
    <w:p w:rsidR="00831B85" w:rsidRDefault="00831B85" w:rsidP="00831B85">
      <w:pPr>
        <w:keepNext/>
        <w:keepLines/>
        <w:autoSpaceDE w:val="0"/>
        <w:autoSpaceDN w:val="0"/>
        <w:adjustRightInd w:val="0"/>
        <w:rPr>
          <w:rFonts w:ascii="Garamond" w:hAnsi="Garamond"/>
          <w:lang w:val="en-AU"/>
        </w:rPr>
      </w:pPr>
    </w:p>
    <w:p w:rsidR="00846A49" w:rsidRDefault="00846A49">
      <w:pPr>
        <w:rPr>
          <w:rFonts w:ascii="Garamond" w:hAnsi="Garamond"/>
          <w:i/>
          <w:lang w:val="en-AU"/>
        </w:rPr>
      </w:pPr>
      <w:r>
        <w:rPr>
          <w:rFonts w:ascii="Garamond" w:hAnsi="Garamond"/>
          <w:i/>
          <w:lang w:val="en-AU"/>
        </w:rPr>
        <w:br w:type="page"/>
      </w:r>
    </w:p>
    <w:p w:rsidR="00693E8D" w:rsidRPr="00693E8D" w:rsidRDefault="00693E8D" w:rsidP="00693E8D">
      <w:pPr>
        <w:keepNext/>
        <w:keepLines/>
        <w:autoSpaceDE w:val="0"/>
        <w:autoSpaceDN w:val="0"/>
        <w:adjustRightInd w:val="0"/>
        <w:rPr>
          <w:rFonts w:ascii="Garamond" w:hAnsi="Garamond"/>
          <w:i/>
          <w:lang w:val="en-AU"/>
        </w:rPr>
      </w:pPr>
      <w:r w:rsidRPr="00693E8D">
        <w:rPr>
          <w:rFonts w:ascii="Garamond" w:hAnsi="Garamond"/>
          <w:i/>
          <w:lang w:val="en-AU"/>
        </w:rPr>
        <w:lastRenderedPageBreak/>
        <w:t>2018 Update on Medical Overuse</w:t>
      </w:r>
    </w:p>
    <w:p w:rsidR="00693E8D" w:rsidRDefault="00693E8D" w:rsidP="00831B85">
      <w:pPr>
        <w:keepNext/>
        <w:keepLines/>
        <w:autoSpaceDE w:val="0"/>
        <w:autoSpaceDN w:val="0"/>
        <w:adjustRightInd w:val="0"/>
        <w:rPr>
          <w:rFonts w:ascii="Garamond" w:hAnsi="Garamond"/>
          <w:lang w:val="en-AU"/>
        </w:rPr>
      </w:pPr>
      <w:r w:rsidRPr="00693E8D">
        <w:rPr>
          <w:rFonts w:ascii="Garamond" w:hAnsi="Garamond"/>
          <w:lang w:val="en-AU"/>
        </w:rPr>
        <w:t>Morgan DJ, Dhruva SS, Coon ER, Wright SM, Korenstein D</w:t>
      </w:r>
    </w:p>
    <w:p w:rsidR="00E5659D" w:rsidRPr="00E566B0" w:rsidRDefault="00E5659D" w:rsidP="00831B85">
      <w:pPr>
        <w:keepNext/>
        <w:keepLines/>
        <w:autoSpaceDE w:val="0"/>
        <w:autoSpaceDN w:val="0"/>
        <w:adjustRightInd w:val="0"/>
        <w:rPr>
          <w:rFonts w:ascii="Garamond" w:hAnsi="Garamond"/>
          <w:lang w:val="en-AU"/>
        </w:rPr>
      </w:pPr>
      <w:r w:rsidRPr="00E5659D">
        <w:rPr>
          <w:rFonts w:ascii="Garamond" w:hAnsi="Garamond"/>
          <w:lang w:val="en-AU"/>
        </w:rPr>
        <w:t>JAMA Internal Medicine. 2019;179(2):240-6.</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4C3D5A" w:rsidP="007C3E5C">
            <w:pPr>
              <w:rPr>
                <w:rStyle w:val="Hyperlink"/>
                <w:rFonts w:ascii="Garamond" w:hAnsi="Garamond"/>
                <w:color w:val="auto"/>
                <w:u w:val="none"/>
                <w:lang w:val="en-AU"/>
              </w:rPr>
            </w:pPr>
            <w:hyperlink r:id="rId24" w:history="1">
              <w:r w:rsidR="00693E8D" w:rsidRPr="00B30810">
                <w:rPr>
                  <w:rStyle w:val="Hyperlink"/>
                  <w:rFonts w:ascii="Garamond" w:hAnsi="Garamond"/>
                  <w:lang w:val="en-AU"/>
                </w:rPr>
                <w:t>https://doi.org/10.1001/jamainternmed.2018.5748</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1E327F" w:rsidP="001E327F">
            <w:pPr>
              <w:rPr>
                <w:rFonts w:ascii="Garamond" w:hAnsi="Garamond"/>
                <w:lang w:val="en-AU"/>
              </w:rPr>
            </w:pPr>
            <w:r>
              <w:rPr>
                <w:rFonts w:ascii="Garamond" w:hAnsi="Garamond"/>
                <w:lang w:val="en-AU"/>
              </w:rPr>
              <w:t>With the emergence of the issue of ‘overuse’ these authors have for a number of years now provided an update on the key literature in the field. In this, their update for 2018, the authors identified 1446 articles, of which 910 addressed medical overuse. From those, 111 were deemed relevant with 10 being selected as the most influential on the consensus of the authors. The selected articles included findings that:</w:t>
            </w:r>
          </w:p>
          <w:p w:rsidR="0027202F" w:rsidRDefault="006657F4" w:rsidP="006657F4">
            <w:pPr>
              <w:pStyle w:val="ListParagraph"/>
              <w:numPr>
                <w:ilvl w:val="0"/>
                <w:numId w:val="44"/>
              </w:numPr>
              <w:rPr>
                <w:rFonts w:ascii="Garamond" w:hAnsi="Garamond"/>
                <w:lang w:val="en-AU"/>
              </w:rPr>
            </w:pPr>
            <w:r w:rsidRPr="0027202F">
              <w:rPr>
                <w:rFonts w:ascii="Garamond" w:hAnsi="Garamond"/>
                <w:b/>
                <w:lang w:val="en-AU"/>
              </w:rPr>
              <w:t>unnecessary electrocardiograms</w:t>
            </w:r>
            <w:r w:rsidRPr="006657F4">
              <w:rPr>
                <w:rFonts w:ascii="Garamond" w:hAnsi="Garamond"/>
                <w:lang w:val="en-AU"/>
              </w:rPr>
              <w:t xml:space="preserve"> are common (performed in 22% of patients at low risk) and can lead to a cascade of services</w:t>
            </w:r>
          </w:p>
          <w:p w:rsidR="0027202F" w:rsidRDefault="006657F4" w:rsidP="006657F4">
            <w:pPr>
              <w:pStyle w:val="ListParagraph"/>
              <w:numPr>
                <w:ilvl w:val="0"/>
                <w:numId w:val="44"/>
              </w:numPr>
              <w:rPr>
                <w:rFonts w:ascii="Garamond" w:hAnsi="Garamond"/>
                <w:lang w:val="en-AU"/>
              </w:rPr>
            </w:pPr>
            <w:r w:rsidRPr="0027202F">
              <w:rPr>
                <w:rFonts w:ascii="Garamond" w:hAnsi="Garamond"/>
                <w:b/>
                <w:lang w:val="en-AU"/>
              </w:rPr>
              <w:t>lipid monitoring</w:t>
            </w:r>
            <w:r w:rsidRPr="006657F4">
              <w:rPr>
                <w:rFonts w:ascii="Garamond" w:hAnsi="Garamond"/>
                <w:lang w:val="en-AU"/>
              </w:rPr>
              <w:t xml:space="preserve"> rarely affects care</w:t>
            </w:r>
          </w:p>
          <w:p w:rsidR="0027202F" w:rsidRDefault="006657F4" w:rsidP="006657F4">
            <w:pPr>
              <w:pStyle w:val="ListParagraph"/>
              <w:numPr>
                <w:ilvl w:val="0"/>
                <w:numId w:val="44"/>
              </w:numPr>
              <w:rPr>
                <w:rFonts w:ascii="Garamond" w:hAnsi="Garamond"/>
                <w:lang w:val="en-AU"/>
              </w:rPr>
            </w:pPr>
            <w:r w:rsidRPr="006657F4">
              <w:rPr>
                <w:rFonts w:ascii="Garamond" w:hAnsi="Garamond"/>
                <w:lang w:val="en-AU"/>
              </w:rPr>
              <w:t xml:space="preserve">patients who were </w:t>
            </w:r>
            <w:r w:rsidRPr="0027202F">
              <w:rPr>
                <w:rFonts w:ascii="Garamond" w:hAnsi="Garamond"/>
                <w:b/>
                <w:lang w:val="en-AU"/>
              </w:rPr>
              <w:t>overdiagnosed with cancer</w:t>
            </w:r>
            <w:r w:rsidRPr="006657F4">
              <w:rPr>
                <w:rFonts w:ascii="Garamond" w:hAnsi="Garamond"/>
                <w:lang w:val="en-AU"/>
              </w:rPr>
              <w:t xml:space="preserve"> experienced anxiety and criticism about not seeking treatment</w:t>
            </w:r>
          </w:p>
          <w:p w:rsidR="0027202F" w:rsidRDefault="006657F4" w:rsidP="006657F4">
            <w:pPr>
              <w:pStyle w:val="ListParagraph"/>
              <w:numPr>
                <w:ilvl w:val="0"/>
                <w:numId w:val="44"/>
              </w:numPr>
              <w:rPr>
                <w:rFonts w:ascii="Garamond" w:hAnsi="Garamond"/>
                <w:lang w:val="en-AU"/>
              </w:rPr>
            </w:pPr>
            <w:r w:rsidRPr="0027202F">
              <w:rPr>
                <w:rFonts w:ascii="Garamond" w:hAnsi="Garamond"/>
                <w:b/>
                <w:lang w:val="en-AU"/>
              </w:rPr>
              <w:t>calcium and vitamin D supplementation</w:t>
            </w:r>
            <w:r w:rsidRPr="006657F4">
              <w:rPr>
                <w:rFonts w:ascii="Garamond" w:hAnsi="Garamond"/>
                <w:lang w:val="en-AU"/>
              </w:rPr>
              <w:t xml:space="preserve"> does not reduce </w:t>
            </w:r>
            <w:r w:rsidRPr="0027202F">
              <w:rPr>
                <w:rFonts w:ascii="Garamond" w:hAnsi="Garamond"/>
                <w:b/>
                <w:lang w:val="en-AU"/>
              </w:rPr>
              <w:t>hip fracture</w:t>
            </w:r>
          </w:p>
          <w:p w:rsidR="0027202F" w:rsidRDefault="006657F4" w:rsidP="006657F4">
            <w:pPr>
              <w:pStyle w:val="ListParagraph"/>
              <w:numPr>
                <w:ilvl w:val="0"/>
                <w:numId w:val="44"/>
              </w:numPr>
              <w:rPr>
                <w:rFonts w:ascii="Garamond" w:hAnsi="Garamond"/>
                <w:lang w:val="en-AU"/>
              </w:rPr>
            </w:pPr>
            <w:r w:rsidRPr="006657F4">
              <w:rPr>
                <w:rFonts w:ascii="Garamond" w:hAnsi="Garamond"/>
                <w:lang w:val="en-AU"/>
              </w:rPr>
              <w:t xml:space="preserve">pregabalin does not improve symptoms of </w:t>
            </w:r>
            <w:r w:rsidRPr="0027202F">
              <w:rPr>
                <w:rFonts w:ascii="Garamond" w:hAnsi="Garamond"/>
                <w:b/>
                <w:lang w:val="en-AU"/>
              </w:rPr>
              <w:t>sciatica</w:t>
            </w:r>
            <w:r w:rsidRPr="006657F4">
              <w:rPr>
                <w:rFonts w:ascii="Garamond" w:hAnsi="Garamond"/>
                <w:lang w:val="en-AU"/>
              </w:rPr>
              <w:t xml:space="preserve"> but frequently has adverse effects (40% of patients experienced dizziness)</w:t>
            </w:r>
          </w:p>
          <w:p w:rsidR="0027202F" w:rsidRDefault="0027202F" w:rsidP="006657F4">
            <w:pPr>
              <w:pStyle w:val="ListParagraph"/>
              <w:numPr>
                <w:ilvl w:val="0"/>
                <w:numId w:val="44"/>
              </w:numPr>
              <w:rPr>
                <w:rFonts w:ascii="Garamond" w:hAnsi="Garamond"/>
                <w:lang w:val="en-AU"/>
              </w:rPr>
            </w:pPr>
            <w:r w:rsidRPr="0027202F">
              <w:rPr>
                <w:rFonts w:ascii="Garamond" w:hAnsi="Garamond"/>
                <w:b/>
                <w:lang w:val="en-AU"/>
              </w:rPr>
              <w:t>a</w:t>
            </w:r>
            <w:r w:rsidR="006657F4" w:rsidRPr="0027202F">
              <w:rPr>
                <w:rFonts w:ascii="Garamond" w:hAnsi="Garamond"/>
                <w:b/>
                <w:lang w:val="en-AU"/>
              </w:rPr>
              <w:t>ntipsychotic medications</w:t>
            </w:r>
            <w:r w:rsidR="006657F4" w:rsidRPr="006657F4">
              <w:rPr>
                <w:rFonts w:ascii="Garamond" w:hAnsi="Garamond"/>
                <w:lang w:val="en-AU"/>
              </w:rPr>
              <w:t xml:space="preserve"> increased the </w:t>
            </w:r>
            <w:r w:rsidR="006657F4" w:rsidRPr="0027202F">
              <w:rPr>
                <w:rFonts w:ascii="Garamond" w:hAnsi="Garamond"/>
                <w:b/>
                <w:lang w:val="en-AU"/>
              </w:rPr>
              <w:t>severity of delirium</w:t>
            </w:r>
            <w:r w:rsidR="006657F4" w:rsidRPr="006657F4">
              <w:rPr>
                <w:rFonts w:ascii="Garamond" w:hAnsi="Garamond"/>
                <w:lang w:val="en-AU"/>
              </w:rPr>
              <w:t xml:space="preserve"> in patients receiving hospice care and were associated with an increased risk of death</w:t>
            </w:r>
          </w:p>
          <w:p w:rsidR="0027202F" w:rsidRDefault="006657F4" w:rsidP="006657F4">
            <w:pPr>
              <w:pStyle w:val="ListParagraph"/>
              <w:numPr>
                <w:ilvl w:val="0"/>
                <w:numId w:val="44"/>
              </w:numPr>
              <w:rPr>
                <w:rFonts w:ascii="Garamond" w:hAnsi="Garamond"/>
                <w:lang w:val="en-AU"/>
              </w:rPr>
            </w:pPr>
            <w:r w:rsidRPr="0027202F">
              <w:rPr>
                <w:rFonts w:ascii="Garamond" w:hAnsi="Garamond"/>
                <w:b/>
                <w:lang w:val="en-AU"/>
              </w:rPr>
              <w:t>robotic-assisted radical nephrectomy</w:t>
            </w:r>
            <w:r w:rsidRPr="006657F4">
              <w:rPr>
                <w:rFonts w:ascii="Garamond" w:hAnsi="Garamond"/>
                <w:lang w:val="en-AU"/>
              </w:rPr>
              <w:t xml:space="preserve"> was without benefits by being slower and more costly than laparoscopic surgery</w:t>
            </w:r>
          </w:p>
          <w:p w:rsidR="0027202F" w:rsidRDefault="0027202F" w:rsidP="0027202F">
            <w:pPr>
              <w:pStyle w:val="ListParagraph"/>
              <w:numPr>
                <w:ilvl w:val="0"/>
                <w:numId w:val="44"/>
              </w:numPr>
              <w:rPr>
                <w:rFonts w:ascii="Garamond" w:hAnsi="Garamond"/>
                <w:lang w:val="en-AU"/>
              </w:rPr>
            </w:pPr>
            <w:r>
              <w:rPr>
                <w:rFonts w:ascii="Garamond" w:hAnsi="Garamond"/>
                <w:lang w:val="en-AU"/>
              </w:rPr>
              <w:t>h</w:t>
            </w:r>
            <w:r w:rsidR="006657F4" w:rsidRPr="006657F4">
              <w:rPr>
                <w:rFonts w:ascii="Garamond" w:hAnsi="Garamond"/>
                <w:lang w:val="en-AU"/>
              </w:rPr>
              <w:t xml:space="preserve">igh-sensitivity </w:t>
            </w:r>
            <w:r w:rsidR="006657F4" w:rsidRPr="0027202F">
              <w:rPr>
                <w:rFonts w:ascii="Garamond" w:hAnsi="Garamond"/>
                <w:b/>
                <w:lang w:val="en-AU"/>
              </w:rPr>
              <w:t>troponin testing</w:t>
            </w:r>
            <w:r w:rsidR="006657F4" w:rsidRPr="006657F4">
              <w:rPr>
                <w:rFonts w:ascii="Garamond" w:hAnsi="Garamond"/>
                <w:lang w:val="en-AU"/>
              </w:rPr>
              <w:t xml:space="preserve"> often yielded false-positive results, as 16% of patients with positive troponin results in a US hospital had a myocardial infarction</w:t>
            </w:r>
          </w:p>
          <w:p w:rsidR="0027202F" w:rsidRDefault="00333E20" w:rsidP="0027202F">
            <w:pPr>
              <w:pStyle w:val="ListParagraph"/>
              <w:numPr>
                <w:ilvl w:val="0"/>
                <w:numId w:val="44"/>
              </w:numPr>
              <w:rPr>
                <w:rFonts w:ascii="Garamond" w:hAnsi="Garamond"/>
                <w:lang w:val="en-AU"/>
              </w:rPr>
            </w:pPr>
            <w:r>
              <w:rPr>
                <w:rFonts w:ascii="Garamond" w:hAnsi="Garamond"/>
                <w:lang w:val="en-AU"/>
              </w:rPr>
              <w:t>o</w:t>
            </w:r>
            <w:r w:rsidR="006657F4" w:rsidRPr="006657F4">
              <w:rPr>
                <w:rFonts w:ascii="Garamond" w:hAnsi="Garamond"/>
                <w:lang w:val="en-AU"/>
              </w:rPr>
              <w:t xml:space="preserve">ne-third of patients who received a diagnosis of </w:t>
            </w:r>
            <w:r w:rsidR="006657F4" w:rsidRPr="0027202F">
              <w:rPr>
                <w:rFonts w:ascii="Garamond" w:hAnsi="Garamond"/>
                <w:b/>
                <w:lang w:val="en-AU"/>
              </w:rPr>
              <w:t>asthma</w:t>
            </w:r>
            <w:r w:rsidR="0027202F">
              <w:rPr>
                <w:rFonts w:ascii="Garamond" w:hAnsi="Garamond"/>
                <w:lang w:val="en-AU"/>
              </w:rPr>
              <w:t xml:space="preserve"> had no evidence of asthma</w:t>
            </w:r>
          </w:p>
          <w:p w:rsidR="001E327F" w:rsidRPr="006657F4" w:rsidRDefault="0027202F" w:rsidP="0027202F">
            <w:pPr>
              <w:pStyle w:val="ListParagraph"/>
              <w:numPr>
                <w:ilvl w:val="0"/>
                <w:numId w:val="44"/>
              </w:numPr>
              <w:rPr>
                <w:rFonts w:ascii="Garamond" w:hAnsi="Garamond"/>
                <w:lang w:val="en-AU"/>
              </w:rPr>
            </w:pPr>
            <w:r>
              <w:rPr>
                <w:rFonts w:ascii="Garamond" w:hAnsi="Garamond"/>
                <w:lang w:val="en-AU"/>
              </w:rPr>
              <w:t>r</w:t>
            </w:r>
            <w:r w:rsidR="006657F4" w:rsidRPr="006657F4">
              <w:rPr>
                <w:rFonts w:ascii="Garamond" w:hAnsi="Garamond"/>
                <w:lang w:val="en-AU"/>
              </w:rPr>
              <w:t xml:space="preserve">estructuring the electronic health record was able to </w:t>
            </w:r>
            <w:r w:rsidR="006657F4" w:rsidRPr="0027202F">
              <w:rPr>
                <w:rFonts w:ascii="Garamond" w:hAnsi="Garamond"/>
                <w:b/>
                <w:lang w:val="en-AU"/>
              </w:rPr>
              <w:t>reduce unnecessary testing</w:t>
            </w:r>
            <w:r w:rsidR="006657F4" w:rsidRPr="006657F4">
              <w:rPr>
                <w:rFonts w:ascii="Garamond" w:hAnsi="Garamond"/>
                <w:lang w:val="en-AU"/>
              </w:rPr>
              <w:t xml:space="preserve"> (from 31.3 to 13.9 low-value tests performed per 100 patient visits).</w:t>
            </w:r>
          </w:p>
        </w:tc>
      </w:tr>
    </w:tbl>
    <w:p w:rsidR="004C3D5A" w:rsidRDefault="004C3D5A" w:rsidP="004C3D5A">
      <w:pPr>
        <w:rPr>
          <w:rFonts w:ascii="Garamond" w:hAnsi="Garamond"/>
          <w:i/>
          <w:lang w:val="en-AU"/>
        </w:rPr>
      </w:pPr>
    </w:p>
    <w:p w:rsidR="008B5BF4" w:rsidRPr="008B5BF4" w:rsidRDefault="008B5BF4" w:rsidP="008B5BF4">
      <w:pPr>
        <w:keepNext/>
        <w:keepLines/>
        <w:autoSpaceDE w:val="0"/>
        <w:autoSpaceDN w:val="0"/>
        <w:adjustRightInd w:val="0"/>
        <w:rPr>
          <w:rFonts w:ascii="Garamond" w:hAnsi="Garamond"/>
          <w:i/>
          <w:lang w:val="en-AU"/>
        </w:rPr>
      </w:pPr>
      <w:r w:rsidRPr="008B5BF4">
        <w:rPr>
          <w:rFonts w:ascii="Garamond" w:hAnsi="Garamond"/>
          <w:i/>
          <w:lang w:val="en-AU"/>
        </w:rPr>
        <w:t>Clinically Integrated Supply Chain Infrastructure in Health Systems: The Opportunity to Improve Quality and Safety</w:t>
      </w:r>
    </w:p>
    <w:p w:rsidR="008B5BF4" w:rsidRDefault="008B5BF4" w:rsidP="00831B85">
      <w:pPr>
        <w:keepNext/>
        <w:keepLines/>
        <w:autoSpaceDE w:val="0"/>
        <w:autoSpaceDN w:val="0"/>
        <w:adjustRightInd w:val="0"/>
        <w:rPr>
          <w:rFonts w:ascii="Garamond" w:hAnsi="Garamond"/>
          <w:lang w:val="en-AU"/>
        </w:rPr>
      </w:pPr>
      <w:r w:rsidRPr="008B5BF4">
        <w:rPr>
          <w:rFonts w:ascii="Garamond" w:hAnsi="Garamond"/>
          <w:lang w:val="en-AU"/>
        </w:rPr>
        <w:t>Snowdon AW</w:t>
      </w:r>
    </w:p>
    <w:p w:rsidR="00E5659D" w:rsidRPr="00E566B0" w:rsidRDefault="00E5659D" w:rsidP="00831B85">
      <w:pPr>
        <w:keepNext/>
        <w:keepLines/>
        <w:autoSpaceDE w:val="0"/>
        <w:autoSpaceDN w:val="0"/>
        <w:adjustRightInd w:val="0"/>
        <w:rPr>
          <w:rFonts w:ascii="Garamond" w:hAnsi="Garamond"/>
          <w:lang w:val="en-AU"/>
        </w:rPr>
      </w:pPr>
      <w:r w:rsidRPr="00E5659D">
        <w:rPr>
          <w:rFonts w:ascii="Garamond" w:hAnsi="Garamond"/>
          <w:lang w:val="en-AU"/>
        </w:rPr>
        <w:t>Healthcare Quarterly. 2018;21(3):20-3.</w:t>
      </w:r>
    </w:p>
    <w:tbl>
      <w:tblPr>
        <w:tblStyle w:val="TableGrid"/>
        <w:tblW w:w="0" w:type="auto"/>
        <w:tblInd w:w="288" w:type="dxa"/>
        <w:tblLayout w:type="fixed"/>
        <w:tblLook w:val="01E0" w:firstRow="1" w:lastRow="1" w:firstColumn="1" w:lastColumn="1" w:noHBand="0" w:noVBand="0"/>
      </w:tblPr>
      <w:tblGrid>
        <w:gridCol w:w="1080"/>
        <w:gridCol w:w="8280"/>
      </w:tblGrid>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Pr="000170DA" w:rsidRDefault="004C3D5A" w:rsidP="007C3E5C">
            <w:pPr>
              <w:rPr>
                <w:rStyle w:val="Hyperlink"/>
                <w:rFonts w:ascii="Garamond" w:hAnsi="Garamond"/>
                <w:color w:val="auto"/>
                <w:u w:val="none"/>
                <w:lang w:val="en-AU"/>
              </w:rPr>
            </w:pPr>
            <w:hyperlink r:id="rId25" w:history="1">
              <w:r w:rsidR="008B5BF4" w:rsidRPr="00BE3F02">
                <w:rPr>
                  <w:rStyle w:val="Hyperlink"/>
                  <w:rFonts w:ascii="Garamond" w:hAnsi="Garamond"/>
                  <w:lang w:val="en-AU"/>
                </w:rPr>
                <w:t>https://doi.org/10.12927/hcq.2018.25706</w:t>
              </w:r>
            </w:hyperlink>
          </w:p>
        </w:tc>
      </w:tr>
      <w:tr w:rsidR="00831B85" w:rsidRPr="000170DA" w:rsidTr="007C3E5C">
        <w:tc>
          <w:tcPr>
            <w:tcW w:w="1080" w:type="dxa"/>
            <w:tcBorders>
              <w:top w:val="single" w:sz="4" w:space="0" w:color="auto"/>
              <w:left w:val="single" w:sz="4" w:space="0" w:color="auto"/>
              <w:bottom w:val="single" w:sz="4" w:space="0" w:color="auto"/>
              <w:right w:val="single" w:sz="4" w:space="0" w:color="auto"/>
            </w:tcBorders>
            <w:vAlign w:val="center"/>
          </w:tcPr>
          <w:p w:rsidR="00831B85" w:rsidRPr="000170DA" w:rsidRDefault="00831B85" w:rsidP="007C3E5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1B85" w:rsidRDefault="0027202F" w:rsidP="007C3E5C">
            <w:pPr>
              <w:rPr>
                <w:rFonts w:ascii="Garamond" w:hAnsi="Garamond"/>
                <w:lang w:val="en-AU"/>
              </w:rPr>
            </w:pPr>
            <w:r>
              <w:rPr>
                <w:rFonts w:ascii="Garamond" w:hAnsi="Garamond"/>
                <w:lang w:val="en-AU"/>
              </w:rPr>
              <w:t xml:space="preserve">Item suggesting that suggests that improving </w:t>
            </w:r>
            <w:r w:rsidRPr="0027202F">
              <w:rPr>
                <w:rFonts w:ascii="Garamond" w:hAnsi="Garamond"/>
                <w:lang w:val="en-AU"/>
              </w:rPr>
              <w:t xml:space="preserve">supply chain infrastructure in clinical settings </w:t>
            </w:r>
            <w:r>
              <w:rPr>
                <w:rFonts w:ascii="Garamond" w:hAnsi="Garamond"/>
                <w:lang w:val="en-AU"/>
              </w:rPr>
              <w:t>could act as ‘</w:t>
            </w:r>
            <w:r w:rsidRPr="0027202F">
              <w:rPr>
                <w:rFonts w:ascii="Garamond" w:hAnsi="Garamond"/>
                <w:lang w:val="en-AU"/>
              </w:rPr>
              <w:t>system-level strategy to advance quality, reduce cost and strengthen patient safety in health systems</w:t>
            </w:r>
            <w:r>
              <w:rPr>
                <w:rFonts w:ascii="Garamond" w:hAnsi="Garamond"/>
                <w:lang w:val="en-AU"/>
              </w:rPr>
              <w:t>’</w:t>
            </w:r>
            <w:r w:rsidRPr="0027202F">
              <w:rPr>
                <w:rFonts w:ascii="Garamond" w:hAnsi="Garamond"/>
                <w:lang w:val="en-AU"/>
              </w:rPr>
              <w:t>.</w:t>
            </w:r>
            <w:r>
              <w:rPr>
                <w:rFonts w:ascii="Garamond" w:hAnsi="Garamond"/>
                <w:lang w:val="en-AU"/>
              </w:rPr>
              <w:t xml:space="preserve"> The belief is that transformations to efficiency and quality in other economic sectors could have similar (or even greater) benefits in health care. The authors suggest that implementing s</w:t>
            </w:r>
            <w:r w:rsidRPr="0027202F">
              <w:rPr>
                <w:rFonts w:ascii="Garamond" w:hAnsi="Garamond"/>
                <w:lang w:val="en-AU"/>
              </w:rPr>
              <w:t xml:space="preserve">upply chain technologies and processes </w:t>
            </w:r>
            <w:r>
              <w:rPr>
                <w:rFonts w:ascii="Garamond" w:hAnsi="Garamond"/>
                <w:lang w:val="en-AU"/>
              </w:rPr>
              <w:t xml:space="preserve">could </w:t>
            </w:r>
            <w:r w:rsidRPr="0027202F">
              <w:rPr>
                <w:rFonts w:ascii="Garamond" w:hAnsi="Garamond"/>
                <w:lang w:val="en-AU"/>
              </w:rPr>
              <w:t xml:space="preserve">improve health system performance and strengthen patient safety by </w:t>
            </w:r>
            <w:r>
              <w:rPr>
                <w:rFonts w:ascii="Garamond" w:hAnsi="Garamond"/>
                <w:lang w:val="en-AU"/>
              </w:rPr>
              <w:t>‘</w:t>
            </w:r>
            <w:r w:rsidRPr="0027202F">
              <w:rPr>
                <w:rFonts w:ascii="Garamond" w:hAnsi="Garamond"/>
                <w:lang w:val="en-AU"/>
              </w:rPr>
              <w:t>proactively identifying potential sources of error to enable clinicians to intervene to prevent adverse events</w:t>
            </w:r>
            <w:r>
              <w:rPr>
                <w:rFonts w:ascii="Garamond" w:hAnsi="Garamond"/>
                <w:lang w:val="en-AU"/>
              </w:rPr>
              <w:t xml:space="preserve">’. Some readers may consider that this is a rather optimistic view of the efficacy and utility of such solutions. Others may look to specific issues and limitations (such as how barcoding tends to be </w:t>
            </w:r>
            <w:r w:rsidR="00FD6C45">
              <w:rPr>
                <w:rFonts w:ascii="Garamond" w:hAnsi="Garamond"/>
                <w:lang w:val="en-AU"/>
              </w:rPr>
              <w:t>at the product level rather than the more granular level of an individual item, device, dosage, patient, etc. There are examples of closed loop systems that have implemented such granular systems and the issue of the journal in which this paper appears has three accompanying papers describing examples of supply chain infrastructure in a number of health systems in different countries.</w:t>
            </w:r>
          </w:p>
          <w:p w:rsidR="008B5BF4" w:rsidRPr="00831B85" w:rsidRDefault="008B5BF4" w:rsidP="007C3E5C">
            <w:pPr>
              <w:rPr>
                <w:rFonts w:ascii="Garamond" w:hAnsi="Garamond"/>
                <w:lang w:val="en-AU"/>
              </w:rPr>
            </w:pPr>
            <w:r>
              <w:rPr>
                <w:rFonts w:ascii="Garamond" w:hAnsi="Garamond"/>
                <w:noProof/>
                <w:lang w:val="en-AU" w:eastAsia="en-AU"/>
              </w:rPr>
              <w:lastRenderedPageBreak/>
              <w:drawing>
                <wp:inline distT="0" distB="0" distL="0" distR="0">
                  <wp:extent cx="5118100" cy="2308225"/>
                  <wp:effectExtent l="0" t="0" r="6350" b="0"/>
                  <wp:docPr id="1" name="Picture 1" title="Figure: The integrated supply chain pathway to quality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Snowdon-1-Fig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8100" cy="2308225"/>
                          </a:xfrm>
                          <a:prstGeom prst="rect">
                            <a:avLst/>
                          </a:prstGeom>
                          <a:noFill/>
                          <a:ln>
                            <a:noFill/>
                          </a:ln>
                        </pic:spPr>
                      </pic:pic>
                    </a:graphicData>
                  </a:graphic>
                </wp:inline>
              </w:drawing>
            </w:r>
          </w:p>
        </w:tc>
      </w:tr>
    </w:tbl>
    <w:p w:rsidR="004C3D5A" w:rsidRDefault="004C3D5A" w:rsidP="0095312D">
      <w:pPr>
        <w:keepNext/>
        <w:keepLines/>
        <w:autoSpaceDE w:val="0"/>
        <w:autoSpaceDN w:val="0"/>
        <w:adjustRightInd w:val="0"/>
        <w:rPr>
          <w:rFonts w:ascii="Garamond" w:hAnsi="Garamond"/>
          <w:i/>
          <w:lang w:val="en-AU"/>
        </w:rPr>
      </w:pPr>
    </w:p>
    <w:p w:rsidR="004C3D5A" w:rsidRPr="00B44C06" w:rsidRDefault="004C3D5A" w:rsidP="004C3D5A">
      <w:pPr>
        <w:keepNext/>
        <w:keepLines/>
        <w:autoSpaceDE w:val="0"/>
        <w:autoSpaceDN w:val="0"/>
        <w:adjustRightInd w:val="0"/>
        <w:rPr>
          <w:rFonts w:ascii="Garamond" w:hAnsi="Garamond"/>
          <w:i/>
          <w:lang w:val="en-AU"/>
        </w:rPr>
      </w:pPr>
      <w:r w:rsidRPr="00B44C06">
        <w:rPr>
          <w:rFonts w:ascii="Garamond" w:hAnsi="Garamond"/>
          <w:i/>
          <w:lang w:val="en-AU"/>
        </w:rPr>
        <w:t>The prevalence of perceptions of mismatch between treatment intensity and achievable goals of care in the intensive care unit: a cross-sectional study</w:t>
      </w:r>
    </w:p>
    <w:p w:rsidR="004C3D5A" w:rsidRDefault="004C3D5A" w:rsidP="004C3D5A">
      <w:pPr>
        <w:keepNext/>
        <w:keepLines/>
        <w:autoSpaceDE w:val="0"/>
        <w:autoSpaceDN w:val="0"/>
        <w:adjustRightInd w:val="0"/>
        <w:rPr>
          <w:rFonts w:ascii="Garamond" w:hAnsi="Garamond"/>
          <w:lang w:val="en-AU"/>
        </w:rPr>
      </w:pPr>
      <w:r w:rsidRPr="00543C88">
        <w:rPr>
          <w:rFonts w:ascii="Garamond" w:hAnsi="Garamond"/>
          <w:lang w:val="en-AU"/>
        </w:rPr>
        <w:t xml:space="preserve">Anstey MH, Litton E, </w:t>
      </w:r>
      <w:proofErr w:type="spellStart"/>
      <w:r w:rsidRPr="00543C88">
        <w:rPr>
          <w:rFonts w:ascii="Garamond" w:hAnsi="Garamond"/>
          <w:lang w:val="en-AU"/>
        </w:rPr>
        <w:t>Trevenen</w:t>
      </w:r>
      <w:proofErr w:type="spellEnd"/>
      <w:r w:rsidRPr="00543C88">
        <w:rPr>
          <w:rFonts w:ascii="Garamond" w:hAnsi="Garamond"/>
          <w:lang w:val="en-AU"/>
        </w:rPr>
        <w:t xml:space="preserve"> ML, Thompson K, Webb S, </w:t>
      </w:r>
      <w:proofErr w:type="spellStart"/>
      <w:r w:rsidRPr="00543C88">
        <w:rPr>
          <w:rFonts w:ascii="Garamond" w:hAnsi="Garamond"/>
          <w:lang w:val="en-AU"/>
        </w:rPr>
        <w:t>Seppelt</w:t>
      </w:r>
      <w:proofErr w:type="spellEnd"/>
      <w:r w:rsidRPr="00543C88">
        <w:rPr>
          <w:rFonts w:ascii="Garamond" w:hAnsi="Garamond"/>
          <w:lang w:val="en-AU"/>
        </w:rPr>
        <w:t xml:space="preserve"> I, et al</w:t>
      </w:r>
    </w:p>
    <w:p w:rsidR="004C3D5A" w:rsidRPr="00E566B0" w:rsidRDefault="004C3D5A" w:rsidP="004C3D5A">
      <w:pPr>
        <w:keepNext/>
        <w:keepLines/>
        <w:autoSpaceDE w:val="0"/>
        <w:autoSpaceDN w:val="0"/>
        <w:adjustRightInd w:val="0"/>
        <w:rPr>
          <w:rFonts w:ascii="Garamond" w:hAnsi="Garamond"/>
          <w:lang w:val="en-AU"/>
        </w:rPr>
      </w:pPr>
      <w:proofErr w:type="gramStart"/>
      <w:r w:rsidRPr="00543C88">
        <w:rPr>
          <w:rFonts w:ascii="Garamond" w:hAnsi="Garamond"/>
          <w:lang w:val="en-AU"/>
        </w:rPr>
        <w:t>Intensive Care Medicine.</w:t>
      </w:r>
      <w:proofErr w:type="gramEnd"/>
      <w:r w:rsidRPr="00543C88">
        <w:rPr>
          <w:rFonts w:ascii="Garamond" w:hAnsi="Garamond"/>
          <w:lang w:val="en-AU"/>
        </w:rPr>
        <w:t xml:space="preserve"> </w:t>
      </w:r>
      <w:proofErr w:type="gramStart"/>
      <w:r w:rsidRPr="00543C88">
        <w:rPr>
          <w:rFonts w:ascii="Garamond" w:hAnsi="Garamond"/>
          <w:lang w:val="en-AU"/>
        </w:rPr>
        <w:t>2019</w:t>
      </w:r>
      <w:r>
        <w:rPr>
          <w:rFonts w:ascii="Garamond" w:hAnsi="Garamond"/>
          <w:lang w:val="en-AU"/>
        </w:rPr>
        <w:t xml:space="preserve"> [epub]</w:t>
      </w:r>
      <w:r w:rsidRPr="00543C88">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C3D5A"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Style w:val="Hyperlink"/>
                <w:rFonts w:ascii="Garamond" w:hAnsi="Garamond"/>
                <w:color w:val="auto"/>
                <w:u w:val="none"/>
                <w:lang w:val="en-AU"/>
              </w:rPr>
            </w:pPr>
            <w:hyperlink r:id="rId27" w:history="1">
              <w:r w:rsidRPr="003331B5">
                <w:rPr>
                  <w:rStyle w:val="Hyperlink"/>
                  <w:rFonts w:ascii="Garamond" w:hAnsi="Garamond"/>
                  <w:lang w:val="en-AU"/>
                </w:rPr>
                <w:t>https://doi.org/10.1007/s00134-019-05543-y</w:t>
              </w:r>
            </w:hyperlink>
          </w:p>
        </w:tc>
      </w:tr>
      <w:tr w:rsidR="004C3D5A"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3D5A" w:rsidRPr="00831B85" w:rsidRDefault="004C3D5A" w:rsidP="001D6846">
            <w:pPr>
              <w:rPr>
                <w:rFonts w:ascii="Garamond" w:hAnsi="Garamond"/>
                <w:lang w:val="en-AU"/>
              </w:rPr>
            </w:pPr>
            <w:r>
              <w:rPr>
                <w:rFonts w:ascii="Garamond" w:hAnsi="Garamond"/>
                <w:lang w:val="en-AU"/>
              </w:rPr>
              <w:t xml:space="preserve">This paper reports on a </w:t>
            </w:r>
            <w:r w:rsidRPr="00B44C06">
              <w:rPr>
                <w:rFonts w:ascii="Garamond" w:hAnsi="Garamond"/>
                <w:lang w:val="en-AU"/>
              </w:rPr>
              <w:t xml:space="preserve">cross-sectional, observational study conducted in 21 </w:t>
            </w:r>
            <w:r>
              <w:rPr>
                <w:rFonts w:ascii="Garamond" w:hAnsi="Garamond"/>
                <w:lang w:val="en-AU"/>
              </w:rPr>
              <w:t>Intensive Care Units (</w:t>
            </w:r>
            <w:r w:rsidRPr="00B44C06">
              <w:rPr>
                <w:rFonts w:ascii="Garamond" w:hAnsi="Garamond"/>
                <w:lang w:val="en-AU"/>
              </w:rPr>
              <w:t>ICUs</w:t>
            </w:r>
            <w:r>
              <w:rPr>
                <w:rFonts w:ascii="Garamond" w:hAnsi="Garamond"/>
                <w:lang w:val="en-AU"/>
              </w:rPr>
              <w:t>)</w:t>
            </w:r>
            <w:r w:rsidRPr="00B44C06">
              <w:rPr>
                <w:rFonts w:ascii="Garamond" w:hAnsi="Garamond"/>
                <w:lang w:val="en-AU"/>
              </w:rPr>
              <w:t xml:space="preserve"> in Australia and New Zealand</w:t>
            </w:r>
            <w:r>
              <w:rPr>
                <w:rFonts w:ascii="Garamond" w:hAnsi="Garamond"/>
                <w:lang w:val="en-AU"/>
              </w:rPr>
              <w:t xml:space="preserve"> that examined </w:t>
            </w:r>
            <w:r w:rsidRPr="00B44C06">
              <w:rPr>
                <w:rFonts w:ascii="Garamond" w:hAnsi="Garamond"/>
                <w:lang w:val="en-AU"/>
              </w:rPr>
              <w:t xml:space="preserve">patient prevalence data </w:t>
            </w:r>
            <w:r>
              <w:rPr>
                <w:rFonts w:ascii="Garamond" w:hAnsi="Garamond"/>
                <w:lang w:val="en-AU"/>
              </w:rPr>
              <w:t xml:space="preserve">along with a survey of ICU staff. The study sought to examine the existence of mismatches between the level </w:t>
            </w:r>
            <w:proofErr w:type="gramStart"/>
            <w:r>
              <w:rPr>
                <w:rFonts w:ascii="Garamond" w:hAnsi="Garamond"/>
                <w:lang w:val="en-AU"/>
              </w:rPr>
              <w:t>or</w:t>
            </w:r>
            <w:proofErr w:type="gramEnd"/>
            <w:r>
              <w:rPr>
                <w:rFonts w:ascii="Garamond" w:hAnsi="Garamond"/>
                <w:lang w:val="en-AU"/>
              </w:rPr>
              <w:t xml:space="preserve"> intensity of care patients received. In the sample of </w:t>
            </w:r>
            <w:r w:rsidRPr="00B44C06">
              <w:rPr>
                <w:rFonts w:ascii="Garamond" w:hAnsi="Garamond"/>
                <w:lang w:val="en-AU"/>
              </w:rPr>
              <w:t>307 patients, 62 (</w:t>
            </w:r>
            <w:r w:rsidRPr="00B44C06">
              <w:rPr>
                <w:rFonts w:ascii="Garamond" w:hAnsi="Garamond"/>
                <w:b/>
                <w:lang w:val="en-AU"/>
              </w:rPr>
              <w:t>20.2%</w:t>
            </w:r>
            <w:r w:rsidRPr="00B44C06">
              <w:rPr>
                <w:rFonts w:ascii="Garamond" w:hAnsi="Garamond"/>
                <w:lang w:val="en-AU"/>
              </w:rPr>
              <w:t xml:space="preserve">) were reported to be receiving a </w:t>
            </w:r>
            <w:r w:rsidRPr="00B44C06">
              <w:rPr>
                <w:rFonts w:ascii="Garamond" w:hAnsi="Garamond"/>
                <w:b/>
                <w:lang w:val="en-AU"/>
              </w:rPr>
              <w:t>mismatch in treatment intensity</w:t>
            </w:r>
            <w:r w:rsidRPr="00B44C06">
              <w:rPr>
                <w:rFonts w:ascii="Garamond" w:hAnsi="Garamond"/>
                <w:lang w:val="en-AU"/>
              </w:rPr>
              <w:t xml:space="preserve"> by at least one ICU healthcare professional. Patients were </w:t>
            </w:r>
            <w:r w:rsidRPr="00B44C06">
              <w:rPr>
                <w:rFonts w:ascii="Garamond" w:hAnsi="Garamond"/>
                <w:b/>
                <w:lang w:val="en-AU"/>
              </w:rPr>
              <w:t>more likely to receive mismatched treatments</w:t>
            </w:r>
            <w:r w:rsidRPr="00B44C06">
              <w:rPr>
                <w:rFonts w:ascii="Garamond" w:hAnsi="Garamond"/>
                <w:lang w:val="en-AU"/>
              </w:rPr>
              <w:t xml:space="preserve"> if they were more </w:t>
            </w:r>
            <w:r w:rsidRPr="00B44C06">
              <w:rPr>
                <w:rFonts w:ascii="Garamond" w:hAnsi="Garamond"/>
                <w:b/>
                <w:lang w:val="en-AU"/>
              </w:rPr>
              <w:t>severely unwell</w:t>
            </w:r>
            <w:r w:rsidRPr="00B44C06">
              <w:rPr>
                <w:rFonts w:ascii="Garamond" w:hAnsi="Garamond"/>
                <w:lang w:val="en-AU"/>
              </w:rPr>
              <w:t xml:space="preserve">, if they were an </w:t>
            </w:r>
            <w:r w:rsidRPr="00B44C06">
              <w:rPr>
                <w:rFonts w:ascii="Garamond" w:hAnsi="Garamond"/>
                <w:b/>
                <w:lang w:val="en-AU"/>
              </w:rPr>
              <w:t>emergency admission</w:t>
            </w:r>
            <w:r w:rsidRPr="00B44C06">
              <w:rPr>
                <w:rFonts w:ascii="Garamond" w:hAnsi="Garamond"/>
                <w:lang w:val="en-AU"/>
              </w:rPr>
              <w:t xml:space="preserve"> or if they had an </w:t>
            </w:r>
            <w:r w:rsidRPr="00B44C06">
              <w:rPr>
                <w:rFonts w:ascii="Garamond" w:hAnsi="Garamond"/>
                <w:b/>
                <w:lang w:val="en-AU"/>
              </w:rPr>
              <w:t>advance care directive</w:t>
            </w:r>
            <w:r w:rsidRPr="00B44C06">
              <w:rPr>
                <w:rFonts w:ascii="Garamond" w:hAnsi="Garamond"/>
                <w:lang w:val="en-AU"/>
              </w:rPr>
              <w:t>.</w:t>
            </w:r>
          </w:p>
        </w:tc>
      </w:tr>
    </w:tbl>
    <w:p w:rsidR="004C3D5A" w:rsidRDefault="004C3D5A" w:rsidP="004C3D5A">
      <w:pPr>
        <w:rPr>
          <w:rFonts w:ascii="Garamond" w:hAnsi="Garamond"/>
          <w:i/>
          <w:lang w:val="en-AU"/>
        </w:rPr>
      </w:pPr>
    </w:p>
    <w:p w:rsidR="004C3D5A" w:rsidRPr="0079450A" w:rsidRDefault="004C3D5A" w:rsidP="004C3D5A">
      <w:pPr>
        <w:keepNext/>
        <w:keepLines/>
        <w:autoSpaceDE w:val="0"/>
        <w:autoSpaceDN w:val="0"/>
        <w:adjustRightInd w:val="0"/>
        <w:rPr>
          <w:rFonts w:ascii="Garamond" w:hAnsi="Garamond"/>
          <w:i/>
          <w:lang w:val="en-AU"/>
        </w:rPr>
      </w:pPr>
      <w:r w:rsidRPr="0079450A">
        <w:rPr>
          <w:rFonts w:ascii="Garamond" w:hAnsi="Garamond"/>
          <w:i/>
          <w:lang w:val="en-AU"/>
        </w:rPr>
        <w:t>Integrating Care in Scotland</w:t>
      </w:r>
    </w:p>
    <w:p w:rsidR="004C3D5A" w:rsidRDefault="004C3D5A" w:rsidP="004C3D5A">
      <w:pPr>
        <w:keepNext/>
        <w:keepLines/>
        <w:autoSpaceDE w:val="0"/>
        <w:autoSpaceDN w:val="0"/>
        <w:adjustRightInd w:val="0"/>
        <w:rPr>
          <w:rFonts w:ascii="Garamond" w:hAnsi="Garamond"/>
          <w:lang w:val="en-AU"/>
        </w:rPr>
      </w:pPr>
      <w:proofErr w:type="spellStart"/>
      <w:r w:rsidRPr="0079450A">
        <w:rPr>
          <w:rFonts w:ascii="Garamond" w:hAnsi="Garamond"/>
          <w:lang w:val="en-AU"/>
        </w:rPr>
        <w:t>Fooks</w:t>
      </w:r>
      <w:proofErr w:type="spellEnd"/>
      <w:r w:rsidRPr="0079450A">
        <w:rPr>
          <w:rFonts w:ascii="Garamond" w:hAnsi="Garamond"/>
          <w:lang w:val="en-AU"/>
        </w:rPr>
        <w:t xml:space="preserve"> C, </w:t>
      </w:r>
      <w:proofErr w:type="spellStart"/>
      <w:r w:rsidRPr="0079450A">
        <w:rPr>
          <w:rFonts w:ascii="Garamond" w:hAnsi="Garamond"/>
          <w:lang w:val="en-AU"/>
        </w:rPr>
        <w:t>Goldhar</w:t>
      </w:r>
      <w:proofErr w:type="spellEnd"/>
      <w:r w:rsidRPr="0079450A">
        <w:rPr>
          <w:rFonts w:ascii="Garamond" w:hAnsi="Garamond"/>
          <w:lang w:val="en-AU"/>
        </w:rPr>
        <w:t xml:space="preserve"> J, </w:t>
      </w:r>
      <w:proofErr w:type="spellStart"/>
      <w:r w:rsidRPr="0079450A">
        <w:rPr>
          <w:rFonts w:ascii="Garamond" w:hAnsi="Garamond"/>
          <w:lang w:val="en-AU"/>
        </w:rPr>
        <w:t>Wodchis</w:t>
      </w:r>
      <w:proofErr w:type="spellEnd"/>
      <w:r w:rsidRPr="0079450A">
        <w:rPr>
          <w:rFonts w:ascii="Garamond" w:hAnsi="Garamond"/>
          <w:lang w:val="en-AU"/>
        </w:rPr>
        <w:t xml:space="preserve"> WP, Baker GR, Coutts J</w:t>
      </w:r>
    </w:p>
    <w:p w:rsidR="004C3D5A" w:rsidRPr="00E566B0" w:rsidRDefault="004C3D5A" w:rsidP="004C3D5A">
      <w:pPr>
        <w:keepNext/>
        <w:keepLines/>
        <w:autoSpaceDE w:val="0"/>
        <w:autoSpaceDN w:val="0"/>
        <w:adjustRightInd w:val="0"/>
        <w:rPr>
          <w:rFonts w:ascii="Garamond" w:hAnsi="Garamond"/>
          <w:lang w:val="en-AU"/>
        </w:rPr>
      </w:pPr>
      <w:proofErr w:type="gramStart"/>
      <w:r w:rsidRPr="0079450A">
        <w:rPr>
          <w:rFonts w:ascii="Garamond" w:hAnsi="Garamond"/>
          <w:lang w:val="en-AU"/>
        </w:rPr>
        <w:t>Healthcare Quarterly.</w:t>
      </w:r>
      <w:proofErr w:type="gramEnd"/>
      <w:r w:rsidRPr="0079450A">
        <w:rPr>
          <w:rFonts w:ascii="Garamond" w:hAnsi="Garamond"/>
          <w:lang w:val="en-AU"/>
        </w:rPr>
        <w:t xml:space="preserve"> 2018</w:t>
      </w:r>
      <w:proofErr w:type="gramStart"/>
      <w:r w:rsidRPr="0079450A">
        <w:rPr>
          <w:rFonts w:ascii="Garamond" w:hAnsi="Garamond"/>
          <w:lang w:val="en-AU"/>
        </w:rPr>
        <w:t>;21</w:t>
      </w:r>
      <w:proofErr w:type="gramEnd"/>
      <w:r w:rsidRPr="0079450A">
        <w:rPr>
          <w:rFonts w:ascii="Garamond" w:hAnsi="Garamond"/>
          <w:lang w:val="en-AU"/>
        </w:rPr>
        <w:t>(3):37-41.</w:t>
      </w:r>
    </w:p>
    <w:tbl>
      <w:tblPr>
        <w:tblStyle w:val="TableGrid"/>
        <w:tblW w:w="0" w:type="auto"/>
        <w:tblInd w:w="288" w:type="dxa"/>
        <w:tblLayout w:type="fixed"/>
        <w:tblLook w:val="01E0" w:firstRow="1" w:lastRow="1" w:firstColumn="1" w:lastColumn="1" w:noHBand="0" w:noVBand="0"/>
      </w:tblPr>
      <w:tblGrid>
        <w:gridCol w:w="1080"/>
        <w:gridCol w:w="8280"/>
      </w:tblGrid>
      <w:tr w:rsidR="004C3D5A"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Style w:val="Hyperlink"/>
                <w:rFonts w:ascii="Garamond" w:hAnsi="Garamond"/>
                <w:color w:val="auto"/>
                <w:u w:val="none"/>
                <w:lang w:val="en-AU"/>
              </w:rPr>
            </w:pPr>
            <w:hyperlink r:id="rId28" w:history="1">
              <w:r w:rsidRPr="003331B5">
                <w:rPr>
                  <w:rStyle w:val="Hyperlink"/>
                  <w:rFonts w:ascii="Garamond" w:hAnsi="Garamond"/>
                  <w:lang w:val="en-AU"/>
                </w:rPr>
                <w:t>https://doi.org/10.12927/hcq.2018.25702</w:t>
              </w:r>
            </w:hyperlink>
          </w:p>
        </w:tc>
      </w:tr>
      <w:tr w:rsidR="004C3D5A" w:rsidRPr="000170DA" w:rsidTr="001D6846">
        <w:tc>
          <w:tcPr>
            <w:tcW w:w="1080" w:type="dxa"/>
            <w:tcBorders>
              <w:top w:val="single" w:sz="4" w:space="0" w:color="auto"/>
              <w:left w:val="single" w:sz="4" w:space="0" w:color="auto"/>
              <w:bottom w:val="single" w:sz="4" w:space="0" w:color="auto"/>
              <w:right w:val="single" w:sz="4" w:space="0" w:color="auto"/>
            </w:tcBorders>
            <w:vAlign w:val="center"/>
          </w:tcPr>
          <w:p w:rsidR="004C3D5A" w:rsidRPr="000170DA" w:rsidRDefault="004C3D5A" w:rsidP="001D684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C3D5A" w:rsidRPr="00831B85" w:rsidRDefault="004C3D5A" w:rsidP="001D6846">
            <w:pPr>
              <w:rPr>
                <w:rFonts w:ascii="Garamond" w:hAnsi="Garamond"/>
                <w:lang w:val="en-AU"/>
              </w:rPr>
            </w:pPr>
            <w:r>
              <w:rPr>
                <w:rFonts w:ascii="Garamond" w:hAnsi="Garamond"/>
                <w:lang w:val="en-AU"/>
              </w:rPr>
              <w:t>Better integration and coordination of care has been seen a laudable goal for the better care of patients, especially those with multiple chronic conditions. This piece summarises a discussion with the Director for Health and Social Care Integration in Scotland that examined the Scottish experience following the legislation of integrated health and social care. A particular feature is the issues of local needs and variations.</w:t>
            </w:r>
          </w:p>
        </w:tc>
      </w:tr>
    </w:tbl>
    <w:p w:rsidR="004C3D5A" w:rsidRDefault="004C3D5A" w:rsidP="004C3D5A">
      <w:pPr>
        <w:rPr>
          <w:rFonts w:ascii="Garamond" w:hAnsi="Garamond"/>
          <w:i/>
          <w:lang w:val="en-AU"/>
        </w:rPr>
      </w:pPr>
    </w:p>
    <w:p w:rsidR="0095312D" w:rsidRPr="00947E5D" w:rsidRDefault="0095312D" w:rsidP="0095312D">
      <w:pPr>
        <w:keepNext/>
        <w:keepLines/>
        <w:autoSpaceDE w:val="0"/>
        <w:autoSpaceDN w:val="0"/>
        <w:adjustRightInd w:val="0"/>
        <w:rPr>
          <w:rFonts w:ascii="Garamond" w:hAnsi="Garamond"/>
          <w:i/>
          <w:lang w:val="en-AU"/>
        </w:rPr>
      </w:pPr>
      <w:r w:rsidRPr="00947E5D">
        <w:rPr>
          <w:rFonts w:ascii="Garamond" w:hAnsi="Garamond"/>
          <w:i/>
          <w:lang w:val="en-AU"/>
        </w:rPr>
        <w:t>Patient Experience Journal</w:t>
      </w:r>
    </w:p>
    <w:p w:rsidR="0095312D" w:rsidRPr="00E566B0" w:rsidRDefault="0095312D" w:rsidP="0095312D">
      <w:pPr>
        <w:keepNext/>
        <w:keepLines/>
        <w:autoSpaceDE w:val="0"/>
        <w:autoSpaceDN w:val="0"/>
        <w:adjustRightInd w:val="0"/>
        <w:rPr>
          <w:rFonts w:ascii="Garamond" w:hAnsi="Garamond"/>
          <w:lang w:val="en-AU"/>
        </w:rPr>
      </w:pPr>
      <w:r>
        <w:rPr>
          <w:rFonts w:ascii="Garamond" w:hAnsi="Garamond"/>
          <w:lang w:val="en-AU"/>
        </w:rPr>
        <w:t>Volume 5, Issue 3</w:t>
      </w:r>
      <w:r w:rsidRPr="00947E5D">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95312D" w:rsidRPr="000170DA" w:rsidTr="006814CB">
        <w:tc>
          <w:tcPr>
            <w:tcW w:w="1080" w:type="dxa"/>
            <w:tcBorders>
              <w:top w:val="single" w:sz="4" w:space="0" w:color="auto"/>
              <w:left w:val="single" w:sz="4" w:space="0" w:color="auto"/>
              <w:bottom w:val="single" w:sz="4" w:space="0" w:color="auto"/>
              <w:right w:val="single" w:sz="4" w:space="0" w:color="auto"/>
            </w:tcBorders>
            <w:vAlign w:val="center"/>
          </w:tcPr>
          <w:p w:rsidR="0095312D" w:rsidRPr="000170DA" w:rsidRDefault="0095312D" w:rsidP="006814C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5312D" w:rsidRPr="000170DA" w:rsidRDefault="004C3D5A" w:rsidP="0095312D">
            <w:pPr>
              <w:rPr>
                <w:rStyle w:val="Hyperlink"/>
                <w:rFonts w:ascii="Garamond" w:hAnsi="Garamond"/>
                <w:color w:val="auto"/>
                <w:u w:val="none"/>
                <w:lang w:val="en-AU"/>
              </w:rPr>
            </w:pPr>
            <w:hyperlink r:id="rId29" w:history="1">
              <w:r w:rsidR="0095312D" w:rsidRPr="00324C80">
                <w:rPr>
                  <w:rStyle w:val="Hyperlink"/>
                  <w:rFonts w:ascii="Garamond" w:hAnsi="Garamond"/>
                  <w:lang w:val="en-AU"/>
                </w:rPr>
                <w:t>http://pxjournal.org/journal/vol5/iss3/</w:t>
              </w:r>
            </w:hyperlink>
          </w:p>
        </w:tc>
      </w:tr>
      <w:tr w:rsidR="0095312D" w:rsidRPr="000170DA" w:rsidTr="006814CB">
        <w:tc>
          <w:tcPr>
            <w:tcW w:w="1080" w:type="dxa"/>
            <w:tcBorders>
              <w:top w:val="single" w:sz="4" w:space="0" w:color="auto"/>
              <w:left w:val="single" w:sz="4" w:space="0" w:color="auto"/>
              <w:bottom w:val="single" w:sz="4" w:space="0" w:color="auto"/>
              <w:right w:val="single" w:sz="4" w:space="0" w:color="auto"/>
            </w:tcBorders>
            <w:vAlign w:val="center"/>
          </w:tcPr>
          <w:p w:rsidR="0095312D" w:rsidRPr="000170DA" w:rsidRDefault="0095312D" w:rsidP="006814C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5312D" w:rsidRDefault="0095312D" w:rsidP="006814CB">
            <w:pPr>
              <w:rPr>
                <w:rFonts w:ascii="Garamond" w:hAnsi="Garamond"/>
                <w:lang w:val="en-AU"/>
              </w:rPr>
            </w:pPr>
            <w:r w:rsidRPr="00947E5D">
              <w:rPr>
                <w:rFonts w:ascii="Garamond" w:hAnsi="Garamond"/>
                <w:lang w:val="en-AU"/>
              </w:rPr>
              <w:t xml:space="preserve">A new issue of the </w:t>
            </w:r>
            <w:r w:rsidRPr="00947E5D">
              <w:rPr>
                <w:rFonts w:ascii="Garamond" w:hAnsi="Garamond"/>
                <w:i/>
                <w:lang w:val="en-AU"/>
              </w:rPr>
              <w:t>Patient Experience Journal</w:t>
            </w:r>
            <w:r w:rsidRPr="00947E5D">
              <w:rPr>
                <w:rFonts w:ascii="Garamond" w:hAnsi="Garamond"/>
                <w:lang w:val="en-AU"/>
              </w:rPr>
              <w:t xml:space="preserve"> (PXJ) has been published</w:t>
            </w:r>
            <w:r>
              <w:rPr>
                <w:rFonts w:ascii="Garamond" w:hAnsi="Garamond"/>
                <w:lang w:val="en-AU"/>
              </w:rPr>
              <w:t xml:space="preserve"> with the theme ‘</w:t>
            </w:r>
            <w:r w:rsidRPr="00A03928">
              <w:rPr>
                <w:rFonts w:ascii="Garamond" w:hAnsi="Garamond"/>
                <w:b/>
                <w:lang w:val="en-AU"/>
              </w:rPr>
              <w:t>Patient &amp; Family Experience in Children’s Hospitals and Pediatric Care</w:t>
            </w:r>
            <w:r>
              <w:rPr>
                <w:rFonts w:ascii="Garamond" w:hAnsi="Garamond"/>
                <w:lang w:val="en-AU"/>
              </w:rPr>
              <w:t>’</w:t>
            </w:r>
            <w:r w:rsidRPr="00947E5D">
              <w:rPr>
                <w:rFonts w:ascii="Garamond" w:hAnsi="Garamond"/>
                <w:lang w:val="en-AU"/>
              </w:rPr>
              <w:t xml:space="preserve">. Articles in this issue of </w:t>
            </w:r>
            <w:r w:rsidRPr="00947E5D">
              <w:rPr>
                <w:rFonts w:ascii="Garamond" w:hAnsi="Garamond"/>
                <w:i/>
                <w:lang w:val="en-AU"/>
              </w:rPr>
              <w:t>Patient Experience Journal</w:t>
            </w:r>
            <w:r w:rsidRPr="00947E5D">
              <w:rPr>
                <w:rFonts w:ascii="Garamond" w:hAnsi="Garamond"/>
                <w:lang w:val="en-AU"/>
              </w:rPr>
              <w:t xml:space="preserve"> include:</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Editorial: Elevating the discourse on </w:t>
            </w:r>
            <w:r w:rsidRPr="003F1EA3">
              <w:rPr>
                <w:rFonts w:ascii="Garamond" w:hAnsi="Garamond"/>
                <w:b/>
                <w:lang w:val="en-AU"/>
              </w:rPr>
              <w:t>experience in healthcare’s uncertain times</w:t>
            </w:r>
            <w:r w:rsidRPr="0095312D">
              <w:rPr>
                <w:rFonts w:ascii="Garamond" w:hAnsi="Garamond"/>
                <w:lang w:val="en-AU"/>
              </w:rPr>
              <w:t xml:space="preserve"> (Jason A Wolf</w:t>
            </w:r>
            <w:r>
              <w:rPr>
                <w:rFonts w:ascii="Garamond" w:hAnsi="Garamond"/>
                <w:lang w:val="en-AU"/>
              </w:rPr>
              <w:t>)</w:t>
            </w:r>
          </w:p>
          <w:p w:rsidR="0095312D" w:rsidRPr="0095312D" w:rsidRDefault="0095312D" w:rsidP="0095312D">
            <w:pPr>
              <w:pStyle w:val="ListParagraph"/>
              <w:numPr>
                <w:ilvl w:val="0"/>
                <w:numId w:val="43"/>
              </w:numPr>
              <w:rPr>
                <w:rFonts w:ascii="Garamond" w:hAnsi="Garamond"/>
                <w:lang w:val="en-AU"/>
              </w:rPr>
            </w:pPr>
            <w:r w:rsidRPr="003F1EA3">
              <w:rPr>
                <w:rFonts w:ascii="Garamond" w:hAnsi="Garamond"/>
                <w:b/>
                <w:lang w:val="en-AU"/>
              </w:rPr>
              <w:t>Patient partner compensation</w:t>
            </w:r>
            <w:r w:rsidRPr="0095312D">
              <w:rPr>
                <w:rFonts w:ascii="Garamond" w:hAnsi="Garamond"/>
                <w:lang w:val="en-AU"/>
              </w:rPr>
              <w:t xml:space="preserve"> in research and health care: the patient perspective on why and how (Dawn P Richards, Isabel Jordan, Kimberly Strain, and Zal Press</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First, do no harm: The </w:t>
            </w:r>
            <w:r w:rsidRPr="003F1EA3">
              <w:rPr>
                <w:rFonts w:ascii="Garamond" w:hAnsi="Garamond"/>
                <w:b/>
                <w:lang w:val="en-AU"/>
              </w:rPr>
              <w:t>patient's experience of avoidable suffering</w:t>
            </w:r>
            <w:r w:rsidRPr="0095312D">
              <w:rPr>
                <w:rFonts w:ascii="Garamond" w:hAnsi="Garamond"/>
                <w:lang w:val="en-AU"/>
              </w:rPr>
              <w:t xml:space="preserve"> as harm (Ashley Bauer</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lastRenderedPageBreak/>
              <w:t xml:space="preserve">Standardising the collection of </w:t>
            </w:r>
            <w:r w:rsidRPr="003F1EA3">
              <w:rPr>
                <w:rFonts w:ascii="Garamond" w:hAnsi="Garamond"/>
                <w:b/>
                <w:lang w:val="en-AU"/>
              </w:rPr>
              <w:t>patient-reported experience measures</w:t>
            </w:r>
            <w:r w:rsidRPr="0095312D">
              <w:rPr>
                <w:rFonts w:ascii="Garamond" w:hAnsi="Garamond"/>
                <w:lang w:val="en-AU"/>
              </w:rPr>
              <w:t xml:space="preserve"> to facilitate benchmarking and drive service improvement (Kathleen L Withers, Sarah Puntoni, Susan O'Connell, Robert I Palmer, and Grace Carolan-Rees</w:t>
            </w:r>
            <w:r>
              <w:rPr>
                <w:rFonts w:ascii="Garamond" w:hAnsi="Garamond"/>
                <w:lang w:val="en-AU"/>
              </w:rPr>
              <w:t>)</w:t>
            </w:r>
          </w:p>
          <w:p w:rsidR="0095312D" w:rsidRP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Developing the first pan-Canadian </w:t>
            </w:r>
            <w:r w:rsidRPr="003F1EA3">
              <w:rPr>
                <w:rFonts w:ascii="Garamond" w:hAnsi="Garamond"/>
                <w:b/>
                <w:lang w:val="en-AU"/>
              </w:rPr>
              <w:t>acute care patient experiences survey</w:t>
            </w:r>
            <w:r w:rsidRPr="0095312D">
              <w:rPr>
                <w:rFonts w:ascii="Garamond" w:hAnsi="Garamond"/>
                <w:lang w:val="en-AU"/>
              </w:rPr>
              <w:t xml:space="preserve"> (Salima Hadibhai, Jeanie Lacroix, and Kira Leeb</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Can specific feedback improve </w:t>
            </w:r>
            <w:r w:rsidRPr="003F1EA3">
              <w:rPr>
                <w:rFonts w:ascii="Garamond" w:hAnsi="Garamond"/>
                <w:b/>
                <w:lang w:val="en-AU"/>
              </w:rPr>
              <w:t>patients’ satisfaction with hospitalist physicians</w:t>
            </w:r>
            <w:r w:rsidRPr="0095312D">
              <w:rPr>
                <w:rFonts w:ascii="Garamond" w:hAnsi="Garamond"/>
                <w:lang w:val="en-AU"/>
              </w:rPr>
              <w:t>? A feasibility study using a validated tool to assess inpatient satisfaction (Sarah E Richards, Rachel Thompson, Steven Paulmeyer, Ashvita Garg, Sarah Malik, Kristy Carlson, Elizabeth Lyden, and Jason Shiffermiller</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Transforming care through </w:t>
            </w:r>
            <w:r w:rsidRPr="003F1EA3">
              <w:rPr>
                <w:rFonts w:ascii="Garamond" w:hAnsi="Garamond"/>
                <w:b/>
                <w:lang w:val="en-AU"/>
              </w:rPr>
              <w:t>bedside leader rounding</w:t>
            </w:r>
            <w:r w:rsidRPr="0095312D">
              <w:rPr>
                <w:rFonts w:ascii="Garamond" w:hAnsi="Garamond"/>
                <w:lang w:val="en-AU"/>
              </w:rPr>
              <w:t>: Use of handheld technology leads to improvement in perceived patient satisfaction (Alison Tothy, Sunitha K Sastry, Mary K Springman, Heather M Limper, John Fahrenbach, and Susan M Murphy</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3F1EA3">
              <w:rPr>
                <w:rFonts w:ascii="Garamond" w:hAnsi="Garamond"/>
                <w:b/>
                <w:lang w:val="en-AU"/>
              </w:rPr>
              <w:t>Improving the patient experience through patient portals</w:t>
            </w:r>
            <w:r w:rsidRPr="0095312D">
              <w:rPr>
                <w:rFonts w:ascii="Garamond" w:hAnsi="Garamond"/>
                <w:lang w:val="en-AU"/>
              </w:rPr>
              <w:t>: Insights from experienced portal users (Cynthia J Sieck, J L Hefner, and A S McAlearney</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Barriers and enablers of </w:t>
            </w:r>
            <w:r w:rsidRPr="003F1EA3">
              <w:rPr>
                <w:rFonts w:ascii="Garamond" w:hAnsi="Garamond"/>
                <w:b/>
                <w:lang w:val="en-AU"/>
              </w:rPr>
              <w:t>patient and family centred care in an Australian acute care hospital</w:t>
            </w:r>
            <w:r w:rsidRPr="0095312D">
              <w:rPr>
                <w:rFonts w:ascii="Garamond" w:hAnsi="Garamond"/>
                <w:lang w:val="en-AU"/>
              </w:rPr>
              <w:t>: Perspectives of health managers (Bradley Lloyd, Mark Elkins, and Lesley Innes</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Racial/ethnic and geographic differences in </w:t>
            </w:r>
            <w:r w:rsidRPr="003F1EA3">
              <w:rPr>
                <w:rFonts w:ascii="Garamond" w:hAnsi="Garamond"/>
                <w:b/>
                <w:lang w:val="en-AU"/>
              </w:rPr>
              <w:t>access</w:t>
            </w:r>
            <w:r w:rsidRPr="0095312D">
              <w:rPr>
                <w:rFonts w:ascii="Garamond" w:hAnsi="Garamond"/>
                <w:lang w:val="en-AU"/>
              </w:rPr>
              <w:t xml:space="preserve"> to a usual source of care that follows the </w:t>
            </w:r>
            <w:r w:rsidRPr="003F1EA3">
              <w:rPr>
                <w:rFonts w:ascii="Garamond" w:hAnsi="Garamond"/>
                <w:b/>
                <w:lang w:val="en-AU"/>
              </w:rPr>
              <w:t>patient-centered medical home</w:t>
            </w:r>
            <w:r w:rsidRPr="0095312D">
              <w:rPr>
                <w:rFonts w:ascii="Garamond" w:hAnsi="Garamond"/>
                <w:lang w:val="en-AU"/>
              </w:rPr>
              <w:t xml:space="preserve"> model: Analyses from the Medical Expenditure Panel Survey data (Zo Ramamonjiarivelo, Delawnia Comer-HaGans, Shamly Austin, Karriem Watson, and Alicia Kaye Matthews</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3F1EA3">
              <w:rPr>
                <w:rFonts w:ascii="Garamond" w:hAnsi="Garamond"/>
                <w:b/>
                <w:lang w:val="en-AU"/>
              </w:rPr>
              <w:t>What older adults want</w:t>
            </w:r>
            <w:r w:rsidRPr="0095312D">
              <w:rPr>
                <w:rFonts w:ascii="Garamond" w:hAnsi="Garamond"/>
                <w:lang w:val="en-AU"/>
              </w:rPr>
              <w:t xml:space="preserve"> from their health care providers (Hazel Williams-Roberts, Sylvia Abonyi, and Julie Kryzanowski</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3F1EA3">
              <w:rPr>
                <w:rFonts w:ascii="Garamond" w:hAnsi="Garamond"/>
                <w:b/>
                <w:lang w:val="en-AU"/>
              </w:rPr>
              <w:t>Patients educating health care providers</w:t>
            </w:r>
            <w:r w:rsidRPr="0095312D">
              <w:rPr>
                <w:rFonts w:ascii="Garamond" w:hAnsi="Garamond"/>
                <w:lang w:val="en-AU"/>
              </w:rPr>
              <w:t xml:space="preserve"> on Lynch syndrome (Kelsey Hennig, Barry DeCoster, Rebecca Chu, Wendy Parker, Lisa Campo-Engelstein, and Allison M. Burton-Chase</w:t>
            </w:r>
            <w:r>
              <w:rPr>
                <w:rFonts w:ascii="Garamond" w:hAnsi="Garamond"/>
                <w:lang w:val="en-AU"/>
              </w:rPr>
              <w:t>)</w:t>
            </w:r>
          </w:p>
          <w:p w:rsidR="0095312D" w:rsidRP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The </w:t>
            </w:r>
            <w:r w:rsidRPr="003F1EA3">
              <w:rPr>
                <w:rFonts w:ascii="Garamond" w:hAnsi="Garamond"/>
                <w:b/>
                <w:lang w:val="en-AU"/>
              </w:rPr>
              <w:t>perioperative patient experience</w:t>
            </w:r>
            <w:r w:rsidRPr="0095312D">
              <w:rPr>
                <w:rFonts w:ascii="Garamond" w:hAnsi="Garamond"/>
                <w:lang w:val="en-AU"/>
              </w:rPr>
              <w:t xml:space="preserve"> of hand and wrist surgical patients: An exploratory study using patient journey mapping (Else F de Ridder, Tessa Dekkers, Jarry T Porsius, Gerald Kraan, and Marijke Melles</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Rules of engagement: </w:t>
            </w:r>
            <w:r w:rsidRPr="003F1EA3">
              <w:rPr>
                <w:rFonts w:ascii="Garamond" w:hAnsi="Garamond"/>
                <w:b/>
                <w:lang w:val="en-AU"/>
              </w:rPr>
              <w:t xml:space="preserve">Strategies used to enlist and retain underserved mothers </w:t>
            </w:r>
            <w:r w:rsidRPr="0095312D">
              <w:rPr>
                <w:rFonts w:ascii="Garamond" w:hAnsi="Garamond"/>
                <w:lang w:val="en-AU"/>
              </w:rPr>
              <w:t>in a mental health intervention (Maureen J Baker; Beth Perry Black; and Linda S Beeber</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How </w:t>
            </w:r>
            <w:r w:rsidRPr="003F1EA3">
              <w:rPr>
                <w:rFonts w:ascii="Garamond" w:hAnsi="Garamond"/>
                <w:b/>
                <w:lang w:val="en-AU"/>
              </w:rPr>
              <w:t>younger adults with psychosocial problems</w:t>
            </w:r>
            <w:r w:rsidRPr="0095312D">
              <w:rPr>
                <w:rFonts w:ascii="Garamond" w:hAnsi="Garamond"/>
                <w:lang w:val="en-AU"/>
              </w:rPr>
              <w:t xml:space="preserve"> experienced person-centered health consultations (Line Soot, Kirsten S Freund, Jørgen Lous, Mikkel Vass, and Lotte Hvas</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A photo-elicitation study of </w:t>
            </w:r>
            <w:r w:rsidRPr="003F1EA3">
              <w:rPr>
                <w:rFonts w:ascii="Garamond" w:hAnsi="Garamond"/>
                <w:b/>
                <w:lang w:val="en-AU"/>
              </w:rPr>
              <w:t>homeless and marginally housed Veterans’ experiences with patient-centered care</w:t>
            </w:r>
            <w:r w:rsidRPr="0095312D">
              <w:rPr>
                <w:rFonts w:ascii="Garamond" w:hAnsi="Garamond"/>
                <w:lang w:val="en-AU"/>
              </w:rPr>
              <w:t xml:space="preserve"> (Samuel F Sestito, Keri L Rodriguez, Kristina L Hruska, J W Conley, M A Mitchell, and A J Gordon</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Perceptions of </w:t>
            </w:r>
            <w:r w:rsidRPr="003F1EA3">
              <w:rPr>
                <w:rFonts w:ascii="Garamond" w:hAnsi="Garamond"/>
                <w:b/>
                <w:lang w:val="en-AU"/>
              </w:rPr>
              <w:t>patient-centered care among veterans</w:t>
            </w:r>
            <w:r w:rsidRPr="0095312D">
              <w:rPr>
                <w:rFonts w:ascii="Garamond" w:hAnsi="Garamond"/>
                <w:lang w:val="en-AU"/>
              </w:rPr>
              <w:t xml:space="preserve"> with gastroesophageal reflux disease on proton pump inhibitor therapy (Salva N Balbale; Andrew Gawron; and Sherri L LaVela</w:t>
            </w:r>
            <w:r>
              <w:rPr>
                <w:rFonts w:ascii="Garamond" w:hAnsi="Garamond"/>
                <w:lang w:val="en-AU"/>
              </w:rPr>
              <w:t>)</w:t>
            </w:r>
          </w:p>
          <w:p w:rsidR="0095312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Effectiveness of the </w:t>
            </w:r>
            <w:r w:rsidRPr="003F1EA3">
              <w:rPr>
                <w:rFonts w:ascii="Garamond" w:hAnsi="Garamond"/>
                <w:b/>
                <w:lang w:val="en-AU"/>
              </w:rPr>
              <w:t>communication model, C.O.N.N.E.C.T</w:t>
            </w:r>
            <w:r w:rsidRPr="0095312D">
              <w:rPr>
                <w:rFonts w:ascii="Garamond" w:hAnsi="Garamond"/>
                <w:lang w:val="en-AU"/>
              </w:rPr>
              <w:t>., on patient experience and employee engagement: A prospective study (Agnes Barden and Nicole Giammarinaro</w:t>
            </w:r>
            <w:r>
              <w:rPr>
                <w:rFonts w:ascii="Garamond" w:hAnsi="Garamond"/>
                <w:lang w:val="en-AU"/>
              </w:rPr>
              <w:t>)</w:t>
            </w:r>
          </w:p>
          <w:p w:rsidR="0095312D" w:rsidRPr="00947E5D" w:rsidRDefault="0095312D" w:rsidP="0095312D">
            <w:pPr>
              <w:pStyle w:val="ListParagraph"/>
              <w:numPr>
                <w:ilvl w:val="0"/>
                <w:numId w:val="43"/>
              </w:numPr>
              <w:rPr>
                <w:rFonts w:ascii="Garamond" w:hAnsi="Garamond"/>
                <w:lang w:val="en-AU"/>
              </w:rPr>
            </w:pPr>
            <w:r w:rsidRPr="0095312D">
              <w:rPr>
                <w:rFonts w:ascii="Garamond" w:hAnsi="Garamond"/>
                <w:lang w:val="en-AU"/>
              </w:rPr>
              <w:t xml:space="preserve">Tell Me More: Promoting </w:t>
            </w:r>
            <w:r w:rsidRPr="003F1EA3">
              <w:rPr>
                <w:rFonts w:ascii="Garamond" w:hAnsi="Garamond"/>
                <w:b/>
                <w:lang w:val="en-AU"/>
              </w:rPr>
              <w:t>compassionate patient care</w:t>
            </w:r>
            <w:r w:rsidRPr="0095312D">
              <w:rPr>
                <w:rFonts w:ascii="Garamond" w:hAnsi="Garamond"/>
                <w:lang w:val="en-AU"/>
              </w:rPr>
              <w:t xml:space="preserve"> through conversations with medical students</w:t>
            </w:r>
            <w:r>
              <w:rPr>
                <w:rFonts w:ascii="Garamond" w:hAnsi="Garamond"/>
                <w:lang w:val="en-AU"/>
              </w:rPr>
              <w:t xml:space="preserve"> (</w:t>
            </w:r>
            <w:r w:rsidRPr="0095312D">
              <w:rPr>
                <w:rFonts w:ascii="Garamond" w:hAnsi="Garamond"/>
                <w:lang w:val="en-AU"/>
              </w:rPr>
              <w:t>Danielle Qing, Anjali Narayan, Kristin Reese, Sarah Hartman, Taranjeet Ahuja, and Alice Fornari</w:t>
            </w:r>
            <w:r>
              <w:rPr>
                <w:rFonts w:ascii="Garamond" w:hAnsi="Garamond"/>
                <w:lang w:val="en-AU"/>
              </w:rPr>
              <w:t>)</w:t>
            </w:r>
          </w:p>
        </w:tc>
      </w:tr>
    </w:tbl>
    <w:p w:rsidR="0095312D" w:rsidRDefault="0095312D" w:rsidP="0095312D">
      <w:pPr>
        <w:keepLines/>
        <w:autoSpaceDE w:val="0"/>
        <w:autoSpaceDN w:val="0"/>
        <w:adjustRightInd w:val="0"/>
        <w:rPr>
          <w:rFonts w:ascii="Garamond" w:hAnsi="Garamond"/>
          <w:lang w:val="en-AU"/>
        </w:rPr>
      </w:pPr>
    </w:p>
    <w:p w:rsidR="004E4D38" w:rsidRPr="00467B47" w:rsidRDefault="004E4D38" w:rsidP="004E4D38">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4C3D5A" w:rsidP="0023729D">
            <w:pPr>
              <w:keepNext/>
              <w:rPr>
                <w:rFonts w:ascii="Garamond" w:hAnsi="Garamond"/>
                <w:lang w:val="en-AU"/>
              </w:rPr>
            </w:pPr>
            <w:hyperlink r:id="rId30"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531F8E" w:rsidRPr="00531F8E" w:rsidRDefault="00531F8E" w:rsidP="00531F8E">
            <w:pPr>
              <w:pStyle w:val="ListParagraph"/>
              <w:numPr>
                <w:ilvl w:val="0"/>
                <w:numId w:val="14"/>
              </w:numPr>
              <w:rPr>
                <w:rFonts w:ascii="Garamond" w:hAnsi="Garamond"/>
                <w:lang w:val="en-AU"/>
              </w:rPr>
            </w:pPr>
            <w:r w:rsidRPr="00531F8E">
              <w:rPr>
                <w:rFonts w:ascii="Garamond" w:hAnsi="Garamond"/>
                <w:lang w:val="en-AU"/>
              </w:rPr>
              <w:t xml:space="preserve">A qualitative </w:t>
            </w:r>
            <w:r w:rsidRPr="00531F8E">
              <w:rPr>
                <w:rFonts w:ascii="Garamond" w:hAnsi="Garamond"/>
                <w:b/>
                <w:lang w:val="en-AU"/>
              </w:rPr>
              <w:t>positive deviance</w:t>
            </w:r>
            <w:r w:rsidRPr="00531F8E">
              <w:rPr>
                <w:rFonts w:ascii="Garamond" w:hAnsi="Garamond"/>
                <w:lang w:val="en-AU"/>
              </w:rPr>
              <w:t xml:space="preserve"> study to explore </w:t>
            </w:r>
            <w:r w:rsidRPr="00531F8E">
              <w:rPr>
                <w:rFonts w:ascii="Garamond" w:hAnsi="Garamond"/>
                <w:b/>
                <w:lang w:val="en-AU"/>
              </w:rPr>
              <w:t>exceptionally safe care</w:t>
            </w:r>
            <w:r w:rsidRPr="00531F8E">
              <w:rPr>
                <w:rFonts w:ascii="Garamond" w:hAnsi="Garamond"/>
                <w:lang w:val="en-AU"/>
              </w:rPr>
              <w:t xml:space="preserve"> on medical wards </w:t>
            </w:r>
            <w:r w:rsidRPr="00531F8E">
              <w:rPr>
                <w:rFonts w:ascii="Garamond" w:hAnsi="Garamond"/>
                <w:b/>
                <w:lang w:val="en-AU"/>
              </w:rPr>
              <w:t>for older people</w:t>
            </w:r>
            <w:r w:rsidRPr="00531F8E">
              <w:rPr>
                <w:rFonts w:ascii="Garamond" w:hAnsi="Garamond"/>
                <w:lang w:val="en-AU"/>
              </w:rPr>
              <w:t xml:space="preserve"> (Ruth Baxter, Natalie Taylor, Ian Kellar, Rebecca Lawton</w:t>
            </w:r>
            <w:r>
              <w:rPr>
                <w:rFonts w:ascii="Garamond" w:hAnsi="Garamond"/>
                <w:lang w:val="en-AU"/>
              </w:rPr>
              <w:t>)</w:t>
            </w:r>
          </w:p>
          <w:p w:rsidR="004E4D38" w:rsidRPr="00A66104" w:rsidRDefault="00531F8E" w:rsidP="00531F8E">
            <w:pPr>
              <w:pStyle w:val="ListParagraph"/>
              <w:numPr>
                <w:ilvl w:val="0"/>
                <w:numId w:val="14"/>
              </w:numPr>
              <w:rPr>
                <w:rFonts w:ascii="Garamond" w:hAnsi="Garamond"/>
                <w:lang w:val="en-AU"/>
              </w:rPr>
            </w:pPr>
            <w:r w:rsidRPr="00531F8E">
              <w:rPr>
                <w:rFonts w:ascii="Garamond" w:hAnsi="Garamond"/>
                <w:b/>
                <w:lang w:val="en-AU"/>
              </w:rPr>
              <w:t>MRI for patients with cardiac implantable electronic devices</w:t>
            </w:r>
            <w:r w:rsidRPr="00531F8E">
              <w:rPr>
                <w:rFonts w:ascii="Garamond" w:hAnsi="Garamond"/>
                <w:lang w:val="en-AU"/>
              </w:rPr>
              <w:t xml:space="preserve">: simplifying complexity with a ‘one-stop’ service model </w:t>
            </w:r>
            <w:r>
              <w:rPr>
                <w:rFonts w:ascii="Garamond" w:hAnsi="Garamond"/>
                <w:lang w:val="en-AU"/>
              </w:rPr>
              <w:t>(</w:t>
            </w:r>
            <w:r w:rsidRPr="00531F8E">
              <w:rPr>
                <w:rFonts w:ascii="Garamond" w:hAnsi="Garamond"/>
                <w:lang w:val="en-AU"/>
              </w:rPr>
              <w:t>Anish N Bhuva, Patricia Feuchter, Angela Hawkins, Lizette Cash, Redha Boubertakh, Jane Evanson, Richard Schilling, Martin Lowe, James C Moon, Charlotte H Manisty</w:t>
            </w:r>
            <w:r>
              <w:rPr>
                <w:rFonts w:ascii="Garamond" w:hAnsi="Garamond"/>
                <w:lang w:val="en-AU"/>
              </w:rPr>
              <w:t>)</w:t>
            </w:r>
          </w:p>
        </w:tc>
      </w:tr>
    </w:tbl>
    <w:p w:rsidR="00C51BE5" w:rsidRDefault="00C51BE5" w:rsidP="008F5418">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4C3D5A" w:rsidP="00290461">
            <w:pPr>
              <w:keepNext/>
              <w:rPr>
                <w:rFonts w:ascii="Garamond" w:hAnsi="Garamond"/>
                <w:lang w:val="en-AU"/>
              </w:rPr>
            </w:pPr>
            <w:hyperlink r:id="rId31"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531F8E" w:rsidRDefault="00531F8E" w:rsidP="00531F8E">
            <w:pPr>
              <w:pStyle w:val="ListParagraph"/>
              <w:numPr>
                <w:ilvl w:val="0"/>
                <w:numId w:val="14"/>
              </w:numPr>
              <w:rPr>
                <w:rFonts w:ascii="Garamond" w:hAnsi="Garamond"/>
                <w:lang w:val="en-AU"/>
              </w:rPr>
            </w:pPr>
            <w:r w:rsidRPr="00531F8E">
              <w:rPr>
                <w:rFonts w:ascii="Garamond" w:hAnsi="Garamond"/>
                <w:lang w:val="en-AU"/>
              </w:rPr>
              <w:t xml:space="preserve">The Danish </w:t>
            </w:r>
            <w:r w:rsidRPr="00531F8E">
              <w:rPr>
                <w:rFonts w:ascii="Garamond" w:hAnsi="Garamond"/>
                <w:b/>
                <w:lang w:val="en-AU"/>
              </w:rPr>
              <w:t>unique personal identifier</w:t>
            </w:r>
            <w:r w:rsidRPr="00531F8E">
              <w:rPr>
                <w:rFonts w:ascii="Garamond" w:hAnsi="Garamond"/>
                <w:lang w:val="en-AU"/>
              </w:rPr>
              <w:t xml:space="preserve"> and the Danish </w:t>
            </w:r>
            <w:r w:rsidRPr="00531F8E">
              <w:rPr>
                <w:rFonts w:ascii="Garamond" w:hAnsi="Garamond"/>
                <w:b/>
                <w:lang w:val="en-AU"/>
              </w:rPr>
              <w:t>Civil Registration</w:t>
            </w:r>
            <w:r w:rsidRPr="00531F8E">
              <w:rPr>
                <w:rFonts w:ascii="Garamond" w:hAnsi="Garamond"/>
                <w:lang w:val="en-AU"/>
              </w:rPr>
              <w:t xml:space="preserve"> System as a tool for research and quality improvement (Jan Mainz; Mikkel Hagen Hess; Søren Paaske Johnsen</w:t>
            </w:r>
            <w:r>
              <w:rPr>
                <w:rFonts w:ascii="Garamond" w:hAnsi="Garamond"/>
                <w:lang w:val="en-AU"/>
              </w:rPr>
              <w:t>)</w:t>
            </w:r>
          </w:p>
          <w:p w:rsidR="00531F8E" w:rsidRPr="00531F8E" w:rsidRDefault="00531F8E" w:rsidP="00531F8E">
            <w:pPr>
              <w:pStyle w:val="ListParagraph"/>
              <w:numPr>
                <w:ilvl w:val="0"/>
                <w:numId w:val="14"/>
              </w:numPr>
              <w:rPr>
                <w:rFonts w:ascii="Garamond" w:hAnsi="Garamond"/>
                <w:lang w:val="en-AU"/>
              </w:rPr>
            </w:pPr>
            <w:r w:rsidRPr="00531F8E">
              <w:rPr>
                <w:rFonts w:ascii="Garamond" w:hAnsi="Garamond"/>
                <w:b/>
                <w:lang w:val="en-AU"/>
              </w:rPr>
              <w:t>Patient safety culture</w:t>
            </w:r>
            <w:r w:rsidRPr="00531F8E">
              <w:rPr>
                <w:rFonts w:ascii="Garamond" w:hAnsi="Garamond"/>
                <w:lang w:val="en-AU"/>
              </w:rPr>
              <w:t xml:space="preserve"> in Polish Primary Healthcare Centers (Dorota Raczkiewicz; Jakub Owoc; Jan Krakowiak; Cezary Rzemek; Alfred Owoc</w:t>
            </w:r>
            <w:r>
              <w:rPr>
                <w:rFonts w:ascii="Garamond" w:hAnsi="Garamond"/>
                <w:lang w:val="en-AU"/>
              </w:rPr>
              <w:t xml:space="preserve">; </w:t>
            </w:r>
            <w:r w:rsidRPr="00531F8E">
              <w:rPr>
                <w:rFonts w:ascii="Garamond" w:hAnsi="Garamond"/>
                <w:lang w:val="en-AU"/>
              </w:rPr>
              <w:t>Iwona Bojar</w:t>
            </w:r>
            <w:r>
              <w:rPr>
                <w:rFonts w:ascii="Garamond" w:hAnsi="Garamond"/>
                <w:lang w:val="en-AU"/>
              </w:rPr>
              <w:t>)</w:t>
            </w:r>
            <w:r w:rsidRPr="00531F8E">
              <w:rPr>
                <w:rFonts w:ascii="Garamond" w:hAnsi="Garamond"/>
                <w:lang w:val="en-AU"/>
              </w:rPr>
              <w:t xml:space="preserve"> </w:t>
            </w:r>
          </w:p>
          <w:p w:rsidR="00531F8E" w:rsidRPr="00531F8E" w:rsidRDefault="00531F8E" w:rsidP="00531F8E">
            <w:pPr>
              <w:pStyle w:val="ListParagraph"/>
              <w:numPr>
                <w:ilvl w:val="0"/>
                <w:numId w:val="14"/>
              </w:numPr>
              <w:rPr>
                <w:rFonts w:ascii="Garamond" w:hAnsi="Garamond"/>
                <w:lang w:val="en-AU"/>
              </w:rPr>
            </w:pPr>
            <w:r w:rsidRPr="00531F8E">
              <w:rPr>
                <w:rFonts w:ascii="Garamond" w:hAnsi="Garamond"/>
                <w:lang w:val="en-AU"/>
              </w:rPr>
              <w:t xml:space="preserve">Developing </w:t>
            </w:r>
            <w:r w:rsidRPr="00531F8E">
              <w:rPr>
                <w:rFonts w:ascii="Garamond" w:hAnsi="Garamond"/>
                <w:b/>
                <w:lang w:val="en-AU"/>
              </w:rPr>
              <w:t>medical record-based, healthcare quality indicators</w:t>
            </w:r>
            <w:r w:rsidRPr="00531F8E">
              <w:rPr>
                <w:rFonts w:ascii="Garamond" w:hAnsi="Garamond"/>
                <w:lang w:val="en-AU"/>
              </w:rPr>
              <w:t xml:space="preserve"> for psychiatric hospitals in China: a modified Delphi-Analytic Hierarchy Process study (Feng Jiang; Tingfang Liu; Huixuan Zhou; Jeffrey J Rakofsky; Huanzhong Liu; Yuanli Liu; </w:t>
            </w:r>
            <w:r>
              <w:rPr>
                <w:rFonts w:ascii="Garamond" w:hAnsi="Garamond"/>
                <w:lang w:val="en-AU"/>
              </w:rPr>
              <w:t>Yi-Lang Tang)</w:t>
            </w:r>
          </w:p>
          <w:p w:rsidR="008F617D" w:rsidRPr="00DA6435" w:rsidRDefault="00531F8E" w:rsidP="00531F8E">
            <w:pPr>
              <w:pStyle w:val="ListParagraph"/>
              <w:numPr>
                <w:ilvl w:val="0"/>
                <w:numId w:val="14"/>
              </w:numPr>
              <w:rPr>
                <w:rFonts w:ascii="Garamond" w:hAnsi="Garamond"/>
                <w:lang w:val="en-AU"/>
              </w:rPr>
            </w:pPr>
            <w:r w:rsidRPr="00531F8E">
              <w:rPr>
                <w:rFonts w:ascii="Garamond" w:hAnsi="Garamond"/>
                <w:lang w:val="en-AU"/>
              </w:rPr>
              <w:t xml:space="preserve">Editorial: </w:t>
            </w:r>
            <w:r w:rsidRPr="00531F8E">
              <w:rPr>
                <w:rFonts w:ascii="Garamond" w:hAnsi="Garamond"/>
                <w:b/>
                <w:lang w:val="en-AU"/>
              </w:rPr>
              <w:t>Healthcare quality-improvement and measurement strategies</w:t>
            </w:r>
            <w:r w:rsidRPr="00531F8E">
              <w:rPr>
                <w:rFonts w:ascii="Garamond" w:hAnsi="Garamond"/>
                <w:lang w:val="en-AU"/>
              </w:rPr>
              <w:t xml:space="preserve"> and its challenges ahead (Usman Iqbal; Ayesha Humayun; Yu-Chuan (Jack) Li</w:t>
            </w:r>
            <w:r>
              <w:rPr>
                <w:rFonts w:ascii="Garamond" w:hAnsi="Garamond"/>
                <w:lang w:val="en-AU"/>
              </w:rPr>
              <w:t>)</w:t>
            </w:r>
          </w:p>
        </w:tc>
      </w:tr>
    </w:tbl>
    <w:p w:rsidR="007E25CC" w:rsidRDefault="007E25CC"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DE4C04" w:rsidRDefault="00DE4C04" w:rsidP="00070CFE">
      <w:pPr>
        <w:rPr>
          <w:rFonts w:ascii="Garamond" w:hAnsi="Garamond"/>
          <w:lang w:val="en-AU"/>
        </w:rPr>
      </w:pPr>
    </w:p>
    <w:p w:rsidR="00831B85" w:rsidRPr="000170DA" w:rsidRDefault="00831B85" w:rsidP="00831B8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31B85" w:rsidRPr="000170DA" w:rsidRDefault="004C3D5A" w:rsidP="00831B85">
      <w:pPr>
        <w:keepNext/>
        <w:keepLines/>
        <w:rPr>
          <w:rFonts w:ascii="Garamond" w:hAnsi="Garamond"/>
          <w:u w:val="single"/>
          <w:lang w:val="en-AU"/>
        </w:rPr>
      </w:pPr>
      <w:hyperlink r:id="rId32" w:history="1">
        <w:r w:rsidR="00831B85" w:rsidRPr="000170DA">
          <w:rPr>
            <w:rStyle w:val="Hyperlink"/>
            <w:rFonts w:ascii="Garamond" w:hAnsi="Garamond"/>
            <w:lang w:val="en-AU"/>
          </w:rPr>
          <w:t>https://www.nice.org.uk</w:t>
        </w:r>
      </w:hyperlink>
    </w:p>
    <w:p w:rsidR="00831B85" w:rsidRPr="000170DA" w:rsidRDefault="00831B85" w:rsidP="00831B8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831B85" w:rsidRDefault="00DE4C04" w:rsidP="00DE4C04">
      <w:pPr>
        <w:pStyle w:val="ListParagraph"/>
        <w:keepNext/>
        <w:keepLines/>
        <w:numPr>
          <w:ilvl w:val="0"/>
          <w:numId w:val="14"/>
        </w:numPr>
        <w:rPr>
          <w:rFonts w:ascii="Garamond" w:hAnsi="Garamond"/>
          <w:lang w:val="en-AU"/>
        </w:rPr>
      </w:pPr>
      <w:r>
        <w:rPr>
          <w:rFonts w:ascii="Garamond" w:hAnsi="Garamond"/>
          <w:lang w:val="en-AU"/>
        </w:rPr>
        <w:t xml:space="preserve">Clinical Guideline CG62 </w:t>
      </w:r>
      <w:r w:rsidRPr="00DE4C04">
        <w:rPr>
          <w:rFonts w:ascii="Garamond" w:hAnsi="Garamond"/>
          <w:b/>
          <w:i/>
          <w:lang w:val="en-AU"/>
        </w:rPr>
        <w:t>Antenatal care</w:t>
      </w:r>
      <w:r w:rsidRPr="00DE4C04">
        <w:rPr>
          <w:rFonts w:ascii="Garamond" w:hAnsi="Garamond"/>
          <w:i/>
          <w:lang w:val="en-AU"/>
        </w:rPr>
        <w:t xml:space="preserve"> for uncomplicated pregnancies</w:t>
      </w:r>
      <w:r>
        <w:rPr>
          <w:rFonts w:ascii="Garamond" w:hAnsi="Garamond"/>
          <w:lang w:val="en-AU"/>
        </w:rPr>
        <w:t xml:space="preserve"> </w:t>
      </w:r>
      <w:hyperlink r:id="rId33" w:history="1">
        <w:r w:rsidRPr="009D2E28">
          <w:rPr>
            <w:rStyle w:val="Hyperlink"/>
            <w:rFonts w:ascii="Garamond" w:hAnsi="Garamond"/>
            <w:lang w:val="en-AU"/>
          </w:rPr>
          <w:t>https://www.nice.org.uk/guidance/cg62</w:t>
        </w:r>
      </w:hyperlink>
      <w:r>
        <w:rPr>
          <w:rFonts w:ascii="Garamond" w:hAnsi="Garamond"/>
          <w:lang w:val="en-AU"/>
        </w:rPr>
        <w:t xml:space="preserve"> </w:t>
      </w:r>
    </w:p>
    <w:p w:rsidR="00E04104" w:rsidRDefault="00E04104" w:rsidP="00E04104">
      <w:pPr>
        <w:pStyle w:val="ListParagraph"/>
        <w:keepNext/>
        <w:keepLines/>
        <w:numPr>
          <w:ilvl w:val="0"/>
          <w:numId w:val="14"/>
        </w:numPr>
        <w:rPr>
          <w:rFonts w:ascii="Garamond" w:hAnsi="Garamond"/>
          <w:lang w:val="en-AU"/>
        </w:rPr>
      </w:pPr>
      <w:r>
        <w:rPr>
          <w:rFonts w:ascii="Garamond" w:hAnsi="Garamond"/>
          <w:lang w:val="en-AU"/>
        </w:rPr>
        <w:t xml:space="preserve">Quality Standard QS179 </w:t>
      </w:r>
      <w:r w:rsidRPr="00E04104">
        <w:rPr>
          <w:rFonts w:ascii="Garamond" w:hAnsi="Garamond"/>
          <w:b/>
          <w:i/>
          <w:lang w:val="en-AU"/>
        </w:rPr>
        <w:t>Child abuse</w:t>
      </w:r>
      <w:r w:rsidRPr="00E04104">
        <w:rPr>
          <w:rFonts w:ascii="Garamond" w:hAnsi="Garamond"/>
          <w:i/>
          <w:lang w:val="en-AU"/>
        </w:rPr>
        <w:t xml:space="preserve"> and neglect</w:t>
      </w:r>
      <w:r>
        <w:rPr>
          <w:rFonts w:ascii="Garamond" w:hAnsi="Garamond"/>
          <w:lang w:val="en-AU"/>
        </w:rPr>
        <w:t xml:space="preserve"> </w:t>
      </w:r>
      <w:hyperlink r:id="rId34" w:history="1">
        <w:r w:rsidRPr="00E11772">
          <w:rPr>
            <w:rStyle w:val="Hyperlink"/>
            <w:rFonts w:ascii="Garamond" w:hAnsi="Garamond"/>
            <w:lang w:val="en-AU"/>
          </w:rPr>
          <w:t>https://www.nice.org.uk/guidance/qs179</w:t>
        </w:r>
      </w:hyperlink>
    </w:p>
    <w:p w:rsidR="00E04104" w:rsidRDefault="00E04104" w:rsidP="00E04104">
      <w:pPr>
        <w:pStyle w:val="ListParagraph"/>
        <w:keepNext/>
        <w:keepLines/>
        <w:numPr>
          <w:ilvl w:val="0"/>
          <w:numId w:val="14"/>
        </w:numPr>
        <w:rPr>
          <w:rFonts w:ascii="Garamond" w:hAnsi="Garamond"/>
          <w:lang w:val="en-AU"/>
        </w:rPr>
      </w:pPr>
      <w:r>
        <w:rPr>
          <w:rFonts w:ascii="Garamond" w:hAnsi="Garamond"/>
          <w:lang w:val="en-AU"/>
        </w:rPr>
        <w:t xml:space="preserve">Quality Standard QS180 </w:t>
      </w:r>
      <w:r w:rsidRPr="00E04104">
        <w:rPr>
          <w:rFonts w:ascii="Garamond" w:hAnsi="Garamond"/>
          <w:i/>
          <w:lang w:val="en-AU"/>
        </w:rPr>
        <w:t xml:space="preserve">Serious </w:t>
      </w:r>
      <w:r w:rsidRPr="00E04104">
        <w:rPr>
          <w:rFonts w:ascii="Garamond" w:hAnsi="Garamond"/>
          <w:b/>
          <w:i/>
          <w:lang w:val="en-AU"/>
        </w:rPr>
        <w:t>eye disorders</w:t>
      </w:r>
      <w:r>
        <w:rPr>
          <w:rFonts w:ascii="Garamond" w:hAnsi="Garamond"/>
          <w:lang w:val="en-AU"/>
        </w:rPr>
        <w:t xml:space="preserve"> </w:t>
      </w:r>
      <w:hyperlink r:id="rId35" w:history="1">
        <w:r w:rsidRPr="00E11772">
          <w:rPr>
            <w:rStyle w:val="Hyperlink"/>
            <w:rFonts w:ascii="Garamond" w:hAnsi="Garamond"/>
            <w:lang w:val="en-AU"/>
          </w:rPr>
          <w:t>https://www.nice.org.uk/guidance/qs180</w:t>
        </w:r>
      </w:hyperlink>
    </w:p>
    <w:p w:rsidR="00831B85" w:rsidRDefault="00831B85" w:rsidP="004C3D5A">
      <w:pPr>
        <w:keepLines/>
        <w:rPr>
          <w:rFonts w:ascii="Garamond" w:hAnsi="Garamond"/>
          <w:i/>
          <w:lang w:val="en-AU"/>
        </w:rPr>
      </w:pPr>
    </w:p>
    <w:p w:rsidR="001E327F" w:rsidRPr="000170DA" w:rsidRDefault="001E327F" w:rsidP="001E327F">
      <w:pPr>
        <w:keepNext/>
        <w:keepLines/>
        <w:rPr>
          <w:rFonts w:ascii="Garamond" w:hAnsi="Garamond"/>
          <w:i/>
          <w:lang w:val="en-AU"/>
        </w:rPr>
      </w:pPr>
      <w:r w:rsidRPr="000170DA">
        <w:rPr>
          <w:rFonts w:ascii="Garamond" w:hAnsi="Garamond"/>
          <w:i/>
          <w:lang w:val="en-AU"/>
        </w:rPr>
        <w:t>[USA] Effective Health Care Program reports</w:t>
      </w:r>
    </w:p>
    <w:p w:rsidR="001E327F" w:rsidRPr="000170DA" w:rsidRDefault="004C3D5A" w:rsidP="001E327F">
      <w:pPr>
        <w:keepNext/>
        <w:keepLines/>
        <w:rPr>
          <w:rFonts w:ascii="Garamond" w:hAnsi="Garamond"/>
          <w:u w:val="single"/>
          <w:lang w:val="en-AU"/>
        </w:rPr>
      </w:pPr>
      <w:hyperlink r:id="rId36" w:history="1">
        <w:r w:rsidR="001E327F" w:rsidRPr="000170DA">
          <w:rPr>
            <w:rStyle w:val="Hyperlink"/>
            <w:rFonts w:ascii="Garamond" w:hAnsi="Garamond"/>
            <w:lang w:val="en-AU"/>
          </w:rPr>
          <w:t>https://effectivehealthcare.ahrq.gov/</w:t>
        </w:r>
      </w:hyperlink>
    </w:p>
    <w:p w:rsidR="001E327F" w:rsidRDefault="001E327F" w:rsidP="001E327F">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1E327F" w:rsidRDefault="001E327F" w:rsidP="006657F4">
      <w:pPr>
        <w:pStyle w:val="ListParagraph"/>
        <w:keepNext/>
        <w:keepLines/>
        <w:numPr>
          <w:ilvl w:val="0"/>
          <w:numId w:val="14"/>
        </w:numPr>
        <w:rPr>
          <w:rFonts w:ascii="Garamond" w:hAnsi="Garamond"/>
          <w:lang w:val="en-AU"/>
        </w:rPr>
      </w:pPr>
      <w:r w:rsidRPr="006657F4">
        <w:rPr>
          <w:rFonts w:ascii="Garamond" w:hAnsi="Garamond"/>
          <w:i/>
          <w:lang w:val="en-AU"/>
        </w:rPr>
        <w:t xml:space="preserve">Addressing </w:t>
      </w:r>
      <w:r w:rsidRPr="006657F4">
        <w:rPr>
          <w:rFonts w:ascii="Garamond" w:hAnsi="Garamond"/>
          <w:b/>
          <w:i/>
          <w:lang w:val="en-AU"/>
        </w:rPr>
        <w:t>Social Isolation</w:t>
      </w:r>
      <w:r w:rsidRPr="006657F4">
        <w:rPr>
          <w:rFonts w:ascii="Garamond" w:hAnsi="Garamond"/>
          <w:i/>
          <w:lang w:val="en-AU"/>
        </w:rPr>
        <w:t xml:space="preserve"> To Improve the Health of</w:t>
      </w:r>
      <w:r w:rsidRPr="006657F4">
        <w:rPr>
          <w:rFonts w:ascii="Garamond" w:hAnsi="Garamond"/>
          <w:b/>
          <w:i/>
          <w:lang w:val="en-AU"/>
        </w:rPr>
        <w:t xml:space="preserve"> Older Adults</w:t>
      </w:r>
      <w:r w:rsidRPr="006657F4">
        <w:rPr>
          <w:rFonts w:ascii="Garamond" w:hAnsi="Garamond"/>
          <w:i/>
          <w:lang w:val="en-AU"/>
        </w:rPr>
        <w:t>: A Rapid Review</w:t>
      </w:r>
      <w:r>
        <w:rPr>
          <w:rFonts w:ascii="Garamond" w:hAnsi="Garamond"/>
          <w:lang w:val="en-AU"/>
        </w:rPr>
        <w:t xml:space="preserve"> </w:t>
      </w:r>
      <w:hyperlink r:id="rId37" w:history="1">
        <w:r w:rsidR="006657F4" w:rsidRPr="003331B5">
          <w:rPr>
            <w:rStyle w:val="Hyperlink"/>
            <w:rFonts w:ascii="Garamond" w:hAnsi="Garamond"/>
            <w:lang w:val="en-AU"/>
          </w:rPr>
          <w:t>https://effectivehealthcare.ahrq.gov/topics/social-isolation/rapid-product</w:t>
        </w:r>
      </w:hyperlink>
    </w:p>
    <w:p w:rsidR="00194107" w:rsidRPr="00194107" w:rsidRDefault="00194107" w:rsidP="004C3D5A">
      <w:pPr>
        <w:keepLines/>
        <w:rPr>
          <w:rFonts w:ascii="Garamond" w:hAnsi="Garamond"/>
          <w:lang w:val="en-AU"/>
        </w:rPr>
      </w:pPr>
    </w:p>
    <w:p w:rsidR="00742613" w:rsidRPr="00BD76EB" w:rsidRDefault="00742613" w:rsidP="004C3D5A">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C3D5A">
      <w:rPr>
        <w:rStyle w:val="PageNumber"/>
        <w:noProof/>
      </w:rPr>
      <w:t>4</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603C9">
      <w:rPr>
        <w:rFonts w:ascii="Garamond" w:hAnsi="Garamond"/>
      </w:rPr>
      <w:t xml:space="preserve"> Issue 406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C3D5A">
      <w:rPr>
        <w:rStyle w:val="PageNumber"/>
        <w:rFonts w:ascii="Garamond" w:hAnsi="Garamond"/>
        <w:noProof/>
      </w:rPr>
      <w:t>3</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40</w:t>
    </w:r>
    <w:r w:rsidR="004603C9">
      <w:rPr>
        <w:rFonts w:ascii="Garamond" w:hAnsi="Garamond"/>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95F37B4"/>
    <w:multiLevelType w:val="hybridMultilevel"/>
    <w:tmpl w:val="8258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656E4F"/>
    <w:multiLevelType w:val="hybridMultilevel"/>
    <w:tmpl w:val="56C40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5F3C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7"/>
  </w:num>
  <w:num w:numId="15">
    <w:abstractNumId w:val="40"/>
  </w:num>
  <w:num w:numId="16">
    <w:abstractNumId w:val="43"/>
  </w:num>
  <w:num w:numId="17">
    <w:abstractNumId w:val="14"/>
  </w:num>
  <w:num w:numId="18">
    <w:abstractNumId w:val="15"/>
  </w:num>
  <w:num w:numId="19">
    <w:abstractNumId w:val="13"/>
  </w:num>
  <w:num w:numId="20">
    <w:abstractNumId w:val="19"/>
  </w:num>
  <w:num w:numId="21">
    <w:abstractNumId w:val="16"/>
  </w:num>
  <w:num w:numId="22">
    <w:abstractNumId w:val="39"/>
  </w:num>
  <w:num w:numId="23">
    <w:abstractNumId w:val="17"/>
  </w:num>
  <w:num w:numId="24">
    <w:abstractNumId w:val="41"/>
  </w:num>
  <w:num w:numId="25">
    <w:abstractNumId w:val="28"/>
  </w:num>
  <w:num w:numId="26">
    <w:abstractNumId w:val="25"/>
  </w:num>
  <w:num w:numId="27">
    <w:abstractNumId w:val="21"/>
  </w:num>
  <w:num w:numId="28">
    <w:abstractNumId w:val="29"/>
  </w:num>
  <w:num w:numId="29">
    <w:abstractNumId w:val="31"/>
  </w:num>
  <w:num w:numId="30">
    <w:abstractNumId w:val="35"/>
  </w:num>
  <w:num w:numId="31">
    <w:abstractNumId w:val="24"/>
  </w:num>
  <w:num w:numId="32">
    <w:abstractNumId w:val="10"/>
  </w:num>
  <w:num w:numId="33">
    <w:abstractNumId w:val="38"/>
  </w:num>
  <w:num w:numId="34">
    <w:abstractNumId w:val="34"/>
  </w:num>
  <w:num w:numId="35">
    <w:abstractNumId w:val="33"/>
  </w:num>
  <w:num w:numId="36">
    <w:abstractNumId w:val="23"/>
  </w:num>
  <w:num w:numId="37">
    <w:abstractNumId w:val="22"/>
  </w:num>
  <w:num w:numId="38">
    <w:abstractNumId w:val="30"/>
  </w:num>
  <w:num w:numId="39">
    <w:abstractNumId w:val="11"/>
  </w:num>
  <w:num w:numId="40">
    <w:abstractNumId w:val="20"/>
  </w:num>
  <w:num w:numId="41">
    <w:abstractNumId w:val="42"/>
  </w:num>
  <w:num w:numId="42">
    <w:abstractNumId w:val="37"/>
  </w:num>
  <w:num w:numId="43">
    <w:abstractNumId w:val="12"/>
  </w:num>
  <w:num w:numId="4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7F"/>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2F"/>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3E20"/>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EA3"/>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5A"/>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1F8E"/>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C88"/>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7F4"/>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0A"/>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0BA"/>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A49"/>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7D9"/>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12D"/>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3F1"/>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4C06"/>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104"/>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59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5AE"/>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CC9"/>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C45"/>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mailto:indicators@safetyandquality.gov.au" TargetMode="External"/><Relationship Id="rId26" Type="http://schemas.openxmlformats.org/officeDocument/2006/relationships/image" Target="media/image2.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afetyandquality.gov.au/our-work/falls-prevention/" TargetMode="External"/><Relationship Id="rId34" Type="http://schemas.openxmlformats.org/officeDocument/2006/relationships/hyperlink" Target="https://www.nice.org.uk/guidance/qs179"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urveymonkey.com/r/ACSQHCsafetyculture" TargetMode="External"/><Relationship Id="rId25" Type="http://schemas.openxmlformats.org/officeDocument/2006/relationships/hyperlink" Target="https://doi.org/10.12927/hcq.2018.25706" TargetMode="External"/><Relationship Id="rId33" Type="http://schemas.openxmlformats.org/officeDocument/2006/relationships/hyperlink" Target="https://www.nice.org.uk/guidance/cg6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urveymonkey.com/r/ACSQHCsafetyculture" TargetMode="External"/><Relationship Id="rId20" Type="http://schemas.openxmlformats.org/officeDocument/2006/relationships/hyperlink" Target="https://doi.org/10.1002/14651858.CD012424.pub2" TargetMode="External"/><Relationship Id="rId29" Type="http://schemas.openxmlformats.org/officeDocument/2006/relationships/hyperlink" Target="http://pxjournal.org/journal/vol5/iss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1001/jamainternmed.2018.5748" TargetMode="External"/><Relationship Id="rId32" Type="http://schemas.openxmlformats.org/officeDocument/2006/relationships/hyperlink" Target="https://www.nice.org.uk" TargetMode="External"/><Relationship Id="rId37" Type="http://schemas.openxmlformats.org/officeDocument/2006/relationships/hyperlink" Target="https://effectivehealthcare.ahrq.gov/topics/social-isolation/rapid-produc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clinical-care-standards/venous-thromboembolism-prevention-clinical-care-standard/" TargetMode="External"/><Relationship Id="rId28" Type="http://schemas.openxmlformats.org/officeDocument/2006/relationships/hyperlink" Target="https://doi.org/10.12927/hcq.2018.25702" TargetMode="External"/><Relationship Id="rId36" Type="http://schemas.openxmlformats.org/officeDocument/2006/relationships/hyperlink" Target="https://effectivehealthcare.ahrq.gov/"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gettingitrightfirsttime.co.uk/spinal-surgery-report/" TargetMode="External"/><Relationship Id="rId31" Type="http://schemas.openxmlformats.org/officeDocument/2006/relationships/hyperlink" Target="https://academic.oup.com/intqhc/advance-acces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5694/mja2.50004" TargetMode="External"/><Relationship Id="rId27" Type="http://schemas.openxmlformats.org/officeDocument/2006/relationships/hyperlink" Target="https://doi.org/10.1007/s00134-019-05543-y"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www.nice.org.uk/guidance/qs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C168E-3DAF-4CB8-AA7F-E626822D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8</Pages>
  <Words>3007</Words>
  <Characters>18347</Characters>
  <Application>Microsoft Office Word</Application>
  <DocSecurity>0</DocSecurity>
  <Lines>382</Lines>
  <Paragraphs>187</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21167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17</cp:revision>
  <cp:lastPrinted>2018-03-02T02:34:00Z</cp:lastPrinted>
  <dcterms:created xsi:type="dcterms:W3CDTF">2019-02-10T20:30:00Z</dcterms:created>
  <dcterms:modified xsi:type="dcterms:W3CDTF">2019-02-15T04:38:00Z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