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444AC0" w:rsidP="00F738B5">
      <w:pPr>
        <w:rPr>
          <w:rFonts w:ascii="Garamond" w:hAnsi="Garamond"/>
          <w:lang w:val="en-AU"/>
        </w:rPr>
      </w:pPr>
      <w:r>
        <w:rPr>
          <w:rFonts w:ascii="Garamond" w:hAnsi="Garamond"/>
          <w:lang w:val="en-AU"/>
        </w:rPr>
        <w:t>Issue 407</w:t>
      </w:r>
    </w:p>
    <w:p w:rsidR="00755242" w:rsidRPr="00467B47" w:rsidRDefault="00444AC0" w:rsidP="00F738B5">
      <w:pPr>
        <w:rPr>
          <w:rFonts w:ascii="Garamond" w:hAnsi="Garamond"/>
          <w:lang w:val="en-AU"/>
        </w:rPr>
      </w:pPr>
      <w:r>
        <w:rPr>
          <w:rFonts w:ascii="Garamond" w:hAnsi="Garamond"/>
          <w:lang w:val="en-AU"/>
        </w:rPr>
        <w:t>25</w:t>
      </w:r>
      <w:r w:rsidR="00831B85">
        <w:rPr>
          <w:rFonts w:ascii="Garamond" w:hAnsi="Garamond"/>
          <w:lang w:val="en-AU"/>
        </w:rPr>
        <w:t xml:space="preserve"> Febr</w:t>
      </w:r>
      <w:r w:rsidR="006C06FF">
        <w:rPr>
          <w:rFonts w:ascii="Garamond" w:hAnsi="Garamond"/>
          <w:lang w:val="en-AU"/>
        </w:rPr>
        <w:t>uary 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6C022F" w:rsidRDefault="006C022F">
      <w:pPr>
        <w:rPr>
          <w:rFonts w:ascii="Garamond" w:hAnsi="Garamond"/>
          <w:b/>
          <w:lang w:val="en-AU"/>
        </w:rPr>
      </w:pPr>
    </w:p>
    <w:p w:rsidR="006C022F" w:rsidRDefault="006C022F">
      <w:pPr>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6C022F" w:rsidRPr="00146E5F" w:rsidRDefault="006C022F" w:rsidP="006C022F">
      <w:pPr>
        <w:keepNext/>
        <w:keepLines/>
        <w:autoSpaceDE w:val="0"/>
        <w:autoSpaceDN w:val="0"/>
        <w:adjustRightInd w:val="0"/>
        <w:rPr>
          <w:rFonts w:ascii="Garamond" w:hAnsi="Garamond"/>
          <w:i/>
          <w:lang w:val="en-AU"/>
        </w:rPr>
      </w:pPr>
      <w:r w:rsidRPr="00146E5F">
        <w:rPr>
          <w:rFonts w:ascii="Garamond" w:hAnsi="Garamond"/>
          <w:i/>
          <w:lang w:val="en-AU"/>
        </w:rPr>
        <w:t>Divided We Fall</w:t>
      </w:r>
    </w:p>
    <w:p w:rsidR="006C022F" w:rsidRDefault="006C022F" w:rsidP="006C022F">
      <w:pPr>
        <w:keepNext/>
        <w:keepLines/>
        <w:autoSpaceDE w:val="0"/>
        <w:autoSpaceDN w:val="0"/>
        <w:adjustRightInd w:val="0"/>
        <w:rPr>
          <w:rFonts w:ascii="Garamond" w:hAnsi="Garamond"/>
          <w:lang w:val="en-AU"/>
        </w:rPr>
      </w:pPr>
      <w:r w:rsidRPr="00146E5F">
        <w:rPr>
          <w:rFonts w:ascii="Garamond" w:hAnsi="Garamond"/>
          <w:lang w:val="en-AU"/>
        </w:rPr>
        <w:t>Rosenbaum L</w:t>
      </w:r>
    </w:p>
    <w:p w:rsidR="006C022F" w:rsidRDefault="006C022F" w:rsidP="006C022F">
      <w:pPr>
        <w:keepNext/>
        <w:keepLines/>
        <w:autoSpaceDE w:val="0"/>
        <w:autoSpaceDN w:val="0"/>
        <w:adjustRightInd w:val="0"/>
        <w:rPr>
          <w:rFonts w:ascii="Garamond" w:hAnsi="Garamond"/>
          <w:lang w:val="en-AU"/>
        </w:rPr>
      </w:pPr>
      <w:r w:rsidRPr="00146E5F">
        <w:rPr>
          <w:rFonts w:ascii="Garamond" w:hAnsi="Garamond"/>
          <w:lang w:val="en-AU"/>
        </w:rPr>
        <w:t>New England Journal of Medicine. 2019;380(7):684-8.</w:t>
      </w:r>
    </w:p>
    <w:p w:rsidR="006C022F" w:rsidRDefault="006C022F" w:rsidP="006C022F">
      <w:pPr>
        <w:keepNext/>
        <w:keepLines/>
        <w:autoSpaceDE w:val="0"/>
        <w:autoSpaceDN w:val="0"/>
        <w:adjustRightInd w:val="0"/>
        <w:rPr>
          <w:rFonts w:ascii="Garamond" w:hAnsi="Garamond"/>
          <w:lang w:val="en-AU"/>
        </w:rPr>
      </w:pPr>
    </w:p>
    <w:p w:rsidR="006C022F" w:rsidRPr="00146E5F" w:rsidRDefault="006C022F" w:rsidP="006C022F">
      <w:pPr>
        <w:keepNext/>
        <w:keepLines/>
        <w:autoSpaceDE w:val="0"/>
        <w:autoSpaceDN w:val="0"/>
        <w:adjustRightInd w:val="0"/>
        <w:rPr>
          <w:rFonts w:ascii="Garamond" w:hAnsi="Garamond"/>
          <w:i/>
          <w:lang w:val="en-AU"/>
        </w:rPr>
      </w:pPr>
      <w:r w:rsidRPr="00146E5F">
        <w:rPr>
          <w:rFonts w:ascii="Garamond" w:hAnsi="Garamond"/>
          <w:i/>
          <w:lang w:val="en-AU"/>
        </w:rPr>
        <w:t>Cursed by Knowledge — Building a Culture of Psychological Safety</w:t>
      </w:r>
    </w:p>
    <w:p w:rsidR="006C022F" w:rsidRDefault="006C022F" w:rsidP="006C022F">
      <w:pPr>
        <w:keepNext/>
        <w:keepLines/>
        <w:autoSpaceDE w:val="0"/>
        <w:autoSpaceDN w:val="0"/>
        <w:adjustRightInd w:val="0"/>
        <w:rPr>
          <w:rFonts w:ascii="Garamond" w:hAnsi="Garamond"/>
          <w:lang w:val="en-AU"/>
        </w:rPr>
      </w:pPr>
      <w:r w:rsidRPr="00146E5F">
        <w:rPr>
          <w:rFonts w:ascii="Garamond" w:hAnsi="Garamond"/>
          <w:lang w:val="en-AU"/>
        </w:rPr>
        <w:t>Rosenbaum L</w:t>
      </w:r>
    </w:p>
    <w:p w:rsidR="006C022F" w:rsidRPr="00E566B0" w:rsidRDefault="006C022F" w:rsidP="006C022F">
      <w:pPr>
        <w:keepNext/>
        <w:keepLines/>
        <w:autoSpaceDE w:val="0"/>
        <w:autoSpaceDN w:val="0"/>
        <w:adjustRightInd w:val="0"/>
        <w:rPr>
          <w:rFonts w:ascii="Garamond" w:hAnsi="Garamond"/>
          <w:lang w:val="en-AU"/>
        </w:rPr>
      </w:pPr>
      <w:r w:rsidRPr="00146E5F">
        <w:rPr>
          <w:rFonts w:ascii="Garamond" w:hAnsi="Garamond"/>
          <w:lang w:val="en-AU"/>
        </w:rPr>
        <w:t>New England Journal of Medicine. 2019;380(8):786-90.</w:t>
      </w:r>
    </w:p>
    <w:tbl>
      <w:tblPr>
        <w:tblStyle w:val="TableGrid"/>
        <w:tblW w:w="0" w:type="auto"/>
        <w:tblInd w:w="288" w:type="dxa"/>
        <w:tblLayout w:type="fixed"/>
        <w:tblLook w:val="01E0" w:firstRow="1" w:lastRow="1" w:firstColumn="1" w:lastColumn="1" w:noHBand="0" w:noVBand="0"/>
      </w:tblPr>
      <w:tblGrid>
        <w:gridCol w:w="1080"/>
        <w:gridCol w:w="8280"/>
      </w:tblGrid>
      <w:tr w:rsidR="006C022F" w:rsidRPr="000170DA" w:rsidTr="00E204DF">
        <w:tc>
          <w:tcPr>
            <w:tcW w:w="1080" w:type="dxa"/>
            <w:tcBorders>
              <w:top w:val="single" w:sz="4" w:space="0" w:color="auto"/>
              <w:left w:val="single" w:sz="4" w:space="0" w:color="auto"/>
              <w:bottom w:val="single" w:sz="4" w:space="0" w:color="auto"/>
              <w:right w:val="single" w:sz="4" w:space="0" w:color="auto"/>
            </w:tcBorders>
            <w:vAlign w:val="center"/>
          </w:tcPr>
          <w:p w:rsidR="006C022F" w:rsidRPr="000170DA" w:rsidRDefault="006C022F" w:rsidP="00E204D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C022F" w:rsidRDefault="00EE1F99" w:rsidP="00E204DF">
            <w:pPr>
              <w:rPr>
                <w:rStyle w:val="Hyperlink"/>
                <w:rFonts w:ascii="Garamond" w:hAnsi="Garamond"/>
                <w:color w:val="auto"/>
                <w:u w:val="none"/>
                <w:lang w:val="en-AU"/>
              </w:rPr>
            </w:pPr>
            <w:hyperlink r:id="rId16" w:history="1">
              <w:r w:rsidR="006C022F" w:rsidRPr="00956A83">
                <w:rPr>
                  <w:rStyle w:val="Hyperlink"/>
                  <w:rFonts w:ascii="Garamond" w:hAnsi="Garamond"/>
                  <w:lang w:val="en-AU"/>
                </w:rPr>
                <w:t>https://doi.org/10.1056/NEJMms1813427</w:t>
              </w:r>
            </w:hyperlink>
          </w:p>
          <w:p w:rsidR="006C022F" w:rsidRPr="000170DA" w:rsidRDefault="00EE1F99" w:rsidP="00E204DF">
            <w:pPr>
              <w:rPr>
                <w:rStyle w:val="Hyperlink"/>
                <w:rFonts w:ascii="Garamond" w:hAnsi="Garamond"/>
                <w:color w:val="auto"/>
                <w:u w:val="none"/>
                <w:lang w:val="en-AU"/>
              </w:rPr>
            </w:pPr>
            <w:hyperlink r:id="rId17" w:history="1">
              <w:r w:rsidR="006C022F" w:rsidRPr="00956A83">
                <w:rPr>
                  <w:rStyle w:val="Hyperlink"/>
                  <w:rFonts w:ascii="Garamond" w:hAnsi="Garamond"/>
                  <w:lang w:val="en-AU"/>
                </w:rPr>
                <w:t>https://doi.org/10.1056/NEJMms1813429</w:t>
              </w:r>
            </w:hyperlink>
          </w:p>
        </w:tc>
      </w:tr>
      <w:tr w:rsidR="006C022F" w:rsidRPr="000170DA" w:rsidTr="00E204DF">
        <w:tc>
          <w:tcPr>
            <w:tcW w:w="1080" w:type="dxa"/>
            <w:tcBorders>
              <w:top w:val="single" w:sz="4" w:space="0" w:color="auto"/>
              <w:left w:val="single" w:sz="4" w:space="0" w:color="auto"/>
              <w:bottom w:val="single" w:sz="4" w:space="0" w:color="auto"/>
              <w:right w:val="single" w:sz="4" w:space="0" w:color="auto"/>
            </w:tcBorders>
            <w:vAlign w:val="center"/>
          </w:tcPr>
          <w:p w:rsidR="006C022F" w:rsidRPr="000170DA" w:rsidRDefault="006C022F" w:rsidP="00E204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022F" w:rsidRPr="00831B85" w:rsidRDefault="006C022F" w:rsidP="00E204DF">
            <w:pPr>
              <w:rPr>
                <w:rFonts w:ascii="Garamond" w:hAnsi="Garamond"/>
                <w:lang w:val="en-AU"/>
              </w:rPr>
            </w:pPr>
            <w:r>
              <w:rPr>
                <w:rFonts w:ascii="Garamond" w:hAnsi="Garamond"/>
                <w:lang w:val="en-AU"/>
              </w:rPr>
              <w:t xml:space="preserve">A pair of articles in the </w:t>
            </w:r>
            <w:r w:rsidRPr="00FC29BC">
              <w:rPr>
                <w:rFonts w:ascii="Garamond" w:hAnsi="Garamond"/>
                <w:i/>
                <w:lang w:val="en-AU"/>
              </w:rPr>
              <w:t>New England Journal of Medicine</w:t>
            </w:r>
            <w:r>
              <w:rPr>
                <w:rFonts w:ascii="Garamond" w:hAnsi="Garamond"/>
                <w:lang w:val="en-AU"/>
              </w:rPr>
              <w:t xml:space="preserve"> reflecting on the place and importance of teamwork in health care. Effective teamwork is not simply a matter of assembling teams but requires effort to allow teams to work together. The author picks out a number of salient issues, including the ‘</w:t>
            </w:r>
            <w:r w:rsidRPr="00146E5F">
              <w:rPr>
                <w:rFonts w:ascii="Garamond" w:hAnsi="Garamond"/>
                <w:lang w:val="en-AU"/>
              </w:rPr>
              <w:t xml:space="preserve">tacit </w:t>
            </w:r>
            <w:r w:rsidRPr="00146E5F">
              <w:rPr>
                <w:rFonts w:ascii="Garamond" w:hAnsi="Garamond"/>
                <w:b/>
                <w:lang w:val="en-AU"/>
              </w:rPr>
              <w:t>permission to ask questions, acknowledge uncertainties</w:t>
            </w:r>
            <w:r w:rsidRPr="00146E5F">
              <w:rPr>
                <w:rFonts w:ascii="Garamond" w:hAnsi="Garamond"/>
                <w:lang w:val="en-AU"/>
              </w:rPr>
              <w:t>, and simply say, “I don’t know.”</w:t>
            </w:r>
            <w:r>
              <w:rPr>
                <w:rFonts w:ascii="Garamond" w:hAnsi="Garamond"/>
                <w:lang w:val="en-AU"/>
              </w:rPr>
              <w:t xml:space="preserve">’ and the </w:t>
            </w:r>
            <w:r w:rsidRPr="00146E5F">
              <w:rPr>
                <w:rFonts w:ascii="Garamond" w:hAnsi="Garamond"/>
                <w:b/>
                <w:lang w:val="en-AU"/>
              </w:rPr>
              <w:t>shared sense of responsibility</w:t>
            </w:r>
            <w:r>
              <w:rPr>
                <w:rFonts w:ascii="Garamond" w:hAnsi="Garamond"/>
                <w:lang w:val="en-AU"/>
              </w:rPr>
              <w:t xml:space="preserve"> that can enhance team care. </w:t>
            </w:r>
          </w:p>
        </w:tc>
      </w:tr>
    </w:tbl>
    <w:p w:rsidR="006C022F" w:rsidRDefault="006C022F" w:rsidP="006C022F">
      <w:pPr>
        <w:rPr>
          <w:rFonts w:ascii="Garamond" w:hAnsi="Garamond"/>
          <w:i/>
          <w:lang w:val="en-AU"/>
        </w:rPr>
      </w:pPr>
    </w:p>
    <w:p w:rsidR="00AF6052" w:rsidRPr="00AF6052" w:rsidRDefault="00AF6052" w:rsidP="00AF6052">
      <w:pPr>
        <w:keepNext/>
        <w:keepLines/>
        <w:autoSpaceDE w:val="0"/>
        <w:autoSpaceDN w:val="0"/>
        <w:adjustRightInd w:val="0"/>
        <w:rPr>
          <w:rFonts w:ascii="Garamond" w:hAnsi="Garamond"/>
          <w:i/>
          <w:lang w:val="en-AU"/>
        </w:rPr>
      </w:pPr>
      <w:r w:rsidRPr="00AF6052">
        <w:rPr>
          <w:rFonts w:ascii="Garamond" w:hAnsi="Garamond"/>
          <w:i/>
          <w:lang w:val="en-AU"/>
        </w:rPr>
        <w:lastRenderedPageBreak/>
        <w:t>Selecting and optimising patients for total knee arthroplasty</w:t>
      </w:r>
    </w:p>
    <w:p w:rsidR="005B15AF" w:rsidRDefault="005B15AF" w:rsidP="00AF6052">
      <w:pPr>
        <w:keepNext/>
        <w:keepLines/>
        <w:autoSpaceDE w:val="0"/>
        <w:autoSpaceDN w:val="0"/>
        <w:adjustRightInd w:val="0"/>
        <w:rPr>
          <w:rFonts w:ascii="Garamond" w:hAnsi="Garamond"/>
          <w:lang w:val="en-AU"/>
        </w:rPr>
      </w:pPr>
      <w:r w:rsidRPr="005B15AF">
        <w:rPr>
          <w:rFonts w:ascii="Garamond" w:hAnsi="Garamond"/>
          <w:lang w:val="en-AU"/>
        </w:rPr>
        <w:t>Adie S, Harris I, Chuan A, Lewis P, Naylor JM</w:t>
      </w:r>
    </w:p>
    <w:p w:rsidR="00AF6052" w:rsidRPr="00E566B0" w:rsidRDefault="005B15AF" w:rsidP="00AF6052">
      <w:pPr>
        <w:keepNext/>
        <w:keepLines/>
        <w:autoSpaceDE w:val="0"/>
        <w:autoSpaceDN w:val="0"/>
        <w:adjustRightInd w:val="0"/>
        <w:rPr>
          <w:rFonts w:ascii="Garamond" w:hAnsi="Garamond"/>
          <w:lang w:val="en-AU"/>
        </w:rPr>
      </w:pPr>
      <w:r w:rsidRPr="005B15AF">
        <w:rPr>
          <w:rFonts w:ascii="Garamond" w:hAnsi="Garamond"/>
          <w:lang w:val="en-AU"/>
        </w:rPr>
        <w:t>Medical Journal of Australia. 2019;210(3):135-42.</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EE1F99" w:rsidP="007C3E5C">
            <w:pPr>
              <w:rPr>
                <w:rStyle w:val="Hyperlink"/>
                <w:rFonts w:ascii="Garamond" w:hAnsi="Garamond"/>
                <w:color w:val="auto"/>
                <w:u w:val="none"/>
                <w:lang w:val="en-AU"/>
              </w:rPr>
            </w:pPr>
            <w:hyperlink r:id="rId18" w:history="1">
              <w:r w:rsidR="00AF6052" w:rsidRPr="001C602E">
                <w:rPr>
                  <w:rStyle w:val="Hyperlink"/>
                  <w:rFonts w:ascii="Garamond" w:hAnsi="Garamond"/>
                  <w:lang w:val="en-AU"/>
                </w:rPr>
                <w:t>https://doi.org/10.5694/mja2.12109</w:t>
              </w:r>
            </w:hyperlink>
          </w:p>
        </w:tc>
      </w:tr>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05BE" w:rsidRDefault="009A7780" w:rsidP="009A7780">
            <w:pPr>
              <w:rPr>
                <w:rFonts w:ascii="Garamond" w:hAnsi="Garamond"/>
                <w:lang w:val="en-AU"/>
              </w:rPr>
            </w:pPr>
            <w:r>
              <w:rPr>
                <w:rFonts w:ascii="Garamond" w:hAnsi="Garamond"/>
                <w:lang w:val="en-AU"/>
              </w:rPr>
              <w:t>Australia has one of the higher rates of t</w:t>
            </w:r>
            <w:r w:rsidRPr="009A7780">
              <w:rPr>
                <w:rFonts w:ascii="Garamond" w:hAnsi="Garamond"/>
                <w:lang w:val="en-AU"/>
              </w:rPr>
              <w:t>otal knee arthroplasty (TKA)</w:t>
            </w:r>
            <w:r>
              <w:rPr>
                <w:rFonts w:ascii="Garamond" w:hAnsi="Garamond"/>
                <w:lang w:val="en-AU"/>
              </w:rPr>
              <w:t xml:space="preserve"> in the OECD. As the authors of this piece note, ‘</w:t>
            </w:r>
            <w:r w:rsidRPr="009A7780">
              <w:rPr>
                <w:rFonts w:ascii="Garamond" w:hAnsi="Garamond"/>
                <w:lang w:val="en-AU"/>
              </w:rPr>
              <w:t>It is not clear whether the Australian rate is inappropriately high or whether it reflects differences in populations, system capacity or methods of data capture.</w:t>
            </w:r>
            <w:r>
              <w:rPr>
                <w:rFonts w:ascii="Garamond" w:hAnsi="Garamond"/>
                <w:lang w:val="en-AU"/>
              </w:rPr>
              <w:t xml:space="preserve">’ This </w:t>
            </w:r>
            <w:r w:rsidRPr="009A7780">
              <w:rPr>
                <w:rFonts w:ascii="Garamond" w:hAnsi="Garamond"/>
                <w:lang w:val="en-AU"/>
              </w:rPr>
              <w:t xml:space="preserve">narrative review </w:t>
            </w:r>
            <w:r>
              <w:rPr>
                <w:rFonts w:ascii="Garamond" w:hAnsi="Garamond"/>
                <w:lang w:val="en-AU"/>
              </w:rPr>
              <w:t>considered ‘</w:t>
            </w:r>
            <w:r w:rsidRPr="009A7780">
              <w:rPr>
                <w:rFonts w:ascii="Garamond" w:hAnsi="Garamond"/>
                <w:lang w:val="en-AU"/>
              </w:rPr>
              <w:t>the clinical dilemmas of who should undergo TKA, and how best to optimise a patient for surgery so that the risks of surgery are minimised and recovery is facilitated</w:t>
            </w:r>
            <w:r>
              <w:rPr>
                <w:rFonts w:ascii="Garamond" w:hAnsi="Garamond"/>
                <w:lang w:val="en-AU"/>
              </w:rPr>
              <w:t>’. The review suggests:</w:t>
            </w:r>
          </w:p>
          <w:p w:rsidR="009A7780" w:rsidRPr="009A7780" w:rsidRDefault="009A7780" w:rsidP="009A7780">
            <w:pPr>
              <w:pStyle w:val="ListParagraph"/>
              <w:numPr>
                <w:ilvl w:val="0"/>
                <w:numId w:val="44"/>
              </w:numPr>
              <w:rPr>
                <w:rFonts w:ascii="Garamond" w:hAnsi="Garamond"/>
                <w:lang w:val="en-AU"/>
              </w:rPr>
            </w:pPr>
            <w:r w:rsidRPr="009A7780">
              <w:rPr>
                <w:rFonts w:ascii="Garamond" w:hAnsi="Garamond"/>
                <w:lang w:val="en-AU"/>
              </w:rPr>
              <w:t xml:space="preserve">The </w:t>
            </w:r>
            <w:r w:rsidRPr="009A7780">
              <w:rPr>
                <w:rFonts w:ascii="Garamond" w:hAnsi="Garamond"/>
                <w:b/>
                <w:lang w:val="en-AU"/>
              </w:rPr>
              <w:t>minimum requirements</w:t>
            </w:r>
            <w:r w:rsidRPr="009A7780">
              <w:rPr>
                <w:rFonts w:ascii="Garamond" w:hAnsi="Garamond"/>
                <w:lang w:val="en-AU"/>
              </w:rPr>
              <w:t xml:space="preserve"> for </w:t>
            </w:r>
            <w:r>
              <w:rPr>
                <w:rFonts w:ascii="Garamond" w:hAnsi="Garamond"/>
                <w:lang w:val="en-AU"/>
              </w:rPr>
              <w:t>TKA</w:t>
            </w:r>
            <w:r w:rsidRPr="009A7780">
              <w:rPr>
                <w:rFonts w:ascii="Garamond" w:hAnsi="Garamond"/>
                <w:lang w:val="en-AU"/>
              </w:rPr>
              <w:t xml:space="preserve"> are </w:t>
            </w:r>
            <w:r w:rsidRPr="009A7780">
              <w:rPr>
                <w:rFonts w:ascii="Garamond" w:hAnsi="Garamond"/>
                <w:b/>
                <w:lang w:val="en-AU"/>
              </w:rPr>
              <w:t>significant, prolonged symptoms</w:t>
            </w:r>
            <w:r w:rsidRPr="009A7780">
              <w:rPr>
                <w:rFonts w:ascii="Garamond" w:hAnsi="Garamond"/>
                <w:lang w:val="en-AU"/>
              </w:rPr>
              <w:t xml:space="preserve"> with supporting clinical and radiological signs. </w:t>
            </w:r>
            <w:r>
              <w:rPr>
                <w:rFonts w:ascii="Garamond" w:hAnsi="Garamond"/>
                <w:lang w:val="en-AU"/>
              </w:rPr>
              <w:t>T</w:t>
            </w:r>
            <w:r w:rsidRPr="009A7780">
              <w:rPr>
                <w:rFonts w:ascii="Garamond" w:hAnsi="Garamond"/>
                <w:lang w:val="en-AU"/>
              </w:rPr>
              <w:t>here is limited evidence for a specific symptom threshold that justifies surgery.</w:t>
            </w:r>
          </w:p>
          <w:p w:rsidR="009A7780" w:rsidRPr="009A7780" w:rsidRDefault="009A7780" w:rsidP="009A7780">
            <w:pPr>
              <w:pStyle w:val="ListParagraph"/>
              <w:numPr>
                <w:ilvl w:val="0"/>
                <w:numId w:val="44"/>
              </w:numPr>
              <w:rPr>
                <w:rFonts w:ascii="Garamond" w:hAnsi="Garamond"/>
                <w:lang w:val="en-AU"/>
              </w:rPr>
            </w:pPr>
            <w:r w:rsidRPr="009A7780">
              <w:rPr>
                <w:rFonts w:ascii="Garamond" w:hAnsi="Garamond"/>
                <w:b/>
                <w:lang w:val="en-AU"/>
              </w:rPr>
              <w:t>Non</w:t>
            </w:r>
            <w:r w:rsidRPr="009A7780">
              <w:rPr>
                <w:rFonts w:ascii="Cambria Math" w:hAnsi="Cambria Math" w:cs="Cambria Math"/>
                <w:b/>
                <w:lang w:val="en-AU"/>
              </w:rPr>
              <w:t>‐</w:t>
            </w:r>
            <w:r w:rsidRPr="009A7780">
              <w:rPr>
                <w:rFonts w:ascii="Garamond" w:hAnsi="Garamond"/>
                <w:b/>
                <w:lang w:val="en-AU"/>
              </w:rPr>
              <w:t>operative treatments</w:t>
            </w:r>
            <w:r w:rsidRPr="009A7780">
              <w:rPr>
                <w:rFonts w:ascii="Garamond" w:hAnsi="Garamond"/>
                <w:lang w:val="en-AU"/>
              </w:rPr>
              <w:t xml:space="preserve"> including medications, exercise and weight loss are unlikely to reverse radiographic changes, but they </w:t>
            </w:r>
            <w:r w:rsidRPr="009A7780">
              <w:rPr>
                <w:rFonts w:ascii="Garamond" w:hAnsi="Garamond"/>
                <w:b/>
                <w:lang w:val="en-AU"/>
              </w:rPr>
              <w:t xml:space="preserve">may improve symptoms </w:t>
            </w:r>
            <w:r w:rsidRPr="009A7780">
              <w:rPr>
                <w:rFonts w:ascii="Garamond" w:hAnsi="Garamond"/>
                <w:lang w:val="en-AU"/>
              </w:rPr>
              <w:t xml:space="preserve">and </w:t>
            </w:r>
            <w:r w:rsidRPr="009A7780">
              <w:rPr>
                <w:rFonts w:ascii="Garamond" w:hAnsi="Garamond"/>
                <w:b/>
                <w:lang w:val="en-AU"/>
              </w:rPr>
              <w:t>delay the need for surgery</w:t>
            </w:r>
            <w:r w:rsidRPr="009A7780">
              <w:rPr>
                <w:rFonts w:ascii="Garamond" w:hAnsi="Garamond"/>
                <w:lang w:val="en-AU"/>
              </w:rPr>
              <w:t>.</w:t>
            </w:r>
          </w:p>
          <w:p w:rsidR="009A7780" w:rsidRPr="009A7780" w:rsidRDefault="009A7780" w:rsidP="009A7780">
            <w:pPr>
              <w:pStyle w:val="ListParagraph"/>
              <w:numPr>
                <w:ilvl w:val="0"/>
                <w:numId w:val="44"/>
              </w:numPr>
              <w:rPr>
                <w:rFonts w:ascii="Garamond" w:hAnsi="Garamond"/>
                <w:lang w:val="en-AU"/>
              </w:rPr>
            </w:pPr>
            <w:r w:rsidRPr="009A7780">
              <w:rPr>
                <w:rFonts w:ascii="Garamond" w:hAnsi="Garamond"/>
                <w:lang w:val="en-AU"/>
              </w:rPr>
              <w:t xml:space="preserve">Many </w:t>
            </w:r>
            <w:r w:rsidRPr="009A7780">
              <w:rPr>
                <w:rFonts w:ascii="Garamond" w:hAnsi="Garamond"/>
                <w:b/>
                <w:lang w:val="en-AU"/>
              </w:rPr>
              <w:t>patient factors</w:t>
            </w:r>
            <w:r w:rsidRPr="009A7780">
              <w:rPr>
                <w:rFonts w:ascii="Garamond" w:hAnsi="Garamond"/>
                <w:lang w:val="en-AU"/>
              </w:rPr>
              <w:t xml:space="preserve"> such as mental health and obesity </w:t>
            </w:r>
            <w:r w:rsidRPr="009A7780">
              <w:rPr>
                <w:rFonts w:ascii="Garamond" w:hAnsi="Garamond"/>
                <w:b/>
                <w:lang w:val="en-AU"/>
              </w:rPr>
              <w:t>affect</w:t>
            </w:r>
            <w:r w:rsidRPr="009A7780">
              <w:rPr>
                <w:rFonts w:ascii="Garamond" w:hAnsi="Garamond"/>
                <w:lang w:val="en-AU"/>
              </w:rPr>
              <w:t xml:space="preserve"> both the level of </w:t>
            </w:r>
            <w:r w:rsidRPr="009A7780">
              <w:rPr>
                <w:rFonts w:ascii="Garamond" w:hAnsi="Garamond"/>
                <w:b/>
                <w:lang w:val="en-AU"/>
              </w:rPr>
              <w:t>symptomatic improvement</w:t>
            </w:r>
            <w:r w:rsidRPr="009A7780">
              <w:rPr>
                <w:rFonts w:ascii="Garamond" w:hAnsi="Garamond"/>
                <w:lang w:val="en-AU"/>
              </w:rPr>
              <w:t xml:space="preserve"> after surgery and </w:t>
            </w:r>
            <w:r w:rsidRPr="009A7780">
              <w:rPr>
                <w:rFonts w:ascii="Garamond" w:hAnsi="Garamond"/>
                <w:b/>
                <w:lang w:val="en-AU"/>
              </w:rPr>
              <w:t>risks of surgery</w:t>
            </w:r>
            <w:r w:rsidRPr="009A7780">
              <w:rPr>
                <w:rFonts w:ascii="Garamond" w:hAnsi="Garamond"/>
                <w:lang w:val="en-AU"/>
              </w:rPr>
              <w:t>, but none have been identified as contraindications for the procedure.</w:t>
            </w:r>
          </w:p>
          <w:p w:rsidR="009A7780" w:rsidRPr="009A7780" w:rsidRDefault="009A7780" w:rsidP="009A7780">
            <w:pPr>
              <w:pStyle w:val="ListParagraph"/>
              <w:numPr>
                <w:ilvl w:val="0"/>
                <w:numId w:val="44"/>
              </w:numPr>
              <w:rPr>
                <w:rFonts w:ascii="Garamond" w:hAnsi="Garamond"/>
                <w:lang w:val="en-AU"/>
              </w:rPr>
            </w:pPr>
            <w:r w:rsidRPr="009A7780">
              <w:rPr>
                <w:rFonts w:ascii="Garamond" w:hAnsi="Garamond"/>
                <w:lang w:val="en-AU"/>
              </w:rPr>
              <w:t>Although age and sex are associated with patient</w:t>
            </w:r>
            <w:r w:rsidRPr="009A7780">
              <w:rPr>
                <w:rFonts w:ascii="Cambria Math" w:hAnsi="Cambria Math" w:cs="Cambria Math"/>
                <w:lang w:val="en-AU"/>
              </w:rPr>
              <w:t>‐</w:t>
            </w:r>
            <w:r w:rsidRPr="009A7780">
              <w:rPr>
                <w:rFonts w:ascii="Garamond" w:hAnsi="Garamond"/>
                <w:lang w:val="en-AU"/>
              </w:rPr>
              <w:t xml:space="preserve">reported outcomes and risk of revision, these factors cannot be used to restrict access to TKA, and </w:t>
            </w:r>
            <w:r w:rsidRPr="009A7780">
              <w:rPr>
                <w:rFonts w:ascii="Garamond" w:hAnsi="Garamond"/>
                <w:b/>
                <w:lang w:val="en-AU"/>
              </w:rPr>
              <w:t>age cut</w:t>
            </w:r>
            <w:r w:rsidRPr="009A7780">
              <w:rPr>
                <w:rFonts w:ascii="Cambria Math" w:hAnsi="Cambria Math" w:cs="Cambria Math"/>
                <w:b/>
                <w:lang w:val="en-AU"/>
              </w:rPr>
              <w:t>‐</w:t>
            </w:r>
            <w:r w:rsidRPr="009A7780">
              <w:rPr>
                <w:rFonts w:ascii="Garamond" w:hAnsi="Garamond"/>
                <w:b/>
                <w:lang w:val="en-AU"/>
              </w:rPr>
              <w:t>offs are not recommended</w:t>
            </w:r>
            <w:r w:rsidRPr="009A7780">
              <w:rPr>
                <w:rFonts w:ascii="Garamond" w:hAnsi="Garamond"/>
                <w:lang w:val="en-AU"/>
              </w:rPr>
              <w:t>.</w:t>
            </w:r>
          </w:p>
          <w:p w:rsidR="009A7780" w:rsidRPr="009A7780" w:rsidRDefault="009A7780" w:rsidP="009A7780">
            <w:pPr>
              <w:pStyle w:val="ListParagraph"/>
              <w:numPr>
                <w:ilvl w:val="0"/>
                <w:numId w:val="44"/>
              </w:numPr>
              <w:rPr>
                <w:rFonts w:ascii="Garamond" w:hAnsi="Garamond"/>
                <w:lang w:val="en-AU"/>
              </w:rPr>
            </w:pPr>
            <w:r w:rsidRPr="009A7780">
              <w:rPr>
                <w:rFonts w:ascii="Garamond" w:hAnsi="Garamond"/>
                <w:lang w:val="en-AU"/>
              </w:rPr>
              <w:t xml:space="preserve">Evidence regarding </w:t>
            </w:r>
            <w:r w:rsidRPr="009A7780">
              <w:rPr>
                <w:rFonts w:ascii="Garamond" w:hAnsi="Garamond"/>
                <w:b/>
                <w:lang w:val="en-AU"/>
              </w:rPr>
              <w:t>pre</w:t>
            </w:r>
            <w:r w:rsidRPr="009A7780">
              <w:rPr>
                <w:rFonts w:ascii="Cambria Math" w:hAnsi="Cambria Math" w:cs="Cambria Math"/>
                <w:b/>
                <w:lang w:val="en-AU"/>
              </w:rPr>
              <w:t>‐</w:t>
            </w:r>
            <w:r w:rsidRPr="009A7780">
              <w:rPr>
                <w:rFonts w:ascii="Garamond" w:hAnsi="Garamond"/>
                <w:b/>
                <w:lang w:val="en-AU"/>
              </w:rPr>
              <w:t>operative optimisation</w:t>
            </w:r>
            <w:r w:rsidRPr="009A7780">
              <w:rPr>
                <w:rFonts w:ascii="Garamond" w:hAnsi="Garamond"/>
                <w:lang w:val="en-AU"/>
              </w:rPr>
              <w:t xml:space="preserve"> of patients to improve post</w:t>
            </w:r>
            <w:r w:rsidRPr="009A7780">
              <w:rPr>
                <w:rFonts w:ascii="Cambria Math" w:hAnsi="Cambria Math" w:cs="Cambria Math"/>
                <w:lang w:val="en-AU"/>
              </w:rPr>
              <w:t>‐</w:t>
            </w:r>
            <w:r w:rsidRPr="009A7780">
              <w:rPr>
                <w:rFonts w:ascii="Garamond" w:hAnsi="Garamond"/>
                <w:lang w:val="en-AU"/>
              </w:rPr>
              <w:t>operative TKA outcomes is limited by the few interventional trials available. There is good evidence from randomised controlled trials that pre</w:t>
            </w:r>
            <w:r w:rsidRPr="009A7780">
              <w:rPr>
                <w:rFonts w:ascii="Cambria Math" w:hAnsi="Cambria Math" w:cs="Cambria Math"/>
                <w:lang w:val="en-AU"/>
              </w:rPr>
              <w:t>‐</w:t>
            </w:r>
            <w:r w:rsidRPr="009A7780">
              <w:rPr>
                <w:rFonts w:ascii="Garamond" w:hAnsi="Garamond"/>
                <w:lang w:val="en-AU"/>
              </w:rPr>
              <w:t>operative rehabilitation primarily focusing on exercises for the joint or limb has minimal effect on post</w:t>
            </w:r>
            <w:r w:rsidRPr="009A7780">
              <w:rPr>
                <w:rFonts w:ascii="Cambria Math" w:hAnsi="Cambria Math" w:cs="Cambria Math"/>
                <w:lang w:val="en-AU"/>
              </w:rPr>
              <w:t>‐</w:t>
            </w:r>
            <w:r w:rsidRPr="009A7780">
              <w:rPr>
                <w:rFonts w:ascii="Garamond" w:hAnsi="Garamond"/>
                <w:lang w:val="en-AU"/>
              </w:rPr>
              <w:t>operative TKA outcomes, and there is some evidence from randomised controlled trials that an intensive smoking cessation program before surgery may improve post</w:t>
            </w:r>
            <w:r w:rsidRPr="009A7780">
              <w:rPr>
                <w:rFonts w:ascii="Cambria Math" w:hAnsi="Cambria Math" w:cs="Cambria Math"/>
                <w:lang w:val="en-AU"/>
              </w:rPr>
              <w:t>‐</w:t>
            </w:r>
            <w:r w:rsidRPr="009A7780">
              <w:rPr>
                <w:rFonts w:ascii="Garamond" w:hAnsi="Garamond"/>
                <w:lang w:val="en-AU"/>
              </w:rPr>
              <w:t>operative outcomes.</w:t>
            </w:r>
          </w:p>
          <w:p w:rsidR="009A7780" w:rsidRPr="009A7780" w:rsidRDefault="009A7780" w:rsidP="009A7780">
            <w:pPr>
              <w:pStyle w:val="ListParagraph"/>
              <w:numPr>
                <w:ilvl w:val="0"/>
                <w:numId w:val="44"/>
              </w:numPr>
              <w:rPr>
                <w:rFonts w:ascii="Garamond" w:hAnsi="Garamond"/>
                <w:lang w:val="en-AU"/>
              </w:rPr>
            </w:pPr>
            <w:r w:rsidRPr="009A7780">
              <w:rPr>
                <w:rFonts w:ascii="Garamond" w:hAnsi="Garamond"/>
                <w:lang w:val="en-AU"/>
              </w:rPr>
              <w:t>Detailed international guidelines exist on the optimisation of the cardiorespiratory status of surgical patients, and these should be followed for TKA surgery</w:t>
            </w:r>
            <w:r>
              <w:rPr>
                <w:rFonts w:ascii="Garamond" w:hAnsi="Garamond"/>
                <w:lang w:val="en-AU"/>
              </w:rPr>
              <w:t>.</w:t>
            </w:r>
          </w:p>
        </w:tc>
      </w:tr>
    </w:tbl>
    <w:p w:rsidR="00432A8B" w:rsidRDefault="00432A8B" w:rsidP="00432A8B">
      <w:pPr>
        <w:widowControl w:val="0"/>
        <w:rPr>
          <w:rFonts w:ascii="Garamond" w:hAnsi="Garamond"/>
          <w:i/>
          <w:lang w:val="en-AU"/>
        </w:rPr>
      </w:pPr>
      <w:bookmarkStart w:id="1" w:name="_GoBack"/>
      <w:r>
        <w:rPr>
          <w:rFonts w:ascii="Garamond" w:hAnsi="Garamond"/>
          <w:i/>
          <w:noProof/>
          <w:lang w:val="en-AU" w:eastAsia="en-AU"/>
        </w:rPr>
        <w:drawing>
          <wp:inline distT="0" distB="0" distL="0" distR="0">
            <wp:extent cx="6062133" cy="3019742"/>
            <wp:effectExtent l="0" t="0" r="0" b="9525"/>
            <wp:docPr id="1" name="Picture 1" title="Infographic about knee arthroscopies performed in patients aged 55 and over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Knee-Arthroscopy-hospital-admissions-55-years-and-over--e1456448034743-1024x5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4825" cy="3021083"/>
                    </a:xfrm>
                    <a:prstGeom prst="rect">
                      <a:avLst/>
                    </a:prstGeom>
                    <a:noFill/>
                    <a:ln>
                      <a:noFill/>
                    </a:ln>
                  </pic:spPr>
                </pic:pic>
              </a:graphicData>
            </a:graphic>
          </wp:inline>
        </w:drawing>
      </w:r>
      <w:bookmarkEnd w:id="1"/>
    </w:p>
    <w:p w:rsidR="001C0AD5" w:rsidRDefault="001C0AD5" w:rsidP="001C0AD5">
      <w:pPr>
        <w:widowControl w:val="0"/>
        <w:rPr>
          <w:rFonts w:ascii="Garamond" w:hAnsi="Garamond"/>
          <w:i/>
          <w:lang w:val="en-AU"/>
        </w:rPr>
      </w:pPr>
    </w:p>
    <w:p w:rsidR="00432A8B" w:rsidRDefault="001C0AD5" w:rsidP="001C0AD5">
      <w:pPr>
        <w:widowControl w:val="0"/>
        <w:rPr>
          <w:rFonts w:ascii="Garamond" w:hAnsi="Garamond"/>
          <w:lang w:val="en-AU"/>
        </w:rPr>
      </w:pPr>
      <w:r w:rsidRPr="006E0777">
        <w:rPr>
          <w:rFonts w:ascii="Garamond" w:hAnsi="Garamond"/>
          <w:lang w:val="en-AU"/>
        </w:rPr>
        <w:lastRenderedPageBreak/>
        <w:t xml:space="preserve">For information on the Commission’s work on </w:t>
      </w:r>
      <w:r>
        <w:rPr>
          <w:rFonts w:ascii="Garamond" w:hAnsi="Garamond"/>
          <w:lang w:val="en-AU"/>
        </w:rPr>
        <w:t xml:space="preserve">knee pain, see </w:t>
      </w:r>
      <w:hyperlink r:id="rId20" w:history="1">
        <w:r w:rsidRPr="00956A83">
          <w:rPr>
            <w:rStyle w:val="Hyperlink"/>
            <w:rFonts w:ascii="Garamond" w:hAnsi="Garamond"/>
            <w:lang w:val="en-AU"/>
          </w:rPr>
          <w:t>https://www.safetyandquality.gov.au/our-work/knee-pain/</w:t>
        </w:r>
      </w:hyperlink>
    </w:p>
    <w:p w:rsidR="001C0AD5" w:rsidRDefault="001C0AD5" w:rsidP="001C0AD5">
      <w:pPr>
        <w:widowControl w:val="0"/>
        <w:rPr>
          <w:rFonts w:ascii="Garamond" w:hAnsi="Garamond"/>
          <w:i/>
          <w:lang w:val="en-AU"/>
        </w:rPr>
      </w:pPr>
    </w:p>
    <w:p w:rsidR="00432A8B" w:rsidRDefault="00432A8B" w:rsidP="00432A8B">
      <w:pPr>
        <w:widowControl w:val="0"/>
        <w:rPr>
          <w:rFonts w:ascii="Garamond" w:hAnsi="Garamond"/>
          <w:lang w:val="en-AU"/>
        </w:rPr>
      </w:pPr>
      <w:r w:rsidRPr="006E0777">
        <w:rPr>
          <w:rFonts w:ascii="Garamond" w:hAnsi="Garamond"/>
          <w:lang w:val="en-AU"/>
        </w:rPr>
        <w:t xml:space="preserve">For information on the Commission’s work on </w:t>
      </w:r>
      <w:r>
        <w:rPr>
          <w:rFonts w:ascii="Garamond" w:hAnsi="Garamond"/>
          <w:lang w:val="en-AU"/>
        </w:rPr>
        <w:t>variation</w:t>
      </w:r>
      <w:r w:rsidRPr="006E0777">
        <w:rPr>
          <w:rFonts w:ascii="Garamond" w:hAnsi="Garamond"/>
          <w:lang w:val="en-AU"/>
        </w:rPr>
        <w:t xml:space="preserve">, </w:t>
      </w:r>
      <w:r>
        <w:rPr>
          <w:rFonts w:ascii="Garamond" w:hAnsi="Garamond"/>
          <w:lang w:val="en-AU"/>
        </w:rPr>
        <w:t xml:space="preserve">including the </w:t>
      </w:r>
      <w:r w:rsidRPr="00432A8B">
        <w:rPr>
          <w:rFonts w:ascii="Garamond" w:hAnsi="Garamond"/>
          <w:i/>
          <w:lang w:val="en-AU"/>
        </w:rPr>
        <w:t>Australian Atlas of Healthcare Variation</w:t>
      </w:r>
      <w:r>
        <w:rPr>
          <w:rFonts w:ascii="Garamond" w:hAnsi="Garamond"/>
          <w:lang w:val="en-AU"/>
        </w:rPr>
        <w:t xml:space="preserve"> series, </w:t>
      </w:r>
      <w:r w:rsidRPr="006E0777">
        <w:rPr>
          <w:rFonts w:ascii="Garamond" w:hAnsi="Garamond"/>
          <w:lang w:val="en-AU"/>
        </w:rPr>
        <w:t>see</w:t>
      </w:r>
      <w:r>
        <w:rPr>
          <w:rFonts w:ascii="Garamond" w:hAnsi="Garamond"/>
          <w:lang w:val="en-AU"/>
        </w:rPr>
        <w:t xml:space="preserve"> </w:t>
      </w:r>
      <w:hyperlink r:id="rId21" w:history="1">
        <w:r w:rsidRPr="00956A83">
          <w:rPr>
            <w:rStyle w:val="Hyperlink"/>
            <w:rFonts w:ascii="Garamond" w:hAnsi="Garamond"/>
            <w:lang w:val="en-AU"/>
          </w:rPr>
          <w:t>https://www.safetyandquality.gov.au/atlas/</w:t>
        </w:r>
      </w:hyperlink>
    </w:p>
    <w:p w:rsidR="00432A8B" w:rsidRDefault="00432A8B" w:rsidP="00432A8B">
      <w:pPr>
        <w:widowControl w:val="0"/>
        <w:rPr>
          <w:rFonts w:ascii="Garamond" w:hAnsi="Garamond"/>
          <w:lang w:val="en-AU"/>
        </w:rPr>
      </w:pPr>
    </w:p>
    <w:p w:rsidR="00432A8B" w:rsidRDefault="00432A8B" w:rsidP="00432A8B">
      <w:pPr>
        <w:widowControl w:val="0"/>
        <w:rPr>
          <w:rFonts w:ascii="Garamond" w:hAnsi="Garamond"/>
          <w:lang w:val="en-AU"/>
        </w:rPr>
      </w:pPr>
      <w:r>
        <w:rPr>
          <w:rFonts w:ascii="Garamond" w:hAnsi="Garamond"/>
          <w:lang w:val="en-AU"/>
        </w:rPr>
        <w:t xml:space="preserve">For information on the Commission’s work on clinical care standards, including the </w:t>
      </w:r>
      <w:r w:rsidRPr="00432A8B">
        <w:rPr>
          <w:rFonts w:ascii="Garamond" w:hAnsi="Garamond"/>
          <w:i/>
          <w:lang w:val="en-AU"/>
        </w:rPr>
        <w:t>Osteoarthritis of the Knee Clinical Care Standard</w:t>
      </w:r>
      <w:r>
        <w:rPr>
          <w:rFonts w:ascii="Garamond" w:hAnsi="Garamond"/>
          <w:lang w:val="en-AU"/>
        </w:rPr>
        <w:t xml:space="preserve">, see </w:t>
      </w:r>
      <w:hyperlink r:id="rId22" w:history="1">
        <w:r w:rsidRPr="00956A83">
          <w:rPr>
            <w:rStyle w:val="Hyperlink"/>
            <w:rFonts w:ascii="Garamond" w:hAnsi="Garamond"/>
            <w:lang w:val="en-AU"/>
          </w:rPr>
          <w:t>https://www.safetyandquality.gov.au/our-work/clinical-care-standards/</w:t>
        </w:r>
      </w:hyperlink>
      <w:r>
        <w:rPr>
          <w:rFonts w:ascii="Garamond" w:hAnsi="Garamond"/>
          <w:lang w:val="en-AU"/>
        </w:rPr>
        <w:t xml:space="preserve"> </w:t>
      </w:r>
    </w:p>
    <w:p w:rsidR="00432A8B" w:rsidRDefault="00432A8B" w:rsidP="00432A8B">
      <w:pPr>
        <w:widowControl w:val="0"/>
        <w:rPr>
          <w:rFonts w:ascii="Garamond" w:hAnsi="Garamond"/>
          <w:i/>
          <w:lang w:val="en-AU"/>
        </w:rPr>
      </w:pPr>
    </w:p>
    <w:p w:rsidR="00C661E7" w:rsidRPr="00C661E7" w:rsidRDefault="00C661E7" w:rsidP="00C661E7">
      <w:pPr>
        <w:keepNext/>
        <w:keepLines/>
        <w:autoSpaceDE w:val="0"/>
        <w:autoSpaceDN w:val="0"/>
        <w:adjustRightInd w:val="0"/>
        <w:rPr>
          <w:rFonts w:ascii="Garamond" w:hAnsi="Garamond"/>
          <w:i/>
          <w:lang w:val="en-AU"/>
        </w:rPr>
      </w:pPr>
      <w:r w:rsidRPr="00C661E7">
        <w:rPr>
          <w:rFonts w:ascii="Garamond" w:hAnsi="Garamond"/>
          <w:i/>
          <w:lang w:val="en-AU"/>
        </w:rPr>
        <w:t>Contribution of adverse events to death of hospitalised patients</w:t>
      </w:r>
    </w:p>
    <w:p w:rsidR="00C661E7" w:rsidRDefault="00C661E7" w:rsidP="00831B85">
      <w:pPr>
        <w:keepNext/>
        <w:keepLines/>
        <w:autoSpaceDE w:val="0"/>
        <w:autoSpaceDN w:val="0"/>
        <w:adjustRightInd w:val="0"/>
        <w:rPr>
          <w:rFonts w:ascii="Garamond" w:hAnsi="Garamond"/>
          <w:lang w:val="en-AU"/>
        </w:rPr>
      </w:pPr>
      <w:r w:rsidRPr="00C661E7">
        <w:rPr>
          <w:rFonts w:ascii="Garamond" w:hAnsi="Garamond"/>
          <w:lang w:val="en-AU"/>
        </w:rPr>
        <w:t>Haukland EC, Mevik K, von Plessen C, Nieder C, Vonen B</w:t>
      </w:r>
    </w:p>
    <w:p w:rsidR="00831B85" w:rsidRPr="00E566B0" w:rsidRDefault="00C661E7" w:rsidP="00831B85">
      <w:pPr>
        <w:keepNext/>
        <w:keepLines/>
        <w:autoSpaceDE w:val="0"/>
        <w:autoSpaceDN w:val="0"/>
        <w:adjustRightInd w:val="0"/>
        <w:rPr>
          <w:rFonts w:ascii="Garamond" w:hAnsi="Garamond"/>
          <w:lang w:val="en-AU"/>
        </w:rPr>
      </w:pPr>
      <w:r w:rsidRPr="00C661E7">
        <w:rPr>
          <w:rFonts w:ascii="Garamond" w:hAnsi="Garamond"/>
          <w:lang w:val="en-AU"/>
        </w:rPr>
        <w:t>BMJ Open Quality. 2019;8(1):e000377.</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EE1F99" w:rsidP="007C3E5C">
            <w:pPr>
              <w:rPr>
                <w:rStyle w:val="Hyperlink"/>
                <w:rFonts w:ascii="Garamond" w:hAnsi="Garamond"/>
                <w:color w:val="auto"/>
                <w:u w:val="none"/>
                <w:lang w:val="en-AU"/>
              </w:rPr>
            </w:pPr>
            <w:hyperlink r:id="rId23" w:history="1">
              <w:r w:rsidR="00C661E7" w:rsidRPr="00956A83">
                <w:rPr>
                  <w:rStyle w:val="Hyperlink"/>
                  <w:rFonts w:ascii="Garamond" w:hAnsi="Garamond"/>
                  <w:lang w:val="en-AU"/>
                </w:rPr>
                <w:t>https://doi.org/10.1136/bmjoq-2018-000377</w:t>
              </w:r>
            </w:hyperlink>
          </w:p>
        </w:tc>
      </w:tr>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Default="00C661E7" w:rsidP="00C661E7">
            <w:pPr>
              <w:rPr>
                <w:rFonts w:ascii="Garamond" w:hAnsi="Garamond"/>
                <w:lang w:val="en-AU"/>
              </w:rPr>
            </w:pPr>
            <w:r>
              <w:rPr>
                <w:rFonts w:ascii="Garamond" w:hAnsi="Garamond"/>
                <w:lang w:val="en-AU"/>
              </w:rPr>
              <w:t xml:space="preserve">The extent of adverse events or errors in hospital and their significance in terms of the mortality caused has been disputed. In recent years there have been claims that such mortality is a leading </w:t>
            </w:r>
            <w:r w:rsidR="00305DAA">
              <w:rPr>
                <w:rFonts w:ascii="Garamond" w:hAnsi="Garamond"/>
                <w:lang w:val="en-AU"/>
              </w:rPr>
              <w:t>cause</w:t>
            </w:r>
            <w:r>
              <w:rPr>
                <w:rFonts w:ascii="Garamond" w:hAnsi="Garamond"/>
                <w:lang w:val="en-AU"/>
              </w:rPr>
              <w:t xml:space="preserve"> of death. This Norwegian study was a retrospective records review using the Global Trigger Tool to review a sample of 1680 patient records from a hospital trust with three hospitals. The authors report finding in their dataset that</w:t>
            </w:r>
          </w:p>
          <w:p w:rsidR="00C661E7" w:rsidRDefault="00C661E7" w:rsidP="00C661E7">
            <w:pPr>
              <w:pStyle w:val="ListParagraph"/>
              <w:numPr>
                <w:ilvl w:val="0"/>
                <w:numId w:val="43"/>
              </w:numPr>
              <w:rPr>
                <w:rFonts w:ascii="Garamond" w:hAnsi="Garamond"/>
                <w:lang w:val="en-AU"/>
              </w:rPr>
            </w:pPr>
            <w:r w:rsidRPr="00C661E7">
              <w:rPr>
                <w:rFonts w:ascii="Garamond" w:hAnsi="Garamond"/>
                <w:lang w:val="en-AU"/>
              </w:rPr>
              <w:t xml:space="preserve">In </w:t>
            </w:r>
            <w:r w:rsidRPr="00C661E7">
              <w:rPr>
                <w:rFonts w:ascii="Garamond" w:hAnsi="Garamond"/>
                <w:b/>
                <w:lang w:val="en-AU"/>
              </w:rPr>
              <w:t>0.3% of hospital admissions</w:t>
            </w:r>
            <w:r w:rsidRPr="00C661E7">
              <w:rPr>
                <w:rFonts w:ascii="Garamond" w:hAnsi="Garamond"/>
                <w:lang w:val="en-AU"/>
              </w:rPr>
              <w:t xml:space="preserve">, </w:t>
            </w:r>
            <w:r w:rsidRPr="00C661E7">
              <w:rPr>
                <w:rFonts w:ascii="Garamond" w:hAnsi="Garamond"/>
                <w:b/>
                <w:lang w:val="en-AU"/>
              </w:rPr>
              <w:t>adverse events contribute to inpatient death</w:t>
            </w:r>
          </w:p>
          <w:p w:rsidR="00C661E7" w:rsidRDefault="00C661E7" w:rsidP="00C661E7">
            <w:pPr>
              <w:pStyle w:val="ListParagraph"/>
              <w:numPr>
                <w:ilvl w:val="0"/>
                <w:numId w:val="43"/>
              </w:numPr>
              <w:rPr>
                <w:rFonts w:ascii="Garamond" w:hAnsi="Garamond"/>
                <w:lang w:val="en-AU"/>
              </w:rPr>
            </w:pPr>
            <w:r w:rsidRPr="00C661E7">
              <w:rPr>
                <w:rFonts w:ascii="Garamond" w:hAnsi="Garamond"/>
                <w:lang w:val="en-AU"/>
              </w:rPr>
              <w:t xml:space="preserve"> </w:t>
            </w:r>
            <w:r w:rsidRPr="00C661E7">
              <w:rPr>
                <w:rFonts w:ascii="Garamond" w:hAnsi="Garamond"/>
                <w:b/>
                <w:lang w:val="en-AU"/>
              </w:rPr>
              <w:t>Patients who die in hospital have twice the rate of adverse events</w:t>
            </w:r>
            <w:r w:rsidRPr="00C661E7">
              <w:rPr>
                <w:rFonts w:ascii="Garamond" w:hAnsi="Garamond"/>
                <w:lang w:val="en-AU"/>
              </w:rPr>
              <w:t xml:space="preserve"> per 1000 patient days compared with general patients, 76.7 vs 36.5 </w:t>
            </w:r>
          </w:p>
          <w:p w:rsidR="00C661E7" w:rsidRDefault="00C661E7" w:rsidP="00C661E7">
            <w:pPr>
              <w:pStyle w:val="ListParagraph"/>
              <w:numPr>
                <w:ilvl w:val="0"/>
                <w:numId w:val="43"/>
              </w:numPr>
              <w:rPr>
                <w:rFonts w:ascii="Garamond" w:hAnsi="Garamond"/>
                <w:lang w:val="en-AU"/>
              </w:rPr>
            </w:pPr>
            <w:r w:rsidRPr="00C661E7">
              <w:rPr>
                <w:rFonts w:ascii="Garamond" w:hAnsi="Garamond"/>
                <w:lang w:val="en-AU"/>
              </w:rPr>
              <w:t xml:space="preserve">Patients dying in hospital experience </w:t>
            </w:r>
            <w:r w:rsidRPr="00C661E7">
              <w:rPr>
                <w:rFonts w:ascii="Garamond" w:hAnsi="Garamond"/>
                <w:b/>
                <w:lang w:val="en-AU"/>
              </w:rPr>
              <w:t>seven times the rate of severe adverse events</w:t>
            </w:r>
            <w:r w:rsidRPr="00C661E7">
              <w:rPr>
                <w:rFonts w:ascii="Garamond" w:hAnsi="Garamond"/>
                <w:lang w:val="en-AU"/>
              </w:rPr>
              <w:t xml:space="preserve">, 38.4% vs 5.2% </w:t>
            </w:r>
          </w:p>
          <w:p w:rsidR="00C661E7" w:rsidRDefault="00C661E7" w:rsidP="00C661E7">
            <w:pPr>
              <w:pStyle w:val="ListParagraph"/>
              <w:numPr>
                <w:ilvl w:val="0"/>
                <w:numId w:val="43"/>
              </w:numPr>
              <w:rPr>
                <w:rFonts w:ascii="Garamond" w:hAnsi="Garamond"/>
                <w:lang w:val="en-AU"/>
              </w:rPr>
            </w:pPr>
            <w:r w:rsidRPr="00C661E7">
              <w:rPr>
                <w:rFonts w:ascii="Garamond" w:hAnsi="Garamond"/>
                <w:lang w:val="en-AU"/>
              </w:rPr>
              <w:t>For 86 out of 377 inpatient deaths</w:t>
            </w:r>
            <w:r>
              <w:rPr>
                <w:rFonts w:ascii="Garamond" w:hAnsi="Garamond"/>
                <w:lang w:val="en-AU"/>
              </w:rPr>
              <w:t xml:space="preserve"> studied</w:t>
            </w:r>
            <w:r w:rsidRPr="00C661E7">
              <w:rPr>
                <w:rFonts w:ascii="Garamond" w:hAnsi="Garamond"/>
                <w:lang w:val="en-AU"/>
              </w:rPr>
              <w:t>, the adverse event is so severe that it contributes to death</w:t>
            </w:r>
          </w:p>
          <w:p w:rsidR="00C661E7" w:rsidRDefault="00C661E7" w:rsidP="00C661E7">
            <w:pPr>
              <w:pStyle w:val="ListParagraph"/>
              <w:numPr>
                <w:ilvl w:val="0"/>
                <w:numId w:val="43"/>
              </w:numPr>
              <w:rPr>
                <w:rFonts w:ascii="Garamond" w:hAnsi="Garamond"/>
                <w:lang w:val="en-AU"/>
              </w:rPr>
            </w:pPr>
            <w:r w:rsidRPr="00C661E7">
              <w:rPr>
                <w:rFonts w:ascii="Garamond" w:hAnsi="Garamond"/>
                <w:b/>
                <w:lang w:val="en-AU"/>
              </w:rPr>
              <w:t>27.9% of severe adverse events</w:t>
            </w:r>
            <w:r w:rsidRPr="00C661E7">
              <w:rPr>
                <w:rFonts w:ascii="Garamond" w:hAnsi="Garamond"/>
                <w:lang w:val="en-AU"/>
              </w:rPr>
              <w:t xml:space="preserve"> contributing to death </w:t>
            </w:r>
            <w:r w:rsidRPr="00C661E7">
              <w:rPr>
                <w:rFonts w:ascii="Garamond" w:hAnsi="Garamond"/>
                <w:b/>
                <w:lang w:val="en-AU"/>
              </w:rPr>
              <w:t>originate in primary care</w:t>
            </w:r>
          </w:p>
          <w:p w:rsidR="00C661E7" w:rsidRPr="00C661E7" w:rsidRDefault="00C661E7" w:rsidP="00C661E7">
            <w:pPr>
              <w:pStyle w:val="ListParagraph"/>
              <w:numPr>
                <w:ilvl w:val="0"/>
                <w:numId w:val="43"/>
              </w:numPr>
              <w:rPr>
                <w:rFonts w:ascii="Garamond" w:hAnsi="Garamond"/>
                <w:lang w:val="en-AU"/>
              </w:rPr>
            </w:pPr>
            <w:r w:rsidRPr="00C661E7">
              <w:rPr>
                <w:rFonts w:ascii="Garamond" w:hAnsi="Garamond"/>
                <w:b/>
                <w:lang w:val="en-AU"/>
              </w:rPr>
              <w:t>Lower respiratory infections</w:t>
            </w:r>
            <w:r w:rsidRPr="00C661E7">
              <w:rPr>
                <w:rFonts w:ascii="Garamond" w:hAnsi="Garamond"/>
                <w:lang w:val="en-AU"/>
              </w:rPr>
              <w:t xml:space="preserve">, </w:t>
            </w:r>
            <w:r w:rsidRPr="00C661E7">
              <w:rPr>
                <w:rFonts w:ascii="Garamond" w:hAnsi="Garamond"/>
                <w:b/>
                <w:lang w:val="en-AU"/>
              </w:rPr>
              <w:t>medication harm</w:t>
            </w:r>
            <w:r w:rsidRPr="00C661E7">
              <w:rPr>
                <w:rFonts w:ascii="Garamond" w:hAnsi="Garamond"/>
                <w:lang w:val="en-AU"/>
              </w:rPr>
              <w:t xml:space="preserve"> and </w:t>
            </w:r>
            <w:r w:rsidRPr="00C661E7">
              <w:rPr>
                <w:rFonts w:ascii="Garamond" w:hAnsi="Garamond"/>
                <w:b/>
                <w:lang w:val="en-AU"/>
              </w:rPr>
              <w:t>pressure ulcers</w:t>
            </w:r>
            <w:r w:rsidRPr="00C661E7">
              <w:rPr>
                <w:rFonts w:ascii="Garamond" w:hAnsi="Garamond"/>
                <w:lang w:val="en-AU"/>
              </w:rPr>
              <w:t xml:space="preserve"> are significantly more frequent for inpatient deaths than in the general sample of hospital patients.</w:t>
            </w:r>
          </w:p>
        </w:tc>
      </w:tr>
    </w:tbl>
    <w:p w:rsidR="00831B85" w:rsidRDefault="00831B85" w:rsidP="00831B85">
      <w:pPr>
        <w:rPr>
          <w:rFonts w:ascii="Garamond" w:hAnsi="Garamond"/>
          <w:i/>
          <w:lang w:val="en-AU"/>
        </w:rPr>
      </w:pPr>
    </w:p>
    <w:p w:rsidR="00EF49AC" w:rsidRDefault="00EF49AC" w:rsidP="00EF49AC">
      <w:pPr>
        <w:keepNext/>
        <w:rPr>
          <w:rFonts w:ascii="Garamond" w:hAnsi="Garamond"/>
          <w:i/>
          <w:lang w:val="en-AU"/>
        </w:rPr>
      </w:pPr>
      <w:r w:rsidRPr="00467B47">
        <w:rPr>
          <w:rFonts w:ascii="Garamond" w:hAnsi="Garamond"/>
          <w:i/>
          <w:lang w:val="en-AU"/>
        </w:rPr>
        <w:t>BMJ Quality and Safety</w:t>
      </w:r>
    </w:p>
    <w:p w:rsidR="00EF49AC" w:rsidRPr="00EF49AC" w:rsidRDefault="00EF49AC" w:rsidP="00EF49AC">
      <w:pPr>
        <w:keepNext/>
        <w:rPr>
          <w:rFonts w:ascii="Garamond" w:hAnsi="Garamond"/>
          <w:lang w:val="en-AU"/>
        </w:rPr>
      </w:pPr>
      <w:r w:rsidRPr="00EF49AC">
        <w:rPr>
          <w:rFonts w:ascii="Garamond" w:hAnsi="Garamond"/>
          <w:lang w:val="en-AU"/>
        </w:rPr>
        <w:t>March 2019 - Volume 28 - 3</w:t>
      </w:r>
    </w:p>
    <w:tbl>
      <w:tblPr>
        <w:tblStyle w:val="TableGrid"/>
        <w:tblW w:w="0" w:type="auto"/>
        <w:tblInd w:w="288" w:type="dxa"/>
        <w:tblLayout w:type="fixed"/>
        <w:tblLook w:val="01E0" w:firstRow="1" w:lastRow="1" w:firstColumn="1" w:lastColumn="1" w:noHBand="0" w:noVBand="0"/>
      </w:tblPr>
      <w:tblGrid>
        <w:gridCol w:w="1080"/>
        <w:gridCol w:w="8280"/>
      </w:tblGrid>
      <w:tr w:rsidR="00EF49AC" w:rsidRPr="000170DA" w:rsidTr="006542B9">
        <w:tc>
          <w:tcPr>
            <w:tcW w:w="1080" w:type="dxa"/>
            <w:tcBorders>
              <w:top w:val="single" w:sz="4" w:space="0" w:color="auto"/>
              <w:left w:val="single" w:sz="4" w:space="0" w:color="auto"/>
              <w:bottom w:val="single" w:sz="4" w:space="0" w:color="auto"/>
              <w:right w:val="single" w:sz="4" w:space="0" w:color="auto"/>
            </w:tcBorders>
            <w:vAlign w:val="center"/>
          </w:tcPr>
          <w:p w:rsidR="00EF49AC" w:rsidRPr="000170DA" w:rsidRDefault="00EF49AC" w:rsidP="006542B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F49AC" w:rsidRPr="000170DA" w:rsidRDefault="00EE1F99" w:rsidP="006542B9">
            <w:pPr>
              <w:rPr>
                <w:rStyle w:val="Hyperlink"/>
                <w:rFonts w:ascii="Garamond" w:hAnsi="Garamond"/>
                <w:color w:val="auto"/>
                <w:u w:val="none"/>
                <w:lang w:val="en-AU"/>
              </w:rPr>
            </w:pPr>
            <w:hyperlink r:id="rId24" w:history="1">
              <w:r w:rsidR="00EF49AC" w:rsidRPr="00A91BA2">
                <w:rPr>
                  <w:rStyle w:val="Hyperlink"/>
                  <w:rFonts w:ascii="Garamond" w:hAnsi="Garamond"/>
                  <w:lang w:val="en-AU"/>
                </w:rPr>
                <w:t>https://qualitysafety.bmj.com/content/28/3</w:t>
              </w:r>
            </w:hyperlink>
          </w:p>
        </w:tc>
      </w:tr>
      <w:tr w:rsidR="00EF49AC" w:rsidRPr="007C3778" w:rsidTr="006542B9">
        <w:tc>
          <w:tcPr>
            <w:tcW w:w="1080" w:type="dxa"/>
            <w:tcBorders>
              <w:top w:val="single" w:sz="4" w:space="0" w:color="auto"/>
              <w:left w:val="single" w:sz="4" w:space="0" w:color="auto"/>
              <w:bottom w:val="single" w:sz="4" w:space="0" w:color="auto"/>
              <w:right w:val="single" w:sz="4" w:space="0" w:color="auto"/>
            </w:tcBorders>
            <w:vAlign w:val="center"/>
          </w:tcPr>
          <w:p w:rsidR="00EF49AC" w:rsidRPr="000170DA" w:rsidRDefault="00EF49AC" w:rsidP="006542B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49AC" w:rsidRPr="00B440ED" w:rsidRDefault="00EF49AC" w:rsidP="006542B9">
            <w:pPr>
              <w:rPr>
                <w:rFonts w:ascii="Garamond" w:hAnsi="Garamond"/>
                <w:lang w:val="en-AU"/>
              </w:rPr>
            </w:pPr>
            <w:r w:rsidRPr="00B440ED">
              <w:rPr>
                <w:rFonts w:ascii="Garamond" w:hAnsi="Garamond"/>
                <w:lang w:val="en-AU"/>
              </w:rPr>
              <w:t xml:space="preserve">A new issue of </w:t>
            </w:r>
            <w:r w:rsidRPr="00467B47">
              <w:rPr>
                <w:rFonts w:ascii="Garamond" w:hAnsi="Garamond"/>
                <w:i/>
                <w:lang w:val="en-AU"/>
              </w:rPr>
              <w:t>BMJ Quality and Safety</w:t>
            </w:r>
            <w:r w:rsidRPr="00B440ED">
              <w:rPr>
                <w:rFonts w:ascii="Garamond" w:hAnsi="Garamond"/>
                <w:lang w:val="en-AU"/>
              </w:rPr>
              <w:t xml:space="preserve"> has been published. </w:t>
            </w:r>
            <w:r w:rsidRPr="00EB5DA0">
              <w:rPr>
                <w:rFonts w:ascii="Garamond" w:hAnsi="Garamond"/>
                <w:lang w:val="en-AU"/>
              </w:rPr>
              <w:t xml:space="preserve">Many of the papers in this issue have been referred to in previous editions of </w:t>
            </w:r>
            <w:r w:rsidRPr="00EB5DA0">
              <w:rPr>
                <w:rFonts w:ascii="Garamond" w:hAnsi="Garamond"/>
                <w:i/>
                <w:lang w:val="en-AU"/>
              </w:rPr>
              <w:t>On the Radar</w:t>
            </w:r>
            <w:r w:rsidRPr="00EB5DA0">
              <w:rPr>
                <w:rFonts w:ascii="Garamond" w:hAnsi="Garamond"/>
                <w:lang w:val="en-AU"/>
              </w:rPr>
              <w:t xml:space="preserve"> (when they were released online). </w:t>
            </w:r>
            <w:r w:rsidRPr="00B440ED">
              <w:rPr>
                <w:rFonts w:ascii="Garamond" w:hAnsi="Garamond"/>
                <w:lang w:val="en-AU"/>
              </w:rPr>
              <w:t xml:space="preserve">Articles in this issue of </w:t>
            </w:r>
            <w:r w:rsidRPr="00467B47">
              <w:rPr>
                <w:rFonts w:ascii="Garamond" w:hAnsi="Garamond"/>
                <w:i/>
                <w:lang w:val="en-AU"/>
              </w:rPr>
              <w:t>BMJ Quality and Safety</w:t>
            </w:r>
            <w:r w:rsidRPr="00B440ED">
              <w:rPr>
                <w:rFonts w:ascii="Garamond" w:hAnsi="Garamond"/>
                <w:lang w:val="en-AU"/>
              </w:rPr>
              <w:t xml:space="preserve"> include:</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Editorial: </w:t>
            </w:r>
            <w:r w:rsidRPr="00EF49AC">
              <w:rPr>
                <w:rFonts w:ascii="Garamond" w:hAnsi="Garamond"/>
                <w:b/>
                <w:lang w:val="en-AU"/>
              </w:rPr>
              <w:t>From incident reporting to the analysis of the patient journey</w:t>
            </w:r>
            <w:r w:rsidRPr="00EF49AC">
              <w:rPr>
                <w:rFonts w:ascii="Garamond" w:hAnsi="Garamond"/>
                <w:lang w:val="en-AU"/>
              </w:rPr>
              <w:t xml:space="preserve"> (Patricia Trbovich, Charles Vincent</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Editorial: </w:t>
            </w:r>
            <w:r w:rsidRPr="00EF49AC">
              <w:rPr>
                <w:rFonts w:ascii="Garamond" w:hAnsi="Garamond"/>
                <w:b/>
                <w:lang w:val="en-AU"/>
              </w:rPr>
              <w:t>Every patient should be enabled</w:t>
            </w:r>
            <w:r w:rsidRPr="00EF49AC">
              <w:rPr>
                <w:rFonts w:ascii="Garamond" w:hAnsi="Garamond"/>
                <w:lang w:val="en-AU"/>
              </w:rPr>
              <w:t xml:space="preserve"> to stop the line (</w:t>
            </w:r>
            <w:r>
              <w:rPr>
                <w:rFonts w:ascii="Garamond" w:hAnsi="Garamond"/>
                <w:lang w:val="en-AU"/>
              </w:rPr>
              <w:t>Sigall K Bell, William Martinez)</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Editorial: Engaging with theory: </w:t>
            </w:r>
            <w:r w:rsidRPr="00EF49AC">
              <w:rPr>
                <w:rFonts w:ascii="Garamond" w:hAnsi="Garamond"/>
                <w:b/>
                <w:lang w:val="en-AU"/>
              </w:rPr>
              <w:t>from theoretically informed to theoretically informative improvement research</w:t>
            </w:r>
            <w:r w:rsidRPr="00EF49AC">
              <w:rPr>
                <w:rFonts w:ascii="Garamond" w:hAnsi="Garamond"/>
                <w:lang w:val="en-AU"/>
              </w:rPr>
              <w:t xml:space="preserve"> (</w:t>
            </w:r>
            <w:r>
              <w:rPr>
                <w:rFonts w:ascii="Garamond" w:hAnsi="Garamond"/>
                <w:lang w:val="en-AU"/>
              </w:rPr>
              <w:t>Roman Kislov)</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Connecting perspectives on quality and safety: </w:t>
            </w:r>
            <w:r w:rsidRPr="00EF49AC">
              <w:rPr>
                <w:rFonts w:ascii="Garamond" w:hAnsi="Garamond"/>
                <w:b/>
                <w:lang w:val="en-AU"/>
              </w:rPr>
              <w:t>patient-level linkage of incident, adverse event and complaint data</w:t>
            </w:r>
            <w:r w:rsidRPr="00EF49AC">
              <w:rPr>
                <w:rFonts w:ascii="Garamond" w:hAnsi="Garamond"/>
                <w:lang w:val="en-AU"/>
              </w:rPr>
              <w:t xml:space="preserve"> (Marit S de Vos, Jaap F Hamming, Jolanda J C Chua-Hendriks, Perla J Marang-van de Mheen</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We want to know: patient comfort </w:t>
            </w:r>
            <w:r w:rsidRPr="00EF49AC">
              <w:rPr>
                <w:rFonts w:ascii="Garamond" w:hAnsi="Garamond"/>
                <w:b/>
                <w:lang w:val="en-AU"/>
              </w:rPr>
              <w:t>speaking up about breakdowns in care and patient experience</w:t>
            </w:r>
            <w:r w:rsidRPr="00EF49AC">
              <w:rPr>
                <w:rFonts w:ascii="Garamond" w:hAnsi="Garamond"/>
                <w:lang w:val="en-AU"/>
              </w:rPr>
              <w:t xml:space="preserve"> (Kimberly A Fisher, Kelly M Smith, Thomas H Gallagher, Jim C Huang, James C Borton, Kathleen M Mazor</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lastRenderedPageBreak/>
              <w:t xml:space="preserve">Explaining organisational responses to a </w:t>
            </w:r>
            <w:r w:rsidRPr="00EF49AC">
              <w:rPr>
                <w:rFonts w:ascii="Garamond" w:hAnsi="Garamond"/>
                <w:b/>
                <w:lang w:val="en-AU"/>
              </w:rPr>
              <w:t>board-level quality improvement intervention</w:t>
            </w:r>
            <w:r w:rsidRPr="00EF49AC">
              <w:rPr>
                <w:rFonts w:ascii="Garamond" w:hAnsi="Garamond"/>
                <w:lang w:val="en-AU"/>
              </w:rPr>
              <w:t>: findings from an evaluation in six providers in the English National Health Service (Lorelei Jones, Linda Pomeroy, Glenn Robert, Susan Burnett, Janet E Anderson, Stephen Morris, E Capelas Barbosa, N J Fulop</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b/>
                <w:lang w:val="en-AU"/>
              </w:rPr>
              <w:t>Low-value care in Australian public hospitals</w:t>
            </w:r>
            <w:r w:rsidRPr="00EF49AC">
              <w:rPr>
                <w:rFonts w:ascii="Garamond" w:hAnsi="Garamond"/>
                <w:lang w:val="en-AU"/>
              </w:rPr>
              <w:t>: prevalence and trends over time (Tim Badgery-Parker, Sallie-Anne Pearson, Kelsey Chalmers, Jonathan Brett, Ian A Scott, Susan Dunn, Neville Onley, Adam G Elshaug</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Facilitators of </w:t>
            </w:r>
            <w:r w:rsidRPr="00EF49AC">
              <w:rPr>
                <w:rFonts w:ascii="Garamond" w:hAnsi="Garamond"/>
                <w:b/>
                <w:lang w:val="en-AU"/>
              </w:rPr>
              <w:t>interdepartmental quality improvement</w:t>
            </w:r>
            <w:r w:rsidRPr="00EF49AC">
              <w:rPr>
                <w:rFonts w:ascii="Garamond" w:hAnsi="Garamond"/>
                <w:lang w:val="en-AU"/>
              </w:rPr>
              <w:t xml:space="preserve">: a mixed-methods analysis of a collaborative to improve </w:t>
            </w:r>
            <w:r w:rsidRPr="00EF49AC">
              <w:rPr>
                <w:rFonts w:ascii="Garamond" w:hAnsi="Garamond"/>
                <w:b/>
                <w:lang w:val="en-AU"/>
              </w:rPr>
              <w:t>pediatric community-acquired pneumonia</w:t>
            </w:r>
            <w:r w:rsidRPr="00EF49AC">
              <w:rPr>
                <w:rFonts w:ascii="Garamond" w:hAnsi="Garamond"/>
                <w:lang w:val="en-AU"/>
              </w:rPr>
              <w:t xml:space="preserve"> management (JoAnna K Leyenaar, Christine B Andrews, Emily R Tyksinski, Eric Biondi, Kavita Parikh, Shawn Ralston</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Sicker patients account for the </w:t>
            </w:r>
            <w:r w:rsidRPr="00EF49AC">
              <w:rPr>
                <w:rFonts w:ascii="Garamond" w:hAnsi="Garamond"/>
                <w:b/>
                <w:lang w:val="en-AU"/>
              </w:rPr>
              <w:t>weekend mortality effect</w:t>
            </w:r>
            <w:r w:rsidRPr="00EF49AC">
              <w:rPr>
                <w:rFonts w:ascii="Garamond" w:hAnsi="Garamond"/>
                <w:lang w:val="en-AU"/>
              </w:rPr>
              <w:t xml:space="preserve"> among adult </w:t>
            </w:r>
            <w:r w:rsidRPr="00EF49AC">
              <w:rPr>
                <w:rFonts w:ascii="Garamond" w:hAnsi="Garamond"/>
                <w:b/>
                <w:lang w:val="en-AU"/>
              </w:rPr>
              <w:t>emergency admissions</w:t>
            </w:r>
            <w:r w:rsidRPr="00EF49AC">
              <w:rPr>
                <w:rFonts w:ascii="Garamond" w:hAnsi="Garamond"/>
                <w:lang w:val="en-AU"/>
              </w:rPr>
              <w:t xml:space="preserve"> to a large hospital trust (Jianxia Sun, Alan J Girling, Cassie Aldridge, Felicity Evison, Chris Beet, Amunpreet Boyal, Gavin Rudge, Richard J Lilford, Julian Bion</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b/>
                <w:lang w:val="en-AU"/>
              </w:rPr>
              <w:t>Artificial intelligence, bias and clinical safety</w:t>
            </w:r>
            <w:r w:rsidRPr="00EF49AC">
              <w:rPr>
                <w:rFonts w:ascii="Garamond" w:hAnsi="Garamond"/>
                <w:lang w:val="en-AU"/>
              </w:rPr>
              <w:t xml:space="preserve"> (Robert Challen, Joshua Denny, Martin Pitt, Luke Gompels, Tom Edwards, K Tsaneva-Atanasova</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Framing the challenges of </w:t>
            </w:r>
            <w:r w:rsidRPr="00EF49AC">
              <w:rPr>
                <w:rFonts w:ascii="Garamond" w:hAnsi="Garamond"/>
                <w:b/>
                <w:lang w:val="en-AU"/>
              </w:rPr>
              <w:t>artificial intelligence in medicine</w:t>
            </w:r>
            <w:r w:rsidRPr="00EF49AC">
              <w:rPr>
                <w:rFonts w:ascii="Garamond" w:hAnsi="Garamond"/>
                <w:lang w:val="en-AU"/>
              </w:rPr>
              <w:t xml:space="preserve"> (Kun-Hsing Yu, Isaac S Kohane</w:t>
            </w:r>
            <w:r>
              <w:rPr>
                <w:rFonts w:ascii="Garamond" w:hAnsi="Garamond"/>
                <w:lang w:val="en-AU"/>
              </w:rPr>
              <w:t>)</w:t>
            </w:r>
          </w:p>
          <w:p w:rsidR="00EF49AC" w:rsidRPr="00EF49AC" w:rsidRDefault="00EF49AC" w:rsidP="00EF49AC">
            <w:pPr>
              <w:pStyle w:val="ListParagraph"/>
              <w:numPr>
                <w:ilvl w:val="0"/>
                <w:numId w:val="40"/>
              </w:numPr>
              <w:rPr>
                <w:rFonts w:ascii="Garamond" w:hAnsi="Garamond"/>
                <w:lang w:val="en-AU"/>
              </w:rPr>
            </w:pPr>
            <w:r w:rsidRPr="00EF49AC">
              <w:rPr>
                <w:rFonts w:ascii="Garamond" w:hAnsi="Garamond"/>
                <w:lang w:val="en-AU"/>
              </w:rPr>
              <w:t xml:space="preserve">Redesigning care: adapting new improvement methods to achieve </w:t>
            </w:r>
            <w:r w:rsidRPr="00EF49AC">
              <w:rPr>
                <w:rFonts w:ascii="Garamond" w:hAnsi="Garamond"/>
                <w:b/>
                <w:lang w:val="en-AU"/>
              </w:rPr>
              <w:t>person-centred care</w:t>
            </w:r>
            <w:r w:rsidRPr="00EF49AC">
              <w:rPr>
                <w:rFonts w:ascii="Garamond" w:hAnsi="Garamond"/>
                <w:lang w:val="en-AU"/>
              </w:rPr>
              <w:t xml:space="preserve"> (Onil Bhattacharyya, David Blumenthal, Roger Stoddard, Lynne Mansell, Kathryn Mossman, Eric C Schneider</w:t>
            </w:r>
            <w:r>
              <w:rPr>
                <w:rFonts w:ascii="Garamond" w:hAnsi="Garamond"/>
                <w:lang w:val="en-AU"/>
              </w:rPr>
              <w:t>)</w:t>
            </w:r>
          </w:p>
          <w:p w:rsidR="00EF49AC" w:rsidRPr="007C3778" w:rsidRDefault="00EF49AC" w:rsidP="00EF49AC">
            <w:pPr>
              <w:pStyle w:val="ListParagraph"/>
              <w:numPr>
                <w:ilvl w:val="0"/>
                <w:numId w:val="40"/>
              </w:numPr>
              <w:rPr>
                <w:rFonts w:ascii="Garamond" w:hAnsi="Garamond"/>
                <w:lang w:val="en-AU"/>
              </w:rPr>
            </w:pPr>
            <w:r w:rsidRPr="00EF49AC">
              <w:rPr>
                <w:rFonts w:ascii="Garamond" w:hAnsi="Garamond"/>
                <w:b/>
                <w:lang w:val="en-AU"/>
              </w:rPr>
              <w:t>Quality &amp; safety in the literature</w:t>
            </w:r>
            <w:r w:rsidRPr="00EF49AC">
              <w:rPr>
                <w:rFonts w:ascii="Garamond" w:hAnsi="Garamond"/>
                <w:lang w:val="en-AU"/>
              </w:rPr>
              <w:t>: March 2019 (Ashwin Gupta, Mark S Hausman, Jr., Nathan Houchens</w:t>
            </w:r>
            <w:r>
              <w:rPr>
                <w:rFonts w:ascii="Garamond" w:hAnsi="Garamond"/>
                <w:lang w:val="en-AU"/>
              </w:rPr>
              <w:t>)</w:t>
            </w:r>
          </w:p>
        </w:tc>
      </w:tr>
    </w:tbl>
    <w:p w:rsidR="00EF49AC" w:rsidRPr="00D65371" w:rsidRDefault="00EF49AC" w:rsidP="00D65371">
      <w:pPr>
        <w:keepNext/>
        <w:rPr>
          <w:rFonts w:ascii="Garamond" w:hAnsi="Garamond"/>
          <w:i/>
          <w:lang w:val="en-AU"/>
        </w:rPr>
      </w:pPr>
    </w:p>
    <w:p w:rsidR="00D65371" w:rsidRDefault="00EB5DA0" w:rsidP="00D65371">
      <w:pPr>
        <w:keepNext/>
        <w:rPr>
          <w:rFonts w:ascii="Garamond" w:hAnsi="Garamond"/>
          <w:lang w:val="en-AU"/>
        </w:rPr>
      </w:pPr>
      <w:r w:rsidRPr="00467B47">
        <w:rPr>
          <w:rFonts w:ascii="Garamond" w:hAnsi="Garamond"/>
          <w:i/>
          <w:lang w:val="en-AU"/>
        </w:rPr>
        <w:t>International Journal for Quality in Health Care</w:t>
      </w:r>
    </w:p>
    <w:p w:rsidR="00EB5DA0" w:rsidRPr="00D65371" w:rsidRDefault="00EB5DA0" w:rsidP="00D65371">
      <w:pPr>
        <w:keepNext/>
        <w:rPr>
          <w:rFonts w:ascii="Garamond" w:hAnsi="Garamond"/>
          <w:lang w:val="en-AU"/>
        </w:rPr>
      </w:pPr>
      <w:r w:rsidRPr="00EB5DA0">
        <w:rPr>
          <w:rFonts w:ascii="Garamond" w:hAnsi="Garamond"/>
          <w:lang w:val="en-AU"/>
        </w:rPr>
        <w:t>Volume 31, Issue 1, February 2019</w:t>
      </w:r>
    </w:p>
    <w:tbl>
      <w:tblPr>
        <w:tblStyle w:val="TableGrid"/>
        <w:tblW w:w="0" w:type="auto"/>
        <w:tblInd w:w="288" w:type="dxa"/>
        <w:tblLayout w:type="fixed"/>
        <w:tblLook w:val="01E0" w:firstRow="1" w:lastRow="1" w:firstColumn="1" w:lastColumn="1" w:noHBand="0" w:noVBand="0"/>
      </w:tblPr>
      <w:tblGrid>
        <w:gridCol w:w="1080"/>
        <w:gridCol w:w="8280"/>
      </w:tblGrid>
      <w:tr w:rsidR="007C3778" w:rsidRPr="000170DA" w:rsidTr="002A212F">
        <w:tc>
          <w:tcPr>
            <w:tcW w:w="1080" w:type="dxa"/>
            <w:tcBorders>
              <w:top w:val="single" w:sz="4" w:space="0" w:color="auto"/>
              <w:left w:val="single" w:sz="4" w:space="0" w:color="auto"/>
              <w:bottom w:val="single" w:sz="4" w:space="0" w:color="auto"/>
              <w:right w:val="single" w:sz="4" w:space="0" w:color="auto"/>
            </w:tcBorders>
            <w:vAlign w:val="center"/>
          </w:tcPr>
          <w:p w:rsidR="007C3778" w:rsidRPr="000170DA" w:rsidRDefault="007C3778" w:rsidP="002A212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C3778" w:rsidRPr="000170DA" w:rsidRDefault="00EE1F99" w:rsidP="002A212F">
            <w:pPr>
              <w:rPr>
                <w:rStyle w:val="Hyperlink"/>
                <w:rFonts w:ascii="Garamond" w:hAnsi="Garamond"/>
                <w:color w:val="auto"/>
                <w:u w:val="none"/>
                <w:lang w:val="en-AU"/>
              </w:rPr>
            </w:pPr>
            <w:hyperlink r:id="rId25" w:history="1">
              <w:r w:rsidR="00EB5DA0" w:rsidRPr="001C602E">
                <w:rPr>
                  <w:rStyle w:val="Hyperlink"/>
                  <w:rFonts w:ascii="Garamond" w:hAnsi="Garamond"/>
                  <w:lang w:val="en-AU"/>
                </w:rPr>
                <w:t>https://academic.oup.com/intqhc/issue/31/1</w:t>
              </w:r>
            </w:hyperlink>
          </w:p>
        </w:tc>
      </w:tr>
      <w:tr w:rsidR="007C3778" w:rsidRPr="000170DA" w:rsidTr="002A212F">
        <w:tc>
          <w:tcPr>
            <w:tcW w:w="1080" w:type="dxa"/>
            <w:tcBorders>
              <w:top w:val="single" w:sz="4" w:space="0" w:color="auto"/>
              <w:left w:val="single" w:sz="4" w:space="0" w:color="auto"/>
              <w:bottom w:val="single" w:sz="4" w:space="0" w:color="auto"/>
              <w:right w:val="single" w:sz="4" w:space="0" w:color="auto"/>
            </w:tcBorders>
            <w:vAlign w:val="center"/>
          </w:tcPr>
          <w:p w:rsidR="007C3778" w:rsidRPr="000170DA" w:rsidRDefault="007C3778" w:rsidP="002A212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3778" w:rsidRPr="00B440ED" w:rsidRDefault="007C3778" w:rsidP="002A212F">
            <w:pPr>
              <w:rPr>
                <w:rFonts w:ascii="Garamond" w:hAnsi="Garamond"/>
                <w:lang w:val="en-AU"/>
              </w:rPr>
            </w:pPr>
            <w:r w:rsidRPr="00B440ED">
              <w:rPr>
                <w:rFonts w:ascii="Garamond" w:hAnsi="Garamond"/>
                <w:lang w:val="en-AU"/>
              </w:rPr>
              <w:t xml:space="preserve">A new issue of the </w:t>
            </w:r>
            <w:r w:rsidR="00EB5DA0" w:rsidRPr="00467B47">
              <w:rPr>
                <w:rFonts w:ascii="Garamond" w:hAnsi="Garamond"/>
                <w:i/>
                <w:lang w:val="en-AU"/>
              </w:rPr>
              <w:t>International Journal for Quality in Health Care</w:t>
            </w:r>
            <w:r w:rsidR="00EB5DA0" w:rsidRPr="00D65371">
              <w:rPr>
                <w:rFonts w:ascii="Garamond" w:hAnsi="Garamond"/>
                <w:i/>
                <w:lang w:val="en-AU"/>
              </w:rPr>
              <w:t xml:space="preserve"> </w:t>
            </w:r>
            <w:r w:rsidRPr="00B440ED">
              <w:rPr>
                <w:rFonts w:ascii="Garamond" w:hAnsi="Garamond"/>
                <w:lang w:val="en-AU"/>
              </w:rPr>
              <w:t xml:space="preserve">has been published. </w:t>
            </w:r>
            <w:r w:rsidR="00EB5DA0" w:rsidRPr="00EB5DA0">
              <w:rPr>
                <w:rFonts w:ascii="Garamond" w:hAnsi="Garamond"/>
                <w:lang w:val="en-AU"/>
              </w:rPr>
              <w:t xml:space="preserve">Many of the papers in this issue have been referred to in previous editions of </w:t>
            </w:r>
            <w:r w:rsidR="00EB5DA0" w:rsidRPr="00EB5DA0">
              <w:rPr>
                <w:rFonts w:ascii="Garamond" w:hAnsi="Garamond"/>
                <w:i/>
                <w:lang w:val="en-AU"/>
              </w:rPr>
              <w:t>On the Radar</w:t>
            </w:r>
            <w:r w:rsidR="00EB5DA0" w:rsidRPr="00EB5DA0">
              <w:rPr>
                <w:rFonts w:ascii="Garamond" w:hAnsi="Garamond"/>
                <w:lang w:val="en-AU"/>
              </w:rPr>
              <w:t xml:space="preserve"> (when they were released online). </w:t>
            </w:r>
            <w:r w:rsidRPr="00B440ED">
              <w:rPr>
                <w:rFonts w:ascii="Garamond" w:hAnsi="Garamond"/>
                <w:lang w:val="en-AU"/>
              </w:rPr>
              <w:t xml:space="preserve">Articles in this issue of the </w:t>
            </w:r>
            <w:r w:rsidR="00EB5DA0" w:rsidRPr="00467B47">
              <w:rPr>
                <w:rFonts w:ascii="Garamond" w:hAnsi="Garamond"/>
                <w:i/>
                <w:lang w:val="en-AU"/>
              </w:rPr>
              <w:t>International Journal for Quality in Health Care</w:t>
            </w:r>
            <w:r w:rsidR="00EB5DA0" w:rsidRPr="00D65371">
              <w:rPr>
                <w:rFonts w:ascii="Garamond" w:hAnsi="Garamond"/>
                <w:i/>
                <w:lang w:val="en-AU"/>
              </w:rPr>
              <w:t xml:space="preserve"> </w:t>
            </w:r>
            <w:r w:rsidRPr="00B440ED">
              <w:rPr>
                <w:rFonts w:ascii="Garamond" w:hAnsi="Garamond"/>
                <w:lang w:val="en-AU"/>
              </w:rPr>
              <w:t>include:</w:t>
            </w:r>
          </w:p>
          <w:p w:rsidR="00B459E8" w:rsidRPr="007B4CE2" w:rsidRDefault="00B459E8" w:rsidP="00B459E8">
            <w:pPr>
              <w:pStyle w:val="ListParagraph"/>
              <w:numPr>
                <w:ilvl w:val="0"/>
                <w:numId w:val="40"/>
              </w:numPr>
              <w:rPr>
                <w:rFonts w:ascii="Garamond" w:hAnsi="Garamond"/>
                <w:lang w:val="en-AU"/>
              </w:rPr>
            </w:pPr>
            <w:r w:rsidRPr="007B4CE2">
              <w:rPr>
                <w:rFonts w:ascii="Garamond" w:hAnsi="Garamond"/>
                <w:lang w:val="en-AU"/>
              </w:rPr>
              <w:t>Editorial</w:t>
            </w:r>
            <w:r w:rsidR="007B4CE2" w:rsidRPr="007B4CE2">
              <w:rPr>
                <w:rFonts w:ascii="Garamond" w:hAnsi="Garamond"/>
                <w:lang w:val="en-AU"/>
              </w:rPr>
              <w:t xml:space="preserve">: </w:t>
            </w:r>
            <w:r w:rsidRPr="007B4CE2">
              <w:rPr>
                <w:rFonts w:ascii="Garamond" w:hAnsi="Garamond"/>
                <w:b/>
                <w:lang w:val="en-AU"/>
              </w:rPr>
              <w:t>Healthcare quality-improvement and measurement strategies</w:t>
            </w:r>
            <w:r w:rsidRPr="007B4CE2">
              <w:rPr>
                <w:rFonts w:ascii="Garamond" w:hAnsi="Garamond"/>
                <w:lang w:val="en-AU"/>
              </w:rPr>
              <w:t xml:space="preserve"> and its challenges ahead </w:t>
            </w:r>
            <w:r w:rsidR="007B4CE2" w:rsidRPr="007B4CE2">
              <w:rPr>
                <w:rFonts w:ascii="Garamond" w:hAnsi="Garamond"/>
                <w:lang w:val="en-AU"/>
              </w:rPr>
              <w:t>(</w:t>
            </w:r>
            <w:r w:rsidRPr="007B4CE2">
              <w:rPr>
                <w:rFonts w:ascii="Garamond" w:hAnsi="Garamond"/>
                <w:lang w:val="en-AU"/>
              </w:rPr>
              <w:t>Usman Iqbal; Aye</w:t>
            </w:r>
            <w:r w:rsidR="007B4CE2">
              <w:rPr>
                <w:rFonts w:ascii="Garamond" w:hAnsi="Garamond"/>
                <w:lang w:val="en-AU"/>
              </w:rPr>
              <w:t>sha Humayun; Yu-Chuan (Jack) Li)</w:t>
            </w:r>
          </w:p>
          <w:p w:rsidR="007B4CE2" w:rsidRDefault="00B459E8" w:rsidP="00B459E8">
            <w:pPr>
              <w:pStyle w:val="ListParagraph"/>
              <w:numPr>
                <w:ilvl w:val="0"/>
                <w:numId w:val="40"/>
              </w:numPr>
              <w:rPr>
                <w:rFonts w:ascii="Garamond" w:hAnsi="Garamond"/>
                <w:lang w:val="en-AU"/>
              </w:rPr>
            </w:pPr>
            <w:r w:rsidRPr="007B4CE2">
              <w:rPr>
                <w:rFonts w:ascii="Garamond" w:hAnsi="Garamond"/>
                <w:b/>
                <w:lang w:val="en-AU"/>
              </w:rPr>
              <w:t>Quality measurement in physician-staffed emergency medical services</w:t>
            </w:r>
            <w:r w:rsidRPr="007B4CE2">
              <w:rPr>
                <w:rFonts w:ascii="Garamond" w:hAnsi="Garamond"/>
                <w:lang w:val="en-AU"/>
              </w:rPr>
              <w:t xml:space="preserve">: a systematic literature review </w:t>
            </w:r>
            <w:r w:rsidR="007B4CE2" w:rsidRPr="007B4CE2">
              <w:rPr>
                <w:rFonts w:ascii="Garamond" w:hAnsi="Garamond"/>
                <w:lang w:val="en-AU"/>
              </w:rPr>
              <w:t>(</w:t>
            </w:r>
            <w:r w:rsidRPr="007B4CE2">
              <w:rPr>
                <w:rFonts w:ascii="Garamond" w:hAnsi="Garamond"/>
                <w:lang w:val="en-AU"/>
              </w:rPr>
              <w:t>Helge Haugland; Oddvar Uleberg; Pål Klepstad; Andreas Krüger; Marius Rehn</w:t>
            </w:r>
            <w:r w:rsidR="007B4CE2">
              <w:rPr>
                <w:rFonts w:ascii="Garamond" w:hAnsi="Garamond"/>
                <w:lang w:val="en-AU"/>
              </w:rPr>
              <w:t>)</w:t>
            </w:r>
          </w:p>
          <w:p w:rsidR="007B4CE2" w:rsidRDefault="00B459E8" w:rsidP="00B459E8">
            <w:pPr>
              <w:pStyle w:val="ListParagraph"/>
              <w:numPr>
                <w:ilvl w:val="0"/>
                <w:numId w:val="40"/>
              </w:numPr>
              <w:rPr>
                <w:rFonts w:ascii="Garamond" w:hAnsi="Garamond"/>
                <w:lang w:val="en-AU"/>
              </w:rPr>
            </w:pPr>
            <w:r w:rsidRPr="007B4CE2">
              <w:rPr>
                <w:rFonts w:ascii="Garamond" w:hAnsi="Garamond"/>
                <w:lang w:val="en-AU"/>
              </w:rPr>
              <w:t xml:space="preserve">Dimensions of </w:t>
            </w:r>
            <w:r w:rsidRPr="007B4CE2">
              <w:rPr>
                <w:rFonts w:ascii="Garamond" w:hAnsi="Garamond"/>
                <w:b/>
                <w:lang w:val="en-AU"/>
              </w:rPr>
              <w:t>service quality in healthcare</w:t>
            </w:r>
            <w:r w:rsidRPr="007B4CE2">
              <w:rPr>
                <w:rFonts w:ascii="Garamond" w:hAnsi="Garamond"/>
                <w:lang w:val="en-AU"/>
              </w:rPr>
              <w:t xml:space="preserve">: a systematic review of literature </w:t>
            </w:r>
            <w:r w:rsidR="007B4CE2" w:rsidRPr="007B4CE2">
              <w:rPr>
                <w:rFonts w:ascii="Garamond" w:hAnsi="Garamond"/>
                <w:lang w:val="en-AU"/>
              </w:rPr>
              <w:t>(</w:t>
            </w:r>
            <w:r w:rsidRPr="007B4CE2">
              <w:rPr>
                <w:rFonts w:ascii="Garamond" w:hAnsi="Garamond"/>
                <w:lang w:val="en-AU"/>
              </w:rPr>
              <w:t>Iram Fatima; Ayesha Humayun; Usman Iqbal; Muhammad Shafiq</w:t>
            </w:r>
            <w:r w:rsidR="007B4CE2">
              <w:rPr>
                <w:rFonts w:ascii="Garamond" w:hAnsi="Garamond"/>
                <w:lang w:val="en-AU"/>
              </w:rPr>
              <w:t>)</w:t>
            </w:r>
          </w:p>
          <w:p w:rsidR="007B4CE2" w:rsidRDefault="00B459E8" w:rsidP="007B4CE2">
            <w:pPr>
              <w:pStyle w:val="ListParagraph"/>
              <w:numPr>
                <w:ilvl w:val="0"/>
                <w:numId w:val="40"/>
              </w:numPr>
              <w:rPr>
                <w:rFonts w:ascii="Garamond" w:hAnsi="Garamond"/>
                <w:lang w:val="en-AU"/>
              </w:rPr>
            </w:pPr>
            <w:r w:rsidRPr="007B4CE2">
              <w:rPr>
                <w:rFonts w:ascii="Garamond" w:hAnsi="Garamond"/>
                <w:lang w:val="en-AU"/>
              </w:rPr>
              <w:t xml:space="preserve">The impact of </w:t>
            </w:r>
            <w:r w:rsidRPr="007B4CE2">
              <w:rPr>
                <w:rFonts w:ascii="Garamond" w:hAnsi="Garamond"/>
                <w:b/>
                <w:lang w:val="en-AU"/>
              </w:rPr>
              <w:t>work-related stress on medication errors</w:t>
            </w:r>
            <w:r w:rsidRPr="007B4CE2">
              <w:rPr>
                <w:rFonts w:ascii="Garamond" w:hAnsi="Garamond"/>
                <w:lang w:val="en-AU"/>
              </w:rPr>
              <w:t xml:space="preserve"> in Eastern Region Saudi Arabia </w:t>
            </w:r>
            <w:r w:rsidR="007B4CE2" w:rsidRPr="007B4CE2">
              <w:rPr>
                <w:rFonts w:ascii="Garamond" w:hAnsi="Garamond"/>
                <w:lang w:val="en-AU"/>
              </w:rPr>
              <w:t>(</w:t>
            </w:r>
            <w:r w:rsidRPr="007B4CE2">
              <w:rPr>
                <w:rFonts w:ascii="Garamond" w:hAnsi="Garamond"/>
                <w:lang w:val="en-AU"/>
              </w:rPr>
              <w:t>Abdul Salam; David M Segal; Munir Ahmad Abu-Helalah; Mary Lou Gutierrez; Imran Joosub</w:t>
            </w:r>
            <w:r w:rsidR="007B4CE2" w:rsidRPr="007B4CE2">
              <w:rPr>
                <w:rFonts w:ascii="Garamond" w:hAnsi="Garamond"/>
                <w:lang w:val="en-AU"/>
              </w:rPr>
              <w:t>; Wasim Ahmed; R Bibi; E Clarke; A A Al Qarni</w:t>
            </w:r>
            <w:r w:rsidR="007B4CE2">
              <w:rPr>
                <w:rFonts w:ascii="Garamond" w:hAnsi="Garamond"/>
                <w:lang w:val="en-AU"/>
              </w:rPr>
              <w:t>)</w:t>
            </w:r>
          </w:p>
          <w:p w:rsidR="00B459E8" w:rsidRPr="007B4CE2" w:rsidRDefault="00B459E8" w:rsidP="00B459E8">
            <w:pPr>
              <w:pStyle w:val="ListParagraph"/>
              <w:numPr>
                <w:ilvl w:val="0"/>
                <w:numId w:val="40"/>
              </w:numPr>
              <w:rPr>
                <w:rFonts w:ascii="Garamond" w:hAnsi="Garamond"/>
                <w:lang w:val="en-AU"/>
              </w:rPr>
            </w:pPr>
            <w:r w:rsidRPr="007B4CE2">
              <w:rPr>
                <w:rFonts w:ascii="Garamond" w:hAnsi="Garamond"/>
                <w:lang w:val="en-AU"/>
              </w:rPr>
              <w:t xml:space="preserve">The use of privacy-protected computer vision to measure the quality of </w:t>
            </w:r>
            <w:r w:rsidRPr="007B4CE2">
              <w:rPr>
                <w:rFonts w:ascii="Garamond" w:hAnsi="Garamond"/>
                <w:b/>
                <w:lang w:val="en-AU"/>
              </w:rPr>
              <w:t>healthcare worker hand hygiene</w:t>
            </w:r>
            <w:r w:rsidRPr="007B4CE2">
              <w:rPr>
                <w:rFonts w:ascii="Garamond" w:hAnsi="Garamond"/>
                <w:lang w:val="en-AU"/>
              </w:rPr>
              <w:t xml:space="preserve"> </w:t>
            </w:r>
            <w:r w:rsidR="007B4CE2" w:rsidRPr="007B4CE2">
              <w:rPr>
                <w:rFonts w:ascii="Garamond" w:hAnsi="Garamond"/>
                <w:lang w:val="en-AU"/>
              </w:rPr>
              <w:t>(</w:t>
            </w:r>
            <w:r w:rsidRPr="007B4CE2">
              <w:rPr>
                <w:rFonts w:ascii="Garamond" w:hAnsi="Garamond"/>
                <w:lang w:val="en-AU"/>
              </w:rPr>
              <w:t>Sari Awwad; Sanjay Tarvade; M</w:t>
            </w:r>
            <w:r w:rsidR="007B4CE2">
              <w:rPr>
                <w:rFonts w:ascii="Garamond" w:hAnsi="Garamond"/>
                <w:lang w:val="en-AU"/>
              </w:rPr>
              <w:t>assimo Piccardi; David J Gattas)</w:t>
            </w:r>
          </w:p>
          <w:p w:rsidR="007B4CE2" w:rsidRDefault="00B459E8" w:rsidP="00B459E8">
            <w:pPr>
              <w:pStyle w:val="ListParagraph"/>
              <w:numPr>
                <w:ilvl w:val="0"/>
                <w:numId w:val="40"/>
              </w:numPr>
              <w:rPr>
                <w:rFonts w:ascii="Garamond" w:hAnsi="Garamond"/>
                <w:lang w:val="en-AU"/>
              </w:rPr>
            </w:pPr>
            <w:r w:rsidRPr="007B4CE2">
              <w:rPr>
                <w:rFonts w:ascii="Garamond" w:hAnsi="Garamond"/>
                <w:lang w:val="en-AU"/>
              </w:rPr>
              <w:t xml:space="preserve">Quality of care in six sub-Saharan Africa countries: a provider-based study on adherence to </w:t>
            </w:r>
            <w:r w:rsidRPr="007B4CE2">
              <w:rPr>
                <w:rFonts w:ascii="Garamond" w:hAnsi="Garamond"/>
                <w:b/>
                <w:lang w:val="en-AU"/>
              </w:rPr>
              <w:t>WHO’s antenatal care guideline</w:t>
            </w:r>
            <w:r w:rsidRPr="007B4CE2">
              <w:rPr>
                <w:rFonts w:ascii="Garamond" w:hAnsi="Garamond"/>
                <w:lang w:val="en-AU"/>
              </w:rPr>
              <w:t xml:space="preserve"> </w:t>
            </w:r>
            <w:r w:rsidR="007B4CE2" w:rsidRPr="007B4CE2">
              <w:rPr>
                <w:rFonts w:ascii="Garamond" w:hAnsi="Garamond"/>
                <w:lang w:val="en-AU"/>
              </w:rPr>
              <w:t>(</w:t>
            </w:r>
            <w:r w:rsidRPr="007B4CE2">
              <w:rPr>
                <w:rFonts w:ascii="Garamond" w:hAnsi="Garamond"/>
                <w:lang w:val="en-AU"/>
              </w:rPr>
              <w:t>Patrick Opiyo Owili; Miriam Adoyo Muga; Bomar Rojas Mendez; Bradley Chen</w:t>
            </w:r>
            <w:r w:rsidR="007B4CE2">
              <w:rPr>
                <w:rFonts w:ascii="Garamond" w:hAnsi="Garamond"/>
                <w:lang w:val="en-AU"/>
              </w:rPr>
              <w:t>)</w:t>
            </w:r>
          </w:p>
          <w:p w:rsidR="007B4CE2" w:rsidRDefault="00B459E8" w:rsidP="00B459E8">
            <w:pPr>
              <w:pStyle w:val="ListParagraph"/>
              <w:numPr>
                <w:ilvl w:val="0"/>
                <w:numId w:val="40"/>
              </w:numPr>
              <w:rPr>
                <w:rFonts w:ascii="Garamond" w:hAnsi="Garamond"/>
                <w:lang w:val="en-AU"/>
              </w:rPr>
            </w:pPr>
            <w:r w:rsidRPr="007B4CE2">
              <w:rPr>
                <w:rFonts w:ascii="Garamond" w:hAnsi="Garamond"/>
                <w:lang w:val="en-AU"/>
              </w:rPr>
              <w:t>Development of a Provincial initiative to improve</w:t>
            </w:r>
            <w:r w:rsidRPr="007B4CE2">
              <w:rPr>
                <w:rFonts w:ascii="Garamond" w:hAnsi="Garamond"/>
                <w:b/>
                <w:lang w:val="en-AU"/>
              </w:rPr>
              <w:t xml:space="preserve"> glucose control in critically ill patients</w:t>
            </w:r>
            <w:r w:rsidRPr="007B4CE2">
              <w:rPr>
                <w:rFonts w:ascii="Garamond" w:hAnsi="Garamond"/>
                <w:lang w:val="en-AU"/>
              </w:rPr>
              <w:t xml:space="preserve"> </w:t>
            </w:r>
            <w:r w:rsidR="007B4CE2" w:rsidRPr="007B4CE2">
              <w:rPr>
                <w:rFonts w:ascii="Garamond" w:hAnsi="Garamond"/>
                <w:lang w:val="en-AU"/>
              </w:rPr>
              <w:t>(</w:t>
            </w:r>
            <w:r w:rsidRPr="007B4CE2">
              <w:rPr>
                <w:rFonts w:ascii="Garamond" w:hAnsi="Garamond"/>
                <w:lang w:val="en-AU"/>
              </w:rPr>
              <w:t>Peter Dodek; Shari McKeown; Eric Young; V Dhingra</w:t>
            </w:r>
            <w:r w:rsidR="007B4CE2">
              <w:rPr>
                <w:rFonts w:ascii="Garamond" w:hAnsi="Garamond"/>
                <w:lang w:val="en-AU"/>
              </w:rPr>
              <w:t>)</w:t>
            </w:r>
          </w:p>
          <w:p w:rsidR="007B4CE2" w:rsidRDefault="00B459E8" w:rsidP="007B4CE2">
            <w:pPr>
              <w:pStyle w:val="ListParagraph"/>
              <w:numPr>
                <w:ilvl w:val="0"/>
                <w:numId w:val="40"/>
              </w:numPr>
              <w:rPr>
                <w:rFonts w:ascii="Garamond" w:hAnsi="Garamond"/>
                <w:lang w:val="en-AU"/>
              </w:rPr>
            </w:pPr>
            <w:r w:rsidRPr="007B4CE2">
              <w:rPr>
                <w:rFonts w:ascii="Garamond" w:hAnsi="Garamond"/>
                <w:lang w:val="en-AU"/>
              </w:rPr>
              <w:lastRenderedPageBreak/>
              <w:t xml:space="preserve">Improving the identification and treatment of </w:t>
            </w:r>
            <w:r w:rsidRPr="007B4CE2">
              <w:rPr>
                <w:rFonts w:ascii="Garamond" w:hAnsi="Garamond"/>
                <w:b/>
                <w:lang w:val="en-AU"/>
              </w:rPr>
              <w:t>depression in low-income primary care clinics</w:t>
            </w:r>
            <w:r w:rsidRPr="007B4CE2">
              <w:rPr>
                <w:rFonts w:ascii="Garamond" w:hAnsi="Garamond"/>
                <w:lang w:val="en-AU"/>
              </w:rPr>
              <w:t xml:space="preserve">: a qualitative study of providers in the VitalSign6 program </w:t>
            </w:r>
            <w:r w:rsidR="007B4CE2" w:rsidRPr="007B4CE2">
              <w:rPr>
                <w:rFonts w:ascii="Garamond" w:hAnsi="Garamond"/>
                <w:lang w:val="en-AU"/>
              </w:rPr>
              <w:t>(</w:t>
            </w:r>
            <w:r w:rsidRPr="007B4CE2">
              <w:rPr>
                <w:rFonts w:ascii="Garamond" w:hAnsi="Garamond"/>
                <w:lang w:val="en-AU"/>
              </w:rPr>
              <w:t>Farra Kahalnik; Katherine Sanchez; Afrida Faria; Bruce Grannemann; Manish Jha</w:t>
            </w:r>
            <w:r w:rsidR="007B4CE2" w:rsidRPr="007B4CE2">
              <w:rPr>
                <w:rFonts w:ascii="Garamond" w:hAnsi="Garamond"/>
                <w:lang w:val="en-AU"/>
              </w:rPr>
              <w:t>; Corey Tovian; E Will Clark; Sara Levinson; Ronny Pipes; Meaghan Pederson; Madhukar H Trivedi</w:t>
            </w:r>
            <w:r w:rsidR="007B4CE2">
              <w:rPr>
                <w:rFonts w:ascii="Garamond" w:hAnsi="Garamond"/>
                <w:lang w:val="en-AU"/>
              </w:rPr>
              <w:t>)</w:t>
            </w:r>
          </w:p>
          <w:p w:rsidR="007C3778" w:rsidRPr="007C3778" w:rsidRDefault="00B459E8" w:rsidP="007B4CE2">
            <w:pPr>
              <w:pStyle w:val="ListParagraph"/>
              <w:numPr>
                <w:ilvl w:val="0"/>
                <w:numId w:val="40"/>
              </w:numPr>
              <w:rPr>
                <w:rFonts w:ascii="Garamond" w:hAnsi="Garamond"/>
                <w:lang w:val="en-AU"/>
              </w:rPr>
            </w:pPr>
            <w:r w:rsidRPr="007B4CE2">
              <w:rPr>
                <w:rFonts w:ascii="Garamond" w:hAnsi="Garamond"/>
                <w:lang w:val="en-AU"/>
              </w:rPr>
              <w:t xml:space="preserve">A positive legacy of trauma? A study on the impact of </w:t>
            </w:r>
            <w:r w:rsidRPr="007B4CE2">
              <w:rPr>
                <w:rFonts w:ascii="Garamond" w:hAnsi="Garamond"/>
                <w:b/>
                <w:lang w:val="en-AU"/>
              </w:rPr>
              <w:t>natural disasters on medical utilization</w:t>
            </w:r>
            <w:r w:rsidRPr="007B4CE2">
              <w:rPr>
                <w:rFonts w:ascii="Garamond" w:hAnsi="Garamond"/>
                <w:lang w:val="en-AU"/>
              </w:rPr>
              <w:t xml:space="preserve"> </w:t>
            </w:r>
            <w:r w:rsidR="007B4CE2" w:rsidRPr="007B4CE2">
              <w:rPr>
                <w:rFonts w:ascii="Garamond" w:hAnsi="Garamond"/>
                <w:lang w:val="en-AU"/>
              </w:rPr>
              <w:t>(</w:t>
            </w:r>
            <w:r w:rsidRPr="00B459E8">
              <w:rPr>
                <w:rFonts w:ascii="Garamond" w:hAnsi="Garamond"/>
                <w:lang w:val="en-AU"/>
              </w:rPr>
              <w:t>Usman Iqbal; Yu-Chuan Jack Li; Kung-pei Tang; Hui-Chen Chien; Ya-Ting Yang</w:t>
            </w:r>
            <w:r w:rsidR="007B4CE2">
              <w:rPr>
                <w:rFonts w:ascii="Garamond" w:hAnsi="Garamond"/>
                <w:lang w:val="en-AU"/>
              </w:rPr>
              <w:t xml:space="preserve">; </w:t>
            </w:r>
            <w:r w:rsidR="007B4CE2" w:rsidRPr="007B4CE2">
              <w:rPr>
                <w:rFonts w:ascii="Garamond" w:hAnsi="Garamond"/>
                <w:lang w:val="en-AU"/>
              </w:rPr>
              <w:t>Yi-Hsin Elsa Hsu</w:t>
            </w:r>
            <w:r w:rsidR="007B4CE2">
              <w:rPr>
                <w:rFonts w:ascii="Garamond" w:hAnsi="Garamond"/>
                <w:lang w:val="en-AU"/>
              </w:rPr>
              <w:t>)</w:t>
            </w:r>
          </w:p>
        </w:tc>
      </w:tr>
    </w:tbl>
    <w:p w:rsidR="00C415A5" w:rsidRDefault="00C415A5" w:rsidP="00C415A5">
      <w:pPr>
        <w:rPr>
          <w:rFonts w:ascii="Garamond" w:hAnsi="Garamond"/>
          <w:i/>
          <w:lang w:val="en-AU"/>
        </w:rPr>
      </w:pPr>
    </w:p>
    <w:p w:rsidR="00D60376" w:rsidRPr="00D60376" w:rsidRDefault="00D60376" w:rsidP="00D60376">
      <w:pPr>
        <w:keepNext/>
        <w:rPr>
          <w:rFonts w:ascii="Garamond" w:hAnsi="Garamond"/>
          <w:i/>
          <w:lang w:val="en-AU"/>
        </w:rPr>
      </w:pPr>
      <w:r w:rsidRPr="00D60376">
        <w:rPr>
          <w:rFonts w:ascii="Garamond" w:hAnsi="Garamond"/>
          <w:i/>
          <w:lang w:val="en-AU"/>
        </w:rPr>
        <w:t>Australian Journal of Primary Health</w:t>
      </w:r>
    </w:p>
    <w:p w:rsidR="00D60376" w:rsidRPr="00D65371" w:rsidRDefault="00D60376" w:rsidP="00D60376">
      <w:pPr>
        <w:keepNext/>
        <w:rPr>
          <w:rFonts w:ascii="Garamond" w:hAnsi="Garamond"/>
          <w:lang w:val="en-AU"/>
        </w:rPr>
      </w:pPr>
      <w:r w:rsidRPr="00D60376">
        <w:rPr>
          <w:rFonts w:ascii="Garamond" w:hAnsi="Garamond"/>
          <w:lang w:val="en-AU"/>
        </w:rPr>
        <w:t>Volume 25 Number 1 2019</w:t>
      </w:r>
    </w:p>
    <w:tbl>
      <w:tblPr>
        <w:tblStyle w:val="TableGrid"/>
        <w:tblW w:w="0" w:type="auto"/>
        <w:tblInd w:w="288" w:type="dxa"/>
        <w:tblLayout w:type="fixed"/>
        <w:tblLook w:val="01E0" w:firstRow="1" w:lastRow="1" w:firstColumn="1" w:lastColumn="1" w:noHBand="0" w:noVBand="0"/>
      </w:tblPr>
      <w:tblGrid>
        <w:gridCol w:w="1080"/>
        <w:gridCol w:w="8280"/>
      </w:tblGrid>
      <w:tr w:rsidR="00D60376" w:rsidRPr="000170DA" w:rsidTr="00120C32">
        <w:tc>
          <w:tcPr>
            <w:tcW w:w="1080" w:type="dxa"/>
            <w:tcBorders>
              <w:top w:val="single" w:sz="4" w:space="0" w:color="auto"/>
              <w:left w:val="single" w:sz="4" w:space="0" w:color="auto"/>
              <w:bottom w:val="single" w:sz="4" w:space="0" w:color="auto"/>
              <w:right w:val="single" w:sz="4" w:space="0" w:color="auto"/>
            </w:tcBorders>
            <w:vAlign w:val="center"/>
          </w:tcPr>
          <w:p w:rsidR="00D60376" w:rsidRPr="000170DA" w:rsidRDefault="00D60376" w:rsidP="00120C3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60376" w:rsidRPr="000170DA" w:rsidRDefault="00EE1F99" w:rsidP="00120C32">
            <w:pPr>
              <w:rPr>
                <w:rStyle w:val="Hyperlink"/>
                <w:rFonts w:ascii="Garamond" w:hAnsi="Garamond"/>
                <w:color w:val="auto"/>
                <w:u w:val="none"/>
                <w:lang w:val="en-AU"/>
              </w:rPr>
            </w:pPr>
            <w:hyperlink r:id="rId26" w:history="1">
              <w:r w:rsidR="00D60376" w:rsidRPr="001C602E">
                <w:rPr>
                  <w:rStyle w:val="Hyperlink"/>
                  <w:rFonts w:ascii="Garamond" w:hAnsi="Garamond"/>
                  <w:lang w:val="en-AU"/>
                </w:rPr>
                <w:t>http://www.publish.csiro.au/py/issue/9437</w:t>
              </w:r>
            </w:hyperlink>
          </w:p>
        </w:tc>
      </w:tr>
      <w:tr w:rsidR="00D60376" w:rsidRPr="000170DA" w:rsidTr="00120C32">
        <w:tc>
          <w:tcPr>
            <w:tcW w:w="1080" w:type="dxa"/>
            <w:tcBorders>
              <w:top w:val="single" w:sz="4" w:space="0" w:color="auto"/>
              <w:left w:val="single" w:sz="4" w:space="0" w:color="auto"/>
              <w:bottom w:val="single" w:sz="4" w:space="0" w:color="auto"/>
              <w:right w:val="single" w:sz="4" w:space="0" w:color="auto"/>
            </w:tcBorders>
            <w:vAlign w:val="center"/>
          </w:tcPr>
          <w:p w:rsidR="00D60376" w:rsidRPr="000170DA" w:rsidRDefault="00D60376" w:rsidP="00120C3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0376" w:rsidRPr="00B440ED" w:rsidRDefault="00D60376" w:rsidP="00120C32">
            <w:pPr>
              <w:rPr>
                <w:rFonts w:ascii="Garamond" w:hAnsi="Garamond"/>
                <w:lang w:val="en-AU"/>
              </w:rPr>
            </w:pPr>
            <w:r w:rsidRPr="00B440ED">
              <w:rPr>
                <w:rFonts w:ascii="Garamond" w:hAnsi="Garamond"/>
                <w:lang w:val="en-AU"/>
              </w:rPr>
              <w:t>A new issue of the</w:t>
            </w:r>
            <w:r w:rsidRPr="00D60376">
              <w:rPr>
                <w:rFonts w:ascii="Garamond" w:hAnsi="Garamond"/>
                <w:i/>
                <w:lang w:val="en-AU"/>
              </w:rPr>
              <w:t xml:space="preserve"> Australian Journal of Primary Health</w:t>
            </w:r>
            <w:r w:rsidRPr="00B440ED">
              <w:rPr>
                <w:rFonts w:ascii="Garamond" w:hAnsi="Garamond"/>
                <w:lang w:val="en-AU"/>
              </w:rPr>
              <w:t xml:space="preserve"> has been published. Articles in this issue of the </w:t>
            </w:r>
            <w:r w:rsidRPr="00D60376">
              <w:rPr>
                <w:rFonts w:ascii="Garamond" w:hAnsi="Garamond"/>
                <w:i/>
                <w:lang w:val="en-AU"/>
              </w:rPr>
              <w:t>Australian Journal of Primary Health</w:t>
            </w:r>
            <w:r w:rsidRPr="00B440ED">
              <w:rPr>
                <w:rFonts w:ascii="Garamond" w:hAnsi="Garamond"/>
                <w:lang w:val="en-AU"/>
              </w:rPr>
              <w:t xml:space="preserve"> include:</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Emerging evidence of the value of </w:t>
            </w:r>
            <w:r w:rsidRPr="00E91D9D">
              <w:rPr>
                <w:rFonts w:ascii="Garamond" w:hAnsi="Garamond"/>
                <w:b/>
                <w:lang w:val="en-AU"/>
              </w:rPr>
              <w:t>health assessments for Aboriginal and Torres Strait Islander people</w:t>
            </w:r>
            <w:r w:rsidRPr="00D60376">
              <w:rPr>
                <w:rFonts w:ascii="Garamond" w:hAnsi="Garamond"/>
                <w:lang w:val="en-AU"/>
              </w:rPr>
              <w:t xml:space="preserve"> in the primary healthcare setting (Jodie Bailie, Alison Laycock, Veronica Matthew</w:t>
            </w:r>
            <w:r>
              <w:rPr>
                <w:rFonts w:ascii="Garamond" w:hAnsi="Garamond"/>
                <w:lang w:val="en-AU"/>
              </w:rPr>
              <w:t>s, David Peiris and Ross Bailie)</w:t>
            </w:r>
          </w:p>
          <w:p w:rsid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The </w:t>
            </w:r>
            <w:r w:rsidRPr="00E91D9D">
              <w:rPr>
                <w:rFonts w:ascii="Garamond" w:hAnsi="Garamond"/>
                <w:b/>
                <w:lang w:val="en-AU"/>
              </w:rPr>
              <w:t>Asylum Seeker Integrated Healthcare Pathway</w:t>
            </w:r>
            <w:r w:rsidRPr="00D60376">
              <w:rPr>
                <w:rFonts w:ascii="Garamond" w:hAnsi="Garamond"/>
                <w:lang w:val="en-AU"/>
              </w:rPr>
              <w:t>: a collaborative approach to improving access to primary health care in South Eastern Melbourne, Victoria, Australia (I-Hao Cheng, Jacquie McBride, Miriam Decker, Therese Watson, Hannah Jakubenko and Alana Russo</w:t>
            </w:r>
            <w:r>
              <w:rPr>
                <w:rFonts w:ascii="Garamond" w:hAnsi="Garamond"/>
                <w:lang w:val="en-AU"/>
              </w:rPr>
              <w:t>)</w:t>
            </w:r>
          </w:p>
          <w:p w:rsidR="00D60376" w:rsidRPr="00D60376" w:rsidRDefault="00D60376" w:rsidP="00D60376">
            <w:pPr>
              <w:pStyle w:val="ListParagraph"/>
              <w:numPr>
                <w:ilvl w:val="0"/>
                <w:numId w:val="40"/>
              </w:numPr>
              <w:rPr>
                <w:rFonts w:ascii="Garamond" w:hAnsi="Garamond"/>
                <w:lang w:val="en-AU"/>
              </w:rPr>
            </w:pPr>
            <w:r w:rsidRPr="00E91D9D">
              <w:rPr>
                <w:rFonts w:ascii="Garamond" w:hAnsi="Garamond"/>
                <w:b/>
                <w:lang w:val="en-AU"/>
              </w:rPr>
              <w:t xml:space="preserve">Primary care experience of older Australians with chronic illness </w:t>
            </w:r>
            <w:r w:rsidRPr="00D60376">
              <w:rPr>
                <w:rFonts w:ascii="Garamond" w:hAnsi="Garamond"/>
                <w:lang w:val="en-AU"/>
              </w:rPr>
              <w:t xml:space="preserve">(Carla Saunders, </w:t>
            </w:r>
            <w:r>
              <w:rPr>
                <w:rFonts w:ascii="Garamond" w:hAnsi="Garamond"/>
                <w:lang w:val="en-AU"/>
              </w:rPr>
              <w:t>David Carter and James J Brown)</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Prevalence of </w:t>
            </w:r>
            <w:r w:rsidRPr="00E91D9D">
              <w:rPr>
                <w:rFonts w:ascii="Garamond" w:hAnsi="Garamond"/>
                <w:b/>
                <w:lang w:val="en-AU"/>
              </w:rPr>
              <w:t>chronic disease risk factors in 35- to 44-year-old humanitarian arrivals</w:t>
            </w:r>
            <w:r w:rsidRPr="00D60376">
              <w:rPr>
                <w:rFonts w:ascii="Garamond" w:hAnsi="Garamond"/>
                <w:lang w:val="en-AU"/>
              </w:rPr>
              <w:t xml:space="preserve"> to New South Wales (NSW), Australia (Meena Chandra,</w:t>
            </w:r>
            <w:r>
              <w:rPr>
                <w:rFonts w:ascii="Garamond" w:hAnsi="Garamond"/>
                <w:lang w:val="en-AU"/>
              </w:rPr>
              <w:t xml:space="preserve"> Anthea Duri and Mitchell Smith)</w:t>
            </w:r>
          </w:p>
          <w:p w:rsid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A mixed-methods retrospective study: 10 years of </w:t>
            </w:r>
            <w:r w:rsidRPr="00E91D9D">
              <w:rPr>
                <w:rFonts w:ascii="Garamond" w:hAnsi="Garamond"/>
                <w:b/>
                <w:lang w:val="en-AU"/>
              </w:rPr>
              <w:t>diabetic retinopathy screening in urban Aboriginal and Torres Strait Islander primary care</w:t>
            </w:r>
            <w:r w:rsidRPr="00D60376">
              <w:rPr>
                <w:rFonts w:ascii="Garamond" w:hAnsi="Garamond"/>
                <w:lang w:val="en-AU"/>
              </w:rPr>
              <w:t xml:space="preserve"> (Clare Villalba, Deborah Askew, Anjali Jaiprakash, Jared Donovan, Jonathan Roberts, Anthony Russell, Ross Crawford and Noel Hayman</w:t>
            </w:r>
            <w:r>
              <w:rPr>
                <w:rFonts w:ascii="Garamond" w:hAnsi="Garamond"/>
                <w:lang w:val="en-AU"/>
              </w:rPr>
              <w:t>)</w:t>
            </w:r>
          </w:p>
          <w:p w:rsid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Barriers and facilitators to implementing playlists as a </w:t>
            </w:r>
            <w:r w:rsidRPr="00E91D9D">
              <w:rPr>
                <w:rFonts w:ascii="Garamond" w:hAnsi="Garamond"/>
                <w:b/>
                <w:lang w:val="en-AU"/>
              </w:rPr>
              <w:t>novel personalised music intervention in public healthcare settings</w:t>
            </w:r>
            <w:r w:rsidRPr="00D60376">
              <w:rPr>
                <w:rFonts w:ascii="Garamond" w:hAnsi="Garamond"/>
                <w:lang w:val="en-AU"/>
              </w:rPr>
              <w:t xml:space="preserve"> in New South Wales, Australia (Tara Dimopoulos-Bick, Kim E Clowes, Katie Conciatore, Maggie Haertsch, Raj Verma and Jean-Frederic Levesque</w:t>
            </w:r>
            <w:r>
              <w:rPr>
                <w:rFonts w:ascii="Garamond" w:hAnsi="Garamond"/>
                <w:lang w:val="en-AU"/>
              </w:rPr>
              <w:t>)</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Clients' perceptions of the therapeutic relationship in the treatment of </w:t>
            </w:r>
            <w:r w:rsidRPr="00E91D9D">
              <w:rPr>
                <w:rFonts w:ascii="Garamond" w:hAnsi="Garamond"/>
                <w:b/>
                <w:lang w:val="en-AU"/>
              </w:rPr>
              <w:t>anorexia nervosa</w:t>
            </w:r>
            <w:r w:rsidRPr="00D60376">
              <w:rPr>
                <w:rFonts w:ascii="Garamond" w:hAnsi="Garamond"/>
                <w:lang w:val="en-AU"/>
              </w:rPr>
              <w:t>: qualitative findings from an online questionnaire (Lucie M</w:t>
            </w:r>
            <w:r>
              <w:rPr>
                <w:rFonts w:ascii="Garamond" w:hAnsi="Garamond"/>
                <w:lang w:val="en-AU"/>
              </w:rPr>
              <w:t xml:space="preserve"> Ramjan and Sarah Fogarty)</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Survey of </w:t>
            </w:r>
            <w:r w:rsidRPr="00E91D9D">
              <w:rPr>
                <w:rFonts w:ascii="Garamond" w:hAnsi="Garamond"/>
                <w:b/>
                <w:lang w:val="en-AU"/>
              </w:rPr>
              <w:t>Maternal, Child and Family Health Nurses</w:t>
            </w:r>
            <w:r w:rsidRPr="00D60376">
              <w:rPr>
                <w:rFonts w:ascii="Garamond" w:hAnsi="Garamond"/>
                <w:lang w:val="en-AU"/>
              </w:rPr>
              <w:t>' attitudes and practice relating to preconception health promotion (Karin Hammarberg and Leanne Taylor</w:t>
            </w:r>
            <w:r>
              <w:rPr>
                <w:rFonts w:ascii="Garamond" w:hAnsi="Garamond"/>
                <w:lang w:val="en-AU"/>
              </w:rPr>
              <w:t>)</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Preferences for rural specialist health care in the treatment of </w:t>
            </w:r>
            <w:r w:rsidRPr="00E91D9D">
              <w:rPr>
                <w:rFonts w:ascii="Garamond" w:hAnsi="Garamond"/>
                <w:b/>
                <w:lang w:val="en-AU"/>
              </w:rPr>
              <w:t>Parkinson's disease</w:t>
            </w:r>
            <w:r w:rsidRPr="00D60376">
              <w:rPr>
                <w:rFonts w:ascii="Garamond" w:hAnsi="Garamond"/>
                <w:lang w:val="en-AU"/>
              </w:rPr>
              <w:t xml:space="preserve">: exploring the role of </w:t>
            </w:r>
            <w:r w:rsidRPr="00E91D9D">
              <w:rPr>
                <w:rFonts w:ascii="Garamond" w:hAnsi="Garamond"/>
                <w:b/>
                <w:lang w:val="en-AU"/>
              </w:rPr>
              <w:t>community-based nursing</w:t>
            </w:r>
            <w:r w:rsidRPr="00D60376">
              <w:rPr>
                <w:rFonts w:ascii="Garamond" w:hAnsi="Garamond"/>
                <w:lang w:val="en-AU"/>
              </w:rPr>
              <w:t xml:space="preserve"> specialists (Veronica Coady, Narelle Warren, </w:t>
            </w:r>
            <w:r>
              <w:rPr>
                <w:rFonts w:ascii="Garamond" w:hAnsi="Garamond"/>
                <w:lang w:val="en-AU"/>
              </w:rPr>
              <w:t>Nancy Bilkhu and Darshini Ayton)</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Distribution of </w:t>
            </w:r>
            <w:r w:rsidRPr="00E91D9D">
              <w:rPr>
                <w:rFonts w:ascii="Garamond" w:hAnsi="Garamond"/>
                <w:b/>
                <w:lang w:val="en-AU"/>
              </w:rPr>
              <w:t>Australian private dental practices</w:t>
            </w:r>
            <w:r w:rsidRPr="00D60376">
              <w:rPr>
                <w:rFonts w:ascii="Garamond" w:hAnsi="Garamond"/>
                <w:lang w:val="en-AU"/>
              </w:rPr>
              <w:t>: contributing underlining sociodemographics in the maldistribution of the dental workforce (Bree Graham, Marc Tennant,</w:t>
            </w:r>
            <w:r>
              <w:rPr>
                <w:rFonts w:ascii="Garamond" w:hAnsi="Garamond"/>
                <w:lang w:val="en-AU"/>
              </w:rPr>
              <w:t xml:space="preserve"> Yulia Shiikha and Estie Kruger)</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Diagnosis and management of </w:t>
            </w:r>
            <w:r w:rsidRPr="00E91D9D">
              <w:rPr>
                <w:rFonts w:ascii="Garamond" w:hAnsi="Garamond"/>
                <w:b/>
                <w:lang w:val="en-AU"/>
              </w:rPr>
              <w:t>chronic hip and knee pain</w:t>
            </w:r>
            <w:r w:rsidRPr="00D60376">
              <w:rPr>
                <w:rFonts w:ascii="Garamond" w:hAnsi="Garamond"/>
                <w:lang w:val="en-AU"/>
              </w:rPr>
              <w:t xml:space="preserve"> in a Tasmanian orthopaedic clinic: a study assessing the diagnostic and treatment planning decisions of an advanced scope physiotherapist (Dave Jovic, Jonathan Mulford, Kathryn Ogden</w:t>
            </w:r>
            <w:r>
              <w:rPr>
                <w:rFonts w:ascii="Garamond" w:hAnsi="Garamond"/>
                <w:lang w:val="en-AU"/>
              </w:rPr>
              <w:t xml:space="preserve"> and Nadia Zalucki)</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lastRenderedPageBreak/>
              <w:t xml:space="preserve">Clinician perceptions of </w:t>
            </w:r>
            <w:r w:rsidRPr="00E91D9D">
              <w:rPr>
                <w:rFonts w:ascii="Garamond" w:hAnsi="Garamond"/>
                <w:b/>
                <w:lang w:val="en-AU"/>
              </w:rPr>
              <w:t>My Health Record in mental health care</w:t>
            </w:r>
            <w:r w:rsidRPr="00D60376">
              <w:rPr>
                <w:rFonts w:ascii="Garamond" w:hAnsi="Garamond"/>
                <w:lang w:val="en-AU"/>
              </w:rPr>
              <w:t>: medication management and sharing mental health information (Timothy C</w:t>
            </w:r>
            <w:r>
              <w:rPr>
                <w:rFonts w:ascii="Garamond" w:hAnsi="Garamond"/>
                <w:lang w:val="en-AU"/>
              </w:rPr>
              <w:t xml:space="preserve"> Kariotis and Keith M Harris)</w:t>
            </w:r>
          </w:p>
          <w:p w:rsidR="00D60376" w:rsidRPr="00D60376" w:rsidRDefault="00D60376" w:rsidP="00D60376">
            <w:pPr>
              <w:pStyle w:val="ListParagraph"/>
              <w:numPr>
                <w:ilvl w:val="0"/>
                <w:numId w:val="40"/>
              </w:numPr>
              <w:rPr>
                <w:rFonts w:ascii="Garamond" w:hAnsi="Garamond"/>
                <w:lang w:val="en-AU"/>
              </w:rPr>
            </w:pPr>
            <w:r w:rsidRPr="00D60376">
              <w:rPr>
                <w:rFonts w:ascii="Garamond" w:hAnsi="Garamond"/>
                <w:lang w:val="en-AU"/>
              </w:rPr>
              <w:t xml:space="preserve">Evaluating a </w:t>
            </w:r>
            <w:r w:rsidRPr="00930B31">
              <w:rPr>
                <w:rFonts w:ascii="Garamond" w:hAnsi="Garamond"/>
                <w:b/>
                <w:lang w:val="en-AU"/>
              </w:rPr>
              <w:t>research capacity</w:t>
            </w:r>
            <w:r w:rsidRPr="00D60376">
              <w:rPr>
                <w:rFonts w:ascii="Garamond" w:hAnsi="Garamond"/>
                <w:lang w:val="en-AU"/>
              </w:rPr>
              <w:t xml:space="preserve"> strengthening program for </w:t>
            </w:r>
            <w:r w:rsidRPr="00930B31">
              <w:rPr>
                <w:rFonts w:ascii="Garamond" w:hAnsi="Garamond"/>
                <w:b/>
                <w:lang w:val="en-AU"/>
              </w:rPr>
              <w:t>Aboriginal community-controlled health organisations</w:t>
            </w:r>
            <w:r w:rsidRPr="00D60376">
              <w:rPr>
                <w:rFonts w:ascii="Garamond" w:hAnsi="Garamond"/>
                <w:lang w:val="en-AU"/>
              </w:rPr>
              <w:t xml:space="preserve"> (Janet Stajic, Stephen Harfield, Alex Brown, Anna Dawson, C Davy, E Aromataris and A Brauna</w:t>
            </w:r>
            <w:r>
              <w:rPr>
                <w:rFonts w:ascii="Garamond" w:hAnsi="Garamond"/>
                <w:lang w:val="en-AU"/>
              </w:rPr>
              <w:t>ck-Mayer)</w:t>
            </w:r>
          </w:p>
          <w:p w:rsidR="00D60376" w:rsidRDefault="00D60376" w:rsidP="00D60376">
            <w:pPr>
              <w:pStyle w:val="ListParagraph"/>
              <w:numPr>
                <w:ilvl w:val="0"/>
                <w:numId w:val="40"/>
              </w:numPr>
              <w:rPr>
                <w:rFonts w:ascii="Garamond" w:hAnsi="Garamond"/>
                <w:lang w:val="en-AU"/>
              </w:rPr>
            </w:pPr>
            <w:r w:rsidRPr="00930B31">
              <w:rPr>
                <w:rFonts w:ascii="Garamond" w:hAnsi="Garamond"/>
                <w:b/>
                <w:lang w:val="en-AU"/>
              </w:rPr>
              <w:t>Engagement of primary care practice</w:t>
            </w:r>
            <w:r w:rsidRPr="00D60376">
              <w:rPr>
                <w:rFonts w:ascii="Garamond" w:hAnsi="Garamond"/>
                <w:lang w:val="en-AU"/>
              </w:rPr>
              <w:t xml:space="preserve"> in Australia: learnings from a diabetes care project (Rajna Ogrin, Tracy Aylen, T Rice, R Audehm and A Appannah</w:t>
            </w:r>
            <w:r>
              <w:rPr>
                <w:rFonts w:ascii="Garamond" w:hAnsi="Garamond"/>
                <w:lang w:val="en-AU"/>
              </w:rPr>
              <w:t>)</w:t>
            </w:r>
          </w:p>
          <w:p w:rsidR="00D60376" w:rsidRPr="007C3778" w:rsidRDefault="00D60376" w:rsidP="00D60376">
            <w:pPr>
              <w:pStyle w:val="ListParagraph"/>
              <w:numPr>
                <w:ilvl w:val="0"/>
                <w:numId w:val="40"/>
              </w:numPr>
              <w:rPr>
                <w:rFonts w:ascii="Garamond" w:hAnsi="Garamond"/>
                <w:lang w:val="en-AU"/>
              </w:rPr>
            </w:pPr>
            <w:r w:rsidRPr="00D60376">
              <w:rPr>
                <w:rFonts w:ascii="Garamond" w:hAnsi="Garamond"/>
                <w:lang w:val="en-AU"/>
              </w:rPr>
              <w:t xml:space="preserve">Validating the </w:t>
            </w:r>
            <w:r w:rsidRPr="00930B31">
              <w:rPr>
                <w:rFonts w:ascii="Garamond" w:hAnsi="Garamond"/>
                <w:b/>
                <w:lang w:val="en-AU"/>
              </w:rPr>
              <w:t>Short Form-12</w:t>
            </w:r>
            <w:r w:rsidRPr="00D60376">
              <w:rPr>
                <w:rFonts w:ascii="Garamond" w:hAnsi="Garamond"/>
                <w:lang w:val="en-AU"/>
              </w:rPr>
              <w:t xml:space="preserve"> and the development of disease-specific norms in a cohort of Australian private health insurance members (Michael R Le Grande, Graeme Tucker, Stephen Bunker and Alun C Jackson</w:t>
            </w:r>
            <w:r>
              <w:rPr>
                <w:rFonts w:ascii="Garamond" w:hAnsi="Garamond"/>
                <w:lang w:val="en-AU"/>
              </w:rPr>
              <w:t>)</w:t>
            </w:r>
          </w:p>
        </w:tc>
      </w:tr>
    </w:tbl>
    <w:p w:rsidR="00D60376" w:rsidRDefault="00D60376" w:rsidP="00D60376">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EE1F99" w:rsidP="0023729D">
            <w:pPr>
              <w:keepNext/>
              <w:rPr>
                <w:rFonts w:ascii="Garamond" w:hAnsi="Garamond"/>
                <w:lang w:val="en-AU"/>
              </w:rPr>
            </w:pPr>
            <w:hyperlink r:id="rId27"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Pr="00A66104" w:rsidRDefault="00F97183" w:rsidP="00495312">
            <w:pPr>
              <w:pStyle w:val="ListParagraph"/>
              <w:numPr>
                <w:ilvl w:val="0"/>
                <w:numId w:val="14"/>
              </w:numPr>
              <w:rPr>
                <w:rFonts w:ascii="Garamond" w:hAnsi="Garamond"/>
                <w:lang w:val="en-AU"/>
              </w:rPr>
            </w:pPr>
            <w:r w:rsidRPr="00F97183">
              <w:rPr>
                <w:rFonts w:ascii="Garamond" w:hAnsi="Garamond"/>
                <w:lang w:val="en-AU"/>
              </w:rPr>
              <w:t xml:space="preserve">Use of a </w:t>
            </w:r>
            <w:r w:rsidRPr="00F97183">
              <w:rPr>
                <w:rFonts w:ascii="Garamond" w:hAnsi="Garamond"/>
                <w:b/>
                <w:lang w:val="en-AU"/>
              </w:rPr>
              <w:t>maternal newborn audit and feedback system</w:t>
            </w:r>
            <w:r w:rsidRPr="00F97183">
              <w:rPr>
                <w:rFonts w:ascii="Garamond" w:hAnsi="Garamond"/>
                <w:lang w:val="en-AU"/>
              </w:rPr>
              <w:t xml:space="preserve"> in Ontario: a collective case study </w:t>
            </w:r>
            <w:r>
              <w:rPr>
                <w:rFonts w:ascii="Garamond" w:hAnsi="Garamond"/>
                <w:lang w:val="en-AU"/>
              </w:rPr>
              <w:t>(</w:t>
            </w:r>
            <w:r w:rsidRPr="00F97183">
              <w:rPr>
                <w:rFonts w:ascii="Garamond" w:hAnsi="Garamond"/>
                <w:lang w:val="en-AU"/>
              </w:rPr>
              <w:t>Jessica Reszel, Sandra I Dunn, Ann E Sprague, Ian D Graham, Jeremy M Grimshaw, Wendy E Peterson, Holly Ockenden, Jodi Wilding, Ashley Quosdorf, Elizabeth K Darling, Deshayne B Fell, JoAnn Harrold, Andrea Lanes, Graeme N Smith, M Taljaard, D Weiss, M C Walker</w:t>
            </w:r>
            <w:r>
              <w:rPr>
                <w:rFonts w:ascii="Garamond" w:hAnsi="Garamond"/>
                <w:lang w:val="en-AU"/>
              </w:rPr>
              <w:t>)</w:t>
            </w:r>
          </w:p>
        </w:tc>
      </w:tr>
    </w:tbl>
    <w:p w:rsidR="00C51BE5" w:rsidRDefault="00C51BE5" w:rsidP="008F5418">
      <w:pPr>
        <w:keepNext/>
        <w:rPr>
          <w:rFonts w:ascii="Garamond" w:hAnsi="Garamond"/>
          <w:i/>
          <w:lang w:val="en-AU"/>
        </w:rPr>
      </w:pPr>
    </w:p>
    <w:p w:rsidR="00AF7BC5" w:rsidRDefault="00AF7BC5" w:rsidP="000C28BA">
      <w:pPr>
        <w:rPr>
          <w:rFonts w:ascii="Garamond" w:hAnsi="Garamond"/>
          <w:lang w:val="en-AU"/>
        </w:rPr>
      </w:pPr>
    </w:p>
    <w:p w:rsidR="00DF42B0" w:rsidRDefault="00DF42B0"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194107" w:rsidRPr="004148AA" w:rsidRDefault="004148AA" w:rsidP="00AF7BC5">
      <w:pPr>
        <w:keepNext/>
        <w:keepLines/>
        <w:rPr>
          <w:rFonts w:ascii="Garamond" w:hAnsi="Garamond"/>
          <w:i/>
          <w:lang w:val="en-AU"/>
        </w:rPr>
      </w:pPr>
      <w:r w:rsidRPr="004148AA">
        <w:rPr>
          <w:rFonts w:ascii="Garamond" w:hAnsi="Garamond"/>
          <w:i/>
          <w:lang w:val="en-AU"/>
        </w:rPr>
        <w:t>[UK] Dev</w:t>
      </w:r>
      <w:r w:rsidR="006C022F">
        <w:rPr>
          <w:rFonts w:ascii="Garamond" w:hAnsi="Garamond"/>
          <w:i/>
          <w:lang w:val="en-AU"/>
        </w:rPr>
        <w:t>eloping People – Improving Care</w:t>
      </w:r>
    </w:p>
    <w:p w:rsidR="004148AA" w:rsidRDefault="00EE1F99" w:rsidP="00AF7BC5">
      <w:pPr>
        <w:keepNext/>
        <w:keepLines/>
        <w:rPr>
          <w:rFonts w:ascii="Garamond" w:hAnsi="Garamond"/>
          <w:lang w:val="en-AU"/>
        </w:rPr>
      </w:pPr>
      <w:hyperlink r:id="rId28" w:history="1">
        <w:r w:rsidR="004148AA" w:rsidRPr="001C602E">
          <w:rPr>
            <w:rStyle w:val="Hyperlink"/>
            <w:rFonts w:ascii="Garamond" w:hAnsi="Garamond"/>
            <w:lang w:val="en-AU"/>
          </w:rPr>
          <w:t>https://improvement.nhs.uk/resources/developing-people-improving-care/</w:t>
        </w:r>
      </w:hyperlink>
    </w:p>
    <w:p w:rsidR="004148AA" w:rsidRDefault="004148AA" w:rsidP="004148AA">
      <w:pPr>
        <w:keepNext/>
        <w:keepLines/>
        <w:rPr>
          <w:rFonts w:ascii="Garamond" w:hAnsi="Garamond"/>
          <w:lang w:val="en-AU"/>
        </w:rPr>
      </w:pPr>
      <w:r>
        <w:rPr>
          <w:rFonts w:ascii="Garamond" w:hAnsi="Garamond"/>
          <w:lang w:val="en-AU"/>
        </w:rPr>
        <w:t xml:space="preserve">The UK’s NHS Improvement published the </w:t>
      </w:r>
      <w:r w:rsidRPr="004148AA">
        <w:rPr>
          <w:rFonts w:ascii="Garamond" w:hAnsi="Garamond"/>
          <w:i/>
          <w:lang w:val="en-AU"/>
        </w:rPr>
        <w:t>Developing People – Improving Care framework</w:t>
      </w:r>
      <w:r>
        <w:rPr>
          <w:rFonts w:ascii="Garamond" w:hAnsi="Garamond"/>
          <w:lang w:val="en-AU"/>
        </w:rPr>
        <w:t xml:space="preserve"> in 2016</w:t>
      </w:r>
      <w:r w:rsidRPr="004148AA">
        <w:rPr>
          <w:rFonts w:ascii="Garamond" w:hAnsi="Garamond"/>
          <w:lang w:val="en-AU"/>
        </w:rPr>
        <w:t xml:space="preserve"> to help NHS and social care staff to develop four critical capabilities: </w:t>
      </w:r>
      <w:r w:rsidRPr="004148AA">
        <w:rPr>
          <w:rFonts w:ascii="Garamond" w:hAnsi="Garamond"/>
          <w:b/>
          <w:lang w:val="en-AU"/>
        </w:rPr>
        <w:t>systems leadership</w:t>
      </w:r>
      <w:r w:rsidRPr="004148AA">
        <w:rPr>
          <w:rFonts w:ascii="Garamond" w:hAnsi="Garamond"/>
          <w:lang w:val="en-AU"/>
        </w:rPr>
        <w:t xml:space="preserve">; established </w:t>
      </w:r>
      <w:r w:rsidRPr="004148AA">
        <w:rPr>
          <w:rFonts w:ascii="Garamond" w:hAnsi="Garamond"/>
          <w:b/>
          <w:lang w:val="en-AU"/>
        </w:rPr>
        <w:t>quality improvement methods</w:t>
      </w:r>
      <w:r w:rsidRPr="004148AA">
        <w:rPr>
          <w:rFonts w:ascii="Garamond" w:hAnsi="Garamond"/>
          <w:lang w:val="en-AU"/>
        </w:rPr>
        <w:t xml:space="preserve">; inclusive and compassionate </w:t>
      </w:r>
      <w:r w:rsidRPr="004148AA">
        <w:rPr>
          <w:rFonts w:ascii="Garamond" w:hAnsi="Garamond"/>
          <w:b/>
          <w:lang w:val="en-AU"/>
        </w:rPr>
        <w:t>leadership</w:t>
      </w:r>
      <w:r w:rsidRPr="004148AA">
        <w:rPr>
          <w:rFonts w:ascii="Garamond" w:hAnsi="Garamond"/>
          <w:lang w:val="en-AU"/>
        </w:rPr>
        <w:t xml:space="preserve">; and </w:t>
      </w:r>
      <w:r w:rsidRPr="004148AA">
        <w:rPr>
          <w:rFonts w:ascii="Garamond" w:hAnsi="Garamond"/>
          <w:b/>
          <w:lang w:val="en-AU"/>
        </w:rPr>
        <w:t>talent management</w:t>
      </w:r>
      <w:r w:rsidRPr="004148AA">
        <w:rPr>
          <w:rFonts w:ascii="Garamond" w:hAnsi="Garamond"/>
          <w:lang w:val="en-AU"/>
        </w:rPr>
        <w:t>. The</w:t>
      </w:r>
      <w:r>
        <w:rPr>
          <w:rFonts w:ascii="Garamond" w:hAnsi="Garamond"/>
          <w:lang w:val="en-AU"/>
        </w:rPr>
        <w:t xml:space="preserve">y have now </w:t>
      </w:r>
      <w:r w:rsidRPr="004148AA">
        <w:rPr>
          <w:rFonts w:ascii="Garamond" w:hAnsi="Garamond"/>
          <w:lang w:val="en-AU"/>
        </w:rPr>
        <w:t xml:space="preserve">published </w:t>
      </w:r>
      <w:r>
        <w:rPr>
          <w:rFonts w:ascii="Garamond" w:hAnsi="Garamond"/>
          <w:lang w:val="en-AU"/>
        </w:rPr>
        <w:t xml:space="preserve">further </w:t>
      </w:r>
      <w:r w:rsidRPr="004148AA">
        <w:rPr>
          <w:rFonts w:ascii="Garamond" w:hAnsi="Garamond"/>
          <w:lang w:val="en-AU"/>
        </w:rPr>
        <w:t xml:space="preserve">guidance </w:t>
      </w:r>
      <w:r>
        <w:rPr>
          <w:rFonts w:ascii="Garamond" w:hAnsi="Garamond"/>
          <w:lang w:val="en-AU"/>
        </w:rPr>
        <w:t xml:space="preserve">on </w:t>
      </w:r>
      <w:r w:rsidRPr="004148AA">
        <w:rPr>
          <w:rFonts w:ascii="Garamond" w:hAnsi="Garamond"/>
          <w:lang w:val="en-AU"/>
        </w:rPr>
        <w:t>these capabilities.</w:t>
      </w:r>
      <w:r>
        <w:rPr>
          <w:rFonts w:ascii="Garamond" w:hAnsi="Garamond"/>
          <w:lang w:val="en-AU"/>
        </w:rPr>
        <w:t xml:space="preserve"> The site includes the framework, videos, webinars and the following guides:</w:t>
      </w:r>
    </w:p>
    <w:p w:rsidR="004148AA" w:rsidRPr="004148AA" w:rsidRDefault="004148AA" w:rsidP="004148AA">
      <w:pPr>
        <w:pStyle w:val="ListParagraph"/>
        <w:keepNext/>
        <w:keepLines/>
        <w:numPr>
          <w:ilvl w:val="0"/>
          <w:numId w:val="14"/>
        </w:numPr>
        <w:rPr>
          <w:rFonts w:ascii="Garamond" w:hAnsi="Garamond"/>
          <w:i/>
          <w:lang w:val="en-AU"/>
        </w:rPr>
      </w:pPr>
      <w:r w:rsidRPr="004148AA">
        <w:rPr>
          <w:rFonts w:ascii="Garamond" w:hAnsi="Garamond"/>
          <w:i/>
          <w:lang w:val="en-AU"/>
        </w:rPr>
        <w:t>Developing People – Improving Care: Leaders equipped to develop high quality local health and care systems in partnership</w:t>
      </w:r>
    </w:p>
    <w:p w:rsidR="004148AA" w:rsidRPr="004148AA" w:rsidRDefault="004148AA" w:rsidP="004148AA">
      <w:pPr>
        <w:pStyle w:val="ListParagraph"/>
        <w:keepNext/>
        <w:keepLines/>
        <w:numPr>
          <w:ilvl w:val="0"/>
          <w:numId w:val="14"/>
        </w:numPr>
        <w:rPr>
          <w:rFonts w:ascii="Garamond" w:hAnsi="Garamond"/>
          <w:i/>
          <w:lang w:val="en-AU"/>
        </w:rPr>
      </w:pPr>
      <w:r w:rsidRPr="004148AA">
        <w:rPr>
          <w:rFonts w:ascii="Garamond" w:hAnsi="Garamond"/>
          <w:i/>
          <w:lang w:val="en-AU"/>
        </w:rPr>
        <w:t>Developing People – Improving Care: Compassionate, inclusive and effective leaders at all levels</w:t>
      </w:r>
    </w:p>
    <w:p w:rsidR="004148AA" w:rsidRPr="004148AA" w:rsidRDefault="004148AA" w:rsidP="004148AA">
      <w:pPr>
        <w:pStyle w:val="ListParagraph"/>
        <w:keepNext/>
        <w:keepLines/>
        <w:numPr>
          <w:ilvl w:val="0"/>
          <w:numId w:val="14"/>
        </w:numPr>
        <w:rPr>
          <w:rFonts w:ascii="Garamond" w:hAnsi="Garamond"/>
          <w:i/>
          <w:lang w:val="en-AU"/>
        </w:rPr>
      </w:pPr>
      <w:r w:rsidRPr="004148AA">
        <w:rPr>
          <w:rFonts w:ascii="Garamond" w:hAnsi="Garamond"/>
          <w:i/>
          <w:lang w:val="en-AU"/>
        </w:rPr>
        <w:t>Developing People – Improving Care: Knowledge of improvement methods and how to use them at all levels</w:t>
      </w:r>
    </w:p>
    <w:p w:rsidR="004148AA" w:rsidRPr="004148AA" w:rsidRDefault="004148AA" w:rsidP="004148AA">
      <w:pPr>
        <w:pStyle w:val="ListParagraph"/>
        <w:keepNext/>
        <w:keepLines/>
        <w:numPr>
          <w:ilvl w:val="0"/>
          <w:numId w:val="14"/>
        </w:numPr>
        <w:rPr>
          <w:rFonts w:ascii="Garamond" w:hAnsi="Garamond"/>
          <w:i/>
          <w:lang w:val="en-AU"/>
        </w:rPr>
      </w:pPr>
      <w:r w:rsidRPr="004148AA">
        <w:rPr>
          <w:rFonts w:ascii="Garamond" w:hAnsi="Garamond"/>
          <w:i/>
          <w:lang w:val="en-AU"/>
        </w:rPr>
        <w:t>Developing People – Improving Care: Support systems for learning at local, regional and national levels</w:t>
      </w:r>
    </w:p>
    <w:p w:rsidR="004148AA" w:rsidRPr="004148AA" w:rsidRDefault="004148AA" w:rsidP="004148AA">
      <w:pPr>
        <w:pStyle w:val="ListParagraph"/>
        <w:keepNext/>
        <w:keepLines/>
        <w:numPr>
          <w:ilvl w:val="0"/>
          <w:numId w:val="14"/>
        </w:numPr>
        <w:rPr>
          <w:rFonts w:ascii="Garamond" w:hAnsi="Garamond"/>
          <w:i/>
          <w:lang w:val="en-AU"/>
        </w:rPr>
      </w:pPr>
      <w:r w:rsidRPr="004148AA">
        <w:rPr>
          <w:rFonts w:ascii="Garamond" w:hAnsi="Garamond"/>
          <w:i/>
          <w:lang w:val="en-AU"/>
        </w:rPr>
        <w:t>Developing People – Improving Care: Enabling, supportive and aligned regulation and oversight</w:t>
      </w:r>
    </w:p>
    <w:p w:rsidR="00742613" w:rsidRDefault="00742613" w:rsidP="00BD76EB">
      <w:pPr>
        <w:keepNext/>
        <w:keepLines/>
        <w:jc w:val="both"/>
        <w:rPr>
          <w:rFonts w:ascii="Garamond" w:hAnsi="Garamond"/>
          <w:lang w:val="en-AU"/>
        </w:rPr>
      </w:pPr>
    </w:p>
    <w:p w:rsidR="006C022F" w:rsidRDefault="006C022F" w:rsidP="00BD76EB">
      <w:pPr>
        <w:keepNext/>
        <w:keepLines/>
        <w:jc w:val="both"/>
        <w:rPr>
          <w:rFonts w:ascii="Garamond" w:hAnsi="Garamond"/>
          <w:lang w:val="en-AU"/>
        </w:rPr>
      </w:pPr>
    </w:p>
    <w:p w:rsidR="004148AA" w:rsidRPr="00BD76EB" w:rsidRDefault="004148AA"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9"/>
      <w:footerReference w:type="default" r:id="rId3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91" w:rsidRDefault="009C3A91">
      <w:r>
        <w:separator/>
      </w:r>
    </w:p>
  </w:endnote>
  <w:endnote w:type="continuationSeparator" w:id="0">
    <w:p w:rsidR="009C3A91" w:rsidRDefault="009C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Default="009C3A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E1F99">
      <w:rPr>
        <w:rStyle w:val="PageNumber"/>
        <w:noProof/>
      </w:rPr>
      <w:t>2</w:t>
    </w:r>
    <w:r>
      <w:rPr>
        <w:rStyle w:val="PageNumber"/>
      </w:rPr>
      <w:fldChar w:fldCharType="end"/>
    </w:r>
  </w:p>
  <w:p w:rsidR="00A66104" w:rsidRPr="001E78F0" w:rsidRDefault="009C3A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444AC0">
      <w:rPr>
        <w:rFonts w:ascii="Garamond" w:hAnsi="Garamond"/>
      </w:rPr>
      <w:t xml:space="preserve"> Issue 407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Pr="001E78F0" w:rsidRDefault="009C3A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E1F99">
      <w:rPr>
        <w:rStyle w:val="PageNumber"/>
        <w:rFonts w:ascii="Garamond" w:hAnsi="Garamond"/>
        <w:noProof/>
      </w:rPr>
      <w:t>1</w:t>
    </w:r>
    <w:r w:rsidRPr="001E78F0">
      <w:rPr>
        <w:rStyle w:val="PageNumber"/>
        <w:rFonts w:ascii="Garamond" w:hAnsi="Garamond"/>
      </w:rPr>
      <w:fldChar w:fldCharType="end"/>
    </w:r>
  </w:p>
  <w:p w:rsidR="009C3A91" w:rsidRPr="001E78F0" w:rsidRDefault="009C3A9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B0B62">
      <w:rPr>
        <w:rFonts w:ascii="Garamond" w:hAnsi="Garamond"/>
      </w:rPr>
      <w:t xml:space="preserve"> Issue 40</w:t>
    </w:r>
    <w:r w:rsidR="00444AC0">
      <w:rPr>
        <w:rFonts w:ascii="Garamond" w:hAnsi="Garamon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91" w:rsidRDefault="009C3A91">
      <w:r>
        <w:separator/>
      </w:r>
    </w:p>
  </w:footnote>
  <w:footnote w:type="continuationSeparator" w:id="0">
    <w:p w:rsidR="009C3A91" w:rsidRDefault="009C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D67C0D"/>
    <w:multiLevelType w:val="hybridMultilevel"/>
    <w:tmpl w:val="B6569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49425B"/>
    <w:multiLevelType w:val="hybridMultilevel"/>
    <w:tmpl w:val="A2FA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2356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A34F0A"/>
    <w:multiLevelType w:val="hybridMultilevel"/>
    <w:tmpl w:val="F6A8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C22013"/>
    <w:multiLevelType w:val="hybridMultilevel"/>
    <w:tmpl w:val="412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7"/>
  </w:num>
  <w:num w:numId="15">
    <w:abstractNumId w:val="40"/>
  </w:num>
  <w:num w:numId="16">
    <w:abstractNumId w:val="43"/>
  </w:num>
  <w:num w:numId="17">
    <w:abstractNumId w:val="15"/>
  </w:num>
  <w:num w:numId="18">
    <w:abstractNumId w:val="16"/>
  </w:num>
  <w:num w:numId="19">
    <w:abstractNumId w:val="12"/>
  </w:num>
  <w:num w:numId="20">
    <w:abstractNumId w:val="19"/>
  </w:num>
  <w:num w:numId="21">
    <w:abstractNumId w:val="17"/>
  </w:num>
  <w:num w:numId="22">
    <w:abstractNumId w:val="39"/>
  </w:num>
  <w:num w:numId="23">
    <w:abstractNumId w:val="18"/>
  </w:num>
  <w:num w:numId="24">
    <w:abstractNumId w:val="41"/>
  </w:num>
  <w:num w:numId="25">
    <w:abstractNumId w:val="28"/>
  </w:num>
  <w:num w:numId="26">
    <w:abstractNumId w:val="25"/>
  </w:num>
  <w:num w:numId="27">
    <w:abstractNumId w:val="21"/>
  </w:num>
  <w:num w:numId="28">
    <w:abstractNumId w:val="29"/>
  </w:num>
  <w:num w:numId="29">
    <w:abstractNumId w:val="31"/>
  </w:num>
  <w:num w:numId="30">
    <w:abstractNumId w:val="35"/>
  </w:num>
  <w:num w:numId="31">
    <w:abstractNumId w:val="24"/>
  </w:num>
  <w:num w:numId="32">
    <w:abstractNumId w:val="10"/>
  </w:num>
  <w:num w:numId="33">
    <w:abstractNumId w:val="38"/>
  </w:num>
  <w:num w:numId="34">
    <w:abstractNumId w:val="34"/>
  </w:num>
  <w:num w:numId="35">
    <w:abstractNumId w:val="33"/>
  </w:num>
  <w:num w:numId="36">
    <w:abstractNumId w:val="23"/>
  </w:num>
  <w:num w:numId="37">
    <w:abstractNumId w:val="22"/>
  </w:num>
  <w:num w:numId="38">
    <w:abstractNumId w:val="30"/>
  </w:num>
  <w:num w:numId="39">
    <w:abstractNumId w:val="11"/>
  </w:num>
  <w:num w:numId="40">
    <w:abstractNumId w:val="20"/>
  </w:num>
  <w:num w:numId="41">
    <w:abstractNumId w:val="42"/>
  </w:num>
  <w:num w:numId="42">
    <w:abstractNumId w:val="37"/>
  </w:num>
  <w:num w:numId="43">
    <w:abstractNumId w:val="13"/>
  </w:num>
  <w:num w:numId="4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5F"/>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D5"/>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7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DAA"/>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A8B"/>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312"/>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22F"/>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780"/>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E7"/>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1F99"/>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80"/>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9BC"/>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5694/mja2.12109" TargetMode="External"/><Relationship Id="rId26" Type="http://schemas.openxmlformats.org/officeDocument/2006/relationships/hyperlink" Target="http://www.publish.csiro.au/py/issue/9437" TargetMode="External"/><Relationship Id="rId3" Type="http://schemas.openxmlformats.org/officeDocument/2006/relationships/styles" Target="styles.xml"/><Relationship Id="rId21" Type="http://schemas.openxmlformats.org/officeDocument/2006/relationships/hyperlink" Target="https://www.safetyandquality.gov.au/atla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org/10.1056/NEJMms1813429" TargetMode="External"/><Relationship Id="rId25" Type="http://schemas.openxmlformats.org/officeDocument/2006/relationships/hyperlink" Target="https://academic.oup.com/intqhc/issue/31/1" TargetMode="External"/><Relationship Id="rId2" Type="http://schemas.openxmlformats.org/officeDocument/2006/relationships/numbering" Target="numbering.xml"/><Relationship Id="rId16" Type="http://schemas.openxmlformats.org/officeDocument/2006/relationships/hyperlink" Target="https://doi.org/10.1056/NEJMms1813427" TargetMode="External"/><Relationship Id="rId20" Type="http://schemas.openxmlformats.org/officeDocument/2006/relationships/hyperlink" Target="https://www.safetyandquality.gov.au/our-work/knee-pa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qualitysafety.bmj.com/content/28/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36/bmjoq-2018-000377" TargetMode="External"/><Relationship Id="rId28" Type="http://schemas.openxmlformats.org/officeDocument/2006/relationships/hyperlink" Target="https://improvement.nhs.uk/resources/developing-people-improving-care/"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2.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clinical-care-standards/" TargetMode="External"/><Relationship Id="rId27" Type="http://schemas.openxmlformats.org/officeDocument/2006/relationships/hyperlink" Target="https://qualitysafety.bmj.com/content/early/recen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2EDC-3753-42AF-8157-8FC7F1A9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2452</Words>
  <Characters>14889</Characters>
  <Application>Microsoft Office Word</Application>
  <DocSecurity>0</DocSecurity>
  <Lines>316</Lines>
  <Paragraphs>153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17188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2018-03-02T02:34:00Z</cp:lastPrinted>
  <dcterms:created xsi:type="dcterms:W3CDTF">2019-02-17T20:16:00Z</dcterms:created>
  <dcterms:modified xsi:type="dcterms:W3CDTF">2019-02-22T01:05:00Z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