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AF058F">
      <w:pPr>
        <w:pStyle w:val="Heading1"/>
        <w:ind w:left="2880" w:hanging="288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3E1737" w:rsidP="00F738B5">
      <w:pPr>
        <w:rPr>
          <w:rFonts w:ascii="Garamond" w:hAnsi="Garamond"/>
          <w:lang w:val="en-AU"/>
        </w:rPr>
      </w:pPr>
      <w:r>
        <w:rPr>
          <w:rFonts w:ascii="Garamond" w:hAnsi="Garamond"/>
          <w:lang w:val="en-AU"/>
        </w:rPr>
        <w:t>Issue 408</w:t>
      </w:r>
    </w:p>
    <w:p w:rsidR="00755242" w:rsidRPr="00467B47" w:rsidRDefault="003E1737" w:rsidP="00F738B5">
      <w:pPr>
        <w:rPr>
          <w:rFonts w:ascii="Garamond" w:hAnsi="Garamond"/>
          <w:lang w:val="en-AU"/>
        </w:rPr>
      </w:pPr>
      <w:r>
        <w:rPr>
          <w:rFonts w:ascii="Garamond" w:hAnsi="Garamond"/>
          <w:lang w:val="en-AU"/>
        </w:rPr>
        <w:t xml:space="preserve">4 March </w:t>
      </w:r>
      <w:r w:rsidR="006C06FF">
        <w:rPr>
          <w:rFonts w:ascii="Garamond" w:hAnsi="Garamond"/>
          <w:lang w:val="en-AU"/>
        </w:rPr>
        <w:t>2019</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F86E13" w:rsidRDefault="00B160EF" w:rsidP="0045757F">
      <w:pPr>
        <w:autoSpaceDE w:val="0"/>
        <w:rPr>
          <w:rStyle w:val="Hyperlink"/>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046B73">
        <w:rPr>
          <w:rFonts w:ascii="Garamond" w:hAnsi="Garamond"/>
          <w:bCs/>
          <w:lang w:val="en-AU"/>
        </w:rPr>
        <w:t xml:space="preserve">, Lisa </w:t>
      </w:r>
      <w:proofErr w:type="spellStart"/>
      <w:r w:rsidR="00046B73">
        <w:rPr>
          <w:rFonts w:ascii="Garamond" w:hAnsi="Garamond"/>
          <w:bCs/>
          <w:lang w:val="en-AU"/>
        </w:rPr>
        <w:t>Gray</w:t>
      </w:r>
      <w:proofErr w:type="spellEnd"/>
    </w:p>
    <w:p w:rsidR="0055445F" w:rsidRDefault="0055445F">
      <w:pPr>
        <w:rPr>
          <w:rFonts w:ascii="Garamond" w:hAnsi="Garamond"/>
          <w:b/>
          <w:lang w:val="en-AU"/>
        </w:rPr>
      </w:pPr>
    </w:p>
    <w:p w:rsidR="00220D5D" w:rsidRDefault="00220D5D">
      <w:pPr>
        <w:rPr>
          <w:rFonts w:ascii="Garamond" w:hAnsi="Garamond"/>
          <w:b/>
          <w:lang w:val="en-AU"/>
        </w:rPr>
      </w:pPr>
      <w:r w:rsidRPr="00220D5D">
        <w:rPr>
          <w:rFonts w:ascii="Garamond" w:hAnsi="Garamond"/>
          <w:b/>
          <w:lang w:val="en-AU"/>
        </w:rPr>
        <w:t>Consultation on the draft Cataract Clinical Care Standard</w:t>
      </w:r>
    </w:p>
    <w:p w:rsidR="00220D5D" w:rsidRPr="00220D5D" w:rsidRDefault="008400A7">
      <w:pPr>
        <w:rPr>
          <w:rFonts w:ascii="Garamond" w:hAnsi="Garamond"/>
          <w:lang w:val="en-AU"/>
        </w:rPr>
      </w:pPr>
      <w:hyperlink r:id="rId16" w:history="1">
        <w:r w:rsidR="00220D5D" w:rsidRPr="00220D5D">
          <w:rPr>
            <w:rStyle w:val="Hyperlink"/>
            <w:rFonts w:ascii="Garamond" w:hAnsi="Garamond"/>
            <w:lang w:val="en-AU"/>
          </w:rPr>
          <w:t>https://www.safetyandquality.gov.au/our-work/clinical-care-standards/current-consultations/</w:t>
        </w:r>
      </w:hyperlink>
    </w:p>
    <w:p w:rsidR="00220D5D" w:rsidRPr="00220D5D" w:rsidRDefault="00220D5D">
      <w:pPr>
        <w:rPr>
          <w:rFonts w:ascii="Garamond" w:hAnsi="Garamond"/>
          <w:lang w:val="en-AU"/>
        </w:rPr>
      </w:pPr>
    </w:p>
    <w:p w:rsidR="006B2CBF" w:rsidRPr="006B2CBF" w:rsidRDefault="006B2CBF" w:rsidP="006B2CBF">
      <w:pPr>
        <w:rPr>
          <w:rFonts w:ascii="Garamond" w:hAnsi="Garamond"/>
          <w:lang w:val="en-AU"/>
        </w:rPr>
      </w:pPr>
      <w:r w:rsidRPr="006B2CBF">
        <w:rPr>
          <w:rFonts w:ascii="Garamond" w:hAnsi="Garamond"/>
          <w:lang w:val="en-AU"/>
        </w:rPr>
        <w:t xml:space="preserve">The Australian Commission on Safety and Quality in Health Care is seeking comments on the draft </w:t>
      </w:r>
      <w:r w:rsidRPr="006B2CBF">
        <w:rPr>
          <w:rFonts w:ascii="Garamond" w:hAnsi="Garamond"/>
          <w:i/>
          <w:lang w:val="en-AU"/>
        </w:rPr>
        <w:t>Cataract Clinical Care Standard</w:t>
      </w:r>
      <w:r w:rsidRPr="006B2CBF">
        <w:rPr>
          <w:rFonts w:ascii="Garamond" w:hAnsi="Garamond"/>
          <w:lang w:val="en-AU"/>
        </w:rPr>
        <w:t xml:space="preserve"> and support materials.</w:t>
      </w:r>
      <w:r>
        <w:rPr>
          <w:rFonts w:ascii="Garamond" w:hAnsi="Garamond"/>
          <w:lang w:val="en-AU"/>
        </w:rPr>
        <w:t xml:space="preserve"> </w:t>
      </w:r>
      <w:r w:rsidRPr="006B2CBF">
        <w:rPr>
          <w:rFonts w:ascii="Garamond" w:hAnsi="Garamond"/>
          <w:lang w:val="en-AU"/>
        </w:rPr>
        <w:t>Comments are sought from healthcare professionals, peak healthcare and consumer organisations, consumers and any other interested parties.</w:t>
      </w:r>
    </w:p>
    <w:p w:rsidR="006B2CBF" w:rsidRPr="006B2CBF" w:rsidRDefault="006B2CBF" w:rsidP="006B2CBF">
      <w:pPr>
        <w:rPr>
          <w:rFonts w:ascii="Garamond" w:hAnsi="Garamond"/>
          <w:lang w:val="en-AU"/>
        </w:rPr>
      </w:pPr>
    </w:p>
    <w:p w:rsidR="006B2CBF" w:rsidRPr="006B2CBF" w:rsidRDefault="006B2CBF" w:rsidP="006B2CBF">
      <w:pPr>
        <w:rPr>
          <w:rFonts w:ascii="Garamond" w:hAnsi="Garamond"/>
          <w:lang w:val="en-AU"/>
        </w:rPr>
      </w:pPr>
      <w:r w:rsidRPr="006B2CBF">
        <w:rPr>
          <w:rFonts w:ascii="Garamond" w:hAnsi="Garamond"/>
          <w:lang w:val="en-AU"/>
        </w:rPr>
        <w:t>A clinical care standard contains a small number of quality statements that describe the clinical care that a patient should be offered for a specific clinical condition and supports:</w:t>
      </w:r>
    </w:p>
    <w:p w:rsidR="006B2CBF" w:rsidRPr="006B2CBF" w:rsidRDefault="006B2CBF" w:rsidP="006B2CBF">
      <w:pPr>
        <w:pStyle w:val="ListParagraph"/>
        <w:numPr>
          <w:ilvl w:val="0"/>
          <w:numId w:val="44"/>
        </w:numPr>
        <w:rPr>
          <w:rFonts w:ascii="Garamond" w:hAnsi="Garamond"/>
          <w:lang w:val="en-AU"/>
        </w:rPr>
      </w:pPr>
      <w:r w:rsidRPr="006B2CBF">
        <w:rPr>
          <w:rFonts w:ascii="Garamond" w:hAnsi="Garamond"/>
          <w:lang w:val="en-AU"/>
        </w:rPr>
        <w:t>People to know what care should be offered by their healthcare system, and to make informed treatment decisions in partnership with their clinicians</w:t>
      </w:r>
    </w:p>
    <w:p w:rsidR="006B2CBF" w:rsidRPr="006B2CBF" w:rsidRDefault="006B2CBF" w:rsidP="006B2CBF">
      <w:pPr>
        <w:pStyle w:val="ListParagraph"/>
        <w:numPr>
          <w:ilvl w:val="0"/>
          <w:numId w:val="44"/>
        </w:numPr>
        <w:rPr>
          <w:rFonts w:ascii="Garamond" w:hAnsi="Garamond"/>
          <w:lang w:val="en-AU"/>
        </w:rPr>
      </w:pPr>
      <w:r w:rsidRPr="006B2CBF">
        <w:rPr>
          <w:rFonts w:ascii="Garamond" w:hAnsi="Garamond"/>
          <w:lang w:val="en-AU"/>
        </w:rPr>
        <w:t>Clinicians to make decisions about appropriate care</w:t>
      </w:r>
    </w:p>
    <w:p w:rsidR="006B2CBF" w:rsidRPr="006B2CBF" w:rsidRDefault="006B2CBF" w:rsidP="006B2CBF">
      <w:pPr>
        <w:pStyle w:val="ListParagraph"/>
        <w:numPr>
          <w:ilvl w:val="0"/>
          <w:numId w:val="44"/>
        </w:numPr>
        <w:rPr>
          <w:rFonts w:ascii="Garamond" w:hAnsi="Garamond"/>
          <w:lang w:val="en-AU"/>
        </w:rPr>
      </w:pPr>
      <w:r w:rsidRPr="006B2CBF">
        <w:rPr>
          <w:rFonts w:ascii="Garamond" w:hAnsi="Garamond"/>
          <w:lang w:val="en-AU"/>
        </w:rPr>
        <w:t>Health service organisations to examine the performance of their organisation and make improvements in the care they provide.</w:t>
      </w:r>
    </w:p>
    <w:p w:rsidR="006B2CBF" w:rsidRDefault="006B2CBF" w:rsidP="006B2CBF">
      <w:pPr>
        <w:rPr>
          <w:rFonts w:ascii="Garamond" w:hAnsi="Garamond"/>
          <w:lang w:val="en-AU"/>
        </w:rPr>
      </w:pPr>
    </w:p>
    <w:p w:rsidR="006B2CBF" w:rsidRPr="006B2CBF" w:rsidRDefault="006B2CBF" w:rsidP="006B2CBF">
      <w:pPr>
        <w:rPr>
          <w:rFonts w:ascii="Garamond" w:hAnsi="Garamond"/>
          <w:lang w:val="en-AU"/>
        </w:rPr>
      </w:pPr>
      <w:r w:rsidRPr="006B2CBF">
        <w:rPr>
          <w:rFonts w:ascii="Garamond" w:hAnsi="Garamond"/>
          <w:lang w:val="en-AU"/>
        </w:rPr>
        <w:t xml:space="preserve">The draft </w:t>
      </w:r>
      <w:r w:rsidRPr="006B2CBF">
        <w:rPr>
          <w:rFonts w:ascii="Garamond" w:hAnsi="Garamond"/>
          <w:i/>
          <w:lang w:val="en-AU"/>
        </w:rPr>
        <w:t>Cataract Clinical Care Standard</w:t>
      </w:r>
      <w:r w:rsidRPr="006B2CBF">
        <w:rPr>
          <w:rFonts w:ascii="Garamond" w:hAnsi="Garamond"/>
          <w:lang w:val="en-AU"/>
        </w:rPr>
        <w:t xml:space="preserve"> and instructions for submitting comments are available on the Commission’s website at: </w:t>
      </w:r>
      <w:hyperlink r:id="rId17" w:history="1">
        <w:r w:rsidRPr="003274C4">
          <w:rPr>
            <w:rStyle w:val="Hyperlink"/>
            <w:rFonts w:ascii="Garamond" w:hAnsi="Garamond"/>
            <w:lang w:val="en-AU"/>
          </w:rPr>
          <w:t>https://www.safetyandquality.gov.au/our-work/clinical-care-standards/current-consultations/</w:t>
        </w:r>
      </w:hyperlink>
      <w:r>
        <w:rPr>
          <w:rFonts w:ascii="Garamond" w:hAnsi="Garamond"/>
          <w:lang w:val="en-AU"/>
        </w:rPr>
        <w:t xml:space="preserve"> </w:t>
      </w:r>
    </w:p>
    <w:p w:rsidR="006B2CBF" w:rsidRPr="006B2CBF" w:rsidRDefault="006B2CBF" w:rsidP="006B2CBF">
      <w:pPr>
        <w:rPr>
          <w:rFonts w:ascii="Garamond" w:hAnsi="Garamond"/>
          <w:lang w:val="en-AU"/>
        </w:rPr>
      </w:pPr>
      <w:r w:rsidRPr="006B2CBF">
        <w:rPr>
          <w:rFonts w:ascii="Garamond" w:hAnsi="Garamond"/>
          <w:lang w:val="en-AU"/>
        </w:rPr>
        <w:t xml:space="preserve">The consultation period will be open from 22 February 2019 until 11:59 pm on </w:t>
      </w:r>
      <w:r w:rsidRPr="006B2CBF">
        <w:rPr>
          <w:rFonts w:ascii="Garamond" w:hAnsi="Garamond"/>
          <w:b/>
          <w:lang w:val="en-AU"/>
        </w:rPr>
        <w:t>5 April 2019</w:t>
      </w:r>
      <w:r w:rsidRPr="006B2CBF">
        <w:rPr>
          <w:rFonts w:ascii="Garamond" w:hAnsi="Garamond"/>
          <w:lang w:val="en-AU"/>
        </w:rPr>
        <w:t>.</w:t>
      </w:r>
    </w:p>
    <w:p w:rsidR="00220D5D" w:rsidRDefault="006B2CBF" w:rsidP="006B2CBF">
      <w:pPr>
        <w:rPr>
          <w:rFonts w:ascii="Garamond" w:hAnsi="Garamond"/>
          <w:lang w:val="en-AU"/>
        </w:rPr>
      </w:pPr>
      <w:r w:rsidRPr="006B2CBF">
        <w:rPr>
          <w:rFonts w:ascii="Garamond" w:hAnsi="Garamond"/>
          <w:lang w:val="en-AU"/>
        </w:rPr>
        <w:t xml:space="preserve">For further information about the Clinical Care Standards or the consultation process, please contact Herbert Down, Program Director, </w:t>
      </w:r>
      <w:hyperlink r:id="rId18" w:history="1">
        <w:r w:rsidRPr="003274C4">
          <w:rPr>
            <w:rStyle w:val="Hyperlink"/>
            <w:rFonts w:ascii="Garamond" w:hAnsi="Garamond"/>
            <w:lang w:val="en-AU"/>
          </w:rPr>
          <w:t>ccs@safetyandquality.gov.au</w:t>
        </w:r>
      </w:hyperlink>
    </w:p>
    <w:p w:rsidR="00282D29" w:rsidRDefault="00282D29" w:rsidP="00C17C82">
      <w:pPr>
        <w:keepNext/>
        <w:ind w:left="720" w:hanging="720"/>
        <w:rPr>
          <w:rFonts w:ascii="Garamond" w:hAnsi="Garamond"/>
          <w:b/>
          <w:lang w:val="en-AU"/>
        </w:rPr>
      </w:pPr>
      <w:r>
        <w:rPr>
          <w:rFonts w:ascii="Garamond" w:hAnsi="Garamond"/>
          <w:b/>
          <w:lang w:val="en-AU"/>
        </w:rPr>
        <w:lastRenderedPageBreak/>
        <w:t>Journal articles</w:t>
      </w:r>
    </w:p>
    <w:p w:rsidR="00985853" w:rsidRDefault="00985853" w:rsidP="00985853">
      <w:pPr>
        <w:keepNext/>
        <w:keepLines/>
        <w:autoSpaceDE w:val="0"/>
        <w:autoSpaceDN w:val="0"/>
        <w:adjustRightInd w:val="0"/>
        <w:rPr>
          <w:rFonts w:ascii="Garamond" w:hAnsi="Garamond"/>
          <w:lang w:val="en-AU"/>
        </w:rPr>
      </w:pPr>
    </w:p>
    <w:p w:rsidR="00253ADD" w:rsidRPr="006261D6" w:rsidRDefault="00253ADD" w:rsidP="00253ADD">
      <w:pPr>
        <w:keepNext/>
        <w:keepLines/>
        <w:autoSpaceDE w:val="0"/>
        <w:autoSpaceDN w:val="0"/>
        <w:adjustRightInd w:val="0"/>
        <w:rPr>
          <w:rFonts w:ascii="Garamond" w:hAnsi="Garamond"/>
          <w:i/>
          <w:lang w:val="en-AU"/>
        </w:rPr>
      </w:pPr>
      <w:r w:rsidRPr="006261D6">
        <w:rPr>
          <w:rFonts w:ascii="Garamond" w:hAnsi="Garamond"/>
          <w:i/>
          <w:lang w:val="en-AU"/>
        </w:rPr>
        <w:t>Optimising the management of late term pregnancies</w:t>
      </w:r>
    </w:p>
    <w:p w:rsidR="00253ADD" w:rsidRDefault="00253ADD" w:rsidP="00253ADD">
      <w:pPr>
        <w:keepNext/>
        <w:keepLines/>
        <w:autoSpaceDE w:val="0"/>
        <w:autoSpaceDN w:val="0"/>
        <w:adjustRightInd w:val="0"/>
        <w:rPr>
          <w:rFonts w:ascii="Garamond" w:hAnsi="Garamond"/>
          <w:lang w:val="en-AU"/>
        </w:rPr>
      </w:pPr>
      <w:r w:rsidRPr="006261D6">
        <w:rPr>
          <w:rFonts w:ascii="Garamond" w:hAnsi="Garamond"/>
          <w:lang w:val="en-AU"/>
        </w:rPr>
        <w:t>Kenyon S, Skrybant M, Johnston T</w:t>
      </w:r>
    </w:p>
    <w:p w:rsidR="00253ADD" w:rsidRDefault="00253ADD" w:rsidP="00253ADD">
      <w:pPr>
        <w:keepNext/>
        <w:keepLines/>
        <w:autoSpaceDE w:val="0"/>
        <w:autoSpaceDN w:val="0"/>
        <w:adjustRightInd w:val="0"/>
        <w:rPr>
          <w:rFonts w:ascii="Garamond" w:hAnsi="Garamond"/>
          <w:lang w:val="en-AU"/>
        </w:rPr>
      </w:pPr>
      <w:proofErr w:type="gramStart"/>
      <w:r w:rsidRPr="006261D6">
        <w:rPr>
          <w:rFonts w:ascii="Garamond" w:hAnsi="Garamond"/>
          <w:lang w:val="en-AU"/>
        </w:rPr>
        <w:t>BMJ.</w:t>
      </w:r>
      <w:proofErr w:type="gramEnd"/>
      <w:r w:rsidRPr="006261D6">
        <w:rPr>
          <w:rFonts w:ascii="Garamond" w:hAnsi="Garamond"/>
          <w:lang w:val="en-AU"/>
        </w:rPr>
        <w:t xml:space="preserve"> 2019</w:t>
      </w:r>
      <w:proofErr w:type="gramStart"/>
      <w:r w:rsidRPr="006261D6">
        <w:rPr>
          <w:rFonts w:ascii="Garamond" w:hAnsi="Garamond"/>
          <w:lang w:val="en-AU"/>
        </w:rPr>
        <w:t>;364:l681</w:t>
      </w:r>
      <w:proofErr w:type="gramEnd"/>
      <w:r w:rsidRPr="006261D6">
        <w:rPr>
          <w:rFonts w:ascii="Garamond" w:hAnsi="Garamond"/>
          <w:lang w:val="en-AU"/>
        </w:rPr>
        <w:t>.</w:t>
      </w:r>
    </w:p>
    <w:p w:rsidR="00253ADD" w:rsidRDefault="00253ADD" w:rsidP="00253ADD">
      <w:pPr>
        <w:keepNext/>
        <w:keepLines/>
        <w:autoSpaceDE w:val="0"/>
        <w:autoSpaceDN w:val="0"/>
        <w:adjustRightInd w:val="0"/>
        <w:rPr>
          <w:rFonts w:ascii="Garamond" w:hAnsi="Garamond"/>
          <w:lang w:val="en-AU"/>
        </w:rPr>
      </w:pPr>
    </w:p>
    <w:p w:rsidR="00253ADD" w:rsidRPr="006261D6" w:rsidRDefault="00253ADD" w:rsidP="00253ADD">
      <w:pPr>
        <w:keepNext/>
        <w:keepLines/>
        <w:autoSpaceDE w:val="0"/>
        <w:autoSpaceDN w:val="0"/>
        <w:adjustRightInd w:val="0"/>
        <w:rPr>
          <w:rFonts w:ascii="Garamond" w:hAnsi="Garamond"/>
          <w:i/>
          <w:lang w:val="en-AU"/>
        </w:rPr>
      </w:pPr>
      <w:r w:rsidRPr="006261D6">
        <w:rPr>
          <w:rFonts w:ascii="Garamond" w:hAnsi="Garamond"/>
          <w:i/>
          <w:lang w:val="en-AU"/>
        </w:rPr>
        <w:t>Induction of labour at 41 weeks versus expectant management until 42 weeks (INDEX): multicentre, randomised non-inferiority trial</w:t>
      </w:r>
    </w:p>
    <w:p w:rsidR="00253ADD" w:rsidRDefault="00253ADD" w:rsidP="00253ADD">
      <w:pPr>
        <w:keepNext/>
        <w:keepLines/>
        <w:autoSpaceDE w:val="0"/>
        <w:autoSpaceDN w:val="0"/>
        <w:adjustRightInd w:val="0"/>
        <w:rPr>
          <w:rFonts w:ascii="Garamond" w:hAnsi="Garamond"/>
          <w:lang w:val="en-AU"/>
        </w:rPr>
      </w:pPr>
      <w:r w:rsidRPr="006261D6">
        <w:rPr>
          <w:rFonts w:ascii="Garamond" w:hAnsi="Garamond"/>
          <w:lang w:val="en-AU"/>
        </w:rPr>
        <w:t>Keulen JKJ, Bruinsma A, Kortekaas JC, van Dillen J, Bossuyt PMM, Oudijk MA, et al</w:t>
      </w:r>
    </w:p>
    <w:p w:rsidR="00253ADD" w:rsidRPr="00E566B0" w:rsidRDefault="00253ADD" w:rsidP="00253ADD">
      <w:pPr>
        <w:keepNext/>
        <w:keepLines/>
        <w:autoSpaceDE w:val="0"/>
        <w:autoSpaceDN w:val="0"/>
        <w:adjustRightInd w:val="0"/>
        <w:rPr>
          <w:rFonts w:ascii="Garamond" w:hAnsi="Garamond"/>
          <w:lang w:val="en-AU"/>
        </w:rPr>
      </w:pPr>
      <w:proofErr w:type="gramStart"/>
      <w:r w:rsidRPr="006261D6">
        <w:rPr>
          <w:rFonts w:ascii="Garamond" w:hAnsi="Garamond"/>
          <w:lang w:val="en-AU"/>
        </w:rPr>
        <w:t>BMJ.</w:t>
      </w:r>
      <w:proofErr w:type="gramEnd"/>
      <w:r w:rsidRPr="006261D6">
        <w:rPr>
          <w:rFonts w:ascii="Garamond" w:hAnsi="Garamond"/>
          <w:lang w:val="en-AU"/>
        </w:rPr>
        <w:t xml:space="preserve"> 2019</w:t>
      </w:r>
      <w:proofErr w:type="gramStart"/>
      <w:r w:rsidRPr="006261D6">
        <w:rPr>
          <w:rFonts w:ascii="Garamond" w:hAnsi="Garamond"/>
          <w:lang w:val="en-AU"/>
        </w:rPr>
        <w:t>;364:l344</w:t>
      </w:r>
      <w:proofErr w:type="gramEnd"/>
      <w:r w:rsidRPr="006261D6">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253ADD" w:rsidRPr="000170DA" w:rsidTr="006A7492">
        <w:tc>
          <w:tcPr>
            <w:tcW w:w="1080" w:type="dxa"/>
            <w:tcBorders>
              <w:top w:val="single" w:sz="4" w:space="0" w:color="auto"/>
              <w:left w:val="single" w:sz="4" w:space="0" w:color="auto"/>
              <w:bottom w:val="single" w:sz="4" w:space="0" w:color="auto"/>
              <w:right w:val="single" w:sz="4" w:space="0" w:color="auto"/>
            </w:tcBorders>
            <w:vAlign w:val="center"/>
          </w:tcPr>
          <w:p w:rsidR="00253ADD" w:rsidRPr="000170DA" w:rsidRDefault="00253ADD" w:rsidP="006A749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53ADD" w:rsidRDefault="00253ADD" w:rsidP="006A7492">
            <w:pPr>
              <w:rPr>
                <w:rStyle w:val="Hyperlink"/>
                <w:rFonts w:ascii="Garamond" w:hAnsi="Garamond"/>
                <w:color w:val="auto"/>
                <w:u w:val="none"/>
                <w:lang w:val="en-AU"/>
              </w:rPr>
            </w:pPr>
            <w:r>
              <w:rPr>
                <w:rStyle w:val="Hyperlink"/>
                <w:rFonts w:ascii="Garamond" w:hAnsi="Garamond"/>
                <w:color w:val="auto"/>
                <w:u w:val="none"/>
                <w:lang w:val="en-AU"/>
              </w:rPr>
              <w:t xml:space="preserve">Kenyon et al </w:t>
            </w:r>
            <w:hyperlink r:id="rId19" w:history="1">
              <w:r w:rsidRPr="003274C4">
                <w:rPr>
                  <w:rStyle w:val="Hyperlink"/>
                  <w:rFonts w:ascii="Garamond" w:hAnsi="Garamond"/>
                  <w:lang w:val="en-AU"/>
                </w:rPr>
                <w:t>https://doi.org/10.1136/bmj.l681</w:t>
              </w:r>
            </w:hyperlink>
          </w:p>
          <w:p w:rsidR="00253ADD" w:rsidRPr="000170DA" w:rsidRDefault="00253ADD" w:rsidP="006A7492">
            <w:pPr>
              <w:rPr>
                <w:rStyle w:val="Hyperlink"/>
                <w:rFonts w:ascii="Garamond" w:hAnsi="Garamond"/>
                <w:color w:val="auto"/>
                <w:u w:val="none"/>
                <w:lang w:val="en-AU"/>
              </w:rPr>
            </w:pPr>
            <w:r w:rsidRPr="006261D6">
              <w:rPr>
                <w:rStyle w:val="Hyperlink"/>
                <w:rFonts w:ascii="Garamond" w:hAnsi="Garamond"/>
                <w:color w:val="auto"/>
                <w:u w:val="none"/>
                <w:lang w:val="en-AU"/>
              </w:rPr>
              <w:t>Keulen</w:t>
            </w:r>
            <w:r>
              <w:rPr>
                <w:rStyle w:val="Hyperlink"/>
                <w:rFonts w:ascii="Garamond" w:hAnsi="Garamond"/>
                <w:color w:val="auto"/>
                <w:u w:val="none"/>
                <w:lang w:val="en-AU"/>
              </w:rPr>
              <w:t xml:space="preserve"> et al </w:t>
            </w:r>
            <w:hyperlink r:id="rId20" w:history="1">
              <w:r w:rsidRPr="003274C4">
                <w:rPr>
                  <w:rStyle w:val="Hyperlink"/>
                  <w:rFonts w:ascii="Garamond" w:hAnsi="Garamond"/>
                  <w:lang w:val="en-AU"/>
                </w:rPr>
                <w:t>https://doi.org/10.1136/bmj.l344</w:t>
              </w:r>
            </w:hyperlink>
          </w:p>
        </w:tc>
      </w:tr>
      <w:tr w:rsidR="00253ADD" w:rsidRPr="000170DA" w:rsidTr="006A7492">
        <w:tc>
          <w:tcPr>
            <w:tcW w:w="1080" w:type="dxa"/>
            <w:tcBorders>
              <w:top w:val="single" w:sz="4" w:space="0" w:color="auto"/>
              <w:left w:val="single" w:sz="4" w:space="0" w:color="auto"/>
              <w:bottom w:val="single" w:sz="4" w:space="0" w:color="auto"/>
              <w:right w:val="single" w:sz="4" w:space="0" w:color="auto"/>
            </w:tcBorders>
            <w:vAlign w:val="center"/>
          </w:tcPr>
          <w:p w:rsidR="00253ADD" w:rsidRPr="000170DA" w:rsidRDefault="00253ADD" w:rsidP="006A749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53ADD" w:rsidRPr="006261D6" w:rsidRDefault="00253ADD" w:rsidP="006A7492">
            <w:pPr>
              <w:rPr>
                <w:rFonts w:ascii="Garamond" w:hAnsi="Garamond"/>
                <w:lang w:val="en-AU"/>
              </w:rPr>
            </w:pPr>
            <w:r>
              <w:rPr>
                <w:rFonts w:ascii="Garamond" w:hAnsi="Garamond"/>
                <w:lang w:val="en-AU"/>
              </w:rPr>
              <w:t xml:space="preserve">One of the topics examined in the </w:t>
            </w:r>
            <w:r w:rsidRPr="006261D6">
              <w:rPr>
                <w:rFonts w:ascii="Garamond" w:hAnsi="Garamond"/>
                <w:i/>
                <w:lang w:val="en-AU"/>
              </w:rPr>
              <w:t>Third Australian Atlas of Healthcare Variation</w:t>
            </w:r>
            <w:r>
              <w:rPr>
                <w:rFonts w:ascii="Garamond" w:hAnsi="Garamond"/>
                <w:lang w:val="en-AU"/>
              </w:rPr>
              <w:t xml:space="preserve"> was that of </w:t>
            </w:r>
            <w:r w:rsidRPr="006261D6">
              <w:rPr>
                <w:rFonts w:ascii="Garamond" w:hAnsi="Garamond"/>
                <w:lang w:val="en-AU"/>
              </w:rPr>
              <w:t>Early planned caesarean section without medical or obstetric indication</w:t>
            </w:r>
            <w:r>
              <w:rPr>
                <w:rFonts w:ascii="Garamond" w:hAnsi="Garamond"/>
                <w:lang w:val="en-AU"/>
              </w:rPr>
              <w:t>. It was noted that t</w:t>
            </w:r>
            <w:r w:rsidRPr="006261D6">
              <w:rPr>
                <w:rFonts w:ascii="Garamond" w:hAnsi="Garamond"/>
                <w:lang w:val="en-AU"/>
              </w:rPr>
              <w:t>here is a growing body of evidence that planned caesarean section before 39 weeks’ gestation can increase:</w:t>
            </w:r>
          </w:p>
          <w:p w:rsidR="00253ADD" w:rsidRPr="006261D6" w:rsidRDefault="00253ADD" w:rsidP="006A7492">
            <w:pPr>
              <w:pStyle w:val="ListParagraph"/>
              <w:numPr>
                <w:ilvl w:val="0"/>
                <w:numId w:val="43"/>
              </w:numPr>
              <w:rPr>
                <w:rFonts w:ascii="Garamond" w:hAnsi="Garamond"/>
                <w:lang w:val="en-AU"/>
              </w:rPr>
            </w:pPr>
            <w:r w:rsidRPr="006261D6">
              <w:rPr>
                <w:rFonts w:ascii="Garamond" w:hAnsi="Garamond"/>
                <w:lang w:val="en-AU"/>
              </w:rPr>
              <w:t>Short-term risks, including neonatal respiratory problems and the risk of hospitalisation for infections in the first five years of life</w:t>
            </w:r>
          </w:p>
          <w:p w:rsidR="00253ADD" w:rsidRPr="006261D6" w:rsidRDefault="00253ADD" w:rsidP="006A7492">
            <w:pPr>
              <w:pStyle w:val="ListParagraph"/>
              <w:numPr>
                <w:ilvl w:val="0"/>
                <w:numId w:val="43"/>
              </w:numPr>
              <w:rPr>
                <w:rFonts w:ascii="Garamond" w:hAnsi="Garamond"/>
                <w:lang w:val="en-AU"/>
              </w:rPr>
            </w:pPr>
            <w:r w:rsidRPr="006261D6">
              <w:rPr>
                <w:rFonts w:ascii="Garamond" w:hAnsi="Garamond"/>
                <w:lang w:val="en-AU"/>
              </w:rPr>
              <w:t>Long-term developmental problems, poorer school performance and attention deficit hyperactivity disorder.</w:t>
            </w:r>
          </w:p>
          <w:p w:rsidR="00253ADD" w:rsidRDefault="00253ADD" w:rsidP="006A7492">
            <w:pPr>
              <w:rPr>
                <w:rFonts w:ascii="Garamond" w:hAnsi="Garamond"/>
                <w:lang w:val="en-AU"/>
              </w:rPr>
            </w:pPr>
            <w:r>
              <w:rPr>
                <w:rFonts w:ascii="Garamond" w:hAnsi="Garamond"/>
                <w:lang w:val="en-AU"/>
              </w:rPr>
              <w:t>It was also observed that w</w:t>
            </w:r>
            <w:r w:rsidRPr="006261D6">
              <w:rPr>
                <w:rFonts w:ascii="Garamond" w:hAnsi="Garamond"/>
                <w:lang w:val="en-AU"/>
              </w:rPr>
              <w:t>aiting until 39 weeks’ gestation for a planned caesarean section</w:t>
            </w:r>
            <w:r>
              <w:rPr>
                <w:rFonts w:ascii="Garamond" w:hAnsi="Garamond"/>
                <w:lang w:val="en-AU"/>
              </w:rPr>
              <w:t xml:space="preserve"> –</w:t>
            </w:r>
            <w:r w:rsidRPr="006261D6">
              <w:rPr>
                <w:rFonts w:ascii="Garamond" w:hAnsi="Garamond"/>
                <w:lang w:val="en-AU"/>
              </w:rPr>
              <w:t xml:space="preserve"> if there are no medical reasons for earlier birth</w:t>
            </w:r>
            <w:r>
              <w:rPr>
                <w:rFonts w:ascii="Garamond" w:hAnsi="Garamond"/>
                <w:lang w:val="en-AU"/>
              </w:rPr>
              <w:t xml:space="preserve"> –</w:t>
            </w:r>
            <w:r w:rsidRPr="006261D6">
              <w:rPr>
                <w:rFonts w:ascii="Garamond" w:hAnsi="Garamond"/>
                <w:lang w:val="en-AU"/>
              </w:rPr>
              <w:t xml:space="preserve"> is recommended by several international organisations and some Australian states.</w:t>
            </w:r>
          </w:p>
          <w:p w:rsidR="00253ADD" w:rsidRDefault="00253ADD" w:rsidP="006A7492">
            <w:pPr>
              <w:rPr>
                <w:rFonts w:ascii="Garamond" w:hAnsi="Garamond"/>
                <w:lang w:val="en-AU"/>
              </w:rPr>
            </w:pPr>
            <w:r>
              <w:rPr>
                <w:rFonts w:ascii="Garamond" w:hAnsi="Garamond"/>
                <w:lang w:val="en-AU"/>
              </w:rPr>
              <w:t xml:space="preserve">Concerns and debate about how to manage pregnancies, particularly late term pregnancies, have been further developed with the publication of these pieces in the </w:t>
            </w:r>
            <w:r w:rsidRPr="006261D6">
              <w:rPr>
                <w:rFonts w:ascii="Garamond" w:hAnsi="Garamond"/>
                <w:i/>
                <w:lang w:val="en-AU"/>
              </w:rPr>
              <w:t>BMJ</w:t>
            </w:r>
            <w:r>
              <w:rPr>
                <w:rFonts w:ascii="Garamond" w:hAnsi="Garamond"/>
                <w:lang w:val="en-AU"/>
              </w:rPr>
              <w:t xml:space="preserve"> on a Dutch study that looked at i</w:t>
            </w:r>
            <w:r w:rsidRPr="009B42E0">
              <w:rPr>
                <w:rFonts w:ascii="Garamond" w:hAnsi="Garamond"/>
                <w:lang w:val="en-AU"/>
              </w:rPr>
              <w:t>nduction at 41 weeks or expectant management until 42 weeks with induction if necessary.</w:t>
            </w:r>
            <w:r>
              <w:rPr>
                <w:rFonts w:ascii="Garamond" w:hAnsi="Garamond"/>
                <w:lang w:val="en-AU"/>
              </w:rPr>
              <w:t xml:space="preserve"> The authors reported that the induction at 41 weeks resulted in fewer adverse perinatal outcomes.</w:t>
            </w:r>
          </w:p>
          <w:p w:rsidR="00253ADD" w:rsidRPr="00831B85" w:rsidRDefault="00253ADD" w:rsidP="006A7492">
            <w:pPr>
              <w:rPr>
                <w:rFonts w:ascii="Garamond" w:hAnsi="Garamond"/>
                <w:lang w:val="en-AU"/>
              </w:rPr>
            </w:pPr>
            <w:r>
              <w:rPr>
                <w:rFonts w:ascii="Garamond" w:hAnsi="Garamond"/>
                <w:i/>
                <w:noProof/>
                <w:lang w:val="en-AU" w:eastAsia="en-AU"/>
              </w:rPr>
              <w:drawing>
                <wp:inline distT="0" distB="0" distL="0" distR="0" wp14:anchorId="48661FAD" wp14:editId="10DA1D19">
                  <wp:extent cx="3872089" cy="3872089"/>
                  <wp:effectExtent l="0" t="0" r="0" b="0"/>
                  <wp:docPr id="4" name="Picture 4" title="Infograophic titled: Is it time to induce yet? from BMJ 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esktop\F1.larg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71975" cy="3871975"/>
                          </a:xfrm>
                          <a:prstGeom prst="rect">
                            <a:avLst/>
                          </a:prstGeom>
                          <a:noFill/>
                          <a:ln>
                            <a:noFill/>
                          </a:ln>
                        </pic:spPr>
                      </pic:pic>
                    </a:graphicData>
                  </a:graphic>
                </wp:inline>
              </w:drawing>
            </w:r>
          </w:p>
        </w:tc>
      </w:tr>
    </w:tbl>
    <w:p w:rsidR="00253ADD" w:rsidRDefault="00253ADD" w:rsidP="00253ADD">
      <w:pPr>
        <w:rPr>
          <w:rFonts w:ascii="Garamond" w:hAnsi="Garamond"/>
          <w:i/>
          <w:lang w:val="en-AU"/>
        </w:rPr>
      </w:pPr>
    </w:p>
    <w:p w:rsidR="00253ADD" w:rsidRDefault="00253ADD" w:rsidP="00253ADD">
      <w:pPr>
        <w:rPr>
          <w:rFonts w:ascii="Garamond" w:hAnsi="Garamond"/>
          <w:i/>
          <w:lang w:val="en-AU"/>
        </w:rPr>
      </w:pPr>
      <w:bookmarkStart w:id="1" w:name="_GoBack"/>
      <w:r>
        <w:rPr>
          <w:rFonts w:ascii="Garamond" w:hAnsi="Garamond"/>
          <w:i/>
          <w:noProof/>
          <w:lang w:val="en-AU" w:eastAsia="en-AU"/>
        </w:rPr>
        <w:lastRenderedPageBreak/>
        <w:drawing>
          <wp:inline distT="0" distB="0" distL="0" distR="0" wp14:anchorId="1A9AF51E" wp14:editId="45BA39BE">
            <wp:extent cx="6118860" cy="3048000"/>
            <wp:effectExtent l="0" t="0" r="0" b="0"/>
            <wp:docPr id="5" name="Picture 5" title="Early planned caesarean section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health\dfsuserenv\Users\User_07\JOHNNI\Desktop\Early-Planned-Caesarean-Infographic.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18860" cy="3048000"/>
                    </a:xfrm>
                    <a:prstGeom prst="rect">
                      <a:avLst/>
                    </a:prstGeom>
                    <a:noFill/>
                    <a:ln>
                      <a:noFill/>
                    </a:ln>
                  </pic:spPr>
                </pic:pic>
              </a:graphicData>
            </a:graphic>
          </wp:inline>
        </w:drawing>
      </w:r>
      <w:bookmarkEnd w:id="1"/>
    </w:p>
    <w:p w:rsidR="00253ADD" w:rsidRDefault="00253ADD" w:rsidP="00253ADD">
      <w:pPr>
        <w:rPr>
          <w:rFonts w:ascii="Garamond" w:hAnsi="Garamond"/>
          <w:lang w:val="en-AU"/>
        </w:rPr>
      </w:pPr>
      <w:r w:rsidRPr="00220D5D">
        <w:rPr>
          <w:rFonts w:ascii="Garamond" w:hAnsi="Garamond"/>
          <w:lang w:val="en-AU"/>
        </w:rPr>
        <w:t xml:space="preserve">For information about </w:t>
      </w:r>
      <w:r>
        <w:rPr>
          <w:rFonts w:ascii="Garamond" w:hAnsi="Garamond"/>
          <w:lang w:val="en-AU"/>
        </w:rPr>
        <w:t xml:space="preserve">and access to </w:t>
      </w:r>
      <w:r w:rsidRPr="00220D5D">
        <w:rPr>
          <w:rFonts w:ascii="Garamond" w:hAnsi="Garamond"/>
          <w:i/>
          <w:lang w:val="en-AU"/>
        </w:rPr>
        <w:t xml:space="preserve">The </w:t>
      </w:r>
      <w:r>
        <w:rPr>
          <w:rFonts w:ascii="Garamond" w:hAnsi="Garamond"/>
          <w:i/>
          <w:lang w:val="en-AU"/>
        </w:rPr>
        <w:t xml:space="preserve">Third </w:t>
      </w:r>
      <w:r w:rsidRPr="00220D5D">
        <w:rPr>
          <w:rFonts w:ascii="Garamond" w:hAnsi="Garamond"/>
          <w:i/>
          <w:lang w:val="en-AU"/>
        </w:rPr>
        <w:t>Australian Atlas of Healthcare Variation 2017</w:t>
      </w:r>
      <w:r>
        <w:rPr>
          <w:rFonts w:ascii="Garamond" w:hAnsi="Garamond"/>
          <w:lang w:val="en-AU"/>
        </w:rPr>
        <w:t xml:space="preserve">, see </w:t>
      </w:r>
      <w:hyperlink r:id="rId23" w:history="1">
        <w:r w:rsidRPr="003274C4">
          <w:rPr>
            <w:rStyle w:val="Hyperlink"/>
            <w:rFonts w:ascii="Garamond" w:hAnsi="Garamond"/>
            <w:lang w:val="en-AU"/>
          </w:rPr>
          <w:t>https://www.safetyandquality.gov.au/atlas/atlas-2018/</w:t>
        </w:r>
      </w:hyperlink>
    </w:p>
    <w:p w:rsidR="00253ADD" w:rsidRDefault="00253ADD" w:rsidP="00253ADD">
      <w:pPr>
        <w:rPr>
          <w:rFonts w:ascii="Garamond" w:hAnsi="Garamond"/>
          <w:i/>
          <w:lang w:val="en-AU"/>
        </w:rPr>
      </w:pPr>
    </w:p>
    <w:p w:rsidR="00253ADD" w:rsidRDefault="00253ADD" w:rsidP="00985853">
      <w:pPr>
        <w:keepNext/>
        <w:keepLines/>
        <w:autoSpaceDE w:val="0"/>
        <w:autoSpaceDN w:val="0"/>
        <w:adjustRightInd w:val="0"/>
        <w:rPr>
          <w:rFonts w:ascii="Garamond" w:hAnsi="Garamond"/>
          <w:lang w:val="en-AU"/>
        </w:rPr>
      </w:pPr>
    </w:p>
    <w:p w:rsidR="00A66104" w:rsidRPr="00DB7D74" w:rsidRDefault="00497CC9" w:rsidP="00A66104">
      <w:pPr>
        <w:keepNext/>
        <w:keepLines/>
        <w:autoSpaceDE w:val="0"/>
        <w:autoSpaceDN w:val="0"/>
        <w:adjustRightInd w:val="0"/>
        <w:rPr>
          <w:rFonts w:ascii="Garamond" w:hAnsi="Garamond"/>
          <w:i/>
          <w:lang w:val="en-AU"/>
        </w:rPr>
      </w:pPr>
      <w:r w:rsidRPr="00DB7D74">
        <w:rPr>
          <w:rFonts w:ascii="Garamond" w:hAnsi="Garamond"/>
          <w:i/>
          <w:lang w:val="en-AU"/>
        </w:rPr>
        <w:t>Measuring Hospital-Acquired Complications Associated With Low-Value Care</w:t>
      </w:r>
    </w:p>
    <w:p w:rsidR="00F65176" w:rsidRDefault="00F65176" w:rsidP="00A66104">
      <w:pPr>
        <w:keepNext/>
        <w:keepLines/>
        <w:autoSpaceDE w:val="0"/>
        <w:autoSpaceDN w:val="0"/>
        <w:adjustRightInd w:val="0"/>
        <w:rPr>
          <w:rFonts w:ascii="Garamond" w:hAnsi="Garamond"/>
          <w:lang w:val="en-AU"/>
        </w:rPr>
      </w:pPr>
      <w:r w:rsidRPr="00F65176">
        <w:rPr>
          <w:rFonts w:ascii="Garamond" w:hAnsi="Garamond"/>
          <w:lang w:val="en-AU"/>
        </w:rPr>
        <w:t>Badgery-Parker T, Pearson S-A, Dunn S, Elshaug AG</w:t>
      </w:r>
    </w:p>
    <w:p w:rsidR="00497CC9" w:rsidRPr="00E566B0" w:rsidRDefault="00F65176" w:rsidP="00A66104">
      <w:pPr>
        <w:keepNext/>
        <w:keepLines/>
        <w:autoSpaceDE w:val="0"/>
        <w:autoSpaceDN w:val="0"/>
        <w:adjustRightInd w:val="0"/>
        <w:rPr>
          <w:rFonts w:ascii="Garamond" w:hAnsi="Garamond"/>
          <w:lang w:val="en-AU"/>
        </w:rPr>
      </w:pPr>
      <w:proofErr w:type="gramStart"/>
      <w:r w:rsidRPr="00F65176">
        <w:rPr>
          <w:rFonts w:ascii="Garamond" w:hAnsi="Garamond"/>
          <w:lang w:val="en-AU"/>
        </w:rPr>
        <w:t>JAMA Internal Medicine.</w:t>
      </w:r>
      <w:proofErr w:type="gramEnd"/>
      <w:r w:rsidRPr="00F65176">
        <w:rPr>
          <w:rFonts w:ascii="Garamond" w:hAnsi="Garamond"/>
          <w:lang w:val="en-AU"/>
        </w:rPr>
        <w:t xml:space="preserve"> </w:t>
      </w:r>
      <w:proofErr w:type="gramStart"/>
      <w:r w:rsidRPr="00F65176">
        <w:rPr>
          <w:rFonts w:ascii="Garamond" w:hAnsi="Garamond"/>
          <w:lang w:val="en-AU"/>
        </w:rPr>
        <w:t>2019</w:t>
      </w:r>
      <w:r>
        <w:rPr>
          <w:rFonts w:ascii="Garamond" w:hAnsi="Garamond"/>
          <w:lang w:val="en-AU"/>
        </w:rPr>
        <w:t xml:space="preserve"> [epub]</w:t>
      </w:r>
      <w:r w:rsidRPr="00F65176">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66104" w:rsidRPr="000170DA" w:rsidTr="00FC7B9B">
        <w:tc>
          <w:tcPr>
            <w:tcW w:w="1080" w:type="dxa"/>
            <w:tcBorders>
              <w:top w:val="single" w:sz="4" w:space="0" w:color="auto"/>
              <w:left w:val="single" w:sz="4" w:space="0" w:color="auto"/>
              <w:bottom w:val="single" w:sz="4" w:space="0" w:color="auto"/>
              <w:right w:val="single" w:sz="4" w:space="0" w:color="auto"/>
            </w:tcBorders>
            <w:vAlign w:val="center"/>
          </w:tcPr>
          <w:p w:rsidR="00A66104" w:rsidRPr="000170DA" w:rsidRDefault="00A66104" w:rsidP="00FC7B9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66104" w:rsidRPr="000170DA" w:rsidRDefault="008400A7" w:rsidP="00FC7B9B">
            <w:pPr>
              <w:rPr>
                <w:rStyle w:val="Hyperlink"/>
                <w:rFonts w:ascii="Garamond" w:hAnsi="Garamond"/>
                <w:color w:val="auto"/>
                <w:u w:val="none"/>
                <w:lang w:val="en-AU"/>
              </w:rPr>
            </w:pPr>
            <w:hyperlink r:id="rId24" w:history="1">
              <w:r w:rsidR="00DB7D74" w:rsidRPr="003274C4">
                <w:rPr>
                  <w:rStyle w:val="Hyperlink"/>
                  <w:rFonts w:ascii="Garamond" w:hAnsi="Garamond"/>
                  <w:lang w:val="en-AU"/>
                </w:rPr>
                <w:t>https://doi.org/10.1001/jamainternmed.2018.7464</w:t>
              </w:r>
            </w:hyperlink>
          </w:p>
        </w:tc>
      </w:tr>
      <w:tr w:rsidR="00A66104" w:rsidRPr="000170DA" w:rsidTr="00FC7B9B">
        <w:tc>
          <w:tcPr>
            <w:tcW w:w="1080" w:type="dxa"/>
            <w:tcBorders>
              <w:top w:val="single" w:sz="4" w:space="0" w:color="auto"/>
              <w:left w:val="single" w:sz="4" w:space="0" w:color="auto"/>
              <w:bottom w:val="single" w:sz="4" w:space="0" w:color="auto"/>
              <w:right w:val="single" w:sz="4" w:space="0" w:color="auto"/>
            </w:tcBorders>
            <w:vAlign w:val="center"/>
          </w:tcPr>
          <w:p w:rsidR="00A66104" w:rsidRPr="000170DA" w:rsidRDefault="00A66104" w:rsidP="00FC7B9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66104" w:rsidRDefault="00497CC9" w:rsidP="00DB7D74">
            <w:pPr>
              <w:rPr>
                <w:rFonts w:ascii="Garamond" w:hAnsi="Garamond"/>
                <w:lang w:val="en-AU"/>
              </w:rPr>
            </w:pPr>
            <w:r>
              <w:rPr>
                <w:rFonts w:ascii="Garamond" w:hAnsi="Garamond"/>
                <w:lang w:val="en-AU"/>
              </w:rPr>
              <w:t xml:space="preserve">This paper in </w:t>
            </w:r>
            <w:r w:rsidRPr="00563348">
              <w:rPr>
                <w:rFonts w:ascii="Garamond" w:hAnsi="Garamond"/>
                <w:i/>
                <w:lang w:val="en-AU"/>
              </w:rPr>
              <w:t>JAMA</w:t>
            </w:r>
            <w:r>
              <w:rPr>
                <w:rFonts w:ascii="Garamond" w:hAnsi="Garamond"/>
                <w:lang w:val="en-AU"/>
              </w:rPr>
              <w:t xml:space="preserve"> </w:t>
            </w:r>
            <w:r w:rsidR="00F65176" w:rsidRPr="00F65176">
              <w:rPr>
                <w:rFonts w:ascii="Garamond" w:hAnsi="Garamond"/>
                <w:i/>
                <w:lang w:val="en-AU"/>
              </w:rPr>
              <w:t>Internal Medicine</w:t>
            </w:r>
            <w:r w:rsidR="00F65176">
              <w:rPr>
                <w:rFonts w:ascii="Garamond" w:hAnsi="Garamond"/>
                <w:lang w:val="en-AU"/>
              </w:rPr>
              <w:t xml:space="preserve"> </w:t>
            </w:r>
            <w:r>
              <w:rPr>
                <w:rFonts w:ascii="Garamond" w:hAnsi="Garamond"/>
                <w:lang w:val="en-AU"/>
              </w:rPr>
              <w:t xml:space="preserve">complements one that appeared recently in </w:t>
            </w:r>
            <w:r w:rsidRPr="00563348">
              <w:rPr>
                <w:rFonts w:ascii="Garamond" w:hAnsi="Garamond"/>
                <w:i/>
                <w:lang w:val="en-AU"/>
              </w:rPr>
              <w:t>BMJ Quality and Safety</w:t>
            </w:r>
            <w:r>
              <w:rPr>
                <w:rFonts w:ascii="Garamond" w:hAnsi="Garamond"/>
                <w:lang w:val="en-AU"/>
              </w:rPr>
              <w:t xml:space="preserve"> (</w:t>
            </w:r>
            <w:hyperlink r:id="rId25" w:history="1">
              <w:r w:rsidRPr="003274C4">
                <w:rPr>
                  <w:rStyle w:val="Hyperlink"/>
                  <w:rFonts w:ascii="Garamond" w:hAnsi="Garamond"/>
                  <w:lang w:val="en-AU"/>
                </w:rPr>
                <w:t>https://doi.org/10.1136/bmjqs-2018-008338</w:t>
              </w:r>
            </w:hyperlink>
            <w:r>
              <w:rPr>
                <w:rFonts w:ascii="Garamond" w:hAnsi="Garamond"/>
                <w:lang w:val="en-AU"/>
              </w:rPr>
              <w:t xml:space="preserve"> - </w:t>
            </w:r>
            <w:r w:rsidR="00563348">
              <w:rPr>
                <w:rFonts w:ascii="Garamond" w:hAnsi="Garamond"/>
                <w:lang w:val="en-AU"/>
              </w:rPr>
              <w:t xml:space="preserve">discussed in </w:t>
            </w:r>
            <w:r w:rsidR="00563348" w:rsidRPr="00563348">
              <w:rPr>
                <w:rFonts w:ascii="Garamond" w:hAnsi="Garamond"/>
                <w:i/>
                <w:lang w:val="en-AU"/>
              </w:rPr>
              <w:t xml:space="preserve">On the Radar </w:t>
            </w:r>
            <w:r w:rsidR="00563348">
              <w:rPr>
                <w:rFonts w:ascii="Garamond" w:hAnsi="Garamond"/>
                <w:lang w:val="en-AU"/>
              </w:rPr>
              <w:t>Issue 382</w:t>
            </w:r>
            <w:r>
              <w:rPr>
                <w:rFonts w:ascii="Garamond" w:hAnsi="Garamond"/>
                <w:lang w:val="en-AU"/>
              </w:rPr>
              <w:t>)</w:t>
            </w:r>
            <w:r w:rsidR="00563348">
              <w:rPr>
                <w:rFonts w:ascii="Garamond" w:hAnsi="Garamond"/>
                <w:lang w:val="en-AU"/>
              </w:rPr>
              <w:t xml:space="preserve">. The earlier paper looked </w:t>
            </w:r>
            <w:r w:rsidR="00563348" w:rsidRPr="00563348">
              <w:rPr>
                <w:rFonts w:ascii="Garamond" w:hAnsi="Garamond"/>
                <w:lang w:val="en-AU"/>
              </w:rPr>
              <w:t xml:space="preserve">at 27 </w:t>
            </w:r>
            <w:r w:rsidR="00563348">
              <w:rPr>
                <w:rFonts w:ascii="Garamond" w:hAnsi="Garamond"/>
                <w:lang w:val="en-AU"/>
              </w:rPr>
              <w:t>‘</w:t>
            </w:r>
            <w:r w:rsidR="00563348" w:rsidRPr="00563348">
              <w:rPr>
                <w:rFonts w:ascii="Garamond" w:hAnsi="Garamond"/>
                <w:lang w:val="en-AU"/>
              </w:rPr>
              <w:t>low value</w:t>
            </w:r>
            <w:r w:rsidR="00563348">
              <w:rPr>
                <w:rFonts w:ascii="Garamond" w:hAnsi="Garamond"/>
                <w:lang w:val="en-AU"/>
              </w:rPr>
              <w:t xml:space="preserve">’ procedures in </w:t>
            </w:r>
            <w:r w:rsidR="00563348" w:rsidRPr="00563348">
              <w:rPr>
                <w:rFonts w:ascii="Garamond" w:hAnsi="Garamond"/>
                <w:lang w:val="en-AU"/>
              </w:rPr>
              <w:t>New South Wales public hospitals</w:t>
            </w:r>
            <w:r w:rsidR="00563348">
              <w:rPr>
                <w:rFonts w:ascii="Garamond" w:hAnsi="Garamond"/>
                <w:lang w:val="en-AU"/>
              </w:rPr>
              <w:t xml:space="preserve"> in 2016/17</w:t>
            </w:r>
            <w:r w:rsidR="00563348" w:rsidRPr="00563348">
              <w:rPr>
                <w:rFonts w:ascii="Garamond" w:hAnsi="Garamond"/>
                <w:lang w:val="en-AU"/>
              </w:rPr>
              <w:t>.</w:t>
            </w:r>
            <w:r w:rsidR="00DB7D74">
              <w:rPr>
                <w:rFonts w:ascii="Garamond" w:hAnsi="Garamond"/>
                <w:lang w:val="en-AU"/>
              </w:rPr>
              <w:t xml:space="preserve"> The authors </w:t>
            </w:r>
            <w:r w:rsidR="00563348" w:rsidRPr="00563348">
              <w:rPr>
                <w:rFonts w:ascii="Garamond" w:hAnsi="Garamond"/>
                <w:lang w:val="en-AU"/>
              </w:rPr>
              <w:t>observed that “The proportion of low-value care varied widely between hospitals.”</w:t>
            </w:r>
            <w:r w:rsidR="00DB7D74">
              <w:rPr>
                <w:rFonts w:ascii="Garamond" w:hAnsi="Garamond"/>
                <w:lang w:val="en-AU"/>
              </w:rPr>
              <w:t xml:space="preserve"> They also noted </w:t>
            </w:r>
            <w:r w:rsidR="00DB7D74" w:rsidRPr="00DB7D74">
              <w:rPr>
                <w:rFonts w:ascii="Garamond" w:hAnsi="Garamond"/>
                <w:lang w:val="en-AU"/>
              </w:rPr>
              <w:t xml:space="preserve">three </w:t>
            </w:r>
            <w:r w:rsidR="00DB7D74">
              <w:rPr>
                <w:rFonts w:ascii="Garamond" w:hAnsi="Garamond"/>
                <w:lang w:val="en-AU"/>
              </w:rPr>
              <w:t xml:space="preserve">procedures </w:t>
            </w:r>
            <w:r w:rsidR="00DB7D74" w:rsidRPr="00DB7D74">
              <w:rPr>
                <w:rFonts w:ascii="Garamond" w:hAnsi="Garamond"/>
                <w:lang w:val="en-AU"/>
              </w:rPr>
              <w:t>(colonoscopy for constipation, endoscopy for dyspepsia, sentinel lymph node biopsy for melanoma in situ)</w:t>
            </w:r>
            <w:r w:rsidR="00DB7D74">
              <w:rPr>
                <w:rFonts w:ascii="Garamond" w:hAnsi="Garamond"/>
                <w:lang w:val="en-AU"/>
              </w:rPr>
              <w:t xml:space="preserve"> displayed increasing trends.</w:t>
            </w:r>
          </w:p>
          <w:p w:rsidR="00DB7D74" w:rsidRDefault="00DB7D74" w:rsidP="00DB7D74">
            <w:pPr>
              <w:rPr>
                <w:rFonts w:ascii="Garamond" w:hAnsi="Garamond"/>
                <w:lang w:val="en-AU"/>
              </w:rPr>
            </w:pPr>
            <w:r>
              <w:rPr>
                <w:rFonts w:ascii="Garamond" w:hAnsi="Garamond"/>
                <w:lang w:val="en-AU"/>
              </w:rPr>
              <w:t xml:space="preserve">In this latest paper, </w:t>
            </w:r>
            <w:r w:rsidRPr="00DB7D74">
              <w:rPr>
                <w:rFonts w:ascii="Garamond" w:hAnsi="Garamond"/>
                <w:lang w:val="en-AU"/>
              </w:rPr>
              <w:t>this cohort study and descriptive analysis of 9330 episodes of low-value use of 7 procedures</w:t>
            </w:r>
            <w:r>
              <w:rPr>
                <w:rFonts w:ascii="Garamond" w:hAnsi="Garamond"/>
                <w:lang w:val="en-AU"/>
              </w:rPr>
              <w:t xml:space="preserve"> sought to examine the incidence of </w:t>
            </w:r>
            <w:r w:rsidRPr="00DB7D74">
              <w:rPr>
                <w:rFonts w:ascii="Garamond" w:hAnsi="Garamond"/>
                <w:lang w:val="en-AU"/>
              </w:rPr>
              <w:t>hospital-acquired complications</w:t>
            </w:r>
            <w:r>
              <w:rPr>
                <w:rFonts w:ascii="Garamond" w:hAnsi="Garamond"/>
                <w:lang w:val="en-AU"/>
              </w:rPr>
              <w:t xml:space="preserve">. Such complications make the already low value of these procedures even more marginal as they expose patients to </w:t>
            </w:r>
            <w:proofErr w:type="gramStart"/>
            <w:r>
              <w:rPr>
                <w:rFonts w:ascii="Garamond" w:hAnsi="Garamond"/>
                <w:lang w:val="en-AU"/>
              </w:rPr>
              <w:t>harms</w:t>
            </w:r>
            <w:proofErr w:type="gramEnd"/>
            <w:r>
              <w:rPr>
                <w:rFonts w:ascii="Garamond" w:hAnsi="Garamond"/>
                <w:lang w:val="en-AU"/>
              </w:rPr>
              <w:t xml:space="preserve"> that could be considered unnecessary given the low value or benefit of the procedures. The study used data from </w:t>
            </w:r>
            <w:r w:rsidRPr="00DB7D74">
              <w:rPr>
                <w:rFonts w:ascii="Garamond" w:hAnsi="Garamond"/>
                <w:lang w:val="en-AU"/>
              </w:rPr>
              <w:t>225 public hospitals in New South Wales, Australia</w:t>
            </w:r>
            <w:r>
              <w:rPr>
                <w:rFonts w:ascii="Garamond" w:hAnsi="Garamond"/>
                <w:lang w:val="en-AU"/>
              </w:rPr>
              <w:t xml:space="preserve"> for the period 1 </w:t>
            </w:r>
            <w:r w:rsidRPr="00DB7D74">
              <w:rPr>
                <w:rFonts w:ascii="Garamond" w:hAnsi="Garamond"/>
                <w:lang w:val="en-AU"/>
              </w:rPr>
              <w:t xml:space="preserve">July 2014 to </w:t>
            </w:r>
            <w:r>
              <w:rPr>
                <w:rFonts w:ascii="Garamond" w:hAnsi="Garamond"/>
                <w:lang w:val="en-AU"/>
              </w:rPr>
              <w:t xml:space="preserve">30 </w:t>
            </w:r>
            <w:r w:rsidRPr="00DB7D74">
              <w:rPr>
                <w:rFonts w:ascii="Garamond" w:hAnsi="Garamond"/>
                <w:lang w:val="en-AU"/>
              </w:rPr>
              <w:t>June 2017</w:t>
            </w:r>
            <w:r>
              <w:rPr>
                <w:rFonts w:ascii="Garamond" w:hAnsi="Garamond"/>
                <w:lang w:val="en-AU"/>
              </w:rPr>
              <w:t xml:space="preserve">. The </w:t>
            </w:r>
            <w:r w:rsidRPr="00DB7D74">
              <w:rPr>
                <w:rFonts w:ascii="Garamond" w:hAnsi="Garamond"/>
                <w:lang w:val="en-AU"/>
              </w:rPr>
              <w:t>9330 episodes involving 7 low-value procedures were evaluated, including endoscopy for dyspepsia in people younger than 55 years (3689 episodes); knee arthroscopy for osteoarthritis or meniscal tears (3963 episodes); colonoscopy for constipation in people younger than 50 years (665 episodes); endovascular repair of abdominal aortic aneurysm in asymptomatic, high-risk patients (508 episodes); carotid endarterectomy in asymptomatic, high-risk patients (273 episodes); renal artery angioplasty (176 episodes); and spinal fusion for uncomplicated low back pain (56 episodes). Sixteen hospital-acquired complications (HACs) were used as a measure of harm associated with low-value care.</w:t>
            </w:r>
          </w:p>
          <w:p w:rsidR="00DB7D74" w:rsidRPr="00831B85" w:rsidRDefault="00DB7D74" w:rsidP="00DB7D74">
            <w:pPr>
              <w:rPr>
                <w:rFonts w:ascii="Garamond" w:hAnsi="Garamond"/>
                <w:lang w:val="en-AU"/>
              </w:rPr>
            </w:pPr>
            <w:r>
              <w:rPr>
                <w:rFonts w:ascii="Garamond" w:hAnsi="Garamond"/>
                <w:lang w:val="en-AU"/>
              </w:rPr>
              <w:t>The authors report that ‘</w:t>
            </w:r>
            <w:r w:rsidRPr="00DB7D74">
              <w:rPr>
                <w:rFonts w:ascii="Garamond" w:hAnsi="Garamond"/>
                <w:b/>
                <w:lang w:val="en-AU"/>
              </w:rPr>
              <w:t>between 0.2% and 15.0% of patients</w:t>
            </w:r>
            <w:r w:rsidRPr="00DB7D74">
              <w:rPr>
                <w:rFonts w:ascii="Garamond" w:hAnsi="Garamond"/>
                <w:lang w:val="en-AU"/>
              </w:rPr>
              <w:t xml:space="preserve"> receiving these low-value procedures </w:t>
            </w:r>
            <w:r w:rsidRPr="00DB7D74">
              <w:rPr>
                <w:rFonts w:ascii="Garamond" w:hAnsi="Garamond"/>
                <w:b/>
                <w:lang w:val="en-AU"/>
              </w:rPr>
              <w:t>developed</w:t>
            </w:r>
            <w:r w:rsidRPr="00DB7D74">
              <w:rPr>
                <w:rFonts w:ascii="Garamond" w:hAnsi="Garamond"/>
                <w:lang w:val="en-AU"/>
              </w:rPr>
              <w:t xml:space="preserve"> at least 1 of 16 </w:t>
            </w:r>
            <w:r w:rsidRPr="00DB7D74">
              <w:rPr>
                <w:rFonts w:ascii="Garamond" w:hAnsi="Garamond"/>
                <w:b/>
                <w:lang w:val="en-AU"/>
              </w:rPr>
              <w:t>hospital-acquired complications</w:t>
            </w:r>
            <w:r w:rsidRPr="00DB7D74">
              <w:rPr>
                <w:rFonts w:ascii="Garamond" w:hAnsi="Garamond"/>
                <w:lang w:val="en-AU"/>
              </w:rPr>
              <w:t xml:space="preserve">, the most common being </w:t>
            </w:r>
            <w:r w:rsidRPr="00DB7D74">
              <w:rPr>
                <w:rFonts w:ascii="Garamond" w:hAnsi="Garamond"/>
                <w:b/>
                <w:lang w:val="en-AU"/>
              </w:rPr>
              <w:t>health care–associated infection</w:t>
            </w:r>
            <w:r>
              <w:rPr>
                <w:rFonts w:ascii="Garamond" w:hAnsi="Garamond"/>
                <w:lang w:val="en-AU"/>
              </w:rPr>
              <w:t>’</w:t>
            </w:r>
          </w:p>
        </w:tc>
      </w:tr>
    </w:tbl>
    <w:p w:rsidR="00A66104" w:rsidRDefault="00A66104" w:rsidP="00A66104">
      <w:pPr>
        <w:rPr>
          <w:rFonts w:ascii="Garamond" w:hAnsi="Garamond"/>
          <w:i/>
          <w:lang w:val="en-AU"/>
        </w:rPr>
      </w:pPr>
    </w:p>
    <w:p w:rsidR="009B42E0" w:rsidRDefault="009B42E0" w:rsidP="009B42E0">
      <w:pPr>
        <w:rPr>
          <w:rFonts w:ascii="Garamond" w:hAnsi="Garamond"/>
          <w:lang w:val="en-AU"/>
        </w:rPr>
      </w:pPr>
      <w:r w:rsidRPr="006E0777">
        <w:rPr>
          <w:rFonts w:ascii="Garamond" w:hAnsi="Garamond"/>
          <w:lang w:val="en-AU"/>
        </w:rPr>
        <w:lastRenderedPageBreak/>
        <w:t xml:space="preserve">For information on the Commission’s work on </w:t>
      </w:r>
      <w:r>
        <w:rPr>
          <w:rFonts w:ascii="Garamond" w:hAnsi="Garamond"/>
          <w:lang w:val="en-AU"/>
        </w:rPr>
        <w:t>hospital-acquired complications, including pressure injuries</w:t>
      </w:r>
      <w:r w:rsidRPr="006E0777">
        <w:rPr>
          <w:rFonts w:ascii="Garamond" w:hAnsi="Garamond"/>
          <w:lang w:val="en-AU"/>
        </w:rPr>
        <w:t>, see</w:t>
      </w:r>
      <w:r>
        <w:rPr>
          <w:rFonts w:ascii="Garamond" w:hAnsi="Garamond"/>
          <w:lang w:val="en-AU"/>
        </w:rPr>
        <w:t xml:space="preserve"> </w:t>
      </w:r>
      <w:hyperlink r:id="rId26" w:history="1">
        <w:r w:rsidRPr="003274C4">
          <w:rPr>
            <w:rStyle w:val="Hyperlink"/>
            <w:rFonts w:ascii="Garamond" w:hAnsi="Garamond"/>
            <w:lang w:val="en-AU"/>
          </w:rPr>
          <w:t>https://www.safetyandquality.gov.au/our-work/indicators/hospital-acquired-complications/</w:t>
        </w:r>
      </w:hyperlink>
    </w:p>
    <w:p w:rsidR="00DB7D74" w:rsidRDefault="00DB7D74" w:rsidP="00DB7D74">
      <w:pPr>
        <w:keepNext/>
        <w:keepLines/>
        <w:autoSpaceDE w:val="0"/>
        <w:autoSpaceDN w:val="0"/>
        <w:adjustRightInd w:val="0"/>
        <w:rPr>
          <w:rFonts w:ascii="Garamond" w:hAnsi="Garamond"/>
          <w:lang w:val="en-AU"/>
        </w:rPr>
      </w:pPr>
    </w:p>
    <w:p w:rsidR="009B42E0" w:rsidRPr="009B42E0" w:rsidRDefault="009B42E0" w:rsidP="009B42E0">
      <w:pPr>
        <w:keepNext/>
        <w:keepLines/>
        <w:autoSpaceDE w:val="0"/>
        <w:autoSpaceDN w:val="0"/>
        <w:adjustRightInd w:val="0"/>
        <w:rPr>
          <w:rFonts w:ascii="Garamond" w:hAnsi="Garamond"/>
          <w:i/>
          <w:lang w:val="en-AU"/>
        </w:rPr>
      </w:pPr>
      <w:r w:rsidRPr="009B42E0">
        <w:rPr>
          <w:rFonts w:ascii="Garamond" w:hAnsi="Garamond"/>
          <w:i/>
          <w:lang w:val="en-AU"/>
        </w:rPr>
        <w:t>Two-Hourly Repositioning for Prevention of Pressure Ulcers in the Elderly: Patient Safety or Elder Abuse?</w:t>
      </w:r>
    </w:p>
    <w:p w:rsidR="009B42E0" w:rsidRDefault="009B42E0" w:rsidP="00DB7D74">
      <w:pPr>
        <w:keepNext/>
        <w:keepLines/>
        <w:autoSpaceDE w:val="0"/>
        <w:autoSpaceDN w:val="0"/>
        <w:adjustRightInd w:val="0"/>
        <w:rPr>
          <w:rFonts w:ascii="Garamond" w:hAnsi="Garamond"/>
          <w:lang w:val="en-AU"/>
        </w:rPr>
      </w:pPr>
      <w:r w:rsidRPr="009B42E0">
        <w:rPr>
          <w:rFonts w:ascii="Garamond" w:hAnsi="Garamond"/>
          <w:lang w:val="en-AU"/>
        </w:rPr>
        <w:t>Sharp CA, Schulz Moore JS, McLaws M-L</w:t>
      </w:r>
    </w:p>
    <w:p w:rsidR="009B42E0" w:rsidRDefault="009B42E0" w:rsidP="00DB7D74">
      <w:pPr>
        <w:keepNext/>
        <w:keepLines/>
        <w:autoSpaceDE w:val="0"/>
        <w:autoSpaceDN w:val="0"/>
        <w:adjustRightInd w:val="0"/>
        <w:rPr>
          <w:rFonts w:ascii="Garamond" w:hAnsi="Garamond"/>
          <w:lang w:val="en-AU"/>
        </w:rPr>
      </w:pPr>
      <w:proofErr w:type="gramStart"/>
      <w:r w:rsidRPr="009B42E0">
        <w:rPr>
          <w:rFonts w:ascii="Garamond" w:hAnsi="Garamond"/>
          <w:lang w:val="en-AU"/>
        </w:rPr>
        <w:t>Bioethical Inquiry.</w:t>
      </w:r>
      <w:proofErr w:type="gramEnd"/>
      <w:r w:rsidRPr="009B42E0">
        <w:rPr>
          <w:rFonts w:ascii="Garamond" w:hAnsi="Garamond"/>
          <w:lang w:val="en-AU"/>
        </w:rPr>
        <w:t xml:space="preserve"> </w:t>
      </w:r>
      <w:proofErr w:type="gramStart"/>
      <w:r w:rsidRPr="009B42E0">
        <w:rPr>
          <w:rFonts w:ascii="Garamond" w:hAnsi="Garamond"/>
          <w:lang w:val="en-AU"/>
        </w:rPr>
        <w:t>2019</w:t>
      </w:r>
      <w:r>
        <w:rPr>
          <w:rFonts w:ascii="Garamond" w:hAnsi="Garamond"/>
          <w:lang w:val="en-AU"/>
        </w:rPr>
        <w:t xml:space="preserve"> [epub]</w:t>
      </w:r>
      <w:r w:rsidRPr="009B42E0">
        <w:rPr>
          <w:rFonts w:ascii="Garamond" w:hAnsi="Garamond"/>
          <w:lang w:val="en-AU"/>
        </w:rPr>
        <w:t>.</w:t>
      </w:r>
      <w:proofErr w:type="gramEnd"/>
    </w:p>
    <w:p w:rsidR="009B42E0" w:rsidRDefault="009B42E0" w:rsidP="00DB7D74">
      <w:pPr>
        <w:keepNext/>
        <w:keepLines/>
        <w:autoSpaceDE w:val="0"/>
        <w:autoSpaceDN w:val="0"/>
        <w:adjustRightInd w:val="0"/>
        <w:rPr>
          <w:rFonts w:ascii="Garamond" w:hAnsi="Garamond"/>
          <w:lang w:val="en-AU"/>
        </w:rPr>
      </w:pPr>
    </w:p>
    <w:p w:rsidR="00BB3114" w:rsidRPr="00BB3114" w:rsidRDefault="00BB3114" w:rsidP="00BB3114">
      <w:pPr>
        <w:keepNext/>
        <w:keepLines/>
        <w:autoSpaceDE w:val="0"/>
        <w:autoSpaceDN w:val="0"/>
        <w:adjustRightInd w:val="0"/>
        <w:rPr>
          <w:rFonts w:ascii="Garamond" w:hAnsi="Garamond"/>
          <w:i/>
          <w:lang w:val="en-AU"/>
        </w:rPr>
      </w:pPr>
      <w:r w:rsidRPr="00BB3114">
        <w:rPr>
          <w:rFonts w:ascii="Garamond" w:hAnsi="Garamond"/>
          <w:i/>
          <w:lang w:val="en-AU"/>
        </w:rPr>
        <w:t>The Coroner's Role in the Prevention of Elder Abuse: A Study of Australian Coroner's Court Cases Involving Pressure Ulcers in Elders</w:t>
      </w:r>
    </w:p>
    <w:p w:rsidR="00BB3114" w:rsidRDefault="00EC2FC2" w:rsidP="00DB7D74">
      <w:pPr>
        <w:keepNext/>
        <w:keepLines/>
        <w:autoSpaceDE w:val="0"/>
        <w:autoSpaceDN w:val="0"/>
        <w:adjustRightInd w:val="0"/>
        <w:rPr>
          <w:rFonts w:ascii="Garamond" w:hAnsi="Garamond"/>
          <w:lang w:val="en-AU"/>
        </w:rPr>
      </w:pPr>
      <w:r w:rsidRPr="00EC2FC2">
        <w:rPr>
          <w:rFonts w:ascii="Garamond" w:hAnsi="Garamond"/>
          <w:lang w:val="en-AU"/>
        </w:rPr>
        <w:t>Sharp CA, Schulz Moore JS, McLaws ML</w:t>
      </w:r>
    </w:p>
    <w:p w:rsidR="00EC2FC2" w:rsidRPr="00E566B0" w:rsidRDefault="00EC2FC2" w:rsidP="00DB7D74">
      <w:pPr>
        <w:keepNext/>
        <w:keepLines/>
        <w:autoSpaceDE w:val="0"/>
        <w:autoSpaceDN w:val="0"/>
        <w:adjustRightInd w:val="0"/>
        <w:rPr>
          <w:rFonts w:ascii="Garamond" w:hAnsi="Garamond"/>
          <w:lang w:val="en-AU"/>
        </w:rPr>
      </w:pPr>
      <w:proofErr w:type="gramStart"/>
      <w:r w:rsidRPr="00EC2FC2">
        <w:rPr>
          <w:rFonts w:ascii="Garamond" w:hAnsi="Garamond"/>
          <w:lang w:val="en-AU"/>
        </w:rPr>
        <w:t>Journal of Law and Medicine.</w:t>
      </w:r>
      <w:proofErr w:type="gramEnd"/>
      <w:r w:rsidRPr="00EC2FC2">
        <w:rPr>
          <w:rFonts w:ascii="Garamond" w:hAnsi="Garamond"/>
          <w:lang w:val="en-AU"/>
        </w:rPr>
        <w:t xml:space="preserve"> 2018 Dec</w:t>
      </w:r>
      <w:proofErr w:type="gramStart"/>
      <w:r w:rsidRPr="00EC2FC2">
        <w:rPr>
          <w:rFonts w:ascii="Garamond" w:hAnsi="Garamond"/>
          <w:lang w:val="en-AU"/>
        </w:rPr>
        <w:t>;26</w:t>
      </w:r>
      <w:proofErr w:type="gramEnd"/>
      <w:r w:rsidRPr="00EC2FC2">
        <w:rPr>
          <w:rFonts w:ascii="Garamond" w:hAnsi="Garamond"/>
          <w:lang w:val="en-AU"/>
        </w:rPr>
        <w:t>(2):494-509.</w:t>
      </w:r>
    </w:p>
    <w:tbl>
      <w:tblPr>
        <w:tblStyle w:val="TableGrid"/>
        <w:tblW w:w="0" w:type="auto"/>
        <w:tblInd w:w="288" w:type="dxa"/>
        <w:tblLayout w:type="fixed"/>
        <w:tblLook w:val="01E0" w:firstRow="1" w:lastRow="1" w:firstColumn="1" w:lastColumn="1" w:noHBand="0" w:noVBand="0"/>
      </w:tblPr>
      <w:tblGrid>
        <w:gridCol w:w="1080"/>
        <w:gridCol w:w="8280"/>
      </w:tblGrid>
      <w:tr w:rsidR="00DB7D74" w:rsidRPr="000170DA" w:rsidTr="006A7492">
        <w:tc>
          <w:tcPr>
            <w:tcW w:w="1080" w:type="dxa"/>
            <w:tcBorders>
              <w:top w:val="single" w:sz="4" w:space="0" w:color="auto"/>
              <w:left w:val="single" w:sz="4" w:space="0" w:color="auto"/>
              <w:bottom w:val="single" w:sz="4" w:space="0" w:color="auto"/>
              <w:right w:val="single" w:sz="4" w:space="0" w:color="auto"/>
            </w:tcBorders>
            <w:vAlign w:val="center"/>
          </w:tcPr>
          <w:p w:rsidR="00DB7D74" w:rsidRPr="000170DA" w:rsidRDefault="00DB7D74" w:rsidP="006A749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B42E0" w:rsidRPr="000170DA" w:rsidRDefault="00BB3114" w:rsidP="00046B73">
            <w:pPr>
              <w:rPr>
                <w:rStyle w:val="Hyperlink"/>
                <w:rFonts w:ascii="Garamond" w:hAnsi="Garamond"/>
                <w:color w:val="auto"/>
                <w:u w:val="none"/>
                <w:lang w:val="en-AU"/>
              </w:rPr>
            </w:pPr>
            <w:r w:rsidRPr="009B42E0">
              <w:rPr>
                <w:rFonts w:ascii="Garamond" w:hAnsi="Garamond"/>
                <w:lang w:val="en-AU"/>
              </w:rPr>
              <w:t>Bioethical Inquiry</w:t>
            </w:r>
            <w:r w:rsidR="009B42E0">
              <w:rPr>
                <w:rStyle w:val="Hyperlink"/>
                <w:rFonts w:ascii="Garamond" w:hAnsi="Garamond"/>
                <w:color w:val="auto"/>
                <w:u w:val="none"/>
                <w:lang w:val="en-AU"/>
              </w:rPr>
              <w:t xml:space="preserve"> </w:t>
            </w:r>
            <w:hyperlink r:id="rId27" w:history="1">
              <w:r w:rsidRPr="003274C4">
                <w:rPr>
                  <w:rStyle w:val="Hyperlink"/>
                  <w:rFonts w:ascii="Garamond" w:hAnsi="Garamond"/>
                  <w:lang w:val="en-AU"/>
                </w:rPr>
                <w:t>https://doi.org/10.1007/s11673-018-9892-3</w:t>
              </w:r>
            </w:hyperlink>
          </w:p>
        </w:tc>
      </w:tr>
      <w:tr w:rsidR="00DB7D74" w:rsidRPr="000170DA" w:rsidTr="006A7492">
        <w:tc>
          <w:tcPr>
            <w:tcW w:w="1080" w:type="dxa"/>
            <w:tcBorders>
              <w:top w:val="single" w:sz="4" w:space="0" w:color="auto"/>
              <w:left w:val="single" w:sz="4" w:space="0" w:color="auto"/>
              <w:bottom w:val="single" w:sz="4" w:space="0" w:color="auto"/>
              <w:right w:val="single" w:sz="4" w:space="0" w:color="auto"/>
            </w:tcBorders>
            <w:vAlign w:val="center"/>
          </w:tcPr>
          <w:p w:rsidR="00DB7D74" w:rsidRPr="000170DA" w:rsidRDefault="00DB7D74" w:rsidP="006A749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B42E0" w:rsidRPr="00831B85" w:rsidRDefault="00DB7D74" w:rsidP="00EC2FC2">
            <w:pPr>
              <w:rPr>
                <w:rFonts w:ascii="Garamond" w:hAnsi="Garamond"/>
                <w:lang w:val="en-AU"/>
              </w:rPr>
            </w:pPr>
            <w:r w:rsidRPr="00497CC9">
              <w:rPr>
                <w:rFonts w:ascii="Garamond" w:hAnsi="Garamond"/>
                <w:lang w:val="en-AU"/>
              </w:rPr>
              <w:t>Pressure ulcers</w:t>
            </w:r>
            <w:r>
              <w:rPr>
                <w:rFonts w:ascii="Garamond" w:hAnsi="Garamond"/>
                <w:lang w:val="en-AU"/>
              </w:rPr>
              <w:t xml:space="preserve"> or pressure injuries are a common complication or healthcare acquired complication, in hospitals and in aged care. These two papers examined the issue from both a legal/human rights perspective and a prevention perspective</w:t>
            </w:r>
            <w:r w:rsidR="00EC2FC2">
              <w:rPr>
                <w:rFonts w:ascii="Garamond" w:hAnsi="Garamond"/>
                <w:lang w:val="en-AU"/>
              </w:rPr>
              <w:t xml:space="preserve">, particularly when concerning older people in residential aged care facilities. In both pieces – using survey information and coronial reports – the authors argue that common practice of </w:t>
            </w:r>
            <w:r w:rsidR="00EC2FC2" w:rsidRPr="00253ADD">
              <w:rPr>
                <w:rFonts w:ascii="Garamond" w:hAnsi="Garamond"/>
                <w:b/>
                <w:lang w:val="en-AU"/>
              </w:rPr>
              <w:t>two-hourly respositioning does not prevent pressure injuries</w:t>
            </w:r>
            <w:r w:rsidR="00EC2FC2">
              <w:rPr>
                <w:rFonts w:ascii="Garamond" w:hAnsi="Garamond"/>
                <w:lang w:val="en-AU"/>
              </w:rPr>
              <w:t>. Indeed, they go further and make the assertion that ‘</w:t>
            </w:r>
            <w:r w:rsidR="00EC2FC2" w:rsidRPr="00EC2FC2">
              <w:rPr>
                <w:rFonts w:ascii="Garamond" w:hAnsi="Garamond"/>
                <w:lang w:val="en-AU"/>
              </w:rPr>
              <w:t xml:space="preserve">may breach the rights of all residents who were repositioned two-hourly. Repositioning and restraining may be unlawful. Rather than only repositioning residents two-hourly, we </w:t>
            </w:r>
            <w:r w:rsidR="00EC2FC2" w:rsidRPr="00253ADD">
              <w:rPr>
                <w:rFonts w:ascii="Garamond" w:hAnsi="Garamond"/>
                <w:b/>
                <w:lang w:val="en-AU"/>
              </w:rPr>
              <w:t>recommend every resident be provided with an alternating pressure air mattress</w:t>
            </w:r>
            <w:r w:rsidR="00EC2FC2" w:rsidRPr="00EC2FC2">
              <w:rPr>
                <w:rFonts w:ascii="Garamond" w:hAnsi="Garamond"/>
                <w:lang w:val="en-AU"/>
              </w:rPr>
              <w:t>.</w:t>
            </w:r>
            <w:r w:rsidR="00EC2FC2">
              <w:rPr>
                <w:rFonts w:ascii="Garamond" w:hAnsi="Garamond"/>
                <w:lang w:val="en-AU"/>
              </w:rPr>
              <w:t>’ They note that there are studies that show that such mattresses are more cost-effective than repositioning and the use of foam mattresses.</w:t>
            </w:r>
          </w:p>
        </w:tc>
      </w:tr>
    </w:tbl>
    <w:p w:rsidR="00DB7D74" w:rsidRDefault="00DB7D74" w:rsidP="00DB7D74">
      <w:pPr>
        <w:rPr>
          <w:rFonts w:ascii="Garamond" w:hAnsi="Garamond"/>
          <w:i/>
          <w:lang w:val="en-AU"/>
        </w:rPr>
      </w:pPr>
    </w:p>
    <w:p w:rsidR="00DB7D74" w:rsidRDefault="00DB7D74" w:rsidP="00DB7D74">
      <w:pPr>
        <w:rPr>
          <w:rFonts w:ascii="Garamond" w:hAnsi="Garamond"/>
          <w:lang w:val="en-AU"/>
        </w:rPr>
      </w:pPr>
      <w:r w:rsidRPr="006E0777">
        <w:rPr>
          <w:rFonts w:ascii="Garamond" w:hAnsi="Garamond"/>
          <w:lang w:val="en-AU"/>
        </w:rPr>
        <w:t xml:space="preserve">For information on the Commission’s work on </w:t>
      </w:r>
      <w:r>
        <w:rPr>
          <w:rFonts w:ascii="Garamond" w:hAnsi="Garamond"/>
          <w:lang w:val="en-AU"/>
        </w:rPr>
        <w:t>the National Safety and Quality Health Service (NSQHS) Standards, including the Comprehensive Care Standard that covers pressure injuries</w:t>
      </w:r>
      <w:r w:rsidRPr="006E0777">
        <w:rPr>
          <w:rFonts w:ascii="Garamond" w:hAnsi="Garamond"/>
          <w:lang w:val="en-AU"/>
        </w:rPr>
        <w:t>, see</w:t>
      </w:r>
      <w:r>
        <w:rPr>
          <w:rFonts w:ascii="Garamond" w:hAnsi="Garamond"/>
          <w:lang w:val="en-AU"/>
        </w:rPr>
        <w:t xml:space="preserve"> </w:t>
      </w:r>
      <w:hyperlink r:id="rId28" w:history="1">
        <w:r w:rsidRPr="003274C4">
          <w:rPr>
            <w:rStyle w:val="Hyperlink"/>
            <w:rFonts w:ascii="Garamond" w:hAnsi="Garamond"/>
            <w:lang w:val="en-AU"/>
          </w:rPr>
          <w:t>https://www.nationalstandards.safetyandquality.gov.au/5.-comprehensive-care</w:t>
        </w:r>
      </w:hyperlink>
    </w:p>
    <w:p w:rsidR="00253ADD" w:rsidRDefault="00253ADD" w:rsidP="00DB7D74">
      <w:pPr>
        <w:rPr>
          <w:rFonts w:ascii="Garamond" w:hAnsi="Garamond"/>
          <w:i/>
          <w:lang w:val="en-AU"/>
        </w:rPr>
      </w:pPr>
    </w:p>
    <w:p w:rsidR="00046B73" w:rsidRDefault="00046B73" w:rsidP="00DB7D74">
      <w:pPr>
        <w:rPr>
          <w:rFonts w:ascii="Garamond" w:hAnsi="Garamond"/>
          <w:i/>
          <w:lang w:val="en-AU"/>
        </w:rPr>
      </w:pPr>
    </w:p>
    <w:p w:rsidR="00046B73" w:rsidRDefault="00046B73" w:rsidP="00DB7D74">
      <w:pPr>
        <w:rPr>
          <w:rFonts w:ascii="Garamond" w:hAnsi="Garamond"/>
          <w:i/>
          <w:lang w:val="en-AU"/>
        </w:rPr>
      </w:pPr>
    </w:p>
    <w:p w:rsidR="003C3E6C" w:rsidRPr="003C3E6C" w:rsidRDefault="003C3E6C" w:rsidP="003C3E6C">
      <w:pPr>
        <w:keepNext/>
        <w:keepLines/>
        <w:autoSpaceDE w:val="0"/>
        <w:autoSpaceDN w:val="0"/>
        <w:adjustRightInd w:val="0"/>
        <w:rPr>
          <w:rFonts w:ascii="Garamond" w:hAnsi="Garamond"/>
          <w:i/>
          <w:lang w:val="en-AU"/>
        </w:rPr>
      </w:pPr>
      <w:r w:rsidRPr="003C3E6C">
        <w:rPr>
          <w:rFonts w:ascii="Garamond" w:hAnsi="Garamond"/>
          <w:i/>
          <w:lang w:val="en-AU"/>
        </w:rPr>
        <w:t xml:space="preserve">Association of Overlapping Surgery </w:t>
      </w:r>
      <w:proofErr w:type="gramStart"/>
      <w:r w:rsidRPr="003C3E6C">
        <w:rPr>
          <w:rFonts w:ascii="Garamond" w:hAnsi="Garamond"/>
          <w:i/>
          <w:lang w:val="en-AU"/>
        </w:rPr>
        <w:t>With</w:t>
      </w:r>
      <w:proofErr w:type="gramEnd"/>
      <w:r w:rsidRPr="003C3E6C">
        <w:rPr>
          <w:rFonts w:ascii="Garamond" w:hAnsi="Garamond"/>
          <w:i/>
          <w:lang w:val="en-AU"/>
        </w:rPr>
        <w:t xml:space="preserve"> Perioperative Outcomes</w:t>
      </w:r>
    </w:p>
    <w:p w:rsidR="003C3E6C" w:rsidRDefault="003C3E6C" w:rsidP="00DB7D74">
      <w:pPr>
        <w:keepNext/>
        <w:keepLines/>
        <w:autoSpaceDE w:val="0"/>
        <w:autoSpaceDN w:val="0"/>
        <w:adjustRightInd w:val="0"/>
        <w:rPr>
          <w:rFonts w:ascii="Garamond" w:hAnsi="Garamond"/>
          <w:lang w:val="en-AU"/>
        </w:rPr>
      </w:pPr>
      <w:r w:rsidRPr="003C3E6C">
        <w:rPr>
          <w:rFonts w:ascii="Garamond" w:hAnsi="Garamond"/>
          <w:lang w:val="en-AU"/>
        </w:rPr>
        <w:t>Sun E, Mello MM, Rishel CA, Vaughn MT, Kheterpal S, Saager L, et al</w:t>
      </w:r>
    </w:p>
    <w:p w:rsidR="00DB7D74" w:rsidRDefault="003C3E6C" w:rsidP="00DB7D74">
      <w:pPr>
        <w:keepNext/>
        <w:keepLines/>
        <w:autoSpaceDE w:val="0"/>
        <w:autoSpaceDN w:val="0"/>
        <w:adjustRightInd w:val="0"/>
        <w:rPr>
          <w:rFonts w:ascii="Garamond" w:hAnsi="Garamond"/>
          <w:lang w:val="en-AU"/>
        </w:rPr>
      </w:pPr>
      <w:proofErr w:type="gramStart"/>
      <w:r w:rsidRPr="003C3E6C">
        <w:rPr>
          <w:rFonts w:ascii="Garamond" w:hAnsi="Garamond"/>
          <w:lang w:val="en-AU"/>
        </w:rPr>
        <w:t>JAMA.</w:t>
      </w:r>
      <w:proofErr w:type="gramEnd"/>
      <w:r w:rsidRPr="003C3E6C">
        <w:rPr>
          <w:rFonts w:ascii="Garamond" w:hAnsi="Garamond"/>
          <w:lang w:val="en-AU"/>
        </w:rPr>
        <w:t xml:space="preserve"> 2019</w:t>
      </w:r>
      <w:proofErr w:type="gramStart"/>
      <w:r w:rsidRPr="003C3E6C">
        <w:rPr>
          <w:rFonts w:ascii="Garamond" w:hAnsi="Garamond"/>
          <w:lang w:val="en-AU"/>
        </w:rPr>
        <w:t>;321</w:t>
      </w:r>
      <w:proofErr w:type="gramEnd"/>
      <w:r w:rsidRPr="003C3E6C">
        <w:rPr>
          <w:rFonts w:ascii="Garamond" w:hAnsi="Garamond"/>
          <w:lang w:val="en-AU"/>
        </w:rPr>
        <w:t>(8):762-72.</w:t>
      </w:r>
    </w:p>
    <w:p w:rsidR="009B42E0" w:rsidRDefault="009B42E0" w:rsidP="00DB7D74">
      <w:pPr>
        <w:keepNext/>
        <w:keepLines/>
        <w:autoSpaceDE w:val="0"/>
        <w:autoSpaceDN w:val="0"/>
        <w:adjustRightInd w:val="0"/>
        <w:rPr>
          <w:rFonts w:ascii="Garamond" w:hAnsi="Garamond"/>
          <w:lang w:val="en-AU"/>
        </w:rPr>
      </w:pPr>
    </w:p>
    <w:p w:rsidR="009B42E0" w:rsidRPr="009B42E0" w:rsidRDefault="009B42E0" w:rsidP="00DB7D74">
      <w:pPr>
        <w:keepNext/>
        <w:keepLines/>
        <w:autoSpaceDE w:val="0"/>
        <w:autoSpaceDN w:val="0"/>
        <w:adjustRightInd w:val="0"/>
        <w:rPr>
          <w:rFonts w:ascii="Garamond" w:hAnsi="Garamond"/>
          <w:i/>
          <w:lang w:val="en-AU"/>
        </w:rPr>
      </w:pPr>
      <w:proofErr w:type="gramStart"/>
      <w:r w:rsidRPr="009B42E0">
        <w:rPr>
          <w:rFonts w:ascii="Garamond" w:hAnsi="Garamond"/>
          <w:i/>
          <w:lang w:val="en-AU"/>
        </w:rPr>
        <w:t>Does overlapping surgery result in worse surgical outcomes?</w:t>
      </w:r>
      <w:proofErr w:type="gramEnd"/>
      <w:r w:rsidRPr="009B42E0">
        <w:rPr>
          <w:rFonts w:ascii="Garamond" w:hAnsi="Garamond"/>
          <w:i/>
          <w:lang w:val="en-AU"/>
        </w:rPr>
        <w:t xml:space="preserve"> A systematic review and meta-analysis</w:t>
      </w:r>
    </w:p>
    <w:p w:rsidR="009B42E0" w:rsidRDefault="009B42E0" w:rsidP="00DB7D74">
      <w:pPr>
        <w:keepNext/>
        <w:keepLines/>
        <w:autoSpaceDE w:val="0"/>
        <w:autoSpaceDN w:val="0"/>
        <w:adjustRightInd w:val="0"/>
        <w:rPr>
          <w:rFonts w:ascii="Garamond" w:hAnsi="Garamond"/>
          <w:lang w:val="en-AU"/>
        </w:rPr>
      </w:pPr>
      <w:r w:rsidRPr="009B42E0">
        <w:rPr>
          <w:rFonts w:ascii="Garamond" w:hAnsi="Garamond"/>
          <w:lang w:val="en-AU"/>
        </w:rPr>
        <w:t>Gartland RM, Alves K, Brasil NC, Mossanen M, Mort E, Wright CD, et al</w:t>
      </w:r>
    </w:p>
    <w:p w:rsidR="009B42E0" w:rsidRPr="00E566B0" w:rsidRDefault="009B42E0" w:rsidP="00DB7D74">
      <w:pPr>
        <w:keepNext/>
        <w:keepLines/>
        <w:autoSpaceDE w:val="0"/>
        <w:autoSpaceDN w:val="0"/>
        <w:adjustRightInd w:val="0"/>
        <w:rPr>
          <w:rFonts w:ascii="Garamond" w:hAnsi="Garamond"/>
          <w:lang w:val="en-AU"/>
        </w:rPr>
      </w:pPr>
      <w:proofErr w:type="gramStart"/>
      <w:r w:rsidRPr="009B42E0">
        <w:rPr>
          <w:rFonts w:ascii="Garamond" w:hAnsi="Garamond"/>
          <w:lang w:val="en-AU"/>
        </w:rPr>
        <w:t>The American Journal of Surgery.</w:t>
      </w:r>
      <w:proofErr w:type="gramEnd"/>
      <w:r w:rsidRPr="009B42E0">
        <w:rPr>
          <w:rFonts w:ascii="Garamond" w:hAnsi="Garamond"/>
          <w:lang w:val="en-AU"/>
        </w:rPr>
        <w:t xml:space="preserve"> </w:t>
      </w:r>
      <w:proofErr w:type="gramStart"/>
      <w:r w:rsidRPr="009B42E0">
        <w:rPr>
          <w:rFonts w:ascii="Garamond" w:hAnsi="Garamond"/>
          <w:lang w:val="en-AU"/>
        </w:rPr>
        <w:t>2018</w:t>
      </w:r>
      <w:r>
        <w:rPr>
          <w:rFonts w:ascii="Garamond" w:hAnsi="Garamond"/>
          <w:lang w:val="en-AU"/>
        </w:rPr>
        <w:t xml:space="preserve"> [epub]</w:t>
      </w:r>
      <w:r w:rsidRPr="009B42E0">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DB7D74" w:rsidRPr="000170DA" w:rsidTr="006A7492">
        <w:tc>
          <w:tcPr>
            <w:tcW w:w="1080" w:type="dxa"/>
            <w:tcBorders>
              <w:top w:val="single" w:sz="4" w:space="0" w:color="auto"/>
              <w:left w:val="single" w:sz="4" w:space="0" w:color="auto"/>
              <w:bottom w:val="single" w:sz="4" w:space="0" w:color="auto"/>
              <w:right w:val="single" w:sz="4" w:space="0" w:color="auto"/>
            </w:tcBorders>
            <w:vAlign w:val="center"/>
          </w:tcPr>
          <w:p w:rsidR="00DB7D74" w:rsidRPr="000170DA" w:rsidRDefault="00DB7D74" w:rsidP="006A749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B7D74" w:rsidRDefault="003C3E6C" w:rsidP="006A7492">
            <w:pPr>
              <w:rPr>
                <w:rStyle w:val="Hyperlink"/>
                <w:rFonts w:ascii="Garamond" w:hAnsi="Garamond"/>
                <w:color w:val="auto"/>
                <w:u w:val="none"/>
                <w:lang w:val="en-AU"/>
              </w:rPr>
            </w:pPr>
            <w:r>
              <w:rPr>
                <w:rStyle w:val="Hyperlink"/>
                <w:rFonts w:ascii="Garamond" w:hAnsi="Garamond"/>
                <w:color w:val="auto"/>
                <w:u w:val="none"/>
                <w:lang w:val="en-AU"/>
              </w:rPr>
              <w:t xml:space="preserve">Sun et al </w:t>
            </w:r>
            <w:hyperlink r:id="rId29" w:history="1">
              <w:r w:rsidRPr="003274C4">
                <w:rPr>
                  <w:rStyle w:val="Hyperlink"/>
                  <w:rFonts w:ascii="Garamond" w:hAnsi="Garamond"/>
                  <w:lang w:val="en-AU"/>
                </w:rPr>
                <w:t>https://doi.org/10.1001/jama.2019.0711</w:t>
              </w:r>
            </w:hyperlink>
          </w:p>
          <w:p w:rsidR="003C3E6C" w:rsidRPr="000170DA" w:rsidRDefault="009B42E0" w:rsidP="006A7492">
            <w:pPr>
              <w:rPr>
                <w:rStyle w:val="Hyperlink"/>
                <w:rFonts w:ascii="Garamond" w:hAnsi="Garamond"/>
                <w:color w:val="auto"/>
                <w:u w:val="none"/>
                <w:lang w:val="en-AU"/>
              </w:rPr>
            </w:pPr>
            <w:r>
              <w:rPr>
                <w:rStyle w:val="Hyperlink"/>
                <w:rFonts w:ascii="Garamond" w:hAnsi="Garamond"/>
                <w:color w:val="auto"/>
                <w:u w:val="none"/>
                <w:lang w:val="en-AU"/>
              </w:rPr>
              <w:t xml:space="preserve">Gartland et al </w:t>
            </w:r>
            <w:hyperlink r:id="rId30" w:history="1">
              <w:r w:rsidRPr="003274C4">
                <w:rPr>
                  <w:rStyle w:val="Hyperlink"/>
                  <w:rFonts w:ascii="Garamond" w:hAnsi="Garamond"/>
                  <w:lang w:val="en-AU"/>
                </w:rPr>
                <w:t>http://doi.org/10.1016/j.amjsurg.2018.11.039</w:t>
              </w:r>
            </w:hyperlink>
          </w:p>
        </w:tc>
      </w:tr>
      <w:tr w:rsidR="00DB7D74" w:rsidRPr="000170DA" w:rsidTr="006A7492">
        <w:tc>
          <w:tcPr>
            <w:tcW w:w="1080" w:type="dxa"/>
            <w:tcBorders>
              <w:top w:val="single" w:sz="4" w:space="0" w:color="auto"/>
              <w:left w:val="single" w:sz="4" w:space="0" w:color="auto"/>
              <w:bottom w:val="single" w:sz="4" w:space="0" w:color="auto"/>
              <w:right w:val="single" w:sz="4" w:space="0" w:color="auto"/>
            </w:tcBorders>
            <w:vAlign w:val="center"/>
          </w:tcPr>
          <w:p w:rsidR="00DB7D74" w:rsidRPr="000170DA" w:rsidRDefault="00DB7D74" w:rsidP="006A749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B7D74" w:rsidRDefault="00F65176" w:rsidP="00F65176">
            <w:pPr>
              <w:rPr>
                <w:rFonts w:ascii="Garamond" w:hAnsi="Garamond"/>
                <w:lang w:val="en-AU"/>
              </w:rPr>
            </w:pPr>
            <w:r>
              <w:rPr>
                <w:rFonts w:ascii="Garamond" w:hAnsi="Garamond"/>
                <w:lang w:val="en-AU"/>
              </w:rPr>
              <w:t xml:space="preserve">The conduct of overlapping surgery (in which the surgeon </w:t>
            </w:r>
            <w:r w:rsidR="00B41E24">
              <w:rPr>
                <w:rFonts w:ascii="Garamond" w:hAnsi="Garamond"/>
                <w:lang w:val="en-AU"/>
              </w:rPr>
              <w:t xml:space="preserve">is scheduled to </w:t>
            </w:r>
            <w:r>
              <w:rPr>
                <w:rFonts w:ascii="Garamond" w:hAnsi="Garamond"/>
                <w:lang w:val="en-AU"/>
              </w:rPr>
              <w:t xml:space="preserve">perform procedures </w:t>
            </w:r>
            <w:r w:rsidR="00B41E24" w:rsidRPr="00B41E24">
              <w:rPr>
                <w:rFonts w:ascii="Garamond" w:hAnsi="Garamond"/>
                <w:lang w:val="en-AU"/>
              </w:rPr>
              <w:t>so the start time of one procedure overlaps with the end time of another,</w:t>
            </w:r>
            <w:r>
              <w:rPr>
                <w:rFonts w:ascii="Garamond" w:hAnsi="Garamond"/>
                <w:lang w:val="en-AU"/>
              </w:rPr>
              <w:t>) has raised some concerns. These two papers are among the latest additions to the debate on the safety and efficacy of such practices.</w:t>
            </w:r>
          </w:p>
          <w:p w:rsidR="00F65176" w:rsidRDefault="00F65176" w:rsidP="00B41E24">
            <w:pPr>
              <w:rPr>
                <w:rFonts w:ascii="Garamond" w:hAnsi="Garamond"/>
                <w:lang w:val="en-AU"/>
              </w:rPr>
            </w:pPr>
            <w:r>
              <w:rPr>
                <w:rFonts w:ascii="Garamond" w:hAnsi="Garamond"/>
                <w:lang w:val="en-AU"/>
              </w:rPr>
              <w:t xml:space="preserve">Sun et al conducted a </w:t>
            </w:r>
            <w:r w:rsidRPr="00F65176">
              <w:rPr>
                <w:rFonts w:ascii="Garamond" w:hAnsi="Garamond"/>
                <w:lang w:val="en-AU"/>
              </w:rPr>
              <w:t>retrospective cohort study of 66</w:t>
            </w:r>
            <w:r w:rsidRPr="00F65176">
              <w:rPr>
                <w:lang w:val="en-AU"/>
              </w:rPr>
              <w:t> </w:t>
            </w:r>
            <w:r w:rsidRPr="00F65176">
              <w:rPr>
                <w:rFonts w:ascii="Garamond" w:hAnsi="Garamond"/>
                <w:lang w:val="en-AU"/>
              </w:rPr>
              <w:t>430 adults undergoing common operations</w:t>
            </w:r>
            <w:r w:rsidR="00B41E24">
              <w:rPr>
                <w:rFonts w:ascii="Garamond" w:hAnsi="Garamond"/>
                <w:lang w:val="en-AU"/>
              </w:rPr>
              <w:t xml:space="preserve"> (</w:t>
            </w:r>
            <w:r w:rsidR="00B41E24" w:rsidRPr="00B41E24">
              <w:rPr>
                <w:rFonts w:ascii="Garamond" w:hAnsi="Garamond"/>
                <w:lang w:val="en-AU"/>
              </w:rPr>
              <w:t>total knee or hip arthroplasty; spine surgery; coronary artery bypass graft (CABG) surgery; and craniotomy</w:t>
            </w:r>
            <w:r w:rsidR="00B41E24">
              <w:rPr>
                <w:rFonts w:ascii="Garamond" w:hAnsi="Garamond"/>
                <w:lang w:val="en-AU"/>
              </w:rPr>
              <w:t>)</w:t>
            </w:r>
            <w:r w:rsidR="00B41E24" w:rsidRPr="00B41E24">
              <w:rPr>
                <w:rFonts w:ascii="Garamond" w:hAnsi="Garamond"/>
                <w:lang w:val="en-AU"/>
              </w:rPr>
              <w:t xml:space="preserve"> at 8 </w:t>
            </w:r>
            <w:r w:rsidR="00B41E24">
              <w:rPr>
                <w:rFonts w:ascii="Garamond" w:hAnsi="Garamond"/>
                <w:lang w:val="en-AU"/>
              </w:rPr>
              <w:t xml:space="preserve">facilities </w:t>
            </w:r>
            <w:r w:rsidR="00B41E24" w:rsidRPr="00B41E24">
              <w:rPr>
                <w:rFonts w:ascii="Garamond" w:hAnsi="Garamond"/>
                <w:lang w:val="en-AU"/>
              </w:rPr>
              <w:t xml:space="preserve">between </w:t>
            </w:r>
            <w:r w:rsidR="00B41E24">
              <w:rPr>
                <w:rFonts w:ascii="Garamond" w:hAnsi="Garamond"/>
                <w:lang w:val="en-AU"/>
              </w:rPr>
              <w:t xml:space="preserve">1 </w:t>
            </w:r>
            <w:r w:rsidR="00B41E24" w:rsidRPr="00B41E24">
              <w:rPr>
                <w:rFonts w:ascii="Garamond" w:hAnsi="Garamond"/>
                <w:lang w:val="en-AU"/>
              </w:rPr>
              <w:t xml:space="preserve">January 2010, and </w:t>
            </w:r>
            <w:r w:rsidR="00B41E24">
              <w:rPr>
                <w:rFonts w:ascii="Garamond" w:hAnsi="Garamond"/>
                <w:lang w:val="en-AU"/>
              </w:rPr>
              <w:t xml:space="preserve">31 </w:t>
            </w:r>
            <w:r w:rsidR="00B41E24" w:rsidRPr="00B41E24">
              <w:rPr>
                <w:rFonts w:ascii="Garamond" w:hAnsi="Garamond"/>
                <w:lang w:val="en-AU"/>
              </w:rPr>
              <w:t>May 2018</w:t>
            </w:r>
            <w:r w:rsidR="00B41E24">
              <w:rPr>
                <w:rFonts w:ascii="Garamond" w:hAnsi="Garamond"/>
                <w:lang w:val="en-AU"/>
              </w:rPr>
              <w:t>. They report finding that ‘</w:t>
            </w:r>
            <w:r w:rsidR="00B41E24" w:rsidRPr="00B41E24">
              <w:rPr>
                <w:rFonts w:ascii="Garamond" w:hAnsi="Garamond"/>
                <w:b/>
                <w:lang w:val="en-AU"/>
              </w:rPr>
              <w:t xml:space="preserve">overlapping surgery was not significantly associated with differences in in-hospital mortality </w:t>
            </w:r>
            <w:r w:rsidR="00B41E24" w:rsidRPr="00B41E24">
              <w:rPr>
                <w:rFonts w:ascii="Garamond" w:hAnsi="Garamond"/>
                <w:lang w:val="en-AU"/>
              </w:rPr>
              <w:t xml:space="preserve">(adjusted rate, 1.9% vs 1.6%) </w:t>
            </w:r>
            <w:r w:rsidR="00B41E24" w:rsidRPr="00B41E24">
              <w:rPr>
                <w:rFonts w:ascii="Garamond" w:hAnsi="Garamond"/>
                <w:b/>
                <w:lang w:val="en-AU"/>
              </w:rPr>
              <w:t>or postoperative complications</w:t>
            </w:r>
            <w:r w:rsidR="00B41E24" w:rsidRPr="00B41E24">
              <w:rPr>
                <w:rFonts w:ascii="Garamond" w:hAnsi="Garamond"/>
                <w:lang w:val="en-AU"/>
              </w:rPr>
              <w:t xml:space="preserve"> (adjusted rate, 12.8% vs 11.8%) but was significantly associated with </w:t>
            </w:r>
            <w:r w:rsidR="00B41E24" w:rsidRPr="00B41E24">
              <w:rPr>
                <w:rFonts w:ascii="Garamond" w:hAnsi="Garamond"/>
                <w:b/>
                <w:lang w:val="en-AU"/>
              </w:rPr>
              <w:t>increased surgery length</w:t>
            </w:r>
            <w:r w:rsidR="00B41E24" w:rsidRPr="00B41E24">
              <w:rPr>
                <w:rFonts w:ascii="Garamond" w:hAnsi="Garamond"/>
                <w:lang w:val="en-AU"/>
              </w:rPr>
              <w:t xml:space="preserve"> (adjusted length, 204 vs 173 minutes).</w:t>
            </w:r>
            <w:r w:rsidR="00B41E24">
              <w:rPr>
                <w:rFonts w:ascii="Garamond" w:hAnsi="Garamond"/>
                <w:lang w:val="en-AU"/>
              </w:rPr>
              <w:t>’</w:t>
            </w:r>
          </w:p>
          <w:p w:rsidR="006261D6" w:rsidRPr="00831B85" w:rsidRDefault="009B42E0" w:rsidP="00253ADD">
            <w:pPr>
              <w:rPr>
                <w:rFonts w:ascii="Garamond" w:hAnsi="Garamond"/>
                <w:lang w:val="en-AU"/>
              </w:rPr>
            </w:pPr>
            <w:r>
              <w:rPr>
                <w:rFonts w:ascii="Garamond" w:hAnsi="Garamond"/>
                <w:lang w:val="en-AU"/>
              </w:rPr>
              <w:lastRenderedPageBreak/>
              <w:t xml:space="preserve">These findings echo those of Gartland et al’s systematic review and meta-analysis that covered 14 studies. </w:t>
            </w:r>
            <w:r w:rsidR="00253ADD">
              <w:rPr>
                <w:rFonts w:ascii="Garamond" w:hAnsi="Garamond"/>
                <w:lang w:val="en-AU"/>
              </w:rPr>
              <w:t xml:space="preserve">Gartland et al </w:t>
            </w:r>
            <w:r>
              <w:rPr>
                <w:rFonts w:ascii="Garamond" w:hAnsi="Garamond"/>
                <w:lang w:val="en-AU"/>
              </w:rPr>
              <w:t xml:space="preserve">report finding </w:t>
            </w:r>
            <w:r w:rsidRPr="009B42E0">
              <w:rPr>
                <w:rFonts w:ascii="Garamond" w:hAnsi="Garamond"/>
                <w:b/>
                <w:lang w:val="en-AU"/>
              </w:rPr>
              <w:t>no significant differences</w:t>
            </w:r>
            <w:r>
              <w:rPr>
                <w:rFonts w:ascii="Garamond" w:hAnsi="Garamond"/>
                <w:lang w:val="en-AU"/>
              </w:rPr>
              <w:t xml:space="preserve"> in </w:t>
            </w:r>
            <w:r w:rsidRPr="009B42E0">
              <w:rPr>
                <w:rFonts w:ascii="Garamond" w:hAnsi="Garamond"/>
                <w:b/>
                <w:lang w:val="en-AU"/>
              </w:rPr>
              <w:t>30-day mortality</w:t>
            </w:r>
            <w:r>
              <w:rPr>
                <w:rFonts w:ascii="Garamond" w:hAnsi="Garamond"/>
                <w:lang w:val="en-AU"/>
              </w:rPr>
              <w:t>,</w:t>
            </w:r>
            <w:r w:rsidRPr="009B42E0">
              <w:rPr>
                <w:rFonts w:ascii="Garamond" w:hAnsi="Garamond"/>
                <w:lang w:val="en-AU"/>
              </w:rPr>
              <w:t xml:space="preserve"> </w:t>
            </w:r>
            <w:r w:rsidRPr="009B42E0">
              <w:rPr>
                <w:rFonts w:ascii="Garamond" w:hAnsi="Garamond"/>
                <w:b/>
                <w:lang w:val="en-AU"/>
              </w:rPr>
              <w:t>overall morbidity</w:t>
            </w:r>
            <w:r w:rsidRPr="009B42E0">
              <w:rPr>
                <w:rFonts w:ascii="Garamond" w:hAnsi="Garamond"/>
                <w:lang w:val="en-AU"/>
              </w:rPr>
              <w:t xml:space="preserve"> </w:t>
            </w:r>
            <w:r>
              <w:rPr>
                <w:rFonts w:ascii="Garamond" w:hAnsi="Garamond"/>
                <w:lang w:val="en-AU"/>
              </w:rPr>
              <w:t xml:space="preserve">or </w:t>
            </w:r>
            <w:r w:rsidRPr="009B42E0">
              <w:rPr>
                <w:rFonts w:ascii="Garamond" w:hAnsi="Garamond"/>
                <w:b/>
                <w:lang w:val="en-AU"/>
              </w:rPr>
              <w:t>unplanned reoperation</w:t>
            </w:r>
            <w:r w:rsidRPr="009B42E0">
              <w:rPr>
                <w:rFonts w:ascii="Garamond" w:hAnsi="Garamond"/>
                <w:lang w:val="en-AU"/>
              </w:rPr>
              <w:t xml:space="preserve"> in overlapping versus non</w:t>
            </w:r>
            <w:r>
              <w:rPr>
                <w:rFonts w:ascii="Garamond" w:hAnsi="Garamond"/>
                <w:lang w:val="en-AU"/>
              </w:rPr>
              <w:t>-</w:t>
            </w:r>
            <w:r w:rsidRPr="009B42E0">
              <w:rPr>
                <w:rFonts w:ascii="Garamond" w:hAnsi="Garamond"/>
                <w:lang w:val="en-AU"/>
              </w:rPr>
              <w:t>overlapping surgery across a range of procedures</w:t>
            </w:r>
            <w:r>
              <w:rPr>
                <w:rFonts w:ascii="Garamond" w:hAnsi="Garamond"/>
                <w:lang w:val="en-AU"/>
              </w:rPr>
              <w:t xml:space="preserve">. They also found an </w:t>
            </w:r>
            <w:r w:rsidRPr="009B42E0">
              <w:rPr>
                <w:rFonts w:ascii="Garamond" w:hAnsi="Garamond"/>
                <w:b/>
                <w:lang w:val="en-AU"/>
              </w:rPr>
              <w:t>increase in duration</w:t>
            </w:r>
            <w:r>
              <w:rPr>
                <w:rFonts w:ascii="Garamond" w:hAnsi="Garamond"/>
                <w:lang w:val="en-AU"/>
              </w:rPr>
              <w:t xml:space="preserve"> </w:t>
            </w:r>
            <w:r w:rsidRPr="009B42E0">
              <w:rPr>
                <w:rFonts w:ascii="Garamond" w:hAnsi="Garamond"/>
                <w:lang w:val="en-AU"/>
              </w:rPr>
              <w:t>for overlapping surgeries</w:t>
            </w:r>
            <w:r>
              <w:rPr>
                <w:rFonts w:ascii="Garamond" w:hAnsi="Garamond"/>
                <w:lang w:val="en-AU"/>
              </w:rPr>
              <w:t>.</w:t>
            </w:r>
          </w:p>
        </w:tc>
      </w:tr>
    </w:tbl>
    <w:p w:rsidR="00253ADD" w:rsidRDefault="00253ADD" w:rsidP="00BB3114">
      <w:pPr>
        <w:keepNext/>
        <w:rPr>
          <w:rFonts w:ascii="Garamond" w:hAnsi="Garamond"/>
          <w:i/>
          <w:lang w:val="en-AU"/>
        </w:rPr>
      </w:pPr>
    </w:p>
    <w:p w:rsidR="00BB3114" w:rsidRPr="00046B73" w:rsidRDefault="00BB3114" w:rsidP="00BB3114">
      <w:pPr>
        <w:keepNext/>
        <w:rPr>
          <w:rFonts w:ascii="Garamond" w:hAnsi="Garamond"/>
          <w:i/>
          <w:vanish/>
          <w:lang w:val="en-AU"/>
          <w:specVanish/>
        </w:rPr>
      </w:pPr>
      <w:r w:rsidRPr="00BB3114">
        <w:rPr>
          <w:rFonts w:ascii="Garamond" w:hAnsi="Garamond"/>
          <w:i/>
          <w:lang w:val="en-AU"/>
        </w:rPr>
        <w:t>Pediatric Quality &amp; Safety</w:t>
      </w:r>
    </w:p>
    <w:p w:rsidR="00B3393A" w:rsidRDefault="00046B73" w:rsidP="00BB3114">
      <w:pPr>
        <w:keepNext/>
        <w:rPr>
          <w:rFonts w:ascii="Garamond" w:hAnsi="Garamond"/>
          <w:lang w:val="en-AU"/>
        </w:rPr>
      </w:pPr>
      <w:r>
        <w:rPr>
          <w:rFonts w:ascii="Garamond" w:hAnsi="Garamond"/>
          <w:lang w:val="en-AU"/>
        </w:rPr>
        <w:t xml:space="preserve"> </w:t>
      </w:r>
    </w:p>
    <w:p w:rsidR="00D60376" w:rsidRPr="00D65371" w:rsidRDefault="00BB3114" w:rsidP="00BB3114">
      <w:pPr>
        <w:keepNext/>
        <w:rPr>
          <w:rFonts w:ascii="Garamond" w:hAnsi="Garamond"/>
          <w:lang w:val="en-AU"/>
        </w:rPr>
      </w:pPr>
      <w:r w:rsidRPr="00BB3114">
        <w:rPr>
          <w:rFonts w:ascii="Garamond" w:hAnsi="Garamond"/>
          <w:lang w:val="en-AU"/>
        </w:rPr>
        <w:t>Vol. 4, No. 1, January/February 2019</w:t>
      </w:r>
    </w:p>
    <w:tbl>
      <w:tblPr>
        <w:tblStyle w:val="TableGrid"/>
        <w:tblW w:w="0" w:type="auto"/>
        <w:tblInd w:w="288" w:type="dxa"/>
        <w:tblLayout w:type="fixed"/>
        <w:tblLook w:val="01E0" w:firstRow="1" w:lastRow="1" w:firstColumn="1" w:lastColumn="1" w:noHBand="0" w:noVBand="0"/>
      </w:tblPr>
      <w:tblGrid>
        <w:gridCol w:w="1080"/>
        <w:gridCol w:w="8280"/>
      </w:tblGrid>
      <w:tr w:rsidR="00D60376" w:rsidRPr="000170DA" w:rsidTr="00120C32">
        <w:tc>
          <w:tcPr>
            <w:tcW w:w="1080" w:type="dxa"/>
            <w:tcBorders>
              <w:top w:val="single" w:sz="4" w:space="0" w:color="auto"/>
              <w:left w:val="single" w:sz="4" w:space="0" w:color="auto"/>
              <w:bottom w:val="single" w:sz="4" w:space="0" w:color="auto"/>
              <w:right w:val="single" w:sz="4" w:space="0" w:color="auto"/>
            </w:tcBorders>
            <w:vAlign w:val="center"/>
          </w:tcPr>
          <w:p w:rsidR="00D60376" w:rsidRPr="000170DA" w:rsidRDefault="00D60376" w:rsidP="00120C3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60376" w:rsidRPr="000170DA" w:rsidRDefault="008400A7" w:rsidP="00120C32">
            <w:pPr>
              <w:rPr>
                <w:rStyle w:val="Hyperlink"/>
                <w:rFonts w:ascii="Garamond" w:hAnsi="Garamond"/>
                <w:color w:val="auto"/>
                <w:u w:val="none"/>
                <w:lang w:val="en-AU"/>
              </w:rPr>
            </w:pPr>
            <w:hyperlink r:id="rId31" w:history="1">
              <w:r w:rsidR="00A14A0A" w:rsidRPr="003274C4">
                <w:rPr>
                  <w:rStyle w:val="Hyperlink"/>
                  <w:rFonts w:ascii="Garamond" w:hAnsi="Garamond"/>
                  <w:lang w:val="en-AU"/>
                </w:rPr>
                <w:t>https://journals.lww.com/pqs/toc/2019/01000</w:t>
              </w:r>
            </w:hyperlink>
          </w:p>
        </w:tc>
      </w:tr>
      <w:tr w:rsidR="00D60376" w:rsidRPr="000170DA" w:rsidTr="00120C32">
        <w:tc>
          <w:tcPr>
            <w:tcW w:w="1080" w:type="dxa"/>
            <w:tcBorders>
              <w:top w:val="single" w:sz="4" w:space="0" w:color="auto"/>
              <w:left w:val="single" w:sz="4" w:space="0" w:color="auto"/>
              <w:bottom w:val="single" w:sz="4" w:space="0" w:color="auto"/>
              <w:right w:val="single" w:sz="4" w:space="0" w:color="auto"/>
            </w:tcBorders>
            <w:vAlign w:val="center"/>
          </w:tcPr>
          <w:p w:rsidR="00D60376" w:rsidRPr="000170DA" w:rsidRDefault="00D60376" w:rsidP="00120C3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1737" w:rsidRPr="007C3778" w:rsidRDefault="00D60376" w:rsidP="003E1737">
            <w:pPr>
              <w:rPr>
                <w:rFonts w:ascii="Garamond" w:hAnsi="Garamond"/>
                <w:lang w:val="en-AU"/>
              </w:rPr>
            </w:pPr>
            <w:r w:rsidRPr="00B440ED">
              <w:rPr>
                <w:rFonts w:ascii="Garamond" w:hAnsi="Garamond"/>
                <w:lang w:val="en-AU"/>
              </w:rPr>
              <w:t xml:space="preserve">A new issue of </w:t>
            </w:r>
            <w:r w:rsidR="00BB3114" w:rsidRPr="00BB3114">
              <w:rPr>
                <w:rFonts w:ascii="Garamond" w:hAnsi="Garamond"/>
                <w:i/>
                <w:lang w:val="en-AU"/>
              </w:rPr>
              <w:t>Pediatric Quality &amp; Safety</w:t>
            </w:r>
            <w:r w:rsidR="00BB3114" w:rsidRPr="00B440ED">
              <w:rPr>
                <w:rFonts w:ascii="Garamond" w:hAnsi="Garamond"/>
                <w:lang w:val="en-AU"/>
              </w:rPr>
              <w:t xml:space="preserve"> </w:t>
            </w:r>
            <w:r w:rsidRPr="00B440ED">
              <w:rPr>
                <w:rFonts w:ascii="Garamond" w:hAnsi="Garamond"/>
                <w:lang w:val="en-AU"/>
              </w:rPr>
              <w:t xml:space="preserve">has been published. Articles in this issue of </w:t>
            </w:r>
            <w:r w:rsidR="00BB3114" w:rsidRPr="00BB3114">
              <w:rPr>
                <w:rFonts w:ascii="Garamond" w:hAnsi="Garamond"/>
                <w:i/>
                <w:lang w:val="en-AU"/>
              </w:rPr>
              <w:t>Pediatric Quality &amp; Safety</w:t>
            </w:r>
            <w:r w:rsidR="00BB3114" w:rsidRPr="00B440ED">
              <w:rPr>
                <w:rFonts w:ascii="Garamond" w:hAnsi="Garamond"/>
                <w:lang w:val="en-AU"/>
              </w:rPr>
              <w:t xml:space="preserve"> </w:t>
            </w:r>
            <w:r w:rsidRPr="00B440ED">
              <w:rPr>
                <w:rFonts w:ascii="Garamond" w:hAnsi="Garamond"/>
                <w:lang w:val="en-AU"/>
              </w:rPr>
              <w:t>include:</w:t>
            </w:r>
          </w:p>
          <w:p w:rsidR="00A14A0A" w:rsidRPr="00A14A0A" w:rsidRDefault="00A14A0A" w:rsidP="00A14A0A">
            <w:pPr>
              <w:pStyle w:val="ListParagraph"/>
              <w:numPr>
                <w:ilvl w:val="0"/>
                <w:numId w:val="40"/>
              </w:numPr>
              <w:rPr>
                <w:rFonts w:ascii="Garamond" w:hAnsi="Garamond"/>
                <w:lang w:val="en-AU"/>
              </w:rPr>
            </w:pPr>
            <w:r w:rsidRPr="00A14A0A">
              <w:rPr>
                <w:rFonts w:ascii="Garamond" w:hAnsi="Garamond"/>
                <w:lang w:val="en-AU"/>
              </w:rPr>
              <w:t xml:space="preserve">Improving Access to </w:t>
            </w:r>
            <w:r w:rsidRPr="00A14A0A">
              <w:rPr>
                <w:rFonts w:ascii="Garamond" w:hAnsi="Garamond"/>
                <w:b/>
                <w:lang w:val="en-AU"/>
              </w:rPr>
              <w:t>Lactation Consultation and Early Breast Milk Use</w:t>
            </w:r>
            <w:r w:rsidRPr="00A14A0A">
              <w:rPr>
                <w:rFonts w:ascii="Garamond" w:hAnsi="Garamond"/>
                <w:lang w:val="en-AU"/>
              </w:rPr>
              <w:t xml:space="preserve"> in an Outborn NICU (Kristen T Leeman, Kimberly Barbas, Julia Strauss, Shannon Adams, Karen Sussman-Karten, A Kelly, M G K Parker, A Hansen</w:t>
            </w:r>
            <w:r>
              <w:rPr>
                <w:rFonts w:ascii="Garamond" w:hAnsi="Garamond"/>
                <w:lang w:val="en-AU"/>
              </w:rPr>
              <w:t>)</w:t>
            </w:r>
          </w:p>
          <w:p w:rsidR="00A14A0A" w:rsidRPr="00A14A0A" w:rsidRDefault="00A14A0A" w:rsidP="00A14A0A">
            <w:pPr>
              <w:pStyle w:val="ListParagraph"/>
              <w:numPr>
                <w:ilvl w:val="0"/>
                <w:numId w:val="40"/>
              </w:numPr>
              <w:rPr>
                <w:rFonts w:ascii="Garamond" w:hAnsi="Garamond"/>
                <w:lang w:val="en-AU"/>
              </w:rPr>
            </w:pPr>
            <w:r w:rsidRPr="00A14A0A">
              <w:rPr>
                <w:rFonts w:ascii="Garamond" w:hAnsi="Garamond"/>
                <w:b/>
                <w:lang w:val="en-AU"/>
              </w:rPr>
              <w:t>Necrotizing Enterocolitis and Spontaneous Intestinal Perforation</w:t>
            </w:r>
            <w:r w:rsidRPr="00A14A0A">
              <w:rPr>
                <w:rFonts w:ascii="Garamond" w:hAnsi="Garamond"/>
                <w:lang w:val="en-AU"/>
              </w:rPr>
              <w:t>: A Spatiotemporal Case Cluster Analysis (Thomas Murphy, Samuel Yang, Richard Tucker, Hillary Collyer, Arlet G. Kurkchubasche, Jesse Bender</w:t>
            </w:r>
            <w:r>
              <w:rPr>
                <w:rFonts w:ascii="Garamond" w:hAnsi="Garamond"/>
                <w:lang w:val="en-AU"/>
              </w:rPr>
              <w:t>)</w:t>
            </w:r>
          </w:p>
          <w:p w:rsidR="00A14A0A" w:rsidRPr="00A14A0A" w:rsidRDefault="00A14A0A" w:rsidP="00A14A0A">
            <w:pPr>
              <w:pStyle w:val="ListParagraph"/>
              <w:numPr>
                <w:ilvl w:val="0"/>
                <w:numId w:val="40"/>
              </w:numPr>
              <w:rPr>
                <w:rFonts w:ascii="Garamond" w:hAnsi="Garamond"/>
                <w:lang w:val="en-AU"/>
              </w:rPr>
            </w:pPr>
            <w:r w:rsidRPr="00A14A0A">
              <w:rPr>
                <w:rFonts w:ascii="Garamond" w:hAnsi="Garamond"/>
                <w:b/>
                <w:lang w:val="en-AU"/>
              </w:rPr>
              <w:t>Audit-and-Feedback and Workflow Changes Improve Emergency Department Care</w:t>
            </w:r>
            <w:r w:rsidRPr="00A14A0A">
              <w:rPr>
                <w:rFonts w:ascii="Garamond" w:hAnsi="Garamond"/>
                <w:lang w:val="en-AU"/>
              </w:rPr>
              <w:t xml:space="preserve"> of Critically Ill Children (Sandra P Spencer, Todd Karsies</w:t>
            </w:r>
            <w:r>
              <w:rPr>
                <w:rFonts w:ascii="Garamond" w:hAnsi="Garamond"/>
                <w:lang w:val="en-AU"/>
              </w:rPr>
              <w:t>)</w:t>
            </w:r>
          </w:p>
          <w:p w:rsidR="00A14A0A" w:rsidRPr="00A14A0A" w:rsidRDefault="00A14A0A" w:rsidP="00A14A0A">
            <w:pPr>
              <w:pStyle w:val="ListParagraph"/>
              <w:numPr>
                <w:ilvl w:val="0"/>
                <w:numId w:val="40"/>
              </w:numPr>
              <w:rPr>
                <w:rFonts w:ascii="Garamond" w:hAnsi="Garamond"/>
                <w:lang w:val="en-AU"/>
              </w:rPr>
            </w:pPr>
            <w:r w:rsidRPr="00A14A0A">
              <w:rPr>
                <w:rFonts w:ascii="Garamond" w:hAnsi="Garamond"/>
                <w:b/>
                <w:lang w:val="en-AU"/>
              </w:rPr>
              <w:t>Improved Teamwork and Implementation of Clinical Pathways</w:t>
            </w:r>
            <w:r w:rsidRPr="00A14A0A">
              <w:rPr>
                <w:rFonts w:ascii="Garamond" w:hAnsi="Garamond"/>
                <w:lang w:val="en-AU"/>
              </w:rPr>
              <w:t xml:space="preserve"> in a Congenital Heart Surgery Program (Tina Schade Willis, Theodore Yip, Karla Brown, Scott Buck, Michael Mill</w:t>
            </w:r>
            <w:r>
              <w:rPr>
                <w:rFonts w:ascii="Garamond" w:hAnsi="Garamond"/>
                <w:lang w:val="en-AU"/>
              </w:rPr>
              <w:t>)</w:t>
            </w:r>
          </w:p>
          <w:p w:rsidR="00A14A0A" w:rsidRPr="00A14A0A" w:rsidRDefault="00A14A0A" w:rsidP="00A14A0A">
            <w:pPr>
              <w:pStyle w:val="ListParagraph"/>
              <w:numPr>
                <w:ilvl w:val="0"/>
                <w:numId w:val="40"/>
              </w:numPr>
              <w:rPr>
                <w:rFonts w:ascii="Garamond" w:hAnsi="Garamond"/>
                <w:lang w:val="en-AU"/>
              </w:rPr>
            </w:pPr>
            <w:r w:rsidRPr="00A14A0A">
              <w:rPr>
                <w:rFonts w:ascii="Garamond" w:hAnsi="Garamond"/>
                <w:lang w:val="en-AU"/>
              </w:rPr>
              <w:t xml:space="preserve">Decreasing </w:t>
            </w:r>
            <w:r w:rsidRPr="00A14A0A">
              <w:rPr>
                <w:rFonts w:ascii="Garamond" w:hAnsi="Garamond"/>
                <w:b/>
                <w:lang w:val="en-AU"/>
              </w:rPr>
              <w:t>Door-to-Door Times for Infliximab Infusions</w:t>
            </w:r>
            <w:r w:rsidRPr="00A14A0A">
              <w:rPr>
                <w:rFonts w:ascii="Garamond" w:hAnsi="Garamond"/>
                <w:lang w:val="en-AU"/>
              </w:rPr>
              <w:t xml:space="preserve"> in a Children's Hospital Observation Unit (Kelly C Sandberg, Janet N Lucien, Denise Stoll, Erica Yanney, Adam Mezoff</w:t>
            </w:r>
            <w:r>
              <w:rPr>
                <w:rFonts w:ascii="Garamond" w:hAnsi="Garamond"/>
                <w:lang w:val="en-AU"/>
              </w:rPr>
              <w:t>)</w:t>
            </w:r>
          </w:p>
          <w:p w:rsidR="00A14A0A" w:rsidRPr="00A14A0A" w:rsidRDefault="00A14A0A" w:rsidP="00A14A0A">
            <w:pPr>
              <w:pStyle w:val="ListParagraph"/>
              <w:numPr>
                <w:ilvl w:val="0"/>
                <w:numId w:val="40"/>
              </w:numPr>
              <w:rPr>
                <w:rFonts w:ascii="Garamond" w:hAnsi="Garamond"/>
                <w:lang w:val="en-AU"/>
              </w:rPr>
            </w:pPr>
            <w:r w:rsidRPr="00A14A0A">
              <w:rPr>
                <w:rFonts w:ascii="Garamond" w:hAnsi="Garamond"/>
                <w:lang w:val="en-AU"/>
              </w:rPr>
              <w:t xml:space="preserve">Strengthening the Chain of Survival: </w:t>
            </w:r>
            <w:r w:rsidRPr="00B3393A">
              <w:rPr>
                <w:rFonts w:ascii="Garamond" w:hAnsi="Garamond"/>
                <w:b/>
                <w:lang w:val="en-AU"/>
              </w:rPr>
              <w:t>Cardiopulmonary Resuscitation Workshop for Caregivers</w:t>
            </w:r>
            <w:r w:rsidRPr="00A14A0A">
              <w:rPr>
                <w:rFonts w:ascii="Garamond" w:hAnsi="Garamond"/>
                <w:lang w:val="en-AU"/>
              </w:rPr>
              <w:t xml:space="preserve"> of Children at Risk (Cristina Tomatis Souverbielle, Felipe González-Martínez, Maria I. González-Sánchez, Marta Carrón, Luis Guerra Miguez, Laura Butragueño, Henar Gonzalo, Tomas Villalba, Jimena Perez Moreno, Blanca Toledo, Rosa Rodríguez-Fernández</w:t>
            </w:r>
            <w:r>
              <w:rPr>
                <w:rFonts w:ascii="Garamond" w:hAnsi="Garamond"/>
                <w:lang w:val="en-AU"/>
              </w:rPr>
              <w:t>)</w:t>
            </w:r>
          </w:p>
          <w:p w:rsidR="00A14A0A" w:rsidRPr="00A14A0A" w:rsidRDefault="00A14A0A" w:rsidP="00A14A0A">
            <w:pPr>
              <w:pStyle w:val="ListParagraph"/>
              <w:numPr>
                <w:ilvl w:val="0"/>
                <w:numId w:val="40"/>
              </w:numPr>
              <w:rPr>
                <w:rFonts w:ascii="Garamond" w:hAnsi="Garamond"/>
                <w:lang w:val="en-AU"/>
              </w:rPr>
            </w:pPr>
            <w:r w:rsidRPr="00A14A0A">
              <w:rPr>
                <w:rFonts w:ascii="Garamond" w:hAnsi="Garamond"/>
                <w:lang w:val="en-AU"/>
              </w:rPr>
              <w:t xml:space="preserve">Trigger Criteria to Increase </w:t>
            </w:r>
            <w:r w:rsidRPr="00A14A0A">
              <w:rPr>
                <w:rFonts w:ascii="Garamond" w:hAnsi="Garamond"/>
                <w:b/>
                <w:lang w:val="en-AU"/>
              </w:rPr>
              <w:t>Appropriate Palliative Care Consultation</w:t>
            </w:r>
            <w:r w:rsidRPr="00A14A0A">
              <w:rPr>
                <w:rFonts w:ascii="Garamond" w:hAnsi="Garamond"/>
                <w:lang w:val="en-AU"/>
              </w:rPr>
              <w:t xml:space="preserve"> in the Neonatal Intensive Care Unit (Lisa Humphrey, Amy Schlegel, Ruth Seabrook, Richard McClead</w:t>
            </w:r>
            <w:r>
              <w:rPr>
                <w:rFonts w:ascii="Garamond" w:hAnsi="Garamond"/>
                <w:lang w:val="en-AU"/>
              </w:rPr>
              <w:t>)</w:t>
            </w:r>
          </w:p>
          <w:p w:rsidR="00A14A0A" w:rsidRPr="00A14A0A" w:rsidRDefault="00A14A0A" w:rsidP="00A14A0A">
            <w:pPr>
              <w:pStyle w:val="ListParagraph"/>
              <w:numPr>
                <w:ilvl w:val="0"/>
                <w:numId w:val="40"/>
              </w:numPr>
              <w:rPr>
                <w:rFonts w:ascii="Garamond" w:hAnsi="Garamond"/>
                <w:lang w:val="en-AU"/>
              </w:rPr>
            </w:pPr>
            <w:r w:rsidRPr="00A14A0A">
              <w:rPr>
                <w:rFonts w:ascii="Garamond" w:hAnsi="Garamond"/>
                <w:lang w:val="en-AU"/>
              </w:rPr>
              <w:t xml:space="preserve">Implementing </w:t>
            </w:r>
            <w:r w:rsidRPr="00A14A0A">
              <w:rPr>
                <w:rFonts w:ascii="Garamond" w:hAnsi="Garamond"/>
                <w:b/>
                <w:lang w:val="en-AU"/>
              </w:rPr>
              <w:t>Outcome-based Care in Pediatric Psychiatry</w:t>
            </w:r>
            <w:r w:rsidRPr="00A14A0A">
              <w:rPr>
                <w:rFonts w:ascii="Garamond" w:hAnsi="Garamond"/>
                <w:lang w:val="en-AU"/>
              </w:rPr>
              <w:t>: Early Results and Overcoming Barriers (Rajeev Krishna, Jahnavi Valleru, Whitney Smith</w:t>
            </w:r>
            <w:r>
              <w:rPr>
                <w:rFonts w:ascii="Garamond" w:hAnsi="Garamond"/>
                <w:lang w:val="en-AU"/>
              </w:rPr>
              <w:t>)</w:t>
            </w:r>
          </w:p>
          <w:p w:rsidR="00A14A0A" w:rsidRPr="00A14A0A" w:rsidRDefault="00A14A0A" w:rsidP="00A14A0A">
            <w:pPr>
              <w:pStyle w:val="ListParagraph"/>
              <w:numPr>
                <w:ilvl w:val="0"/>
                <w:numId w:val="40"/>
              </w:numPr>
              <w:rPr>
                <w:rFonts w:ascii="Garamond" w:hAnsi="Garamond"/>
                <w:lang w:val="en-AU"/>
              </w:rPr>
            </w:pPr>
            <w:r w:rsidRPr="00A14A0A">
              <w:rPr>
                <w:rFonts w:ascii="Garamond" w:hAnsi="Garamond"/>
                <w:lang w:val="en-AU"/>
              </w:rPr>
              <w:t xml:space="preserve">A Project-based Curriculum for Driving </w:t>
            </w:r>
            <w:r w:rsidRPr="00A14A0A">
              <w:rPr>
                <w:rFonts w:ascii="Garamond" w:hAnsi="Garamond"/>
                <w:b/>
                <w:lang w:val="en-AU"/>
              </w:rPr>
              <w:t>Organization-wide Continuous Improvement</w:t>
            </w:r>
            <w:r w:rsidRPr="00A14A0A">
              <w:rPr>
                <w:rFonts w:ascii="Garamond" w:hAnsi="Garamond"/>
                <w:lang w:val="en-AU"/>
              </w:rPr>
              <w:t xml:space="preserve"> (Lory D Harte, Mamta Reddy, Lisa K</w:t>
            </w:r>
            <w:r>
              <w:rPr>
                <w:rFonts w:ascii="Garamond" w:hAnsi="Garamond"/>
                <w:lang w:val="en-AU"/>
              </w:rPr>
              <w:t xml:space="preserve"> Marshall, Kevin J</w:t>
            </w:r>
            <w:r w:rsidRPr="00A14A0A">
              <w:rPr>
                <w:rFonts w:ascii="Garamond" w:hAnsi="Garamond"/>
                <w:lang w:val="en-AU"/>
              </w:rPr>
              <w:t xml:space="preserve"> Mroczka, Keith J Mann</w:t>
            </w:r>
            <w:r>
              <w:rPr>
                <w:rFonts w:ascii="Garamond" w:hAnsi="Garamond"/>
                <w:lang w:val="en-AU"/>
              </w:rPr>
              <w:t>)</w:t>
            </w:r>
          </w:p>
          <w:p w:rsidR="00A14A0A" w:rsidRPr="00A14A0A" w:rsidRDefault="00A14A0A" w:rsidP="00A14A0A">
            <w:pPr>
              <w:pStyle w:val="ListParagraph"/>
              <w:numPr>
                <w:ilvl w:val="0"/>
                <w:numId w:val="40"/>
              </w:numPr>
              <w:rPr>
                <w:rFonts w:ascii="Garamond" w:hAnsi="Garamond"/>
                <w:lang w:val="en-AU"/>
              </w:rPr>
            </w:pPr>
            <w:r w:rsidRPr="00A14A0A">
              <w:rPr>
                <w:rFonts w:ascii="Garamond" w:hAnsi="Garamond"/>
                <w:lang w:val="en-AU"/>
              </w:rPr>
              <w:t xml:space="preserve">Implementation and Evaluation of a </w:t>
            </w:r>
            <w:r w:rsidRPr="00A14A0A">
              <w:rPr>
                <w:rFonts w:ascii="Garamond" w:hAnsi="Garamond"/>
                <w:b/>
                <w:lang w:val="en-AU"/>
              </w:rPr>
              <w:t>Standard Operating Procedure for Pediatric Infliximab Infusions</w:t>
            </w:r>
            <w:r w:rsidRPr="00A14A0A">
              <w:rPr>
                <w:rFonts w:ascii="Garamond" w:hAnsi="Garamond"/>
                <w:lang w:val="en-AU"/>
              </w:rPr>
              <w:t xml:space="preserve"> (Maureen M Kelly, Barbara S Turner, Michael D. Kappelman, Eun Jeong Lee, Ajay S Gulati</w:t>
            </w:r>
            <w:r>
              <w:rPr>
                <w:rFonts w:ascii="Garamond" w:hAnsi="Garamond"/>
                <w:lang w:val="en-AU"/>
              </w:rPr>
              <w:t>)</w:t>
            </w:r>
          </w:p>
          <w:p w:rsidR="00A14A0A" w:rsidRPr="00A14A0A" w:rsidRDefault="00A14A0A" w:rsidP="00A14A0A">
            <w:pPr>
              <w:pStyle w:val="ListParagraph"/>
              <w:numPr>
                <w:ilvl w:val="0"/>
                <w:numId w:val="40"/>
              </w:numPr>
              <w:rPr>
                <w:rFonts w:ascii="Garamond" w:hAnsi="Garamond"/>
                <w:lang w:val="en-AU"/>
              </w:rPr>
            </w:pPr>
            <w:r w:rsidRPr="00A14A0A">
              <w:rPr>
                <w:rFonts w:ascii="Garamond" w:hAnsi="Garamond"/>
                <w:lang w:val="en-AU"/>
              </w:rPr>
              <w:t xml:space="preserve">A Retrospective Review of </w:t>
            </w:r>
            <w:r w:rsidRPr="00A14A0A">
              <w:rPr>
                <w:rFonts w:ascii="Garamond" w:hAnsi="Garamond"/>
                <w:b/>
                <w:lang w:val="en-AU"/>
              </w:rPr>
              <w:t>Physician-related Patient Complaints</w:t>
            </w:r>
            <w:r w:rsidRPr="00A14A0A">
              <w:rPr>
                <w:rFonts w:ascii="Garamond" w:hAnsi="Garamond"/>
                <w:lang w:val="en-AU"/>
              </w:rPr>
              <w:t xml:space="preserve"> from a Tertiary Pediatric Hospital (David Chaulk, Carsten Krueger, Antonia S Stang</w:t>
            </w:r>
            <w:r>
              <w:rPr>
                <w:rFonts w:ascii="Garamond" w:hAnsi="Garamond"/>
                <w:lang w:val="en-AU"/>
              </w:rPr>
              <w:t>)</w:t>
            </w:r>
          </w:p>
          <w:p w:rsidR="00D60376" w:rsidRPr="007C3778" w:rsidRDefault="00A14A0A" w:rsidP="00A14A0A">
            <w:pPr>
              <w:pStyle w:val="ListParagraph"/>
              <w:numPr>
                <w:ilvl w:val="0"/>
                <w:numId w:val="40"/>
              </w:numPr>
              <w:rPr>
                <w:rFonts w:ascii="Garamond" w:hAnsi="Garamond"/>
                <w:lang w:val="en-AU"/>
              </w:rPr>
            </w:pPr>
            <w:r w:rsidRPr="00A14A0A">
              <w:rPr>
                <w:rFonts w:ascii="Garamond" w:hAnsi="Garamond"/>
                <w:lang w:val="en-AU"/>
              </w:rPr>
              <w:t xml:space="preserve">Improving Efficiency and Communication around </w:t>
            </w:r>
            <w:r w:rsidRPr="00A14A0A">
              <w:rPr>
                <w:rFonts w:ascii="Garamond" w:hAnsi="Garamond"/>
                <w:b/>
                <w:lang w:val="en-AU"/>
              </w:rPr>
              <w:t>Sedated Fracture Reductions</w:t>
            </w:r>
            <w:r w:rsidRPr="00A14A0A">
              <w:rPr>
                <w:rFonts w:ascii="Garamond" w:hAnsi="Garamond"/>
                <w:lang w:val="en-AU"/>
              </w:rPr>
              <w:t xml:space="preserve"> in a Pediatric Emergency Department</w:t>
            </w:r>
            <w:r>
              <w:rPr>
                <w:rFonts w:ascii="Garamond" w:hAnsi="Garamond"/>
                <w:lang w:val="en-AU"/>
              </w:rPr>
              <w:t xml:space="preserve"> (</w:t>
            </w:r>
            <w:r w:rsidRPr="00A14A0A">
              <w:rPr>
                <w:rFonts w:ascii="Garamond" w:hAnsi="Garamond"/>
                <w:lang w:val="en-AU"/>
              </w:rPr>
              <w:t>Niloufar Paydar-Darian, Michael P Goldman, Kenneth A Michelson, Katharine C</w:t>
            </w:r>
            <w:r>
              <w:rPr>
                <w:rFonts w:ascii="Garamond" w:hAnsi="Garamond"/>
                <w:lang w:val="en-AU"/>
              </w:rPr>
              <w:t xml:space="preserve"> Button, Elizabeth K</w:t>
            </w:r>
            <w:r w:rsidRPr="00A14A0A">
              <w:rPr>
                <w:rFonts w:ascii="Garamond" w:hAnsi="Garamond"/>
                <w:lang w:val="en-AU"/>
              </w:rPr>
              <w:t xml:space="preserve"> Hewett, Theodore E Macnow, Andrew F Miller, Megan A Musisca, Joel D Hudgins, Matthew A Eisenberg</w:t>
            </w:r>
            <w:r>
              <w:rPr>
                <w:rFonts w:ascii="Garamond" w:hAnsi="Garamond"/>
                <w:lang w:val="en-AU"/>
              </w:rPr>
              <w:t>)</w:t>
            </w:r>
          </w:p>
        </w:tc>
      </w:tr>
    </w:tbl>
    <w:p w:rsidR="00D60376" w:rsidRDefault="00D60376" w:rsidP="00D60376">
      <w:pPr>
        <w:rPr>
          <w:rFonts w:ascii="Garamond" w:hAnsi="Garamond"/>
          <w:i/>
          <w:lang w:val="en-AU"/>
        </w:rPr>
      </w:pPr>
    </w:p>
    <w:p w:rsidR="004E4D38" w:rsidRPr="00467B47" w:rsidRDefault="004E4D38" w:rsidP="004E4D38">
      <w:pPr>
        <w:keepNext/>
        <w:rPr>
          <w:rFonts w:ascii="Garamond" w:hAnsi="Garamond"/>
          <w:lang w:val="en-AU"/>
        </w:rPr>
      </w:pPr>
      <w:r w:rsidRPr="00467B47">
        <w:rPr>
          <w:rFonts w:ascii="Garamond" w:hAnsi="Garamond"/>
          <w:i/>
          <w:lang w:val="en-AU"/>
        </w:rPr>
        <w:lastRenderedPageBreak/>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E4D38" w:rsidRPr="00467B47" w:rsidTr="0023729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E4D38" w:rsidRPr="00467B47" w:rsidRDefault="008400A7" w:rsidP="0023729D">
            <w:pPr>
              <w:keepNext/>
              <w:rPr>
                <w:rFonts w:ascii="Garamond" w:hAnsi="Garamond"/>
                <w:lang w:val="en-AU"/>
              </w:rPr>
            </w:pPr>
            <w:hyperlink r:id="rId32" w:history="1">
              <w:r w:rsidR="004E4D38" w:rsidRPr="00467B47">
                <w:rPr>
                  <w:rStyle w:val="Hyperlink"/>
                  <w:rFonts w:ascii="Garamond" w:hAnsi="Garamond"/>
                  <w:lang w:val="en-AU"/>
                </w:rPr>
                <w:t>https://qualitysafety.bmj.com/content/early/recent</w:t>
              </w:r>
            </w:hyperlink>
          </w:p>
        </w:tc>
      </w:tr>
      <w:tr w:rsidR="004E4D38" w:rsidRPr="00467B47" w:rsidTr="0023729D">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E4D38" w:rsidRPr="00467B47" w:rsidRDefault="004E4D38" w:rsidP="0023729D">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F97183" w:rsidRPr="00A66104" w:rsidRDefault="00C069E9" w:rsidP="00C069E9">
            <w:pPr>
              <w:pStyle w:val="ListParagraph"/>
              <w:numPr>
                <w:ilvl w:val="0"/>
                <w:numId w:val="14"/>
              </w:numPr>
              <w:rPr>
                <w:rFonts w:ascii="Garamond" w:hAnsi="Garamond"/>
                <w:lang w:val="en-AU"/>
              </w:rPr>
            </w:pPr>
            <w:r w:rsidRPr="00C069E9">
              <w:rPr>
                <w:rFonts w:ascii="Garamond" w:hAnsi="Garamond"/>
                <w:lang w:val="en-AU"/>
              </w:rPr>
              <w:t xml:space="preserve">Editorial: </w:t>
            </w:r>
            <w:r w:rsidRPr="00C069E9">
              <w:rPr>
                <w:rFonts w:ascii="Garamond" w:hAnsi="Garamond"/>
                <w:b/>
                <w:lang w:val="en-AU"/>
              </w:rPr>
              <w:t>Ambulatory care-sensitive conditions</w:t>
            </w:r>
            <w:r w:rsidRPr="00C069E9">
              <w:rPr>
                <w:rFonts w:ascii="Garamond" w:hAnsi="Garamond"/>
                <w:lang w:val="en-AU"/>
              </w:rPr>
              <w:t xml:space="preserve">: their potential uses and limitations </w:t>
            </w:r>
            <w:r>
              <w:rPr>
                <w:rFonts w:ascii="Garamond" w:hAnsi="Garamond"/>
                <w:lang w:val="en-AU"/>
              </w:rPr>
              <w:t>(</w:t>
            </w:r>
            <w:r w:rsidRPr="00C069E9">
              <w:rPr>
                <w:rFonts w:ascii="Garamond" w:hAnsi="Garamond"/>
                <w:lang w:val="en-AU"/>
              </w:rPr>
              <w:t>Karen Hodgson, Sarah R Deeny, Adam Steventon</w:t>
            </w:r>
            <w:r>
              <w:rPr>
                <w:rFonts w:ascii="Garamond" w:hAnsi="Garamond"/>
                <w:lang w:val="en-AU"/>
              </w:rPr>
              <w:t>)</w:t>
            </w:r>
          </w:p>
        </w:tc>
      </w:tr>
    </w:tbl>
    <w:p w:rsidR="00C51BE5" w:rsidRDefault="00C51BE5" w:rsidP="008F5418">
      <w:pPr>
        <w:keepNext/>
        <w:rPr>
          <w:rFonts w:ascii="Garamond" w:hAnsi="Garamond"/>
          <w:i/>
          <w:lang w:val="en-AU"/>
        </w:rPr>
      </w:pPr>
    </w:p>
    <w:p w:rsidR="00A660B0" w:rsidRPr="00467B47" w:rsidRDefault="00A660B0" w:rsidP="008F541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8400A7" w:rsidP="00290461">
            <w:pPr>
              <w:keepNext/>
              <w:rPr>
                <w:rFonts w:ascii="Garamond" w:hAnsi="Garamond"/>
                <w:lang w:val="en-AU"/>
              </w:rPr>
            </w:pPr>
            <w:hyperlink r:id="rId33" w:history="1">
              <w:r w:rsidR="00290461" w:rsidRPr="00ED00B3">
                <w:rPr>
                  <w:rStyle w:val="Hyperlink"/>
                  <w:rFonts w:ascii="Garamond" w:hAnsi="Garamond"/>
                  <w:lang w:val="en-AU"/>
                </w:rPr>
                <w:t>https://academic.oup.com/intqhc/advance-access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C069E9" w:rsidRPr="00C069E9" w:rsidRDefault="00C069E9" w:rsidP="00C069E9">
            <w:pPr>
              <w:pStyle w:val="ListParagraph"/>
              <w:numPr>
                <w:ilvl w:val="0"/>
                <w:numId w:val="14"/>
              </w:numPr>
              <w:rPr>
                <w:rFonts w:ascii="Garamond" w:hAnsi="Garamond"/>
                <w:lang w:val="en-AU"/>
              </w:rPr>
            </w:pPr>
            <w:r w:rsidRPr="00C069E9">
              <w:rPr>
                <w:rFonts w:ascii="Garamond" w:hAnsi="Garamond"/>
                <w:lang w:val="en-AU"/>
              </w:rPr>
              <w:t xml:space="preserve">New challenges for </w:t>
            </w:r>
            <w:r w:rsidRPr="00C069E9">
              <w:rPr>
                <w:rFonts w:ascii="Garamond" w:hAnsi="Garamond"/>
                <w:b/>
                <w:lang w:val="en-AU"/>
              </w:rPr>
              <w:t>patient safety</w:t>
            </w:r>
            <w:r w:rsidRPr="00C069E9">
              <w:rPr>
                <w:rFonts w:ascii="Garamond" w:hAnsi="Garamond"/>
                <w:lang w:val="en-AU"/>
              </w:rPr>
              <w:t xml:space="preserve"> (</w:t>
            </w:r>
            <w:r>
              <w:rPr>
                <w:rFonts w:ascii="Garamond" w:hAnsi="Garamond"/>
                <w:lang w:val="en-AU"/>
              </w:rPr>
              <w:t>Peter Lachman)</w:t>
            </w:r>
          </w:p>
          <w:p w:rsidR="008F617D" w:rsidRPr="00DA6435" w:rsidRDefault="00C069E9" w:rsidP="00C069E9">
            <w:pPr>
              <w:pStyle w:val="ListParagraph"/>
              <w:numPr>
                <w:ilvl w:val="0"/>
                <w:numId w:val="14"/>
              </w:numPr>
              <w:rPr>
                <w:rFonts w:ascii="Garamond" w:hAnsi="Garamond"/>
                <w:lang w:val="en-AU"/>
              </w:rPr>
            </w:pPr>
            <w:r w:rsidRPr="00C069E9">
              <w:rPr>
                <w:rFonts w:ascii="Garamond" w:hAnsi="Garamond"/>
                <w:lang w:val="en-AU"/>
              </w:rPr>
              <w:t xml:space="preserve">Toward uniform and controlled </w:t>
            </w:r>
            <w:r w:rsidRPr="00C069E9">
              <w:rPr>
                <w:rFonts w:ascii="Garamond" w:hAnsi="Garamond"/>
                <w:b/>
                <w:lang w:val="en-AU"/>
              </w:rPr>
              <w:t>clinical pathways in cancer care</w:t>
            </w:r>
            <w:r w:rsidRPr="00C069E9">
              <w:rPr>
                <w:rFonts w:ascii="Garamond" w:hAnsi="Garamond"/>
                <w:lang w:val="en-AU"/>
              </w:rPr>
              <w:t xml:space="preserve">: a qualitative description (Gianmauro Numico; Monica Viale; Roberta Bellini; Roberto Ippoliti; Maura Rossi; Tatiana Maan; Angelica Carobene; Andrea Pizzini; </w:t>
            </w:r>
            <w:r>
              <w:rPr>
                <w:rFonts w:ascii="Garamond" w:hAnsi="Garamond"/>
                <w:lang w:val="en-AU"/>
              </w:rPr>
              <w:t xml:space="preserve">Marinella Mistrangelo; </w:t>
            </w:r>
            <w:r w:rsidRPr="00C069E9">
              <w:rPr>
                <w:rFonts w:ascii="Garamond" w:hAnsi="Garamond"/>
                <w:lang w:val="en-AU"/>
              </w:rPr>
              <w:t>Oscar Bertetto</w:t>
            </w:r>
            <w:r>
              <w:rPr>
                <w:rFonts w:ascii="Garamond" w:hAnsi="Garamond"/>
                <w:lang w:val="en-AU"/>
              </w:rPr>
              <w:t>)</w:t>
            </w:r>
          </w:p>
        </w:tc>
      </w:tr>
    </w:tbl>
    <w:p w:rsidR="007E25CC" w:rsidRDefault="007E25CC" w:rsidP="000C28BA">
      <w:pPr>
        <w:rPr>
          <w:rFonts w:ascii="Garamond" w:hAnsi="Garamond"/>
          <w:lang w:val="en-AU"/>
        </w:rPr>
      </w:pPr>
    </w:p>
    <w:p w:rsidR="00AF7BC5" w:rsidRDefault="00AF7BC5" w:rsidP="000C28BA">
      <w:pPr>
        <w:rPr>
          <w:rFonts w:ascii="Garamond" w:hAnsi="Garamond"/>
          <w:lang w:val="en-AU"/>
        </w:rPr>
      </w:pPr>
    </w:p>
    <w:p w:rsidR="00DF42B0" w:rsidRDefault="00DF42B0" w:rsidP="000C28BA">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09148E" w:rsidRDefault="0009148E" w:rsidP="00070CFE">
      <w:pPr>
        <w:rPr>
          <w:rFonts w:ascii="Garamond" w:hAnsi="Garamond"/>
          <w:lang w:val="en-AU"/>
        </w:rPr>
      </w:pPr>
    </w:p>
    <w:p w:rsidR="00831B85" w:rsidRPr="000170DA" w:rsidRDefault="00831B85" w:rsidP="00831B85">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831B85" w:rsidRPr="000170DA" w:rsidRDefault="004C4740" w:rsidP="00831B85">
      <w:pPr>
        <w:keepNext/>
        <w:keepLines/>
        <w:rPr>
          <w:rFonts w:ascii="Garamond" w:hAnsi="Garamond"/>
          <w:u w:val="single"/>
          <w:lang w:val="en-AU"/>
        </w:rPr>
      </w:pPr>
      <w:hyperlink r:id="rId34" w:history="1">
        <w:r w:rsidR="00831B85" w:rsidRPr="000170DA">
          <w:rPr>
            <w:rStyle w:val="Hyperlink"/>
            <w:rFonts w:ascii="Garamond" w:hAnsi="Garamond"/>
            <w:lang w:val="en-AU"/>
          </w:rPr>
          <w:t>https://www.nice.org.uk</w:t>
        </w:r>
      </w:hyperlink>
    </w:p>
    <w:p w:rsidR="00831B85" w:rsidRPr="000170DA" w:rsidRDefault="00831B85" w:rsidP="00831B85">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444AC0" w:rsidRDefault="00C069E9" w:rsidP="00C069E9">
      <w:pPr>
        <w:pStyle w:val="ListParagraph"/>
        <w:keepNext/>
        <w:keepLines/>
        <w:numPr>
          <w:ilvl w:val="0"/>
          <w:numId w:val="14"/>
        </w:numPr>
        <w:rPr>
          <w:rFonts w:ascii="Garamond" w:hAnsi="Garamond"/>
          <w:lang w:val="en-AU"/>
        </w:rPr>
      </w:pPr>
      <w:r>
        <w:rPr>
          <w:rFonts w:ascii="Garamond" w:hAnsi="Garamond"/>
          <w:lang w:val="en-AU"/>
        </w:rPr>
        <w:t xml:space="preserve">Quality Standard QS181 </w:t>
      </w:r>
      <w:r w:rsidRPr="00C069E9">
        <w:rPr>
          <w:rFonts w:ascii="Garamond" w:hAnsi="Garamond"/>
          <w:b/>
          <w:i/>
          <w:lang w:val="en-AU"/>
        </w:rPr>
        <w:t>Air pollution</w:t>
      </w:r>
      <w:r w:rsidRPr="00C069E9">
        <w:rPr>
          <w:rFonts w:ascii="Garamond" w:hAnsi="Garamond"/>
          <w:i/>
          <w:lang w:val="en-AU"/>
        </w:rPr>
        <w:t xml:space="preserve">: outdoor air quality and health </w:t>
      </w:r>
      <w:hyperlink r:id="rId35" w:history="1">
        <w:r w:rsidRPr="003274C4">
          <w:rPr>
            <w:rStyle w:val="Hyperlink"/>
            <w:rFonts w:ascii="Garamond" w:hAnsi="Garamond"/>
            <w:lang w:val="en-AU"/>
          </w:rPr>
          <w:t>https://www.nice.org.uk/guidance/qs181</w:t>
        </w:r>
      </w:hyperlink>
    </w:p>
    <w:p w:rsidR="00C069E9" w:rsidRDefault="00C069E9" w:rsidP="00C069E9">
      <w:pPr>
        <w:pStyle w:val="ListParagraph"/>
        <w:keepNext/>
        <w:keepLines/>
        <w:numPr>
          <w:ilvl w:val="0"/>
          <w:numId w:val="14"/>
        </w:numPr>
        <w:rPr>
          <w:rFonts w:ascii="Garamond" w:hAnsi="Garamond"/>
          <w:lang w:val="en-AU"/>
        </w:rPr>
      </w:pPr>
      <w:r>
        <w:rPr>
          <w:rFonts w:ascii="Garamond" w:hAnsi="Garamond"/>
          <w:lang w:val="en-AU"/>
        </w:rPr>
        <w:t xml:space="preserve">Quality Standard QS182 </w:t>
      </w:r>
      <w:r w:rsidRPr="00C069E9">
        <w:rPr>
          <w:rFonts w:ascii="Garamond" w:hAnsi="Garamond"/>
          <w:i/>
          <w:lang w:val="en-AU"/>
        </w:rPr>
        <w:t xml:space="preserve">People’s experience using </w:t>
      </w:r>
      <w:r w:rsidRPr="00C069E9">
        <w:rPr>
          <w:rFonts w:ascii="Garamond" w:hAnsi="Garamond"/>
          <w:b/>
          <w:i/>
          <w:lang w:val="en-AU"/>
        </w:rPr>
        <w:t>adult social care services</w:t>
      </w:r>
      <w:r w:rsidRPr="00C069E9">
        <w:rPr>
          <w:rFonts w:ascii="Garamond" w:hAnsi="Garamond"/>
          <w:lang w:val="en-AU"/>
        </w:rPr>
        <w:t xml:space="preserve"> </w:t>
      </w:r>
      <w:hyperlink r:id="rId36" w:history="1">
        <w:r w:rsidRPr="003274C4">
          <w:rPr>
            <w:rStyle w:val="Hyperlink"/>
            <w:rFonts w:ascii="Garamond" w:hAnsi="Garamond"/>
            <w:lang w:val="en-AU"/>
          </w:rPr>
          <w:t>https://www.nice.org.uk/guidance/qs182</w:t>
        </w:r>
      </w:hyperlink>
    </w:p>
    <w:p w:rsidR="00831B85" w:rsidRDefault="00831B85" w:rsidP="00AF7BC5">
      <w:pPr>
        <w:keepNext/>
        <w:keepLines/>
        <w:rPr>
          <w:rFonts w:ascii="Garamond" w:hAnsi="Garamond"/>
          <w:i/>
          <w:lang w:val="en-AU"/>
        </w:rPr>
      </w:pPr>
    </w:p>
    <w:p w:rsidR="004148AA" w:rsidRPr="00BD76EB" w:rsidRDefault="004148AA" w:rsidP="00BD76EB">
      <w:pPr>
        <w:keepNext/>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7"/>
      <w:footerReference w:type="default" r:id="rId3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A91" w:rsidRDefault="009C3A91">
      <w:r>
        <w:separator/>
      </w:r>
    </w:p>
  </w:endnote>
  <w:endnote w:type="continuationSeparator" w:id="0">
    <w:p w:rsidR="009C3A91" w:rsidRDefault="009C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91" w:rsidRDefault="009C3A91"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400A7">
      <w:rPr>
        <w:rStyle w:val="PageNumber"/>
        <w:noProof/>
      </w:rPr>
      <w:t>4</w:t>
    </w:r>
    <w:r>
      <w:rPr>
        <w:rStyle w:val="PageNumber"/>
      </w:rPr>
      <w:fldChar w:fldCharType="end"/>
    </w:r>
  </w:p>
  <w:p w:rsidR="00A66104" w:rsidRPr="001E78F0" w:rsidRDefault="009C3A91"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444AC0">
      <w:rPr>
        <w:rFonts w:ascii="Garamond" w:hAnsi="Garamond"/>
      </w:rPr>
      <w:t xml:space="preserve"> Issue 40</w:t>
    </w:r>
    <w:r w:rsidR="003E1737">
      <w:rPr>
        <w:rFonts w:ascii="Garamond" w:hAnsi="Garamond"/>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91" w:rsidRPr="001E78F0" w:rsidRDefault="009C3A91"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8400A7">
      <w:rPr>
        <w:rStyle w:val="PageNumber"/>
        <w:rFonts w:ascii="Garamond" w:hAnsi="Garamond"/>
        <w:noProof/>
      </w:rPr>
      <w:t>3</w:t>
    </w:r>
    <w:r w:rsidRPr="001E78F0">
      <w:rPr>
        <w:rStyle w:val="PageNumber"/>
        <w:rFonts w:ascii="Garamond" w:hAnsi="Garamond"/>
      </w:rPr>
      <w:fldChar w:fldCharType="end"/>
    </w:r>
  </w:p>
  <w:p w:rsidR="009C3A91" w:rsidRPr="001E78F0" w:rsidRDefault="009C3A91"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3B0B62">
      <w:rPr>
        <w:rFonts w:ascii="Garamond" w:hAnsi="Garamond"/>
      </w:rPr>
      <w:t xml:space="preserve"> Issue 40</w:t>
    </w:r>
    <w:r w:rsidR="003E1737">
      <w:rPr>
        <w:rFonts w:ascii="Garamond" w:hAnsi="Garamond"/>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A91" w:rsidRDefault="009C3A91">
      <w:r>
        <w:separator/>
      </w:r>
    </w:p>
  </w:footnote>
  <w:footnote w:type="continuationSeparator" w:id="0">
    <w:p w:rsidR="009C3A91" w:rsidRDefault="009C3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F50B2"/>
    <w:multiLevelType w:val="hybridMultilevel"/>
    <w:tmpl w:val="F948E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EA542F"/>
    <w:multiLevelType w:val="hybridMultilevel"/>
    <w:tmpl w:val="9E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F5D167F"/>
    <w:multiLevelType w:val="hybridMultilevel"/>
    <w:tmpl w:val="51520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58E1890"/>
    <w:multiLevelType w:val="hybridMultilevel"/>
    <w:tmpl w:val="202474A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6915B84"/>
    <w:multiLevelType w:val="hybridMultilevel"/>
    <w:tmpl w:val="63D69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ABC4634"/>
    <w:multiLevelType w:val="hybridMultilevel"/>
    <w:tmpl w:val="05DC2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AE03C64"/>
    <w:multiLevelType w:val="hybridMultilevel"/>
    <w:tmpl w:val="093CA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1501FBE"/>
    <w:multiLevelType w:val="hybridMultilevel"/>
    <w:tmpl w:val="0C509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5CF3208"/>
    <w:multiLevelType w:val="hybridMultilevel"/>
    <w:tmpl w:val="1CBA4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8B9049B"/>
    <w:multiLevelType w:val="hybridMultilevel"/>
    <w:tmpl w:val="AE766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90F6366"/>
    <w:multiLevelType w:val="hybridMultilevel"/>
    <w:tmpl w:val="F4A4D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C240A65"/>
    <w:multiLevelType w:val="hybridMultilevel"/>
    <w:tmpl w:val="CBCE5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34D5DE5"/>
    <w:multiLevelType w:val="hybridMultilevel"/>
    <w:tmpl w:val="ADC27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067DEA"/>
    <w:multiLevelType w:val="hybridMultilevel"/>
    <w:tmpl w:val="A20AF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BF63F5"/>
    <w:multiLevelType w:val="hybridMultilevel"/>
    <w:tmpl w:val="23561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E5D7FEE"/>
    <w:multiLevelType w:val="hybridMultilevel"/>
    <w:tmpl w:val="29342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193446A"/>
    <w:multiLevelType w:val="hybridMultilevel"/>
    <w:tmpl w:val="AB78A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3176259"/>
    <w:multiLevelType w:val="hybridMultilevel"/>
    <w:tmpl w:val="7B7A7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3C1642B"/>
    <w:multiLevelType w:val="hybridMultilevel"/>
    <w:tmpl w:val="0CBA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E72052"/>
    <w:multiLevelType w:val="hybridMultilevel"/>
    <w:tmpl w:val="24A659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E791C3E"/>
    <w:multiLevelType w:val="hybridMultilevel"/>
    <w:tmpl w:val="68749B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2145A48"/>
    <w:multiLevelType w:val="hybridMultilevel"/>
    <w:tmpl w:val="7BE2F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1A34F0A"/>
    <w:multiLevelType w:val="hybridMultilevel"/>
    <w:tmpl w:val="F6A82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7E4486F"/>
    <w:multiLevelType w:val="hybridMultilevel"/>
    <w:tmpl w:val="13FE3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AC76C06"/>
    <w:multiLevelType w:val="hybridMultilevel"/>
    <w:tmpl w:val="EF44C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BB818A3"/>
    <w:multiLevelType w:val="hybridMultilevel"/>
    <w:tmpl w:val="BD7E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C5497B"/>
    <w:multiLevelType w:val="hybridMultilevel"/>
    <w:tmpl w:val="81F2B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C22013"/>
    <w:multiLevelType w:val="hybridMultilevel"/>
    <w:tmpl w:val="412C9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F291598"/>
    <w:multiLevelType w:val="hybridMultilevel"/>
    <w:tmpl w:val="4A808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3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26"/>
  </w:num>
  <w:num w:numId="15">
    <w:abstractNumId w:val="40"/>
  </w:num>
  <w:num w:numId="16">
    <w:abstractNumId w:val="43"/>
  </w:num>
  <w:num w:numId="17">
    <w:abstractNumId w:val="13"/>
  </w:num>
  <w:num w:numId="18">
    <w:abstractNumId w:val="14"/>
  </w:num>
  <w:num w:numId="19">
    <w:abstractNumId w:val="12"/>
  </w:num>
  <w:num w:numId="20">
    <w:abstractNumId w:val="18"/>
  </w:num>
  <w:num w:numId="21">
    <w:abstractNumId w:val="15"/>
  </w:num>
  <w:num w:numId="22">
    <w:abstractNumId w:val="39"/>
  </w:num>
  <w:num w:numId="23">
    <w:abstractNumId w:val="16"/>
  </w:num>
  <w:num w:numId="24">
    <w:abstractNumId w:val="41"/>
  </w:num>
  <w:num w:numId="25">
    <w:abstractNumId w:val="27"/>
  </w:num>
  <w:num w:numId="26">
    <w:abstractNumId w:val="24"/>
  </w:num>
  <w:num w:numId="27">
    <w:abstractNumId w:val="20"/>
  </w:num>
  <w:num w:numId="28">
    <w:abstractNumId w:val="28"/>
  </w:num>
  <w:num w:numId="29">
    <w:abstractNumId w:val="30"/>
  </w:num>
  <w:num w:numId="30">
    <w:abstractNumId w:val="34"/>
  </w:num>
  <w:num w:numId="31">
    <w:abstractNumId w:val="23"/>
  </w:num>
  <w:num w:numId="32">
    <w:abstractNumId w:val="10"/>
  </w:num>
  <w:num w:numId="33">
    <w:abstractNumId w:val="37"/>
  </w:num>
  <w:num w:numId="34">
    <w:abstractNumId w:val="33"/>
  </w:num>
  <w:num w:numId="35">
    <w:abstractNumId w:val="32"/>
  </w:num>
  <w:num w:numId="36">
    <w:abstractNumId w:val="22"/>
  </w:num>
  <w:num w:numId="37">
    <w:abstractNumId w:val="21"/>
  </w:num>
  <w:num w:numId="38">
    <w:abstractNumId w:val="29"/>
  </w:num>
  <w:num w:numId="39">
    <w:abstractNumId w:val="11"/>
  </w:num>
  <w:num w:numId="40">
    <w:abstractNumId w:val="19"/>
  </w:num>
  <w:num w:numId="41">
    <w:abstractNumId w:val="42"/>
  </w:num>
  <w:num w:numId="42">
    <w:abstractNumId w:val="36"/>
  </w:num>
  <w:num w:numId="43">
    <w:abstractNumId w:val="38"/>
  </w:num>
  <w:num w:numId="44">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13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B73"/>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35"/>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D5D"/>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29D"/>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4E"/>
    <w:rsid w:val="00241F88"/>
    <w:rsid w:val="002421F5"/>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ADD"/>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B6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3E6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CC9"/>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740"/>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48"/>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25"/>
    <w:rsid w:val="006015C5"/>
    <w:rsid w:val="006016A9"/>
    <w:rsid w:val="00601787"/>
    <w:rsid w:val="006017FE"/>
    <w:rsid w:val="006018BC"/>
    <w:rsid w:val="0060203B"/>
    <w:rsid w:val="0060221A"/>
    <w:rsid w:val="0060257E"/>
    <w:rsid w:val="006025E1"/>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4F52"/>
    <w:rsid w:val="006251FC"/>
    <w:rsid w:val="0062521F"/>
    <w:rsid w:val="006256AE"/>
    <w:rsid w:val="00625AE3"/>
    <w:rsid w:val="00625B2E"/>
    <w:rsid w:val="00625F74"/>
    <w:rsid w:val="00625FFA"/>
    <w:rsid w:val="0062607F"/>
    <w:rsid w:val="006261D6"/>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CBF"/>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1A8C"/>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0A7"/>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C6D"/>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07"/>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2E0"/>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0A"/>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AA7"/>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A6E"/>
    <w:rsid w:val="00AF7BC5"/>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93A"/>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E24"/>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5DE6"/>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701D"/>
    <w:rsid w:val="00B77326"/>
    <w:rsid w:val="00B7747F"/>
    <w:rsid w:val="00B77579"/>
    <w:rsid w:val="00B7762D"/>
    <w:rsid w:val="00B777D0"/>
    <w:rsid w:val="00B778AF"/>
    <w:rsid w:val="00B77A54"/>
    <w:rsid w:val="00B77B98"/>
    <w:rsid w:val="00B77CAD"/>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114"/>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9E9"/>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42C"/>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6C9"/>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B7D74"/>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82C"/>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5A"/>
    <w:rsid w:val="00E14CAD"/>
    <w:rsid w:val="00E14D42"/>
    <w:rsid w:val="00E150D0"/>
    <w:rsid w:val="00E151AE"/>
    <w:rsid w:val="00E15653"/>
    <w:rsid w:val="00E158AE"/>
    <w:rsid w:val="00E15D5B"/>
    <w:rsid w:val="00E15E79"/>
    <w:rsid w:val="00E16364"/>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B4D"/>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6DC"/>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851"/>
    <w:rsid w:val="00EB2D7A"/>
    <w:rsid w:val="00EB3348"/>
    <w:rsid w:val="00EB3756"/>
    <w:rsid w:val="00EB3803"/>
    <w:rsid w:val="00EB3B07"/>
    <w:rsid w:val="00EB3B0E"/>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2FC2"/>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B32"/>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176"/>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183"/>
    <w:rsid w:val="00F97235"/>
    <w:rsid w:val="00F976AD"/>
    <w:rsid w:val="00F97C5F"/>
    <w:rsid w:val="00F97D61"/>
    <w:rsid w:val="00F97D70"/>
    <w:rsid w:val="00FA0C54"/>
    <w:rsid w:val="00FA0CB1"/>
    <w:rsid w:val="00FA0D21"/>
    <w:rsid w:val="00FA0E88"/>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3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241666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mailto:ccs@safetyandquality.gov.au" TargetMode="External"/><Relationship Id="rId26" Type="http://schemas.openxmlformats.org/officeDocument/2006/relationships/hyperlink" Target="https://www.safetyandquality.gov.au/our-work/indicators/hospital-acquired-complication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yperlink" Target="https://www.nice.org.uk"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clinical-care-standards/current-consultations/" TargetMode="External"/><Relationship Id="rId25" Type="http://schemas.openxmlformats.org/officeDocument/2006/relationships/hyperlink" Target="https://doi.org/10.1136/bmjqs-2018-008338" TargetMode="External"/><Relationship Id="rId33" Type="http://schemas.openxmlformats.org/officeDocument/2006/relationships/hyperlink" Target="https://academic.oup.com/intqhc/advance-acces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afetyandquality.gov.au/our-work/clinical-care-standards/current-consultations/" TargetMode="External"/><Relationship Id="rId20" Type="http://schemas.openxmlformats.org/officeDocument/2006/relationships/hyperlink" Target="https://doi.org/10.1136/bmj.l344" TargetMode="External"/><Relationship Id="rId29" Type="http://schemas.openxmlformats.org/officeDocument/2006/relationships/hyperlink" Target="https://doi.org/10.1001/jama.2019.07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1001/jamainternmed.2018.7464" TargetMode="External"/><Relationship Id="rId32" Type="http://schemas.openxmlformats.org/officeDocument/2006/relationships/hyperlink" Target="https://qualitysafety.bmj.com/content/early/recent"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atlas/atlas-2018/" TargetMode="External"/><Relationship Id="rId28" Type="http://schemas.openxmlformats.org/officeDocument/2006/relationships/hyperlink" Target="https://www.nationalstandards.safetyandquality.gov.au/5.-comprehensive-care" TargetMode="External"/><Relationship Id="rId36" Type="http://schemas.openxmlformats.org/officeDocument/2006/relationships/hyperlink" Target="https://www.nice.org.uk/guidance/qs182"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doi.org/10.1136/bmj.l681" TargetMode="External"/><Relationship Id="rId31" Type="http://schemas.openxmlformats.org/officeDocument/2006/relationships/hyperlink" Target="https://journals.lww.com/pqs/toc/2019/01000"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image" Target="media/image3.jpeg"/><Relationship Id="rId27" Type="http://schemas.openxmlformats.org/officeDocument/2006/relationships/hyperlink" Target="https://doi.org/10.1007/s11673-018-9892-3" TargetMode="External"/><Relationship Id="rId30" Type="http://schemas.openxmlformats.org/officeDocument/2006/relationships/hyperlink" Target="http://doi.org/10.1016/j.amjsurg.2018.11.039" TargetMode="External"/><Relationship Id="rId35" Type="http://schemas.openxmlformats.org/officeDocument/2006/relationships/hyperlink" Target="https://www.nice.org.uk/guidance/qs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29982-2C4D-42EB-A9A4-07D2EFA3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6</Pages>
  <Words>2221</Words>
  <Characters>14132</Characters>
  <Application>Microsoft Office Word</Application>
  <DocSecurity>0</DocSecurity>
  <Lines>294</Lines>
  <Paragraphs>142</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16211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8</cp:revision>
  <cp:lastPrinted>2018-03-02T02:34:00Z</cp:lastPrinted>
  <dcterms:created xsi:type="dcterms:W3CDTF">2019-02-24T20:22:00Z</dcterms:created>
  <dcterms:modified xsi:type="dcterms:W3CDTF">2019-03-01T03:37:00Z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