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D5315">
        <w:rPr>
          <w:rFonts w:ascii="Garamond" w:hAnsi="Garamond"/>
          <w:lang w:val="en-AU"/>
        </w:rPr>
        <w:t>1</w:t>
      </w:r>
      <w:r w:rsidR="00D84575">
        <w:rPr>
          <w:rFonts w:ascii="Garamond" w:hAnsi="Garamond"/>
          <w:lang w:val="en-AU"/>
        </w:rPr>
        <w:t>4</w:t>
      </w:r>
    </w:p>
    <w:p w:rsidR="00755242" w:rsidRDefault="00D84575" w:rsidP="00F738B5">
      <w:pPr>
        <w:rPr>
          <w:rFonts w:ascii="Garamond" w:hAnsi="Garamond"/>
          <w:lang w:val="en-AU"/>
        </w:rPr>
      </w:pPr>
      <w:r>
        <w:rPr>
          <w:rFonts w:ascii="Garamond" w:hAnsi="Garamond"/>
          <w:lang w:val="en-AU"/>
        </w:rPr>
        <w:t>15</w:t>
      </w:r>
      <w:r w:rsidR="00B44299">
        <w:rPr>
          <w:rFonts w:ascii="Garamond" w:hAnsi="Garamond"/>
          <w:lang w:val="en-AU"/>
        </w:rPr>
        <w:t xml:space="preserve"> April </w:t>
      </w:r>
      <w:r w:rsidR="006C06FF">
        <w:rPr>
          <w:rFonts w:ascii="Garamond" w:hAnsi="Garamond"/>
          <w:lang w:val="en-AU"/>
        </w:rPr>
        <w:t>2019</w:t>
      </w:r>
    </w:p>
    <w:p w:rsidR="00D84575" w:rsidRDefault="00D84575" w:rsidP="00F738B5">
      <w:pPr>
        <w:rPr>
          <w:rFonts w:ascii="Garamond" w:hAnsi="Garamond"/>
          <w:lang w:val="en-AU"/>
        </w:rPr>
      </w:pPr>
    </w:p>
    <w:p w:rsidR="00D84575" w:rsidRPr="00901FA2" w:rsidRDefault="00D84575" w:rsidP="00F738B5">
      <w:pPr>
        <w:rPr>
          <w:rFonts w:ascii="Garamond" w:hAnsi="Garamond"/>
          <w:b/>
          <w:color w:val="F79646" w:themeColor="accent6"/>
          <w:kern w:val="24"/>
          <w:lang w:val="en-AU"/>
        </w:rPr>
      </w:pPr>
      <w:r w:rsidRPr="00901FA2">
        <w:rPr>
          <w:rFonts w:ascii="Garamond" w:hAnsi="Garamond"/>
          <w:b/>
          <w:color w:val="F79646" w:themeColor="accent6"/>
          <w:kern w:val="24"/>
          <w:lang w:val="en-AU"/>
        </w:rPr>
        <w:t xml:space="preserve">The next issue of </w:t>
      </w:r>
      <w:r w:rsidRPr="00901FA2">
        <w:rPr>
          <w:rFonts w:ascii="Garamond" w:hAnsi="Garamond"/>
          <w:b/>
          <w:i/>
          <w:color w:val="F79646" w:themeColor="accent6"/>
          <w:kern w:val="24"/>
          <w:lang w:val="en-AU"/>
        </w:rPr>
        <w:t>On the Radar</w:t>
      </w:r>
      <w:r w:rsidRPr="00901FA2">
        <w:rPr>
          <w:rFonts w:ascii="Garamond" w:hAnsi="Garamond"/>
          <w:b/>
          <w:color w:val="F79646" w:themeColor="accent6"/>
          <w:kern w:val="24"/>
          <w:lang w:val="en-AU"/>
        </w:rPr>
        <w:t xml:space="preserve"> is scheduled for </w:t>
      </w:r>
      <w:r w:rsidR="00901FA2" w:rsidRPr="00901FA2">
        <w:rPr>
          <w:rFonts w:ascii="Garamond" w:hAnsi="Garamond"/>
          <w:b/>
          <w:color w:val="F79646" w:themeColor="accent6"/>
          <w:kern w:val="24"/>
          <w:lang w:val="en-AU"/>
        </w:rPr>
        <w:t xml:space="preserve">distribution on Monday </w:t>
      </w:r>
      <w:r w:rsidRPr="00901FA2">
        <w:rPr>
          <w:rFonts w:ascii="Garamond" w:hAnsi="Garamond"/>
          <w:b/>
          <w:color w:val="F79646" w:themeColor="accent6"/>
          <w:kern w:val="24"/>
          <w:lang w:val="en-AU"/>
        </w:rPr>
        <w:t>6 May 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D04C07">
        <w:rPr>
          <w:rFonts w:ascii="Garamond" w:hAnsi="Garamond"/>
          <w:bCs/>
          <w:lang w:val="en-AU"/>
        </w:rPr>
        <w:t>, Lucia Chiappini, Margaret Banks</w:t>
      </w:r>
    </w:p>
    <w:p w:rsidR="0055445F" w:rsidRDefault="0055445F">
      <w:pPr>
        <w:rPr>
          <w:rFonts w:ascii="Garamond" w:hAnsi="Garamond"/>
          <w:b/>
          <w:lang w:val="en-AU"/>
        </w:rPr>
      </w:pPr>
    </w:p>
    <w:p w:rsidR="00D04C07" w:rsidRDefault="00D04C07">
      <w:pPr>
        <w:rPr>
          <w:rFonts w:ascii="Garamond" w:hAnsi="Garamond"/>
          <w:b/>
          <w:lang w:val="en-AU"/>
        </w:rPr>
      </w:pPr>
    </w:p>
    <w:p w:rsidR="00D04C07" w:rsidRDefault="00D04C07">
      <w:pPr>
        <w:rPr>
          <w:rFonts w:ascii="Garamond" w:hAnsi="Garamond"/>
          <w:b/>
          <w:lang w:val="en-AU"/>
        </w:rPr>
      </w:pPr>
    </w:p>
    <w:p w:rsidR="00D04C07" w:rsidRDefault="00D04C07" w:rsidP="00D04C07">
      <w:pPr>
        <w:rPr>
          <w:rFonts w:ascii="Garamond" w:hAnsi="Garamond"/>
          <w:b/>
          <w:lang w:val="en-AU"/>
        </w:rPr>
      </w:pPr>
      <w:r w:rsidRPr="00D04C07">
        <w:rPr>
          <w:rFonts w:ascii="Garamond" w:hAnsi="Garamond"/>
          <w:b/>
          <w:lang w:val="en-AU"/>
        </w:rPr>
        <w:t>National Safety and Quality Health Service Standards user guide for governing bodies</w:t>
      </w:r>
    </w:p>
    <w:p w:rsidR="00D04C07" w:rsidRPr="00D04C07" w:rsidRDefault="00D04C07" w:rsidP="00D04C07">
      <w:pPr>
        <w:rPr>
          <w:rFonts w:ascii="Garamond" w:hAnsi="Garamond"/>
          <w:lang w:val="en-AU"/>
        </w:rPr>
      </w:pPr>
      <w:r w:rsidRPr="00D04C07">
        <w:rPr>
          <w:rFonts w:ascii="Garamond" w:hAnsi="Garamond"/>
          <w:lang w:val="en-AU"/>
        </w:rPr>
        <w:t>Australian Commission on Safety and Quality in Health Care</w:t>
      </w:r>
    </w:p>
    <w:p w:rsidR="00D04C07" w:rsidRPr="00D04C07" w:rsidRDefault="00D04C07" w:rsidP="00D04C07">
      <w:pPr>
        <w:rPr>
          <w:rFonts w:ascii="Garamond" w:hAnsi="Garamond"/>
          <w:lang w:val="en-AU"/>
        </w:rPr>
      </w:pPr>
      <w:r w:rsidRPr="00D04C07">
        <w:rPr>
          <w:rFonts w:ascii="Garamond" w:hAnsi="Garamond"/>
          <w:lang w:val="en-AU"/>
        </w:rPr>
        <w:t xml:space="preserve">Sydney: ACSHQC; 2019. </w:t>
      </w:r>
      <w:proofErr w:type="gramStart"/>
      <w:r w:rsidRPr="00D04C07">
        <w:rPr>
          <w:rFonts w:ascii="Garamond" w:hAnsi="Garamond"/>
          <w:lang w:val="en-AU"/>
        </w:rPr>
        <w:t>p. 67.</w:t>
      </w:r>
      <w:proofErr w:type="gramEnd"/>
    </w:p>
    <w:p w:rsidR="00D04C07" w:rsidRDefault="008F713C" w:rsidP="00D04C07">
      <w:pPr>
        <w:rPr>
          <w:rFonts w:ascii="Garamond" w:hAnsi="Garamond"/>
          <w:lang w:val="en-AU"/>
        </w:rPr>
      </w:pPr>
      <w:hyperlink r:id="rId16" w:history="1">
        <w:r w:rsidR="00D04C07" w:rsidRPr="00FF6408">
          <w:rPr>
            <w:rStyle w:val="Hyperlink"/>
            <w:rFonts w:ascii="Garamond" w:hAnsi="Garamond"/>
            <w:lang w:val="en-AU"/>
          </w:rPr>
          <w:t>https://nationalstandards.safetyandquality.gov.au/resources</w:t>
        </w:r>
      </w:hyperlink>
    </w:p>
    <w:p w:rsidR="00D04C07" w:rsidRPr="00D04C07" w:rsidRDefault="00D04C07" w:rsidP="00D04C07">
      <w:pPr>
        <w:rPr>
          <w:rFonts w:ascii="Garamond" w:hAnsi="Garamond"/>
          <w:lang w:val="en-AU"/>
        </w:rPr>
      </w:pPr>
    </w:p>
    <w:p w:rsidR="00D04C07" w:rsidRPr="00D04C07" w:rsidRDefault="00D04C07" w:rsidP="00D04C07">
      <w:pPr>
        <w:rPr>
          <w:rFonts w:ascii="Garamond" w:hAnsi="Garamond"/>
          <w:lang w:val="en-AU"/>
        </w:rPr>
      </w:pPr>
      <w:r w:rsidRPr="00D04C07">
        <w:rPr>
          <w:rFonts w:ascii="Garamond" w:hAnsi="Garamond"/>
          <w:lang w:val="en-AU"/>
        </w:rPr>
        <w:t xml:space="preserve">The </w:t>
      </w:r>
      <w:r>
        <w:rPr>
          <w:rFonts w:ascii="Garamond" w:hAnsi="Garamond"/>
          <w:lang w:val="en-AU"/>
        </w:rPr>
        <w:t xml:space="preserve">Australian </w:t>
      </w:r>
      <w:r w:rsidRPr="00D04C07">
        <w:rPr>
          <w:rFonts w:ascii="Garamond" w:hAnsi="Garamond"/>
          <w:lang w:val="en-AU"/>
        </w:rPr>
        <w:t xml:space="preserve">Commission </w:t>
      </w:r>
      <w:r>
        <w:rPr>
          <w:rFonts w:ascii="Garamond" w:hAnsi="Garamond"/>
          <w:lang w:val="en-AU"/>
        </w:rPr>
        <w:t xml:space="preserve">on Safety and Quality in Health Care </w:t>
      </w:r>
      <w:r w:rsidRPr="00D04C07">
        <w:rPr>
          <w:rFonts w:ascii="Garamond" w:hAnsi="Garamond"/>
          <w:lang w:val="en-AU"/>
        </w:rPr>
        <w:t xml:space="preserve">has developed the </w:t>
      </w:r>
      <w:r w:rsidRPr="00D04C07">
        <w:rPr>
          <w:rFonts w:ascii="Garamond" w:hAnsi="Garamond"/>
          <w:i/>
          <w:lang w:val="en-AU"/>
        </w:rPr>
        <w:t>National Safety and Quality Health Service Standards user guide for governing bodies</w:t>
      </w:r>
      <w:r w:rsidRPr="00D04C07">
        <w:rPr>
          <w:rFonts w:ascii="Garamond" w:hAnsi="Garamond"/>
          <w:lang w:val="en-AU"/>
        </w:rPr>
        <w:t xml:space="preserve"> to advise members of governing bodies exercising their governance responsibilities in the implementation of the NSQHS Standards. Th</w:t>
      </w:r>
      <w:r>
        <w:rPr>
          <w:rFonts w:ascii="Garamond" w:hAnsi="Garamond"/>
          <w:lang w:val="en-AU"/>
        </w:rPr>
        <w:t xml:space="preserve">is </w:t>
      </w:r>
      <w:r w:rsidRPr="00D04C07">
        <w:rPr>
          <w:rFonts w:ascii="Garamond" w:hAnsi="Garamond"/>
          <w:lang w:val="en-AU"/>
        </w:rPr>
        <w:t>document outlines the actions in the NSQHS Standards that require health service organisation leaders, especially members of the governing body, to act.</w:t>
      </w:r>
    </w:p>
    <w:p w:rsidR="00D04C07" w:rsidRPr="00D04C07" w:rsidRDefault="00D04C07" w:rsidP="00D04C07">
      <w:pPr>
        <w:rPr>
          <w:rFonts w:ascii="Garamond" w:hAnsi="Garamond"/>
          <w:lang w:val="en-AU"/>
        </w:rPr>
      </w:pPr>
    </w:p>
    <w:p w:rsidR="00D04C07" w:rsidRDefault="00D04C07" w:rsidP="00D04C07">
      <w:pPr>
        <w:rPr>
          <w:rFonts w:ascii="Garamond" w:hAnsi="Garamond"/>
          <w:lang w:val="en-AU"/>
        </w:rPr>
      </w:pPr>
      <w:r w:rsidRPr="00D04C07">
        <w:rPr>
          <w:rFonts w:ascii="Garamond" w:hAnsi="Garamond"/>
          <w:lang w:val="en-AU"/>
        </w:rPr>
        <w:t xml:space="preserve">The User Guide is available on the National Safety and Quality Health Service Standards microsite </w:t>
      </w:r>
      <w:hyperlink r:id="rId17" w:history="1">
        <w:r w:rsidRPr="00FF6408">
          <w:rPr>
            <w:rStyle w:val="Hyperlink"/>
            <w:rFonts w:ascii="Garamond" w:hAnsi="Garamond"/>
            <w:lang w:val="en-AU"/>
          </w:rPr>
          <w:t>https://nationalstandards.safetyandquality.gov.au/resources</w:t>
        </w:r>
      </w:hyperlink>
    </w:p>
    <w:p w:rsidR="00D04C07" w:rsidRPr="00D04C07" w:rsidRDefault="00D04C07" w:rsidP="00D04C07">
      <w:pPr>
        <w:rPr>
          <w:rFonts w:ascii="Garamond" w:hAnsi="Garamond"/>
          <w:lang w:val="en-AU"/>
        </w:rPr>
      </w:pPr>
    </w:p>
    <w:p w:rsidR="00172542" w:rsidRDefault="00172542">
      <w:pPr>
        <w:rPr>
          <w:rFonts w:ascii="Garamond" w:hAnsi="Garamond"/>
          <w:b/>
          <w:lang w:val="en-AU"/>
        </w:rPr>
      </w:pPr>
    </w:p>
    <w:p w:rsidR="00D04C07" w:rsidRDefault="00D04C07">
      <w:pPr>
        <w:rPr>
          <w:rFonts w:ascii="Garamond" w:hAnsi="Garamond"/>
          <w:b/>
          <w:lang w:val="en-AU"/>
        </w:rPr>
      </w:pPr>
      <w:r>
        <w:rPr>
          <w:rFonts w:ascii="Garamond" w:hAnsi="Garamond"/>
          <w:b/>
          <w:lang w:val="en-AU"/>
        </w:rPr>
        <w:br w:type="page"/>
      </w:r>
    </w:p>
    <w:p w:rsidR="00624F52" w:rsidRDefault="00172542" w:rsidP="00172542">
      <w:pPr>
        <w:ind w:left="720" w:hanging="720"/>
        <w:rPr>
          <w:rFonts w:ascii="Garamond" w:hAnsi="Garamond"/>
          <w:b/>
          <w:lang w:val="en-AU"/>
        </w:rPr>
      </w:pPr>
      <w:r w:rsidRPr="00172542">
        <w:rPr>
          <w:rFonts w:ascii="Garamond" w:hAnsi="Garamond"/>
          <w:b/>
          <w:lang w:val="en-AU"/>
        </w:rPr>
        <w:lastRenderedPageBreak/>
        <w:t>Osteoarthritis of the knee: A decision support tool for patients considering treatment options</w:t>
      </w:r>
    </w:p>
    <w:p w:rsidR="00172542" w:rsidRPr="00172542" w:rsidRDefault="008F713C" w:rsidP="00172542">
      <w:pPr>
        <w:keepLines/>
        <w:autoSpaceDE w:val="0"/>
        <w:autoSpaceDN w:val="0"/>
        <w:adjustRightInd w:val="0"/>
        <w:rPr>
          <w:rFonts w:ascii="Garamond" w:hAnsi="Garamond"/>
          <w:sz w:val="22"/>
          <w:szCs w:val="22"/>
          <w:lang w:val="en-AU"/>
        </w:rPr>
      </w:pPr>
      <w:hyperlink r:id="rId18" w:history="1">
        <w:r w:rsidR="00172542" w:rsidRPr="00172542">
          <w:rPr>
            <w:rStyle w:val="Hyperlink"/>
            <w:rFonts w:ascii="Garamond" w:hAnsi="Garamond"/>
            <w:sz w:val="22"/>
            <w:szCs w:val="22"/>
            <w:lang w:val="en-AU"/>
          </w:rPr>
          <w:t>https://www.safetyandquality.gov.au/wp-content/uploads/2019/04/OAK-DST-FINAL-APRIL-8.pdf</w:t>
        </w:r>
      </w:hyperlink>
    </w:p>
    <w:p w:rsidR="00172542" w:rsidRPr="00172542" w:rsidRDefault="00172542" w:rsidP="00172542">
      <w:pPr>
        <w:keepLines/>
        <w:autoSpaceDE w:val="0"/>
        <w:autoSpaceDN w:val="0"/>
        <w:adjustRightInd w:val="0"/>
        <w:rPr>
          <w:rFonts w:ascii="Garamond" w:hAnsi="Garamond"/>
          <w:lang w:val="en-AU"/>
        </w:rPr>
      </w:pPr>
    </w:p>
    <w:p w:rsidR="00172542" w:rsidRPr="00172542" w:rsidRDefault="00172542" w:rsidP="00172542">
      <w:pPr>
        <w:keepLines/>
        <w:autoSpaceDE w:val="0"/>
        <w:autoSpaceDN w:val="0"/>
        <w:adjustRightInd w:val="0"/>
        <w:rPr>
          <w:rFonts w:ascii="Garamond" w:hAnsi="Garamond"/>
          <w:lang w:val="en-AU"/>
        </w:rPr>
      </w:pPr>
      <w:r w:rsidRPr="00172542">
        <w:rPr>
          <w:rFonts w:ascii="Garamond" w:hAnsi="Garamond"/>
          <w:lang w:val="en-AU"/>
        </w:rPr>
        <w:t xml:space="preserve">The </w:t>
      </w:r>
      <w:r>
        <w:rPr>
          <w:rFonts w:ascii="Garamond" w:hAnsi="Garamond"/>
          <w:lang w:val="en-AU"/>
        </w:rPr>
        <w:t xml:space="preserve">Australian </w:t>
      </w:r>
      <w:r w:rsidRPr="00172542">
        <w:rPr>
          <w:rFonts w:ascii="Garamond" w:hAnsi="Garamond"/>
          <w:lang w:val="en-AU"/>
        </w:rPr>
        <w:t xml:space="preserve">Commission </w:t>
      </w:r>
      <w:r>
        <w:rPr>
          <w:rFonts w:ascii="Garamond" w:hAnsi="Garamond"/>
          <w:lang w:val="en-AU"/>
        </w:rPr>
        <w:t xml:space="preserve">on Safety and Quality in Health Care </w:t>
      </w:r>
      <w:r w:rsidRPr="00172542">
        <w:rPr>
          <w:rFonts w:ascii="Garamond" w:hAnsi="Garamond"/>
          <w:lang w:val="en-AU"/>
        </w:rPr>
        <w:t xml:space="preserve">has developed a decision support tool for patients on osteoarthritis (OA) of the knee. The tool provides evidence-based information about the main treatment options for OA of the knee, including the risks, benefits and costs. The tool aims to support patients to make more informed decisions and includes questions that patients may wish to discuss with their doctor or health professional. </w:t>
      </w:r>
    </w:p>
    <w:p w:rsidR="00172542" w:rsidRPr="00172542" w:rsidRDefault="00172542" w:rsidP="00172542">
      <w:pPr>
        <w:keepLines/>
        <w:autoSpaceDE w:val="0"/>
        <w:autoSpaceDN w:val="0"/>
        <w:adjustRightInd w:val="0"/>
        <w:rPr>
          <w:rFonts w:ascii="Garamond" w:hAnsi="Garamond"/>
          <w:lang w:val="en-AU"/>
        </w:rPr>
      </w:pPr>
    </w:p>
    <w:p w:rsidR="00172542" w:rsidRDefault="00172542" w:rsidP="00172542">
      <w:pPr>
        <w:keepLines/>
        <w:autoSpaceDE w:val="0"/>
        <w:autoSpaceDN w:val="0"/>
        <w:adjustRightInd w:val="0"/>
        <w:rPr>
          <w:rFonts w:ascii="Garamond" w:hAnsi="Garamond"/>
          <w:lang w:val="en-AU"/>
        </w:rPr>
      </w:pPr>
      <w:r w:rsidRPr="00172542">
        <w:rPr>
          <w:rFonts w:ascii="Garamond" w:hAnsi="Garamond"/>
          <w:lang w:val="en-AU"/>
        </w:rPr>
        <w:t xml:space="preserve">The decision support tool is available </w:t>
      </w:r>
      <w:r>
        <w:rPr>
          <w:rFonts w:ascii="Garamond" w:hAnsi="Garamond"/>
          <w:lang w:val="en-AU"/>
        </w:rPr>
        <w:t xml:space="preserve">from </w:t>
      </w:r>
      <w:r w:rsidR="00D04C07">
        <w:rPr>
          <w:rFonts w:ascii="Garamond" w:hAnsi="Garamond"/>
          <w:lang w:val="en-AU"/>
        </w:rPr>
        <w:br/>
      </w:r>
      <w:hyperlink r:id="rId19" w:history="1">
        <w:r w:rsidRPr="00D04C07">
          <w:rPr>
            <w:rStyle w:val="Hyperlink"/>
            <w:rFonts w:ascii="Garamond" w:hAnsi="Garamond"/>
            <w:sz w:val="22"/>
            <w:szCs w:val="22"/>
            <w:lang w:val="en-AU"/>
          </w:rPr>
          <w:t>https://www.safetyandquality.gov.au/wp-content/uploads/2019/04/OAK-DST-FINAL-APRIL-8.pdf</w:t>
        </w:r>
      </w:hyperlink>
    </w:p>
    <w:p w:rsidR="00172542" w:rsidRDefault="00172542" w:rsidP="00172542">
      <w:pPr>
        <w:keepLines/>
        <w:autoSpaceDE w:val="0"/>
        <w:autoSpaceDN w:val="0"/>
        <w:adjustRightInd w:val="0"/>
        <w:rPr>
          <w:rFonts w:ascii="Garamond" w:hAnsi="Garamond"/>
          <w:lang w:val="en-AU"/>
        </w:rPr>
      </w:pPr>
      <w:r w:rsidRPr="00172542">
        <w:rPr>
          <w:rFonts w:ascii="Garamond" w:hAnsi="Garamond"/>
          <w:lang w:val="en-AU"/>
        </w:rPr>
        <w:t>A promotional poster to support the release of the tool is also available</w:t>
      </w:r>
      <w:r>
        <w:rPr>
          <w:rFonts w:ascii="Garamond" w:hAnsi="Garamond"/>
          <w:lang w:val="en-AU"/>
        </w:rPr>
        <w:t xml:space="preserve"> from </w:t>
      </w:r>
      <w:hyperlink r:id="rId20" w:history="1">
        <w:r w:rsidRPr="00D04C07">
          <w:rPr>
            <w:rStyle w:val="Hyperlink"/>
            <w:rFonts w:ascii="Garamond" w:hAnsi="Garamond"/>
            <w:sz w:val="22"/>
            <w:szCs w:val="22"/>
            <w:lang w:val="en-AU"/>
          </w:rPr>
          <w:t>https://www.safetyandquality.gov.au/wp-content/uploads/2019/04/OAK-DST-FINAL-APRIL-8.pdf</w:t>
        </w:r>
      </w:hyperlink>
    </w:p>
    <w:p w:rsidR="00172542" w:rsidRPr="00172542" w:rsidRDefault="00172542" w:rsidP="00172542">
      <w:pPr>
        <w:keepLines/>
        <w:autoSpaceDE w:val="0"/>
        <w:autoSpaceDN w:val="0"/>
        <w:adjustRightInd w:val="0"/>
        <w:rPr>
          <w:rFonts w:ascii="Garamond" w:hAnsi="Garamond"/>
          <w:lang w:val="en-AU"/>
        </w:rPr>
      </w:pPr>
    </w:p>
    <w:p w:rsidR="00172542" w:rsidRDefault="00172542" w:rsidP="00172542">
      <w:pPr>
        <w:keepLines/>
        <w:autoSpaceDE w:val="0"/>
        <w:autoSpaceDN w:val="0"/>
        <w:adjustRightInd w:val="0"/>
        <w:rPr>
          <w:rFonts w:ascii="Garamond" w:hAnsi="Garamond"/>
          <w:lang w:val="en-AU"/>
        </w:rPr>
      </w:pPr>
      <w:r w:rsidRPr="00172542">
        <w:rPr>
          <w:rFonts w:ascii="Garamond" w:hAnsi="Garamond"/>
          <w:lang w:val="en-AU"/>
        </w:rPr>
        <w:t xml:space="preserve">This decision support tool is based on the treatment options in the Commission’s </w:t>
      </w:r>
      <w:r w:rsidRPr="00172542">
        <w:rPr>
          <w:rFonts w:ascii="Garamond" w:hAnsi="Garamond"/>
          <w:i/>
          <w:lang w:val="en-AU"/>
        </w:rPr>
        <w:t>Osteoarthritis of the Knee Clinical Care Standard</w:t>
      </w:r>
      <w:r w:rsidRPr="00172542">
        <w:rPr>
          <w:rFonts w:ascii="Garamond" w:hAnsi="Garamond"/>
          <w:lang w:val="en-AU"/>
        </w:rPr>
        <w:t xml:space="preserve">. Further information about the Commission’s work on Patient and Consumer Centred Care and Clinical Care Standards can be found at </w:t>
      </w:r>
      <w:hyperlink r:id="rId21" w:history="1">
        <w:r w:rsidRPr="00D90354">
          <w:rPr>
            <w:rStyle w:val="Hyperlink"/>
            <w:rFonts w:ascii="Garamond" w:hAnsi="Garamond"/>
            <w:lang w:val="en-AU"/>
          </w:rPr>
          <w:t>https://www.safetyandquality.gov.au</w:t>
        </w:r>
      </w:hyperlink>
    </w:p>
    <w:p w:rsidR="00172542" w:rsidRPr="00172542" w:rsidRDefault="00172542" w:rsidP="00172542">
      <w:pPr>
        <w:keepLines/>
        <w:autoSpaceDE w:val="0"/>
        <w:autoSpaceDN w:val="0"/>
        <w:adjustRightInd w:val="0"/>
        <w:rPr>
          <w:rFonts w:ascii="Garamond" w:hAnsi="Garamond"/>
          <w:lang w:val="en-AU"/>
        </w:rPr>
      </w:pPr>
    </w:p>
    <w:p w:rsidR="00172542" w:rsidRPr="00172542" w:rsidRDefault="00172542" w:rsidP="00D04C07">
      <w:pPr>
        <w:keepLines/>
        <w:autoSpaceDE w:val="0"/>
        <w:autoSpaceDN w:val="0"/>
        <w:adjustRightInd w:val="0"/>
        <w:jc w:val="center"/>
        <w:rPr>
          <w:rFonts w:ascii="Garamond" w:hAnsi="Garamond"/>
          <w:lang w:val="en-AU"/>
        </w:rPr>
      </w:pPr>
      <w:r>
        <w:rPr>
          <w:rFonts w:ascii="Garamond" w:hAnsi="Garamond"/>
          <w:noProof/>
          <w:lang w:val="en-AU" w:eastAsia="en-AU"/>
        </w:rPr>
        <w:drawing>
          <wp:inline distT="0" distB="0" distL="0" distR="0">
            <wp:extent cx="4165600" cy="5810054"/>
            <wp:effectExtent l="0" t="0" r="6350" b="635"/>
            <wp:docPr id="4" name="Picture 4" descr="\\central.health\dfsuserenv\Users\User_07\JOHNNI\Desktop\OAK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ral.health\dfsuserenv\Users\User_07\JOHNNI\Desktop\OAK Cap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68504" cy="5814105"/>
                    </a:xfrm>
                    <a:prstGeom prst="rect">
                      <a:avLst/>
                    </a:prstGeom>
                    <a:noFill/>
                    <a:ln>
                      <a:noFill/>
                    </a:ln>
                  </pic:spPr>
                </pic:pic>
              </a:graphicData>
            </a:graphic>
          </wp:inline>
        </w:drawing>
      </w:r>
    </w:p>
    <w:p w:rsidR="00282D29" w:rsidRDefault="00172542">
      <w:pPr>
        <w:rPr>
          <w:rFonts w:ascii="Garamond" w:hAnsi="Garamond"/>
          <w:b/>
          <w:lang w:val="en-AU"/>
        </w:rPr>
      </w:pPr>
      <w:r>
        <w:rPr>
          <w:rFonts w:ascii="Garamond" w:hAnsi="Garamond"/>
          <w:b/>
          <w:lang w:val="en-AU"/>
        </w:rPr>
        <w:br w:type="page"/>
      </w:r>
      <w:r w:rsidR="00282D29">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724CA4" w:rsidRPr="00003241" w:rsidRDefault="00003241" w:rsidP="003D5043">
      <w:pPr>
        <w:keepLines/>
        <w:autoSpaceDE w:val="0"/>
        <w:autoSpaceDN w:val="0"/>
        <w:adjustRightInd w:val="0"/>
        <w:rPr>
          <w:rFonts w:ascii="Garamond" w:hAnsi="Garamond"/>
          <w:i/>
          <w:lang w:val="en-AU"/>
        </w:rPr>
      </w:pPr>
      <w:r w:rsidRPr="00003241">
        <w:rPr>
          <w:rFonts w:ascii="Garamond" w:hAnsi="Garamond"/>
          <w:i/>
          <w:lang w:val="en-AU"/>
        </w:rPr>
        <w:t>How to Talk About Patient Safety</w:t>
      </w:r>
    </w:p>
    <w:p w:rsidR="00D00C52" w:rsidRDefault="00D00C52" w:rsidP="003D5043">
      <w:pPr>
        <w:keepLines/>
        <w:autoSpaceDE w:val="0"/>
        <w:autoSpaceDN w:val="0"/>
        <w:adjustRightInd w:val="0"/>
        <w:rPr>
          <w:rFonts w:ascii="Garamond" w:hAnsi="Garamond"/>
          <w:lang w:val="en-AU"/>
        </w:rPr>
      </w:pPr>
      <w:r w:rsidRPr="00D00C52">
        <w:rPr>
          <w:rFonts w:ascii="Garamond" w:hAnsi="Garamond"/>
          <w:lang w:val="en-AU"/>
        </w:rPr>
        <w:t>Hendricks R, O'Neil M, Volmert A</w:t>
      </w:r>
    </w:p>
    <w:p w:rsidR="00003241" w:rsidRDefault="00D00C52" w:rsidP="003D5043">
      <w:pPr>
        <w:keepLines/>
        <w:autoSpaceDE w:val="0"/>
        <w:autoSpaceDN w:val="0"/>
        <w:adjustRightInd w:val="0"/>
        <w:rPr>
          <w:rFonts w:ascii="Garamond" w:hAnsi="Garamond"/>
          <w:lang w:val="en-AU"/>
        </w:rPr>
      </w:pPr>
      <w:r w:rsidRPr="00D00C52">
        <w:rPr>
          <w:rFonts w:ascii="Garamond" w:hAnsi="Garamond"/>
          <w:lang w:val="en-AU"/>
        </w:rPr>
        <w:t xml:space="preserve">Boston: Betsy Lehman Center for Patient Safety; 2019. </w:t>
      </w:r>
      <w:proofErr w:type="gramStart"/>
      <w:r w:rsidRPr="00D00C52">
        <w:rPr>
          <w:rFonts w:ascii="Garamond" w:hAnsi="Garamond"/>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860B49">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860B4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23965" w:rsidRDefault="008F713C" w:rsidP="00724CA4">
            <w:pPr>
              <w:rPr>
                <w:rStyle w:val="Hyperlink"/>
                <w:rFonts w:ascii="Garamond" w:hAnsi="Garamond"/>
                <w:color w:val="auto"/>
                <w:u w:val="none"/>
                <w:lang w:val="en-AU"/>
              </w:rPr>
            </w:pPr>
            <w:hyperlink r:id="rId23" w:history="1">
              <w:r w:rsidR="00003241" w:rsidRPr="00FF6408">
                <w:rPr>
                  <w:rStyle w:val="Hyperlink"/>
                  <w:rFonts w:ascii="Garamond" w:hAnsi="Garamond"/>
                  <w:lang w:val="en-AU"/>
                </w:rPr>
                <w:t>https://www.betsylehmancenterma.gov/assets/uploads/Patient-Safety-MessageMemo-2019.pdf</w:t>
              </w:r>
            </w:hyperlink>
          </w:p>
          <w:p w:rsidR="00003241" w:rsidRPr="000170DA" w:rsidRDefault="008F713C" w:rsidP="00003241">
            <w:pPr>
              <w:rPr>
                <w:rStyle w:val="Hyperlink"/>
                <w:rFonts w:ascii="Garamond" w:hAnsi="Garamond"/>
                <w:color w:val="auto"/>
                <w:u w:val="none"/>
                <w:lang w:val="en-AU"/>
              </w:rPr>
            </w:pPr>
            <w:hyperlink r:id="rId24" w:history="1">
              <w:r w:rsidR="00003241" w:rsidRPr="00FF6408">
                <w:rPr>
                  <w:rStyle w:val="Hyperlink"/>
                  <w:rFonts w:ascii="Garamond" w:hAnsi="Garamond"/>
                  <w:lang w:val="en-AU"/>
                </w:rPr>
                <w:t>https://www.betsylehmancenterma.gov/research/reframing-patient-safety-issues</w:t>
              </w:r>
            </w:hyperlink>
          </w:p>
        </w:tc>
      </w:tr>
      <w:tr w:rsidR="00831B85" w:rsidRPr="000170DA" w:rsidTr="00860B49">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860B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6ED9" w:rsidRDefault="006F6ED9" w:rsidP="006F6ED9">
            <w:pPr>
              <w:rPr>
                <w:rFonts w:ascii="Garamond" w:hAnsi="Garamond"/>
                <w:lang w:val="en-AU"/>
              </w:rPr>
            </w:pPr>
            <w:r w:rsidRPr="006F6ED9">
              <w:rPr>
                <w:rFonts w:ascii="Garamond" w:hAnsi="Garamond"/>
                <w:lang w:val="en-AU"/>
              </w:rPr>
              <w:t xml:space="preserve">US report (from the Betsy Lehman Center </w:t>
            </w:r>
            <w:r>
              <w:rPr>
                <w:rFonts w:ascii="Garamond" w:hAnsi="Garamond"/>
                <w:lang w:val="en-AU"/>
              </w:rPr>
              <w:t xml:space="preserve">and </w:t>
            </w:r>
            <w:r w:rsidRPr="006F6ED9">
              <w:rPr>
                <w:rFonts w:ascii="Garamond" w:hAnsi="Garamond"/>
                <w:lang w:val="en-AU"/>
              </w:rPr>
              <w:t>FrameWorks Institute</w:t>
            </w:r>
            <w:r>
              <w:rPr>
                <w:rFonts w:ascii="Garamond" w:hAnsi="Garamond"/>
                <w:lang w:val="en-AU"/>
              </w:rPr>
              <w:t xml:space="preserve">) that argues that the way patient safety is framed, including the language of patient safety, does not engage or resonate with the public. </w:t>
            </w:r>
            <w:r w:rsidR="00D00C52">
              <w:rPr>
                <w:rFonts w:ascii="Garamond" w:hAnsi="Garamond"/>
                <w:lang w:val="en-AU"/>
              </w:rPr>
              <w:t xml:space="preserve">While much of this may seem self-evident there are elements that may not be universally welcomed. For example, the use of the aviation metaphor has already seen quite extensive pushback with those arguing that it is an imperfect metaphor. </w:t>
            </w:r>
            <w:r>
              <w:rPr>
                <w:rFonts w:ascii="Garamond" w:hAnsi="Garamond"/>
                <w:lang w:val="en-AU"/>
              </w:rPr>
              <w:t>The strategies suggested include:</w:t>
            </w:r>
          </w:p>
          <w:p w:rsidR="006F6ED9" w:rsidRDefault="006F6ED9" w:rsidP="004523EF">
            <w:pPr>
              <w:pStyle w:val="ListParagraph"/>
              <w:numPr>
                <w:ilvl w:val="0"/>
                <w:numId w:val="17"/>
              </w:numPr>
              <w:rPr>
                <w:rFonts w:ascii="Garamond" w:hAnsi="Garamond"/>
                <w:lang w:val="en-AU"/>
              </w:rPr>
            </w:pPr>
            <w:r w:rsidRPr="006F6ED9">
              <w:rPr>
                <w:rFonts w:ascii="Garamond" w:hAnsi="Garamond"/>
                <w:lang w:val="en-AU"/>
              </w:rPr>
              <w:t>Explicitly define the terms patient safety and medical error to increase understanding</w:t>
            </w:r>
          </w:p>
          <w:p w:rsidR="006F6ED9" w:rsidRDefault="006F6ED9" w:rsidP="004523EF">
            <w:pPr>
              <w:pStyle w:val="ListParagraph"/>
              <w:numPr>
                <w:ilvl w:val="0"/>
                <w:numId w:val="17"/>
              </w:numPr>
              <w:rPr>
                <w:rFonts w:ascii="Garamond" w:hAnsi="Garamond"/>
                <w:lang w:val="en-AU"/>
              </w:rPr>
            </w:pPr>
            <w:r w:rsidRPr="006F6ED9">
              <w:rPr>
                <w:rFonts w:ascii="Garamond" w:hAnsi="Garamond"/>
                <w:lang w:val="en-AU"/>
              </w:rPr>
              <w:t>Talk about medical care rather than health care to help people focus on safety</w:t>
            </w:r>
          </w:p>
          <w:p w:rsidR="006F6ED9" w:rsidRDefault="006F6ED9" w:rsidP="004523EF">
            <w:pPr>
              <w:pStyle w:val="ListParagraph"/>
              <w:numPr>
                <w:ilvl w:val="0"/>
                <w:numId w:val="17"/>
              </w:numPr>
              <w:rPr>
                <w:rFonts w:ascii="Garamond" w:hAnsi="Garamond"/>
                <w:lang w:val="en-AU"/>
              </w:rPr>
            </w:pPr>
            <w:r w:rsidRPr="006F6ED9">
              <w:rPr>
                <w:rFonts w:ascii="Garamond" w:hAnsi="Garamond"/>
                <w:lang w:val="en-AU"/>
              </w:rPr>
              <w:t>Connect the dots between causes and solutions</w:t>
            </w:r>
          </w:p>
          <w:p w:rsidR="006F6ED9" w:rsidRDefault="006F6ED9" w:rsidP="004523EF">
            <w:pPr>
              <w:pStyle w:val="ListParagraph"/>
              <w:numPr>
                <w:ilvl w:val="0"/>
                <w:numId w:val="17"/>
              </w:numPr>
              <w:rPr>
                <w:rFonts w:ascii="Garamond" w:hAnsi="Garamond"/>
                <w:lang w:val="en-AU"/>
              </w:rPr>
            </w:pPr>
            <w:r w:rsidRPr="006F6ED9">
              <w:rPr>
                <w:rFonts w:ascii="Garamond" w:hAnsi="Garamond"/>
                <w:lang w:val="en-AU"/>
              </w:rPr>
              <w:t>Use the Aviation metaphor to help people make sense of how errors arise and how they can be reduced</w:t>
            </w:r>
          </w:p>
          <w:p w:rsidR="006F6ED9" w:rsidRDefault="006F6ED9" w:rsidP="004523EF">
            <w:pPr>
              <w:pStyle w:val="ListParagraph"/>
              <w:numPr>
                <w:ilvl w:val="0"/>
                <w:numId w:val="17"/>
              </w:numPr>
              <w:rPr>
                <w:rFonts w:ascii="Garamond" w:hAnsi="Garamond"/>
                <w:lang w:val="en-AU"/>
              </w:rPr>
            </w:pPr>
            <w:r w:rsidRPr="006F6ED9">
              <w:rPr>
                <w:rFonts w:ascii="Garamond" w:hAnsi="Garamond"/>
                <w:lang w:val="en-AU"/>
              </w:rPr>
              <w:t>Use the Fail-Safe metaphor to help people grasp what solutions look like</w:t>
            </w:r>
          </w:p>
          <w:p w:rsidR="006F6ED9" w:rsidRDefault="006F6ED9" w:rsidP="004523EF">
            <w:pPr>
              <w:pStyle w:val="ListParagraph"/>
              <w:numPr>
                <w:ilvl w:val="0"/>
                <w:numId w:val="17"/>
              </w:numPr>
              <w:rPr>
                <w:rFonts w:ascii="Garamond" w:hAnsi="Garamond"/>
                <w:lang w:val="en-AU"/>
              </w:rPr>
            </w:pPr>
            <w:r w:rsidRPr="006F6ED9">
              <w:rPr>
                <w:rFonts w:ascii="Garamond" w:hAnsi="Garamond"/>
                <w:lang w:val="en-AU"/>
              </w:rPr>
              <w:t>Adopt an efficacious rather than a crisis tone</w:t>
            </w:r>
          </w:p>
          <w:p w:rsidR="006F6ED9" w:rsidRDefault="006F6ED9" w:rsidP="004523EF">
            <w:pPr>
              <w:pStyle w:val="ListParagraph"/>
              <w:numPr>
                <w:ilvl w:val="0"/>
                <w:numId w:val="17"/>
              </w:numPr>
              <w:rPr>
                <w:rFonts w:ascii="Garamond" w:hAnsi="Garamond"/>
                <w:lang w:val="en-AU"/>
              </w:rPr>
            </w:pPr>
            <w:r w:rsidRPr="006F6ED9">
              <w:rPr>
                <w:rFonts w:ascii="Garamond" w:hAnsi="Garamond"/>
                <w:lang w:val="en-AU"/>
              </w:rPr>
              <w:t>Explain rather than assert the prevalence of medical errors</w:t>
            </w:r>
          </w:p>
          <w:p w:rsidR="006F6ED9" w:rsidRDefault="006F6ED9" w:rsidP="004523EF">
            <w:pPr>
              <w:pStyle w:val="ListParagraph"/>
              <w:numPr>
                <w:ilvl w:val="0"/>
                <w:numId w:val="17"/>
              </w:numPr>
              <w:rPr>
                <w:rFonts w:ascii="Garamond" w:hAnsi="Garamond"/>
                <w:lang w:val="en-AU"/>
              </w:rPr>
            </w:pPr>
            <w:r w:rsidRPr="006F6ED9">
              <w:rPr>
                <w:rFonts w:ascii="Garamond" w:hAnsi="Garamond"/>
                <w:lang w:val="en-AU"/>
              </w:rPr>
              <w:t>Pan back to include the whole picture, rather than zooming in on one cause or solution</w:t>
            </w:r>
          </w:p>
          <w:p w:rsidR="00E11C81" w:rsidRPr="00D00C52" w:rsidRDefault="006F6ED9" w:rsidP="004523EF">
            <w:pPr>
              <w:pStyle w:val="ListParagraph"/>
              <w:numPr>
                <w:ilvl w:val="0"/>
                <w:numId w:val="17"/>
              </w:numPr>
              <w:rPr>
                <w:rFonts w:ascii="Garamond" w:hAnsi="Garamond"/>
                <w:lang w:val="en-AU"/>
              </w:rPr>
            </w:pPr>
            <w:r w:rsidRPr="00D00C52">
              <w:rPr>
                <w:rFonts w:ascii="Garamond" w:hAnsi="Garamond"/>
                <w:lang w:val="en-AU"/>
              </w:rPr>
              <w:t>Explain the importance of patient involvement without talking about “empowerment.”</w:t>
            </w:r>
          </w:p>
        </w:tc>
      </w:tr>
    </w:tbl>
    <w:p w:rsidR="00831B85" w:rsidRDefault="00831B85" w:rsidP="00831B85">
      <w:pPr>
        <w:keepLines/>
        <w:autoSpaceDE w:val="0"/>
        <w:autoSpaceDN w:val="0"/>
        <w:adjustRightInd w:val="0"/>
        <w:rPr>
          <w:rFonts w:ascii="Garamond" w:hAnsi="Garamond"/>
          <w:i/>
          <w:lang w:val="en-AU"/>
        </w:rPr>
      </w:pPr>
    </w:p>
    <w:p w:rsidR="00901FA2" w:rsidRDefault="00901FA2" w:rsidP="00831B85">
      <w:pPr>
        <w:keepLines/>
        <w:autoSpaceDE w:val="0"/>
        <w:autoSpaceDN w:val="0"/>
        <w:adjustRightInd w:val="0"/>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patient and consumer centred care, see </w:t>
      </w:r>
      <w:hyperlink r:id="rId25" w:history="1">
        <w:r w:rsidRPr="00FF6408">
          <w:rPr>
            <w:rStyle w:val="Hyperlink"/>
            <w:rFonts w:ascii="Garamond" w:hAnsi="Garamond"/>
            <w:lang w:val="en-AU"/>
          </w:rPr>
          <w:t>https://www.safetyandquality.gov.au/our-work/patient-and-consumer-centred-care/</w:t>
        </w:r>
      </w:hyperlink>
    </w:p>
    <w:p w:rsidR="00901FA2" w:rsidRDefault="00901FA2" w:rsidP="00831B85">
      <w:pPr>
        <w:keepLines/>
        <w:autoSpaceDE w:val="0"/>
        <w:autoSpaceDN w:val="0"/>
        <w:adjustRightInd w:val="0"/>
        <w:rPr>
          <w:rFonts w:ascii="Garamond" w:hAnsi="Garamond"/>
          <w:i/>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F44FEC" w:rsidRPr="00003241" w:rsidRDefault="00003241" w:rsidP="00F44FEC">
      <w:pPr>
        <w:keepNext/>
        <w:keepLines/>
        <w:autoSpaceDE w:val="0"/>
        <w:autoSpaceDN w:val="0"/>
        <w:adjustRightInd w:val="0"/>
        <w:rPr>
          <w:rFonts w:ascii="Garamond" w:hAnsi="Garamond"/>
          <w:i/>
          <w:lang w:val="en-AU"/>
        </w:rPr>
      </w:pPr>
      <w:r w:rsidRPr="00003241">
        <w:rPr>
          <w:rFonts w:ascii="Garamond" w:hAnsi="Garamond"/>
          <w:i/>
          <w:lang w:val="en-AU"/>
        </w:rPr>
        <w:t>Bringing perioperative emergency manuals to your institution: a "How To" from concept to implementation in 10 steps</w:t>
      </w:r>
    </w:p>
    <w:p w:rsidR="009C0B33" w:rsidRDefault="009C0B33" w:rsidP="00F44FEC">
      <w:pPr>
        <w:keepNext/>
        <w:keepLines/>
        <w:autoSpaceDE w:val="0"/>
        <w:autoSpaceDN w:val="0"/>
        <w:adjustRightInd w:val="0"/>
        <w:rPr>
          <w:rFonts w:ascii="Garamond" w:hAnsi="Garamond"/>
          <w:lang w:val="en-AU"/>
        </w:rPr>
      </w:pPr>
      <w:r w:rsidRPr="009C0B33">
        <w:rPr>
          <w:rFonts w:ascii="Garamond" w:hAnsi="Garamond"/>
          <w:lang w:val="en-AU"/>
        </w:rPr>
        <w:t>Agarwala AV, McRichards LK, Rao V, Kurzweil V, Goldhaber-Fiebert SN</w:t>
      </w:r>
    </w:p>
    <w:p w:rsidR="00003241" w:rsidRPr="00E566B0" w:rsidRDefault="009C0B33" w:rsidP="00F44FEC">
      <w:pPr>
        <w:keepNext/>
        <w:keepLines/>
        <w:autoSpaceDE w:val="0"/>
        <w:autoSpaceDN w:val="0"/>
        <w:adjustRightInd w:val="0"/>
        <w:rPr>
          <w:rFonts w:ascii="Garamond" w:hAnsi="Garamond"/>
          <w:lang w:val="en-AU"/>
        </w:rPr>
      </w:pPr>
      <w:proofErr w:type="gramStart"/>
      <w:r w:rsidRPr="009C0B33">
        <w:rPr>
          <w:rFonts w:ascii="Garamond" w:hAnsi="Garamond"/>
          <w:lang w:val="en-AU"/>
        </w:rPr>
        <w:t>The Joint Commission Journal on Quality and Patient Safety.</w:t>
      </w:r>
      <w:proofErr w:type="gramEnd"/>
      <w:r w:rsidRPr="009C0B33">
        <w:rPr>
          <w:rFonts w:ascii="Garamond" w:hAnsi="Garamond"/>
          <w:lang w:val="en-AU"/>
        </w:rPr>
        <w:t xml:space="preserve"> 2019</w:t>
      </w:r>
      <w:proofErr w:type="gramStart"/>
      <w:r w:rsidRPr="009C0B33">
        <w:rPr>
          <w:rFonts w:ascii="Garamond" w:hAnsi="Garamond"/>
          <w:lang w:val="en-AU"/>
        </w:rPr>
        <w:t>;45</w:t>
      </w:r>
      <w:proofErr w:type="gramEnd"/>
      <w:r w:rsidRPr="009C0B33">
        <w:rPr>
          <w:rFonts w:ascii="Garamond" w:hAnsi="Garamond"/>
          <w:lang w:val="en-AU"/>
        </w:rPr>
        <w:t>(3):170-9.</w:t>
      </w:r>
    </w:p>
    <w:tbl>
      <w:tblPr>
        <w:tblStyle w:val="TableGrid"/>
        <w:tblW w:w="0" w:type="auto"/>
        <w:tblInd w:w="288" w:type="dxa"/>
        <w:tblLayout w:type="fixed"/>
        <w:tblLook w:val="01E0" w:firstRow="1" w:lastRow="1" w:firstColumn="1" w:lastColumn="1" w:noHBand="0" w:noVBand="0"/>
      </w:tblPr>
      <w:tblGrid>
        <w:gridCol w:w="1080"/>
        <w:gridCol w:w="8280"/>
      </w:tblGrid>
      <w:tr w:rsidR="00F44FEC"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F44FEC" w:rsidRPr="000170DA" w:rsidRDefault="00F44FEC" w:rsidP="005004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44FEC" w:rsidRPr="000170DA" w:rsidRDefault="008F713C" w:rsidP="005004C7">
            <w:pPr>
              <w:rPr>
                <w:rStyle w:val="Hyperlink"/>
                <w:rFonts w:ascii="Garamond" w:hAnsi="Garamond"/>
                <w:color w:val="auto"/>
                <w:u w:val="none"/>
                <w:lang w:val="en-AU"/>
              </w:rPr>
            </w:pPr>
            <w:hyperlink r:id="rId26" w:history="1">
              <w:r w:rsidR="009C0B33" w:rsidRPr="00FF6408">
                <w:rPr>
                  <w:rStyle w:val="Hyperlink"/>
                  <w:rFonts w:ascii="Garamond" w:hAnsi="Garamond"/>
                  <w:lang w:val="en-AU"/>
                </w:rPr>
                <w:t>https://doi.org/10.1016/j.jcjq.2018.08.012</w:t>
              </w:r>
            </w:hyperlink>
          </w:p>
        </w:tc>
      </w:tr>
      <w:tr w:rsidR="00F44FEC"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F44FEC" w:rsidRPr="000170DA" w:rsidRDefault="00F44FEC" w:rsidP="005004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6ED9" w:rsidRDefault="009C0B33" w:rsidP="006F6ED9">
            <w:pPr>
              <w:rPr>
                <w:rFonts w:ascii="Garamond" w:hAnsi="Garamond"/>
                <w:lang w:val="en-AU"/>
              </w:rPr>
            </w:pPr>
            <w:r>
              <w:rPr>
                <w:rFonts w:ascii="Garamond" w:hAnsi="Garamond"/>
                <w:lang w:val="en-AU"/>
              </w:rPr>
              <w:t>Paper describing the implementation of emergency manuals</w:t>
            </w:r>
            <w:r w:rsidR="006F6ED9">
              <w:rPr>
                <w:rFonts w:ascii="Garamond" w:hAnsi="Garamond"/>
                <w:lang w:val="en-AU"/>
              </w:rPr>
              <w:t xml:space="preserve"> (EMs)</w:t>
            </w:r>
            <w:r>
              <w:rPr>
                <w:rFonts w:ascii="Garamond" w:hAnsi="Garamond"/>
                <w:lang w:val="en-AU"/>
              </w:rPr>
              <w:t xml:space="preserve"> in the perioperative setting. Emergency manuals are defined as ‘</w:t>
            </w:r>
            <w:r w:rsidRPr="009C0B33">
              <w:rPr>
                <w:rFonts w:ascii="Garamond" w:hAnsi="Garamond"/>
                <w:lang w:val="en-AU"/>
              </w:rPr>
              <w:t>context-relevant sets of crisis checklists or cognitive aids designed to enable professional teams to deliver optimal care during critical events</w:t>
            </w:r>
            <w:r>
              <w:rPr>
                <w:rFonts w:ascii="Garamond" w:hAnsi="Garamond"/>
                <w:lang w:val="en-AU"/>
              </w:rPr>
              <w:t>’.</w:t>
            </w:r>
            <w:r w:rsidR="006F6ED9">
              <w:rPr>
                <w:rFonts w:ascii="Garamond" w:hAnsi="Garamond"/>
                <w:lang w:val="en-AU"/>
              </w:rPr>
              <w:t xml:space="preserve"> The authors describe their implementation that had 10 steps in four distinct phases. The implantation plans major goals were: </w:t>
            </w:r>
          </w:p>
          <w:p w:rsidR="006F6ED9" w:rsidRDefault="006F6ED9" w:rsidP="004523EF">
            <w:pPr>
              <w:pStyle w:val="ListParagraph"/>
              <w:numPr>
                <w:ilvl w:val="0"/>
                <w:numId w:val="16"/>
              </w:numPr>
              <w:rPr>
                <w:rFonts w:ascii="Garamond" w:hAnsi="Garamond"/>
                <w:lang w:val="en-AU"/>
              </w:rPr>
            </w:pPr>
            <w:r>
              <w:rPr>
                <w:rFonts w:ascii="Garamond" w:hAnsi="Garamond"/>
                <w:lang w:val="en-AU"/>
              </w:rPr>
              <w:t>place EMs in every anaesthetis</w:t>
            </w:r>
            <w:r w:rsidRPr="006F6ED9">
              <w:rPr>
                <w:rFonts w:ascii="Garamond" w:hAnsi="Garamond"/>
                <w:lang w:val="en-AU"/>
              </w:rPr>
              <w:t>ing location</w:t>
            </w:r>
          </w:p>
          <w:p w:rsidR="006F6ED9" w:rsidRDefault="006F6ED9" w:rsidP="004523EF">
            <w:pPr>
              <w:pStyle w:val="ListParagraph"/>
              <w:numPr>
                <w:ilvl w:val="0"/>
                <w:numId w:val="16"/>
              </w:numPr>
              <w:rPr>
                <w:rFonts w:ascii="Garamond" w:hAnsi="Garamond"/>
                <w:lang w:val="en-AU"/>
              </w:rPr>
            </w:pPr>
            <w:r w:rsidRPr="006F6ED9">
              <w:rPr>
                <w:rFonts w:ascii="Garamond" w:hAnsi="Garamond"/>
                <w:lang w:val="en-AU"/>
              </w:rPr>
              <w:t>create inter</w:t>
            </w:r>
            <w:r>
              <w:rPr>
                <w:rFonts w:ascii="Garamond" w:hAnsi="Garamond"/>
                <w:lang w:val="en-AU"/>
              </w:rPr>
              <w:t>-</w:t>
            </w:r>
            <w:r w:rsidRPr="006F6ED9">
              <w:rPr>
                <w:rFonts w:ascii="Garamond" w:hAnsi="Garamond"/>
                <w:lang w:val="en-AU"/>
              </w:rPr>
              <w:t>professional engagement</w:t>
            </w:r>
          </w:p>
          <w:p w:rsidR="006F6ED9" w:rsidRDefault="006F6ED9" w:rsidP="004523EF">
            <w:pPr>
              <w:pStyle w:val="ListParagraph"/>
              <w:numPr>
                <w:ilvl w:val="0"/>
                <w:numId w:val="16"/>
              </w:numPr>
              <w:rPr>
                <w:rFonts w:ascii="Garamond" w:hAnsi="Garamond"/>
                <w:lang w:val="en-AU"/>
              </w:rPr>
            </w:pPr>
            <w:proofErr w:type="gramStart"/>
            <w:r w:rsidRPr="006F6ED9">
              <w:rPr>
                <w:rFonts w:ascii="Garamond" w:hAnsi="Garamond"/>
                <w:lang w:val="en-AU"/>
              </w:rPr>
              <w:t>demonstrate</w:t>
            </w:r>
            <w:proofErr w:type="gramEnd"/>
            <w:r w:rsidRPr="006F6ED9">
              <w:rPr>
                <w:rFonts w:ascii="Garamond" w:hAnsi="Garamond"/>
                <w:lang w:val="en-AU"/>
              </w:rPr>
              <w:t xml:space="preserve"> that a majority of an</w:t>
            </w:r>
            <w:r>
              <w:rPr>
                <w:rFonts w:ascii="Garamond" w:hAnsi="Garamond"/>
                <w:lang w:val="en-AU"/>
              </w:rPr>
              <w:t>a</w:t>
            </w:r>
            <w:r w:rsidRPr="006F6ED9">
              <w:rPr>
                <w:rFonts w:ascii="Garamond" w:hAnsi="Garamond"/>
                <w:lang w:val="en-AU"/>
              </w:rPr>
              <w:t>esthesia clinicians would use the new tool in some way within the first year.</w:t>
            </w:r>
          </w:p>
          <w:p w:rsidR="006F6ED9" w:rsidRPr="006F6ED9" w:rsidRDefault="006F6ED9" w:rsidP="006F6ED9">
            <w:pPr>
              <w:rPr>
                <w:rFonts w:ascii="Garamond" w:hAnsi="Garamond"/>
                <w:lang w:val="en-AU"/>
              </w:rPr>
            </w:pPr>
            <w:r>
              <w:rPr>
                <w:rFonts w:ascii="Garamond" w:hAnsi="Garamond"/>
                <w:lang w:val="en-AU"/>
              </w:rPr>
              <w:t xml:space="preserve">The authors report that in </w:t>
            </w:r>
            <w:r w:rsidRPr="006F6ED9">
              <w:rPr>
                <w:rFonts w:ascii="Garamond" w:hAnsi="Garamond"/>
                <w:lang w:val="en-AU"/>
              </w:rPr>
              <w:t xml:space="preserve">the six months following implementation, 67.0% of clinicians had used the </w:t>
            </w:r>
            <w:r>
              <w:rPr>
                <w:rFonts w:ascii="Garamond" w:hAnsi="Garamond"/>
                <w:lang w:val="en-AU"/>
              </w:rPr>
              <w:t>EM</w:t>
            </w:r>
            <w:r w:rsidRPr="006F6ED9">
              <w:rPr>
                <w:rFonts w:ascii="Garamond" w:hAnsi="Garamond"/>
                <w:lang w:val="en-AU"/>
              </w:rPr>
              <w:t>, with 24.1% using it for clinical care and 9.2% using it during a critical event.</w:t>
            </w:r>
          </w:p>
        </w:tc>
      </w:tr>
    </w:tbl>
    <w:p w:rsidR="00F44FEC" w:rsidRDefault="00F44FEC" w:rsidP="00F44FEC">
      <w:pPr>
        <w:rPr>
          <w:rFonts w:ascii="Garamond" w:hAnsi="Garamond"/>
          <w:i/>
          <w:lang w:val="en-AU"/>
        </w:rPr>
      </w:pPr>
    </w:p>
    <w:p w:rsidR="00901FA2" w:rsidRPr="00003241" w:rsidRDefault="00901FA2" w:rsidP="00901FA2">
      <w:pPr>
        <w:keepNext/>
        <w:keepLines/>
        <w:autoSpaceDE w:val="0"/>
        <w:autoSpaceDN w:val="0"/>
        <w:adjustRightInd w:val="0"/>
        <w:rPr>
          <w:rFonts w:ascii="Garamond" w:hAnsi="Garamond"/>
          <w:i/>
          <w:lang w:val="en-AU"/>
        </w:rPr>
      </w:pPr>
      <w:r w:rsidRPr="00003241">
        <w:rPr>
          <w:rFonts w:ascii="Garamond" w:hAnsi="Garamond"/>
          <w:i/>
          <w:lang w:val="en-AU"/>
        </w:rPr>
        <w:lastRenderedPageBreak/>
        <w:t>Must we bust the trust</w:t>
      </w:r>
      <w:proofErr w:type="gramStart"/>
      <w:r w:rsidRPr="00003241">
        <w:rPr>
          <w:rFonts w:ascii="Garamond" w:hAnsi="Garamond"/>
          <w:i/>
          <w:lang w:val="en-AU"/>
        </w:rPr>
        <w:t>?:</w:t>
      </w:r>
      <w:proofErr w:type="gramEnd"/>
      <w:r w:rsidRPr="00003241">
        <w:rPr>
          <w:rFonts w:ascii="Garamond" w:hAnsi="Garamond"/>
          <w:i/>
          <w:lang w:val="en-AU"/>
        </w:rPr>
        <w:t xml:space="preserve"> Understanding how the clinician–patient relationship influences patient engagement in safety</w:t>
      </w:r>
    </w:p>
    <w:p w:rsidR="005004C7" w:rsidRDefault="005004C7" w:rsidP="00901FA2">
      <w:pPr>
        <w:keepNext/>
        <w:keepLines/>
        <w:autoSpaceDE w:val="0"/>
        <w:autoSpaceDN w:val="0"/>
        <w:adjustRightInd w:val="0"/>
        <w:rPr>
          <w:rFonts w:ascii="Garamond" w:hAnsi="Garamond"/>
          <w:lang w:val="en-AU"/>
        </w:rPr>
      </w:pPr>
      <w:r w:rsidRPr="005004C7">
        <w:rPr>
          <w:rFonts w:ascii="Garamond" w:hAnsi="Garamond"/>
          <w:lang w:val="en-AU"/>
        </w:rPr>
        <w:t>Mishra SR, Haldar S, Khelifi M, Pollack AH, Wanda P</w:t>
      </w:r>
    </w:p>
    <w:p w:rsidR="00901FA2" w:rsidRDefault="005004C7" w:rsidP="00901FA2">
      <w:pPr>
        <w:keepNext/>
        <w:keepLines/>
        <w:autoSpaceDE w:val="0"/>
        <w:autoSpaceDN w:val="0"/>
        <w:adjustRightInd w:val="0"/>
        <w:rPr>
          <w:rFonts w:ascii="Garamond" w:hAnsi="Garamond"/>
          <w:lang w:val="en-AU"/>
        </w:rPr>
      </w:pPr>
      <w:r w:rsidRPr="005004C7">
        <w:rPr>
          <w:rFonts w:ascii="Garamond" w:hAnsi="Garamond"/>
          <w:lang w:val="en-AU"/>
        </w:rPr>
        <w:t>AMIA Annu Symp Proc. 2018:1425-34.</w:t>
      </w:r>
    </w:p>
    <w:p w:rsidR="005004C7" w:rsidRDefault="005004C7" w:rsidP="00901FA2">
      <w:pPr>
        <w:keepNext/>
        <w:keepLines/>
        <w:autoSpaceDE w:val="0"/>
        <w:autoSpaceDN w:val="0"/>
        <w:adjustRightInd w:val="0"/>
        <w:rPr>
          <w:rFonts w:ascii="Garamond" w:hAnsi="Garamond"/>
          <w:i/>
          <w:lang w:val="en-AU"/>
        </w:rPr>
      </w:pPr>
    </w:p>
    <w:p w:rsidR="00901FA2" w:rsidRPr="00003241" w:rsidRDefault="00901FA2" w:rsidP="00901FA2">
      <w:pPr>
        <w:keepNext/>
        <w:keepLines/>
        <w:autoSpaceDE w:val="0"/>
        <w:autoSpaceDN w:val="0"/>
        <w:adjustRightInd w:val="0"/>
        <w:rPr>
          <w:rFonts w:ascii="Garamond" w:hAnsi="Garamond"/>
          <w:i/>
          <w:lang w:val="en-AU"/>
        </w:rPr>
      </w:pPr>
      <w:r w:rsidRPr="00003241">
        <w:rPr>
          <w:rFonts w:ascii="Garamond" w:hAnsi="Garamond"/>
          <w:i/>
          <w:lang w:val="en-AU"/>
        </w:rPr>
        <w:t>The impact of patient–physician alliance on trust following an adverse event</w:t>
      </w:r>
    </w:p>
    <w:p w:rsidR="004523EF" w:rsidRDefault="004523EF" w:rsidP="00901FA2">
      <w:pPr>
        <w:keepNext/>
        <w:keepLines/>
        <w:autoSpaceDE w:val="0"/>
        <w:autoSpaceDN w:val="0"/>
        <w:adjustRightInd w:val="0"/>
        <w:rPr>
          <w:rFonts w:ascii="Garamond" w:hAnsi="Garamond"/>
          <w:lang w:val="en-AU"/>
        </w:rPr>
      </w:pPr>
      <w:r w:rsidRPr="004523EF">
        <w:rPr>
          <w:rFonts w:ascii="Garamond" w:hAnsi="Garamond"/>
          <w:lang w:val="en-AU"/>
        </w:rPr>
        <w:t>Shoemaker K, Smith CP</w:t>
      </w:r>
    </w:p>
    <w:p w:rsidR="00901FA2" w:rsidRDefault="004523EF" w:rsidP="00901FA2">
      <w:pPr>
        <w:keepNext/>
        <w:keepLines/>
        <w:autoSpaceDE w:val="0"/>
        <w:autoSpaceDN w:val="0"/>
        <w:adjustRightInd w:val="0"/>
        <w:rPr>
          <w:rFonts w:ascii="Garamond" w:hAnsi="Garamond"/>
          <w:lang w:val="en-AU"/>
        </w:rPr>
      </w:pPr>
      <w:proofErr w:type="gramStart"/>
      <w:r w:rsidRPr="004523EF">
        <w:rPr>
          <w:rFonts w:ascii="Garamond" w:hAnsi="Garamond"/>
          <w:lang w:val="en-AU"/>
        </w:rPr>
        <w:t>Patient Education and Counseling.</w:t>
      </w:r>
      <w:proofErr w:type="gramEnd"/>
      <w:r w:rsidRPr="004523EF">
        <w:rPr>
          <w:rFonts w:ascii="Garamond" w:hAnsi="Garamond"/>
          <w:lang w:val="en-AU"/>
        </w:rPr>
        <w:t xml:space="preserve"> </w:t>
      </w:r>
      <w:proofErr w:type="gramStart"/>
      <w:r w:rsidRPr="004523EF">
        <w:rPr>
          <w:rFonts w:ascii="Garamond" w:hAnsi="Garamond"/>
          <w:lang w:val="en-AU"/>
        </w:rPr>
        <w:t xml:space="preserve">2019 </w:t>
      </w:r>
      <w:r>
        <w:rPr>
          <w:rFonts w:ascii="Garamond" w:hAnsi="Garamond"/>
          <w:lang w:val="en-AU"/>
        </w:rPr>
        <w:t>[epub]</w:t>
      </w:r>
      <w:r w:rsidRPr="004523EF">
        <w:rPr>
          <w:rFonts w:ascii="Garamond" w:hAnsi="Garamond"/>
          <w:lang w:val="en-AU"/>
        </w:rPr>
        <w:t>.</w:t>
      </w:r>
      <w:proofErr w:type="gramEnd"/>
    </w:p>
    <w:p w:rsidR="004523EF" w:rsidRDefault="004523EF" w:rsidP="00901FA2">
      <w:pPr>
        <w:keepNext/>
        <w:keepLines/>
        <w:autoSpaceDE w:val="0"/>
        <w:autoSpaceDN w:val="0"/>
        <w:adjustRightInd w:val="0"/>
        <w:rPr>
          <w:rFonts w:ascii="Garamond" w:hAnsi="Garamond"/>
          <w:lang w:val="en-AU"/>
        </w:rPr>
      </w:pPr>
    </w:p>
    <w:p w:rsidR="00901FA2" w:rsidRPr="00003241" w:rsidRDefault="00901FA2" w:rsidP="00901FA2">
      <w:pPr>
        <w:keepNext/>
        <w:keepLines/>
        <w:autoSpaceDE w:val="0"/>
        <w:autoSpaceDN w:val="0"/>
        <w:adjustRightInd w:val="0"/>
        <w:rPr>
          <w:rFonts w:ascii="Garamond" w:hAnsi="Garamond"/>
          <w:i/>
          <w:lang w:val="en-AU"/>
        </w:rPr>
      </w:pPr>
      <w:r w:rsidRPr="00003241">
        <w:rPr>
          <w:rFonts w:ascii="Garamond" w:hAnsi="Garamond"/>
          <w:i/>
          <w:lang w:val="en-AU"/>
        </w:rPr>
        <w:t>Incivility and patient safety: a longitudinal study of rudeness, protocol compliance, and adverse events</w:t>
      </w:r>
    </w:p>
    <w:p w:rsidR="004523EF" w:rsidRDefault="004523EF" w:rsidP="00901FA2">
      <w:pPr>
        <w:keepNext/>
        <w:keepLines/>
        <w:autoSpaceDE w:val="0"/>
        <w:autoSpaceDN w:val="0"/>
        <w:adjustRightInd w:val="0"/>
        <w:rPr>
          <w:rFonts w:ascii="Garamond" w:hAnsi="Garamond"/>
          <w:lang w:val="en-AU"/>
        </w:rPr>
      </w:pPr>
      <w:r w:rsidRPr="004523EF">
        <w:rPr>
          <w:rFonts w:ascii="Garamond" w:hAnsi="Garamond"/>
          <w:lang w:val="en-AU"/>
        </w:rPr>
        <w:t xml:space="preserve">Riskin </w:t>
      </w:r>
      <w:proofErr w:type="gramStart"/>
      <w:r w:rsidRPr="004523EF">
        <w:rPr>
          <w:rFonts w:ascii="Garamond" w:hAnsi="Garamond"/>
          <w:lang w:val="en-AU"/>
        </w:rPr>
        <w:t>A</w:t>
      </w:r>
      <w:proofErr w:type="gramEnd"/>
      <w:r w:rsidRPr="004523EF">
        <w:rPr>
          <w:rFonts w:ascii="Garamond" w:hAnsi="Garamond"/>
          <w:lang w:val="en-AU"/>
        </w:rPr>
        <w:t>, Bamberger P, Erez A, Foulk T, Cooper B, Peterfreund I, et al</w:t>
      </w:r>
    </w:p>
    <w:p w:rsidR="00901FA2" w:rsidRDefault="004523EF" w:rsidP="00901FA2">
      <w:pPr>
        <w:keepNext/>
        <w:keepLines/>
        <w:autoSpaceDE w:val="0"/>
        <w:autoSpaceDN w:val="0"/>
        <w:adjustRightInd w:val="0"/>
        <w:rPr>
          <w:rFonts w:ascii="Garamond" w:hAnsi="Garamond"/>
          <w:lang w:val="en-AU"/>
        </w:rPr>
      </w:pPr>
      <w:proofErr w:type="gramStart"/>
      <w:r w:rsidRPr="004523EF">
        <w:rPr>
          <w:rFonts w:ascii="Garamond" w:hAnsi="Garamond"/>
          <w:lang w:val="en-AU"/>
        </w:rPr>
        <w:t>Joint Commission Journal on Quality and Patient Safety.</w:t>
      </w:r>
      <w:proofErr w:type="gramEnd"/>
      <w:r w:rsidRPr="004523EF">
        <w:rPr>
          <w:rFonts w:ascii="Garamond" w:hAnsi="Garamond"/>
          <w:lang w:val="en-AU"/>
        </w:rPr>
        <w:t xml:space="preserve"> </w:t>
      </w:r>
      <w:proofErr w:type="gramStart"/>
      <w:r w:rsidRPr="004523EF">
        <w:rPr>
          <w:rFonts w:ascii="Garamond" w:hAnsi="Garamond"/>
          <w:lang w:val="en-AU"/>
        </w:rPr>
        <w:t>2019</w:t>
      </w:r>
      <w:r>
        <w:rPr>
          <w:rFonts w:ascii="Garamond" w:hAnsi="Garamond"/>
          <w:lang w:val="en-AU"/>
        </w:rPr>
        <w:t xml:space="preserve"> [epub]</w:t>
      </w:r>
      <w:r w:rsidRPr="004523EF">
        <w:rPr>
          <w:rFonts w:ascii="Garamond" w:hAnsi="Garamond"/>
          <w:lang w:val="en-AU"/>
        </w:rPr>
        <w:t>.</w:t>
      </w:r>
      <w:proofErr w:type="gramEnd"/>
    </w:p>
    <w:p w:rsidR="004523EF" w:rsidRDefault="004523EF" w:rsidP="00901FA2">
      <w:pPr>
        <w:keepNext/>
        <w:keepLines/>
        <w:autoSpaceDE w:val="0"/>
        <w:autoSpaceDN w:val="0"/>
        <w:adjustRightInd w:val="0"/>
        <w:rPr>
          <w:rFonts w:ascii="Garamond" w:hAnsi="Garamond"/>
          <w:lang w:val="en-AU"/>
        </w:rPr>
      </w:pPr>
    </w:p>
    <w:p w:rsidR="004523EF" w:rsidRPr="004523EF" w:rsidRDefault="004523EF" w:rsidP="00901FA2">
      <w:pPr>
        <w:keepNext/>
        <w:keepLines/>
        <w:autoSpaceDE w:val="0"/>
        <w:autoSpaceDN w:val="0"/>
        <w:adjustRightInd w:val="0"/>
        <w:rPr>
          <w:rFonts w:ascii="Garamond" w:hAnsi="Garamond"/>
          <w:i/>
          <w:lang w:val="en-AU"/>
        </w:rPr>
      </w:pPr>
      <w:r w:rsidRPr="004523EF">
        <w:rPr>
          <w:rFonts w:ascii="Garamond" w:hAnsi="Garamond"/>
          <w:i/>
          <w:lang w:val="en-AU"/>
        </w:rPr>
        <w:t>Is physician mentorship associated with the occurrence of adverse patient safety events?</w:t>
      </w:r>
    </w:p>
    <w:p w:rsidR="005004C7" w:rsidRDefault="005004C7" w:rsidP="00901FA2">
      <w:pPr>
        <w:keepNext/>
        <w:keepLines/>
        <w:autoSpaceDE w:val="0"/>
        <w:autoSpaceDN w:val="0"/>
        <w:adjustRightInd w:val="0"/>
        <w:rPr>
          <w:rFonts w:ascii="Garamond" w:hAnsi="Garamond"/>
          <w:lang w:val="en-AU"/>
        </w:rPr>
      </w:pPr>
      <w:r w:rsidRPr="005004C7">
        <w:rPr>
          <w:rFonts w:ascii="Garamond" w:hAnsi="Garamond"/>
          <w:lang w:val="en-AU"/>
        </w:rPr>
        <w:t>Harrison R, Sharma A, Lawton R, Stewart K</w:t>
      </w:r>
    </w:p>
    <w:p w:rsidR="004523EF" w:rsidRPr="00E566B0" w:rsidRDefault="005004C7" w:rsidP="00901FA2">
      <w:pPr>
        <w:keepNext/>
        <w:keepLines/>
        <w:autoSpaceDE w:val="0"/>
        <w:autoSpaceDN w:val="0"/>
        <w:adjustRightInd w:val="0"/>
        <w:rPr>
          <w:rFonts w:ascii="Garamond" w:hAnsi="Garamond"/>
          <w:lang w:val="en-AU"/>
        </w:rPr>
      </w:pPr>
      <w:proofErr w:type="gramStart"/>
      <w:r w:rsidRPr="005004C7">
        <w:rPr>
          <w:rFonts w:ascii="Garamond" w:hAnsi="Garamond"/>
          <w:lang w:val="en-AU"/>
        </w:rPr>
        <w:t>Journal of Patient Safety.</w:t>
      </w:r>
      <w:proofErr w:type="gramEnd"/>
      <w:r w:rsidRPr="005004C7">
        <w:rPr>
          <w:rFonts w:ascii="Garamond" w:hAnsi="Garamond"/>
          <w:lang w:val="en-AU"/>
        </w:rPr>
        <w:t xml:space="preserve"> </w:t>
      </w:r>
      <w:proofErr w:type="gramStart"/>
      <w:r w:rsidRPr="005004C7">
        <w:rPr>
          <w:rFonts w:ascii="Garamond" w:hAnsi="Garamond"/>
          <w:lang w:val="en-AU"/>
        </w:rPr>
        <w:t>2019</w:t>
      </w:r>
      <w:r>
        <w:rPr>
          <w:rFonts w:ascii="Garamond" w:hAnsi="Garamond"/>
          <w:lang w:val="en-AU"/>
        </w:rPr>
        <w:t xml:space="preserve"> [epub]</w:t>
      </w:r>
      <w:r w:rsidRPr="005004C7">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01FA2"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901FA2" w:rsidRPr="000170DA" w:rsidRDefault="00901FA2" w:rsidP="005004C7">
            <w:pPr>
              <w:rPr>
                <w:rStyle w:val="Hyperlink"/>
                <w:rFonts w:ascii="Garamond" w:hAnsi="Garamond"/>
                <w:lang w:val="en-AU"/>
              </w:rPr>
            </w:pPr>
            <w:r>
              <w:rPr>
                <w:rFonts w:ascii="Garamond" w:hAnsi="Garamond"/>
                <w:lang w:val="en-AU"/>
              </w:rPr>
              <w:t>URL / DOI</w:t>
            </w:r>
          </w:p>
        </w:tc>
        <w:tc>
          <w:tcPr>
            <w:tcW w:w="8280" w:type="dxa"/>
            <w:tcBorders>
              <w:top w:val="single" w:sz="4" w:space="0" w:color="auto"/>
              <w:left w:val="single" w:sz="4" w:space="0" w:color="auto"/>
              <w:bottom w:val="single" w:sz="4" w:space="0" w:color="auto"/>
              <w:right w:val="single" w:sz="4" w:space="0" w:color="auto"/>
            </w:tcBorders>
            <w:vAlign w:val="center"/>
          </w:tcPr>
          <w:p w:rsidR="00901FA2" w:rsidRDefault="00901FA2" w:rsidP="005004C7">
            <w:pPr>
              <w:rPr>
                <w:rFonts w:ascii="Garamond" w:hAnsi="Garamond"/>
                <w:lang w:val="en-AU"/>
              </w:rPr>
            </w:pPr>
            <w:r>
              <w:rPr>
                <w:rFonts w:ascii="Garamond" w:hAnsi="Garamond"/>
                <w:lang w:val="en-AU"/>
              </w:rPr>
              <w:t xml:space="preserve">Mishra et al </w:t>
            </w:r>
            <w:hyperlink r:id="rId27" w:history="1">
              <w:r w:rsidRPr="00FF6408">
                <w:rPr>
                  <w:rStyle w:val="Hyperlink"/>
                  <w:rFonts w:ascii="Garamond" w:hAnsi="Garamond"/>
                  <w:lang w:val="en-AU"/>
                </w:rPr>
                <w:t>https://www.ncbi.nlm.nih.gov/pmc/articles/PMC6371248/</w:t>
              </w:r>
            </w:hyperlink>
            <w:r>
              <w:rPr>
                <w:rFonts w:ascii="Garamond" w:hAnsi="Garamond"/>
                <w:lang w:val="en-AU"/>
              </w:rPr>
              <w:t xml:space="preserve"> </w:t>
            </w:r>
          </w:p>
          <w:p w:rsidR="00901FA2" w:rsidRDefault="00901FA2" w:rsidP="005004C7">
            <w:pPr>
              <w:rPr>
                <w:rStyle w:val="Hyperlink"/>
                <w:rFonts w:ascii="Garamond" w:hAnsi="Garamond"/>
                <w:color w:val="auto"/>
                <w:u w:val="none"/>
                <w:lang w:val="en-AU"/>
              </w:rPr>
            </w:pPr>
            <w:r>
              <w:rPr>
                <w:rStyle w:val="Hyperlink"/>
                <w:rFonts w:ascii="Garamond" w:hAnsi="Garamond"/>
                <w:color w:val="auto"/>
                <w:u w:val="none"/>
                <w:lang w:val="en-AU"/>
              </w:rPr>
              <w:t xml:space="preserve">Shoemaker et al </w:t>
            </w:r>
            <w:hyperlink r:id="rId28" w:history="1">
              <w:r w:rsidR="00BC1A0F" w:rsidRPr="00FF6408">
                <w:rPr>
                  <w:rStyle w:val="Hyperlink"/>
                  <w:rFonts w:ascii="Garamond" w:hAnsi="Garamond"/>
                  <w:lang w:val="en-AU"/>
                </w:rPr>
                <w:t>https://doi.org/10.1016/j.pec.2019.02.015</w:t>
              </w:r>
            </w:hyperlink>
          </w:p>
          <w:p w:rsidR="004523EF" w:rsidRDefault="00901FA2" w:rsidP="004523EF">
            <w:pPr>
              <w:rPr>
                <w:rStyle w:val="Hyperlink"/>
                <w:rFonts w:ascii="Garamond" w:hAnsi="Garamond"/>
                <w:color w:val="auto"/>
                <w:u w:val="none"/>
                <w:lang w:val="en-AU"/>
              </w:rPr>
            </w:pPr>
            <w:r>
              <w:rPr>
                <w:rStyle w:val="Hyperlink"/>
                <w:rFonts w:ascii="Garamond" w:hAnsi="Garamond"/>
                <w:color w:val="auto"/>
                <w:u w:val="none"/>
                <w:lang w:val="en-AU"/>
              </w:rPr>
              <w:t xml:space="preserve">Riskin et al </w:t>
            </w:r>
            <w:hyperlink r:id="rId29" w:history="1">
              <w:r w:rsidR="004523EF" w:rsidRPr="00FF6408">
                <w:rPr>
                  <w:rStyle w:val="Hyperlink"/>
                  <w:rFonts w:ascii="Garamond" w:hAnsi="Garamond"/>
                  <w:lang w:val="en-AU"/>
                </w:rPr>
                <w:t>https://doi.org/10.1016/j.jcjq.2019.02.002</w:t>
              </w:r>
            </w:hyperlink>
            <w:r w:rsidR="004523EF">
              <w:rPr>
                <w:rStyle w:val="Hyperlink"/>
                <w:rFonts w:ascii="Garamond" w:hAnsi="Garamond"/>
                <w:color w:val="auto"/>
                <w:u w:val="none"/>
                <w:lang w:val="en-AU"/>
              </w:rPr>
              <w:t xml:space="preserve"> </w:t>
            </w:r>
          </w:p>
          <w:p w:rsidR="004523EF" w:rsidRPr="000170DA" w:rsidRDefault="004523EF" w:rsidP="004523EF">
            <w:pPr>
              <w:rPr>
                <w:rStyle w:val="Hyperlink"/>
                <w:rFonts w:ascii="Garamond" w:hAnsi="Garamond"/>
                <w:color w:val="auto"/>
                <w:u w:val="none"/>
                <w:lang w:val="en-AU"/>
              </w:rPr>
            </w:pPr>
            <w:r>
              <w:rPr>
                <w:rStyle w:val="Hyperlink"/>
                <w:rFonts w:ascii="Garamond" w:hAnsi="Garamond"/>
                <w:color w:val="auto"/>
                <w:u w:val="none"/>
                <w:lang w:val="en-AU"/>
              </w:rPr>
              <w:t xml:space="preserve">Harrison et al </w:t>
            </w:r>
            <w:hyperlink r:id="rId30" w:history="1">
              <w:r w:rsidR="00BC1A0F" w:rsidRPr="00FF6408">
                <w:rPr>
                  <w:rStyle w:val="Hyperlink"/>
                  <w:rFonts w:ascii="Garamond" w:hAnsi="Garamond"/>
                  <w:lang w:val="en-AU"/>
                </w:rPr>
                <w:t>https://doi.org/10.1097/PTS.0000000000000592</w:t>
              </w:r>
            </w:hyperlink>
          </w:p>
        </w:tc>
      </w:tr>
      <w:tr w:rsidR="00901FA2"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901FA2" w:rsidRPr="000170DA" w:rsidRDefault="00901FA2" w:rsidP="005004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1FA2" w:rsidRPr="00F44FEC" w:rsidRDefault="00901FA2" w:rsidP="005004C7">
            <w:pPr>
              <w:rPr>
                <w:rFonts w:ascii="Garamond" w:hAnsi="Garamond"/>
                <w:lang w:val="en-AU"/>
              </w:rPr>
            </w:pPr>
            <w:r>
              <w:rPr>
                <w:rFonts w:ascii="Garamond" w:hAnsi="Garamond"/>
                <w:lang w:val="en-AU"/>
              </w:rPr>
              <w:t xml:space="preserve">A number of items that reflect on the importance of interpersonal relationships in health care, including what can happen when there are ruptures or disharmony. These </w:t>
            </w:r>
            <w:r w:rsidR="00882B52">
              <w:rPr>
                <w:rFonts w:ascii="Garamond" w:hAnsi="Garamond"/>
                <w:lang w:val="en-AU"/>
              </w:rPr>
              <w:t>reiterate</w:t>
            </w:r>
            <w:r>
              <w:rPr>
                <w:rFonts w:ascii="Garamond" w:hAnsi="Garamond"/>
                <w:lang w:val="en-AU"/>
              </w:rPr>
              <w:t xml:space="preserve"> the vital role that culture – individually and collectively – plays.</w:t>
            </w:r>
            <w:r w:rsidR="004523EF">
              <w:rPr>
                <w:rFonts w:ascii="Garamond" w:hAnsi="Garamond"/>
                <w:lang w:val="en-AU"/>
              </w:rPr>
              <w:t xml:space="preserve"> Health care is a human activity built upon information and communication and thus relationships matter</w:t>
            </w:r>
            <w:r w:rsidR="00882B52">
              <w:rPr>
                <w:rFonts w:ascii="Garamond" w:hAnsi="Garamond"/>
                <w:lang w:val="en-AU"/>
              </w:rPr>
              <w:t>, between clinicians and between clinicians and patients, their families and carers</w:t>
            </w:r>
            <w:r w:rsidR="004523EF">
              <w:rPr>
                <w:rFonts w:ascii="Garamond" w:hAnsi="Garamond"/>
                <w:lang w:val="en-AU"/>
              </w:rPr>
              <w:t>.</w:t>
            </w:r>
          </w:p>
          <w:p w:rsidR="00901FA2" w:rsidRDefault="00901FA2" w:rsidP="00901FA2">
            <w:pPr>
              <w:rPr>
                <w:rFonts w:ascii="Garamond" w:hAnsi="Garamond"/>
                <w:lang w:val="en-AU"/>
              </w:rPr>
            </w:pPr>
            <w:r>
              <w:rPr>
                <w:rFonts w:ascii="Garamond" w:hAnsi="Garamond"/>
                <w:lang w:val="en-AU"/>
              </w:rPr>
              <w:t xml:space="preserve">Mishra et al </w:t>
            </w:r>
            <w:r w:rsidR="00C7561F">
              <w:rPr>
                <w:rFonts w:ascii="Garamond" w:hAnsi="Garamond"/>
                <w:lang w:val="en-AU"/>
              </w:rPr>
              <w:t xml:space="preserve">report on a study that used </w:t>
            </w:r>
            <w:r w:rsidR="00C7561F" w:rsidRPr="00C7561F">
              <w:rPr>
                <w:rFonts w:ascii="Garamond" w:hAnsi="Garamond"/>
                <w:lang w:val="en-AU"/>
              </w:rPr>
              <w:t>semi-structured interviews with hospitali</w:t>
            </w:r>
            <w:r w:rsidR="00C7561F">
              <w:rPr>
                <w:rFonts w:ascii="Garamond" w:hAnsi="Garamond"/>
                <w:lang w:val="en-AU"/>
              </w:rPr>
              <w:t>s</w:t>
            </w:r>
            <w:r w:rsidR="00C7561F" w:rsidRPr="00C7561F">
              <w:rPr>
                <w:rFonts w:ascii="Garamond" w:hAnsi="Garamond"/>
                <w:lang w:val="en-AU"/>
              </w:rPr>
              <w:t xml:space="preserve">ed patients to </w:t>
            </w:r>
            <w:r w:rsidR="00C7561F">
              <w:rPr>
                <w:rFonts w:ascii="Garamond" w:hAnsi="Garamond"/>
                <w:lang w:val="en-AU"/>
              </w:rPr>
              <w:t xml:space="preserve">explore their views on </w:t>
            </w:r>
            <w:r w:rsidR="00C7561F" w:rsidRPr="00C7561F">
              <w:rPr>
                <w:rFonts w:ascii="Garamond" w:hAnsi="Garamond"/>
                <w:lang w:val="en-AU"/>
              </w:rPr>
              <w:t xml:space="preserve">information systems that could help </w:t>
            </w:r>
            <w:r w:rsidR="00C7561F">
              <w:rPr>
                <w:rFonts w:ascii="Garamond" w:hAnsi="Garamond"/>
                <w:lang w:val="en-AU"/>
              </w:rPr>
              <w:t xml:space="preserve">patients </w:t>
            </w:r>
            <w:proofErr w:type="gramStart"/>
            <w:r w:rsidR="00C7561F">
              <w:rPr>
                <w:rFonts w:ascii="Garamond" w:hAnsi="Garamond"/>
                <w:lang w:val="en-AU"/>
              </w:rPr>
              <w:t>be</w:t>
            </w:r>
            <w:proofErr w:type="gramEnd"/>
            <w:r w:rsidR="00C7561F">
              <w:rPr>
                <w:rFonts w:ascii="Garamond" w:hAnsi="Garamond"/>
                <w:lang w:val="en-AU"/>
              </w:rPr>
              <w:t xml:space="preserve"> </w:t>
            </w:r>
            <w:r w:rsidR="009C2299">
              <w:rPr>
                <w:rFonts w:ascii="Garamond" w:hAnsi="Garamond"/>
                <w:lang w:val="en-AU"/>
              </w:rPr>
              <w:t xml:space="preserve">more </w:t>
            </w:r>
            <w:r w:rsidR="00C7561F">
              <w:rPr>
                <w:rFonts w:ascii="Garamond" w:hAnsi="Garamond"/>
                <w:lang w:val="en-AU"/>
              </w:rPr>
              <w:t xml:space="preserve">involved in </w:t>
            </w:r>
            <w:r w:rsidR="00C7561F" w:rsidRPr="00C7561F">
              <w:rPr>
                <w:rFonts w:ascii="Garamond" w:hAnsi="Garamond"/>
                <w:lang w:val="en-AU"/>
              </w:rPr>
              <w:t>the prevent</w:t>
            </w:r>
            <w:r w:rsidR="00C7561F">
              <w:rPr>
                <w:rFonts w:ascii="Garamond" w:hAnsi="Garamond"/>
                <w:lang w:val="en-AU"/>
              </w:rPr>
              <w:t>ion of</w:t>
            </w:r>
            <w:r w:rsidR="00C7561F" w:rsidRPr="00C7561F">
              <w:rPr>
                <w:rFonts w:ascii="Garamond" w:hAnsi="Garamond"/>
                <w:lang w:val="en-AU"/>
              </w:rPr>
              <w:t xml:space="preserve"> medical errors. </w:t>
            </w:r>
            <w:r w:rsidR="00C7561F">
              <w:rPr>
                <w:rFonts w:ascii="Garamond" w:hAnsi="Garamond"/>
                <w:lang w:val="en-AU"/>
              </w:rPr>
              <w:t xml:space="preserve">They report that </w:t>
            </w:r>
            <w:r w:rsidR="00C7561F" w:rsidRPr="00C7561F">
              <w:rPr>
                <w:rFonts w:ascii="Garamond" w:hAnsi="Garamond"/>
                <w:lang w:val="en-AU"/>
              </w:rPr>
              <w:t xml:space="preserve">the </w:t>
            </w:r>
            <w:r w:rsidR="00C7561F" w:rsidRPr="009C2299">
              <w:rPr>
                <w:rFonts w:ascii="Garamond" w:hAnsi="Garamond"/>
                <w:b/>
                <w:lang w:val="en-AU"/>
              </w:rPr>
              <w:t>clinician-patient relationship was important in encouraging or discouraging patients and caregivers from engaging</w:t>
            </w:r>
            <w:r w:rsidR="00C7561F">
              <w:rPr>
                <w:rFonts w:ascii="Garamond" w:hAnsi="Garamond"/>
                <w:lang w:val="en-AU"/>
              </w:rPr>
              <w:t>. Creating patient engagement systems alone may not be enough if the relationships are not supporting their engagement.</w:t>
            </w:r>
          </w:p>
          <w:p w:rsidR="009C2299" w:rsidRDefault="00901FA2" w:rsidP="009C2299">
            <w:pPr>
              <w:rPr>
                <w:rStyle w:val="Hyperlink"/>
                <w:rFonts w:ascii="Garamond" w:hAnsi="Garamond"/>
                <w:color w:val="auto"/>
                <w:u w:val="none"/>
                <w:lang w:val="en-AU"/>
              </w:rPr>
            </w:pPr>
            <w:r>
              <w:rPr>
                <w:rStyle w:val="Hyperlink"/>
                <w:rFonts w:ascii="Garamond" w:hAnsi="Garamond"/>
                <w:color w:val="auto"/>
                <w:u w:val="none"/>
                <w:lang w:val="en-AU"/>
              </w:rPr>
              <w:t xml:space="preserve">Shoemaker et al </w:t>
            </w:r>
            <w:r w:rsidR="00C7561F">
              <w:rPr>
                <w:rStyle w:val="Hyperlink"/>
                <w:rFonts w:ascii="Garamond" w:hAnsi="Garamond"/>
                <w:color w:val="auto"/>
                <w:u w:val="none"/>
                <w:lang w:val="en-AU"/>
              </w:rPr>
              <w:t xml:space="preserve">looked at clinician-patient relationships in the maternity setting by surveying </w:t>
            </w:r>
            <w:r w:rsidR="009C2299" w:rsidRPr="009C2299">
              <w:rPr>
                <w:rStyle w:val="Hyperlink"/>
                <w:rFonts w:ascii="Garamond" w:hAnsi="Garamond"/>
                <w:color w:val="auto"/>
                <w:u w:val="none"/>
                <w:lang w:val="en-AU"/>
              </w:rPr>
              <w:t xml:space="preserve">women across the US </w:t>
            </w:r>
            <w:r w:rsidR="009C2299">
              <w:rPr>
                <w:rStyle w:val="Hyperlink"/>
                <w:rFonts w:ascii="Garamond" w:hAnsi="Garamond"/>
                <w:color w:val="auto"/>
                <w:u w:val="none"/>
                <w:lang w:val="en-AU"/>
              </w:rPr>
              <w:t xml:space="preserve">about their experience in giving birth, include </w:t>
            </w:r>
            <w:r w:rsidR="009C2299" w:rsidRPr="009C2299">
              <w:rPr>
                <w:rStyle w:val="Hyperlink"/>
                <w:rFonts w:ascii="Garamond" w:hAnsi="Garamond"/>
                <w:color w:val="auto"/>
                <w:u w:val="none"/>
                <w:lang w:val="en-AU"/>
              </w:rPr>
              <w:t>unexpected procedures, adverse events, support from healthcare institutions, and perceived betrayals by healthcare institutions.</w:t>
            </w:r>
            <w:r w:rsidR="009C2299">
              <w:rPr>
                <w:rStyle w:val="Hyperlink"/>
                <w:rFonts w:ascii="Garamond" w:hAnsi="Garamond"/>
                <w:color w:val="auto"/>
                <w:u w:val="none"/>
                <w:lang w:val="en-AU"/>
              </w:rPr>
              <w:t xml:space="preserve"> Unsurprisingly, a</w:t>
            </w:r>
            <w:r w:rsidR="009C2299" w:rsidRPr="009C2299">
              <w:rPr>
                <w:rStyle w:val="Hyperlink"/>
                <w:rFonts w:ascii="Garamond" w:hAnsi="Garamond"/>
                <w:color w:val="auto"/>
                <w:u w:val="none"/>
                <w:lang w:val="en-AU"/>
              </w:rPr>
              <w:t>dverse events and institutional betrayal correlate</w:t>
            </w:r>
            <w:r w:rsidR="009C2299">
              <w:rPr>
                <w:rStyle w:val="Hyperlink"/>
                <w:rFonts w:ascii="Garamond" w:hAnsi="Garamond"/>
                <w:color w:val="auto"/>
                <w:u w:val="none"/>
                <w:lang w:val="en-AU"/>
              </w:rPr>
              <w:t>d</w:t>
            </w:r>
            <w:r w:rsidR="009C2299" w:rsidRPr="009C2299">
              <w:rPr>
                <w:rStyle w:val="Hyperlink"/>
                <w:rFonts w:ascii="Garamond" w:hAnsi="Garamond"/>
                <w:color w:val="auto"/>
                <w:u w:val="none"/>
                <w:lang w:val="en-AU"/>
              </w:rPr>
              <w:t xml:space="preserve"> with lower patient trust</w:t>
            </w:r>
            <w:r w:rsidR="009C2299">
              <w:rPr>
                <w:rStyle w:val="Hyperlink"/>
                <w:rFonts w:ascii="Garamond" w:hAnsi="Garamond"/>
                <w:color w:val="auto"/>
                <w:u w:val="none"/>
                <w:lang w:val="en-AU"/>
              </w:rPr>
              <w:t xml:space="preserve">, but they also found that </w:t>
            </w:r>
            <w:r w:rsidR="009C2299" w:rsidRPr="009C2299">
              <w:rPr>
                <w:rStyle w:val="Hyperlink"/>
                <w:rFonts w:ascii="Garamond" w:hAnsi="Garamond"/>
                <w:b/>
                <w:color w:val="auto"/>
                <w:u w:val="none"/>
                <w:lang w:val="en-AU"/>
              </w:rPr>
              <w:t>patients who were more involved in decision-making with their physician were found to have more trust in them following adverse events</w:t>
            </w:r>
            <w:r w:rsidR="009C2299" w:rsidRPr="009C2299">
              <w:rPr>
                <w:rStyle w:val="Hyperlink"/>
                <w:rFonts w:ascii="Garamond" w:hAnsi="Garamond"/>
                <w:color w:val="auto"/>
                <w:u w:val="none"/>
                <w:lang w:val="en-AU"/>
              </w:rPr>
              <w:t xml:space="preserve"> than those who did not.</w:t>
            </w:r>
            <w:r w:rsidR="009C2299">
              <w:rPr>
                <w:rStyle w:val="Hyperlink"/>
                <w:rFonts w:ascii="Garamond" w:hAnsi="Garamond"/>
                <w:color w:val="auto"/>
                <w:u w:val="none"/>
                <w:lang w:val="en-AU"/>
              </w:rPr>
              <w:t xml:space="preserve"> The authors suggest that ‘</w:t>
            </w:r>
            <w:r w:rsidR="009C2299" w:rsidRPr="009C2299">
              <w:rPr>
                <w:rStyle w:val="Hyperlink"/>
                <w:rFonts w:ascii="Garamond" w:hAnsi="Garamond"/>
                <w:color w:val="auto"/>
                <w:u w:val="none"/>
                <w:lang w:val="en-AU"/>
              </w:rPr>
              <w:t>physicians can work proactively to lessen the detrimental effects of adverse events on patient trust, but the patient-physician relationship is still impacted by healthcare institutions.</w:t>
            </w:r>
            <w:r w:rsidR="009C2299">
              <w:rPr>
                <w:rStyle w:val="Hyperlink"/>
                <w:rFonts w:ascii="Garamond" w:hAnsi="Garamond"/>
                <w:color w:val="auto"/>
                <w:u w:val="none"/>
                <w:lang w:val="en-AU"/>
              </w:rPr>
              <w:t>’</w:t>
            </w:r>
          </w:p>
          <w:p w:rsidR="00901FA2" w:rsidRDefault="00901FA2" w:rsidP="00901FA2">
            <w:pPr>
              <w:rPr>
                <w:rStyle w:val="Hyperlink"/>
                <w:rFonts w:ascii="Garamond" w:hAnsi="Garamond"/>
                <w:color w:val="auto"/>
                <w:u w:val="none"/>
                <w:lang w:val="en-AU"/>
              </w:rPr>
            </w:pPr>
            <w:r>
              <w:rPr>
                <w:rStyle w:val="Hyperlink"/>
                <w:rFonts w:ascii="Garamond" w:hAnsi="Garamond"/>
                <w:color w:val="auto"/>
                <w:u w:val="none"/>
                <w:lang w:val="en-AU"/>
              </w:rPr>
              <w:t xml:space="preserve">Riskin et al provide an update on the area of clinician behaviour, particularly uncivil or non-collegiate behaviour. Such (poor) behaviours to colleagues and/or patients have previously been found to be potentially deleterious to safety and quality. </w:t>
            </w:r>
            <w:r w:rsidR="00D52CE4">
              <w:rPr>
                <w:rStyle w:val="Hyperlink"/>
                <w:rFonts w:ascii="Garamond" w:hAnsi="Garamond"/>
                <w:color w:val="auto"/>
                <w:u w:val="none"/>
                <w:lang w:val="en-AU"/>
              </w:rPr>
              <w:t>This study compared nurses’ reports of rudeness with hand hygiene and</w:t>
            </w:r>
            <w:r w:rsidR="00882B52">
              <w:rPr>
                <w:rStyle w:val="Hyperlink"/>
                <w:rFonts w:ascii="Garamond" w:hAnsi="Garamond"/>
                <w:color w:val="auto"/>
                <w:u w:val="none"/>
                <w:lang w:val="en-AU"/>
              </w:rPr>
              <w:t xml:space="preserve"> </w:t>
            </w:r>
            <w:r w:rsidR="00882B52" w:rsidRPr="00882B52">
              <w:rPr>
                <w:rStyle w:val="Hyperlink"/>
                <w:rFonts w:ascii="Garamond" w:hAnsi="Garamond"/>
                <w:color w:val="auto"/>
                <w:u w:val="none"/>
                <w:lang w:val="en-AU"/>
              </w:rPr>
              <w:t>medication protocol compliance data</w:t>
            </w:r>
            <w:r w:rsidR="00882B52">
              <w:rPr>
                <w:rStyle w:val="Hyperlink"/>
                <w:rFonts w:ascii="Garamond" w:hAnsi="Garamond"/>
                <w:color w:val="auto"/>
                <w:u w:val="none"/>
                <w:lang w:val="en-AU"/>
              </w:rPr>
              <w:t xml:space="preserve"> and adverse events in an Israeli hospital setting</w:t>
            </w:r>
            <w:r w:rsidR="00D52CE4">
              <w:rPr>
                <w:rStyle w:val="Hyperlink"/>
                <w:rFonts w:ascii="Garamond" w:hAnsi="Garamond"/>
                <w:color w:val="auto"/>
                <w:u w:val="none"/>
                <w:lang w:val="en-AU"/>
              </w:rPr>
              <w:t>. The authors report that ‘</w:t>
            </w:r>
            <w:r w:rsidR="00D52CE4" w:rsidRPr="00D52CE4">
              <w:rPr>
                <w:rStyle w:val="Hyperlink"/>
                <w:rFonts w:ascii="Garamond" w:hAnsi="Garamond"/>
                <w:color w:val="auto"/>
                <w:u w:val="none"/>
                <w:lang w:val="en-AU"/>
              </w:rPr>
              <w:t>231 rudeness incidents were reported in 98 shifts, most stemming from a patient or family</w:t>
            </w:r>
            <w:r w:rsidR="00D52CE4" w:rsidRPr="00D52CE4">
              <w:rPr>
                <w:rStyle w:val="Hyperlink"/>
                <w:rFonts w:ascii="Garamond" w:hAnsi="Garamond"/>
                <w:b/>
                <w:color w:val="auto"/>
                <w:u w:val="none"/>
                <w:lang w:val="en-AU"/>
              </w:rPr>
              <w:t>. Compliance with hand hygiene was significantly lower up to 24 hours after rudeness exposure</w:t>
            </w:r>
            <w:r w:rsidR="00D52CE4" w:rsidRPr="00D52CE4">
              <w:rPr>
                <w:rStyle w:val="Hyperlink"/>
                <w:rFonts w:ascii="Garamond" w:hAnsi="Garamond"/>
                <w:color w:val="auto"/>
                <w:u w:val="none"/>
                <w:lang w:val="en-AU"/>
              </w:rPr>
              <w:t xml:space="preserve"> (p = 0.03). </w:t>
            </w:r>
            <w:r w:rsidR="00D52CE4" w:rsidRPr="00D52CE4">
              <w:rPr>
                <w:rStyle w:val="Hyperlink"/>
                <w:rFonts w:ascii="Garamond" w:hAnsi="Garamond"/>
                <w:b/>
                <w:color w:val="auto"/>
                <w:u w:val="none"/>
                <w:lang w:val="en-AU"/>
              </w:rPr>
              <w:t>Rudeness</w:t>
            </w:r>
            <w:r w:rsidR="00D52CE4" w:rsidRPr="00D52CE4">
              <w:rPr>
                <w:rStyle w:val="Hyperlink"/>
                <w:rFonts w:ascii="Garamond" w:hAnsi="Garamond"/>
                <w:color w:val="auto"/>
                <w:u w:val="none"/>
                <w:lang w:val="en-AU"/>
              </w:rPr>
              <w:t xml:space="preserve"> significantly </w:t>
            </w:r>
            <w:r w:rsidR="00D52CE4" w:rsidRPr="00D52CE4">
              <w:rPr>
                <w:rStyle w:val="Hyperlink"/>
                <w:rFonts w:ascii="Garamond" w:hAnsi="Garamond"/>
                <w:b/>
                <w:color w:val="auto"/>
                <w:u w:val="none"/>
                <w:lang w:val="en-AU"/>
              </w:rPr>
              <w:t>increased team members’ state depletion</w:t>
            </w:r>
            <w:r w:rsidR="00D52CE4" w:rsidRPr="00D52CE4">
              <w:rPr>
                <w:rStyle w:val="Hyperlink"/>
                <w:rFonts w:ascii="Garamond" w:hAnsi="Garamond"/>
                <w:color w:val="auto"/>
                <w:u w:val="none"/>
                <w:lang w:val="en-AU"/>
              </w:rPr>
              <w:t xml:space="preserve"> (p = 0.002) and was </w:t>
            </w:r>
            <w:r w:rsidR="00D52CE4" w:rsidRPr="00D52CE4">
              <w:rPr>
                <w:rStyle w:val="Hyperlink"/>
                <w:rFonts w:ascii="Garamond" w:hAnsi="Garamond"/>
                <w:b/>
                <w:color w:val="auto"/>
                <w:u w:val="none"/>
                <w:lang w:val="en-AU"/>
              </w:rPr>
              <w:t>associated with decreased information sharing</w:t>
            </w:r>
            <w:r w:rsidR="00D52CE4" w:rsidRPr="00D52CE4">
              <w:rPr>
                <w:rStyle w:val="Hyperlink"/>
                <w:rFonts w:ascii="Garamond" w:hAnsi="Garamond"/>
                <w:color w:val="auto"/>
                <w:u w:val="none"/>
                <w:lang w:val="en-AU"/>
              </w:rPr>
              <w:t xml:space="preserve"> (p = 0.046) but was </w:t>
            </w:r>
            <w:r w:rsidR="00D52CE4" w:rsidRPr="00D52CE4">
              <w:rPr>
                <w:rStyle w:val="Hyperlink"/>
                <w:rFonts w:ascii="Garamond" w:hAnsi="Garamond"/>
                <w:b/>
                <w:color w:val="auto"/>
                <w:u w:val="none"/>
                <w:lang w:val="en-AU"/>
              </w:rPr>
              <w:t>not directly associated with adverse events or level of compliance with medication and hand hygiene protocols.</w:t>
            </w:r>
            <w:r w:rsidR="00D52CE4">
              <w:rPr>
                <w:rStyle w:val="Hyperlink"/>
                <w:rFonts w:ascii="Garamond" w:hAnsi="Garamond"/>
                <w:color w:val="auto"/>
                <w:u w:val="none"/>
                <w:lang w:val="en-AU"/>
              </w:rPr>
              <w:t>’</w:t>
            </w:r>
          </w:p>
          <w:p w:rsidR="004523EF" w:rsidRPr="00901FA2" w:rsidRDefault="004523EF" w:rsidP="00D96FD7">
            <w:pPr>
              <w:rPr>
                <w:rFonts w:ascii="Garamond" w:hAnsi="Garamond"/>
                <w:lang w:val="en-AU"/>
              </w:rPr>
            </w:pPr>
            <w:r>
              <w:rPr>
                <w:rStyle w:val="Hyperlink"/>
                <w:rFonts w:ascii="Garamond" w:hAnsi="Garamond"/>
                <w:color w:val="auto"/>
                <w:u w:val="none"/>
                <w:lang w:val="en-AU"/>
              </w:rPr>
              <w:lastRenderedPageBreak/>
              <w:t xml:space="preserve">Harrison et al report on another potentially influential relationship, that of the clinician and mentor. The paper reports on a study that examined how having a mentor can have an impact on a physicians’ </w:t>
            </w:r>
            <w:r w:rsidRPr="004523EF">
              <w:rPr>
                <w:rStyle w:val="Hyperlink"/>
                <w:rFonts w:ascii="Garamond" w:hAnsi="Garamond"/>
                <w:color w:val="auto"/>
                <w:u w:val="none"/>
                <w:lang w:val="en-AU"/>
              </w:rPr>
              <w:t>involvement in an adverse event or near miss</w:t>
            </w:r>
            <w:r w:rsidR="00CF1AAF">
              <w:rPr>
                <w:rStyle w:val="Hyperlink"/>
                <w:rFonts w:ascii="Garamond" w:hAnsi="Garamond"/>
                <w:color w:val="auto"/>
                <w:u w:val="none"/>
                <w:lang w:val="en-AU"/>
              </w:rPr>
              <w:t>. A survey of 1755 f</w:t>
            </w:r>
            <w:r w:rsidR="00CF1AAF" w:rsidRPr="00CF1AAF">
              <w:rPr>
                <w:rStyle w:val="Hyperlink"/>
                <w:rFonts w:ascii="Garamond" w:hAnsi="Garamond"/>
                <w:color w:val="auto"/>
                <w:u w:val="none"/>
                <w:lang w:val="en-AU"/>
              </w:rPr>
              <w:t>ellows and members of the Royal College of Physicians London</w:t>
            </w:r>
            <w:r w:rsidR="00CF1AAF">
              <w:rPr>
                <w:rStyle w:val="Hyperlink"/>
                <w:rFonts w:ascii="Garamond" w:hAnsi="Garamond"/>
                <w:color w:val="auto"/>
                <w:u w:val="none"/>
                <w:lang w:val="en-AU"/>
              </w:rPr>
              <w:t xml:space="preserve"> found that about </w:t>
            </w:r>
            <w:r w:rsidR="00CF1AAF" w:rsidRPr="00CF1AAF">
              <w:rPr>
                <w:rStyle w:val="Hyperlink"/>
                <w:rFonts w:ascii="Garamond" w:hAnsi="Garamond"/>
                <w:color w:val="auto"/>
                <w:u w:val="none"/>
                <w:lang w:val="en-AU"/>
              </w:rPr>
              <w:t xml:space="preserve">85% reported involvement in either an adverse event or near miss, and nearly half described having a mentor. </w:t>
            </w:r>
            <w:r w:rsidR="00CF1AAF" w:rsidRPr="00D96FD7">
              <w:rPr>
                <w:rStyle w:val="Hyperlink"/>
                <w:rFonts w:ascii="Garamond" w:hAnsi="Garamond"/>
                <w:b/>
                <w:color w:val="auto"/>
                <w:u w:val="none"/>
                <w:lang w:val="en-AU"/>
              </w:rPr>
              <w:t>Physicians with mentors had a reduced probability of getting involved in an adverse event or near miss</w:t>
            </w:r>
            <w:r w:rsidR="00CF1AAF" w:rsidRPr="00CF1AAF">
              <w:rPr>
                <w:rStyle w:val="Hyperlink"/>
                <w:rFonts w:ascii="Garamond" w:hAnsi="Garamond"/>
                <w:color w:val="auto"/>
                <w:u w:val="none"/>
                <w:lang w:val="en-AU"/>
              </w:rPr>
              <w:t xml:space="preserve"> </w:t>
            </w:r>
            <w:r w:rsidR="00CF1AAF">
              <w:rPr>
                <w:rStyle w:val="Hyperlink"/>
                <w:rFonts w:ascii="Garamond" w:hAnsi="Garamond"/>
                <w:color w:val="auto"/>
                <w:u w:val="none"/>
                <w:lang w:val="en-AU"/>
              </w:rPr>
              <w:t xml:space="preserve">of </w:t>
            </w:r>
            <w:r w:rsidR="00CF1AAF" w:rsidRPr="00CF1AAF">
              <w:rPr>
                <w:rStyle w:val="Hyperlink"/>
                <w:rFonts w:ascii="Garamond" w:hAnsi="Garamond"/>
                <w:color w:val="auto"/>
                <w:u w:val="none"/>
                <w:lang w:val="en-AU"/>
              </w:rPr>
              <w:t xml:space="preserve">12.69% (95% confidence interval = </w:t>
            </w:r>
            <w:r w:rsidR="00CF1AAF">
              <w:rPr>
                <w:rStyle w:val="Hyperlink"/>
                <w:rFonts w:ascii="Garamond" w:hAnsi="Garamond"/>
                <w:color w:val="auto"/>
                <w:u w:val="none"/>
                <w:lang w:val="en-AU"/>
              </w:rPr>
              <w:t>-</w:t>
            </w:r>
            <w:r w:rsidR="00CF1AAF" w:rsidRPr="00CF1AAF">
              <w:rPr>
                <w:rStyle w:val="Hyperlink"/>
                <w:rFonts w:ascii="Garamond" w:hAnsi="Garamond"/>
                <w:color w:val="auto"/>
                <w:u w:val="none"/>
                <w:lang w:val="en-AU"/>
              </w:rPr>
              <w:t xml:space="preserve">17.41 to </w:t>
            </w:r>
            <w:r w:rsidR="00CF1AAF">
              <w:rPr>
                <w:rStyle w:val="Hyperlink"/>
                <w:rFonts w:ascii="Garamond" w:hAnsi="Garamond"/>
                <w:color w:val="auto"/>
                <w:u w:val="none"/>
                <w:lang w:val="en-AU"/>
              </w:rPr>
              <w:t>-</w:t>
            </w:r>
            <w:r w:rsidR="00CF1AAF" w:rsidRPr="00CF1AAF">
              <w:rPr>
                <w:rStyle w:val="Hyperlink"/>
                <w:rFonts w:ascii="Garamond" w:hAnsi="Garamond"/>
                <w:color w:val="auto"/>
                <w:u w:val="none"/>
                <w:lang w:val="en-AU"/>
              </w:rPr>
              <w:t xml:space="preserve">7.98) and 11.12% (95% confidence interval = </w:t>
            </w:r>
            <w:r w:rsidR="00CF1AAF">
              <w:rPr>
                <w:rStyle w:val="Hyperlink"/>
                <w:rFonts w:ascii="Garamond" w:hAnsi="Garamond"/>
                <w:color w:val="auto"/>
                <w:u w:val="none"/>
                <w:lang w:val="en-AU"/>
              </w:rPr>
              <w:t>-</w:t>
            </w:r>
            <w:r w:rsidR="00CF1AAF" w:rsidRPr="00CF1AAF">
              <w:rPr>
                <w:rStyle w:val="Hyperlink"/>
                <w:rFonts w:ascii="Garamond" w:hAnsi="Garamond"/>
                <w:color w:val="auto"/>
                <w:u w:val="none"/>
                <w:lang w:val="en-AU"/>
              </w:rPr>
              <w:t xml:space="preserve">15.84 to </w:t>
            </w:r>
            <w:r w:rsidR="00CF1AAF">
              <w:rPr>
                <w:rStyle w:val="Hyperlink"/>
                <w:rFonts w:ascii="Garamond" w:hAnsi="Garamond"/>
                <w:color w:val="auto"/>
                <w:u w:val="none"/>
                <w:lang w:val="en-AU"/>
              </w:rPr>
              <w:t>-</w:t>
            </w:r>
            <w:r w:rsidR="00CF1AAF" w:rsidRPr="00CF1AAF">
              <w:rPr>
                <w:rStyle w:val="Hyperlink"/>
                <w:rFonts w:ascii="Garamond" w:hAnsi="Garamond"/>
                <w:color w:val="auto"/>
                <w:u w:val="none"/>
                <w:lang w:val="en-AU"/>
              </w:rPr>
              <w:t>6.41).</w:t>
            </w:r>
          </w:p>
        </w:tc>
      </w:tr>
    </w:tbl>
    <w:p w:rsidR="00901FA2" w:rsidRDefault="00901FA2" w:rsidP="00901FA2">
      <w:pPr>
        <w:rPr>
          <w:rFonts w:ascii="Garamond" w:hAnsi="Garamond"/>
          <w:i/>
          <w:lang w:val="en-AU"/>
        </w:rPr>
      </w:pPr>
    </w:p>
    <w:p w:rsidR="00CF1AAF" w:rsidRDefault="00CF1AAF" w:rsidP="00CF1AAF">
      <w:pPr>
        <w:keepLines/>
        <w:autoSpaceDE w:val="0"/>
        <w:autoSpaceDN w:val="0"/>
        <w:adjustRightInd w:val="0"/>
        <w:rPr>
          <w:rFonts w:ascii="Garamond" w:hAnsi="Garamond"/>
          <w:lang w:val="en-AU"/>
        </w:rPr>
      </w:pPr>
      <w:r>
        <w:rPr>
          <w:rFonts w:ascii="Garamond" w:hAnsi="Garamond"/>
          <w:lang w:val="en-AU"/>
        </w:rPr>
        <w:t xml:space="preserve">For </w:t>
      </w:r>
      <w:r w:rsidRPr="006E0777">
        <w:rPr>
          <w:rFonts w:ascii="Garamond" w:hAnsi="Garamond"/>
          <w:lang w:val="en-AU"/>
        </w:rPr>
        <w:t>information on the Commission’s work on</w:t>
      </w:r>
      <w:r>
        <w:rPr>
          <w:rFonts w:ascii="Garamond" w:hAnsi="Garamond"/>
          <w:lang w:val="en-AU"/>
        </w:rPr>
        <w:t xml:space="preserve"> shared decision making, see </w:t>
      </w:r>
      <w:hyperlink r:id="rId31" w:history="1">
        <w:r w:rsidRPr="00FF6408">
          <w:rPr>
            <w:rStyle w:val="Hyperlink"/>
            <w:rFonts w:ascii="Garamond" w:hAnsi="Garamond"/>
            <w:lang w:val="en-AU"/>
          </w:rPr>
          <w:t>https://www.safetyandquality.gov.au/our-work/shared-decision-making/</w:t>
        </w:r>
      </w:hyperlink>
    </w:p>
    <w:p w:rsidR="00CF1AAF" w:rsidRDefault="00CF1AAF" w:rsidP="00CF1AAF">
      <w:pPr>
        <w:keepLines/>
        <w:autoSpaceDE w:val="0"/>
        <w:autoSpaceDN w:val="0"/>
        <w:adjustRightInd w:val="0"/>
        <w:rPr>
          <w:rFonts w:ascii="Garamond" w:hAnsi="Garamond"/>
          <w:lang w:val="en-AU"/>
        </w:rPr>
      </w:pPr>
      <w:r>
        <w:rPr>
          <w:rFonts w:ascii="Garamond" w:hAnsi="Garamond"/>
          <w:lang w:val="en-AU"/>
        </w:rPr>
        <w:t xml:space="preserve"> </w:t>
      </w:r>
    </w:p>
    <w:p w:rsidR="00CF1AAF" w:rsidRDefault="00CF1AAF" w:rsidP="00CF1AAF">
      <w:pPr>
        <w:keepLines/>
        <w:autoSpaceDE w:val="0"/>
        <w:autoSpaceDN w:val="0"/>
        <w:adjustRightInd w:val="0"/>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patient and consumer centred care, see </w:t>
      </w:r>
      <w:hyperlink r:id="rId32" w:history="1">
        <w:r w:rsidRPr="00FF6408">
          <w:rPr>
            <w:rStyle w:val="Hyperlink"/>
            <w:rFonts w:ascii="Garamond" w:hAnsi="Garamond"/>
            <w:lang w:val="en-AU"/>
          </w:rPr>
          <w:t>https://www.safetyandquality.gov.au/our-work/patient-and-consumer-centred-care/</w:t>
        </w:r>
      </w:hyperlink>
    </w:p>
    <w:p w:rsidR="00CF1AAF" w:rsidRDefault="00CF1AAF" w:rsidP="00901FA2">
      <w:pPr>
        <w:rPr>
          <w:rFonts w:ascii="Garamond" w:hAnsi="Garamond"/>
          <w:i/>
          <w:lang w:val="en-AU"/>
        </w:rPr>
      </w:pPr>
    </w:p>
    <w:p w:rsidR="00F44FEC" w:rsidRPr="00C7561F" w:rsidRDefault="005004C7" w:rsidP="00F44FEC">
      <w:pPr>
        <w:keepNext/>
        <w:keepLines/>
        <w:autoSpaceDE w:val="0"/>
        <w:autoSpaceDN w:val="0"/>
        <w:adjustRightInd w:val="0"/>
        <w:rPr>
          <w:rFonts w:ascii="Garamond" w:hAnsi="Garamond"/>
          <w:i/>
          <w:lang w:val="en-AU"/>
        </w:rPr>
      </w:pPr>
      <w:r w:rsidRPr="00C7561F">
        <w:rPr>
          <w:rFonts w:ascii="Garamond" w:hAnsi="Garamond"/>
          <w:i/>
          <w:lang w:val="en-AU"/>
        </w:rPr>
        <w:t>Abandon the term “second victim”</w:t>
      </w:r>
    </w:p>
    <w:p w:rsidR="00C7561F" w:rsidRDefault="00C7561F" w:rsidP="00F44FEC">
      <w:pPr>
        <w:keepNext/>
        <w:keepLines/>
        <w:autoSpaceDE w:val="0"/>
        <w:autoSpaceDN w:val="0"/>
        <w:adjustRightInd w:val="0"/>
        <w:rPr>
          <w:rFonts w:ascii="Garamond" w:hAnsi="Garamond"/>
          <w:lang w:val="en-AU"/>
        </w:rPr>
      </w:pPr>
      <w:r w:rsidRPr="00C7561F">
        <w:rPr>
          <w:rFonts w:ascii="Garamond" w:hAnsi="Garamond"/>
          <w:lang w:val="en-AU"/>
        </w:rPr>
        <w:t>Clarkson MD, Haskell H, Hemmelgarn C, Skolnik PJ</w:t>
      </w:r>
    </w:p>
    <w:p w:rsidR="005004C7" w:rsidRPr="00E566B0" w:rsidRDefault="00C7561F" w:rsidP="00F44FEC">
      <w:pPr>
        <w:keepNext/>
        <w:keepLines/>
        <w:autoSpaceDE w:val="0"/>
        <w:autoSpaceDN w:val="0"/>
        <w:adjustRightInd w:val="0"/>
        <w:rPr>
          <w:rFonts w:ascii="Garamond" w:hAnsi="Garamond"/>
          <w:lang w:val="en-AU"/>
        </w:rPr>
      </w:pPr>
      <w:proofErr w:type="gramStart"/>
      <w:r w:rsidRPr="00C7561F">
        <w:rPr>
          <w:rFonts w:ascii="Garamond" w:hAnsi="Garamond"/>
          <w:lang w:val="en-AU"/>
        </w:rPr>
        <w:t>BMJ.</w:t>
      </w:r>
      <w:proofErr w:type="gramEnd"/>
      <w:r w:rsidRPr="00C7561F">
        <w:rPr>
          <w:rFonts w:ascii="Garamond" w:hAnsi="Garamond"/>
          <w:lang w:val="en-AU"/>
        </w:rPr>
        <w:t xml:space="preserve"> 2019</w:t>
      </w:r>
      <w:proofErr w:type="gramStart"/>
      <w:r w:rsidRPr="00C7561F">
        <w:rPr>
          <w:rFonts w:ascii="Garamond" w:hAnsi="Garamond"/>
          <w:lang w:val="en-AU"/>
        </w:rPr>
        <w:t>;364:l1233</w:t>
      </w:r>
      <w:proofErr w:type="gramEnd"/>
      <w:r w:rsidRPr="00C7561F">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44FEC"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F44FEC" w:rsidRPr="000170DA" w:rsidRDefault="00F44FEC" w:rsidP="005004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44FEC" w:rsidRPr="000170DA" w:rsidRDefault="008F713C" w:rsidP="005004C7">
            <w:pPr>
              <w:rPr>
                <w:rStyle w:val="Hyperlink"/>
                <w:rFonts w:ascii="Garamond" w:hAnsi="Garamond"/>
                <w:color w:val="auto"/>
                <w:u w:val="none"/>
                <w:lang w:val="en-AU"/>
              </w:rPr>
            </w:pPr>
            <w:hyperlink r:id="rId33" w:history="1">
              <w:r w:rsidR="00C7561F" w:rsidRPr="00FF6408">
                <w:rPr>
                  <w:rStyle w:val="Hyperlink"/>
                  <w:rFonts w:ascii="Garamond" w:hAnsi="Garamond"/>
                  <w:lang w:val="en-AU"/>
                </w:rPr>
                <w:t>https://doi.org/10.1136/bmj.l1233</w:t>
              </w:r>
            </w:hyperlink>
          </w:p>
        </w:tc>
      </w:tr>
      <w:tr w:rsidR="00F44FEC"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F44FEC" w:rsidRPr="000170DA" w:rsidRDefault="00F44FEC" w:rsidP="005004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44FEC" w:rsidRPr="00F44FEC" w:rsidRDefault="005004C7" w:rsidP="005004C7">
            <w:pPr>
              <w:rPr>
                <w:rFonts w:ascii="Garamond" w:hAnsi="Garamond"/>
                <w:lang w:val="en-AU"/>
              </w:rPr>
            </w:pPr>
            <w:r>
              <w:rPr>
                <w:rFonts w:ascii="Garamond" w:hAnsi="Garamond"/>
                <w:lang w:val="en-AU"/>
              </w:rPr>
              <w:t xml:space="preserve">Editorial in the </w:t>
            </w:r>
            <w:r w:rsidRPr="005004C7">
              <w:rPr>
                <w:rFonts w:ascii="Garamond" w:hAnsi="Garamond"/>
                <w:i/>
                <w:lang w:val="en-AU"/>
              </w:rPr>
              <w:t>BMJ</w:t>
            </w:r>
            <w:r>
              <w:rPr>
                <w:rFonts w:ascii="Garamond" w:hAnsi="Garamond"/>
                <w:lang w:val="en-AU"/>
              </w:rPr>
              <w:t xml:space="preserve"> calling for the term ‘second victim’ to not be used. The authors seem to suggest that it reduces the centrality of the ‘first’ victim, the harmed patient. They seem to find referring to the clinician involved as the ‘second victim’ (and the health facility as the ‘third victim’ in a ‘triangle of victimhood’) as </w:t>
            </w:r>
            <w:r w:rsidR="00276CFF" w:rsidRPr="00276CFF">
              <w:rPr>
                <w:rFonts w:ascii="Garamond" w:hAnsi="Garamond"/>
                <w:lang w:val="en-AU"/>
              </w:rPr>
              <w:t>reducing the significance of the event</w:t>
            </w:r>
            <w:r>
              <w:rPr>
                <w:rFonts w:ascii="Garamond" w:hAnsi="Garamond"/>
                <w:lang w:val="en-AU"/>
              </w:rPr>
              <w:t>. It is imaginable that while there may be sympathy for the argument of remembering the primacy of the patient (and for the facility as victim to be downplayed)</w:t>
            </w:r>
            <w:proofErr w:type="gramStart"/>
            <w:r>
              <w:rPr>
                <w:rFonts w:ascii="Garamond" w:hAnsi="Garamond"/>
                <w:lang w:val="en-AU"/>
              </w:rPr>
              <w:t>,</w:t>
            </w:r>
            <w:proofErr w:type="gramEnd"/>
            <w:r>
              <w:rPr>
                <w:rFonts w:ascii="Garamond" w:hAnsi="Garamond"/>
                <w:lang w:val="en-AU"/>
              </w:rPr>
              <w:t xml:space="preserve"> the obscuring of the potential impact of an error on the clinician will not be appreciated. Errors, particularly catastrophic ones, can have a life-changing (and career-threatening) impact on clinicians and they too should be supported, just as patients and their families and carers should. Showing compassion is not a zero sum game – showing compassion for one party does not mean we cannot also show compassion for others.</w:t>
            </w:r>
          </w:p>
        </w:tc>
      </w:tr>
    </w:tbl>
    <w:p w:rsidR="00F44FEC" w:rsidRDefault="00F44FEC" w:rsidP="00F44FEC">
      <w:pPr>
        <w:rPr>
          <w:rFonts w:ascii="Garamond" w:hAnsi="Garamond"/>
          <w:i/>
          <w:lang w:val="en-AU"/>
        </w:rPr>
      </w:pPr>
    </w:p>
    <w:p w:rsidR="00C7561F" w:rsidRPr="00003241" w:rsidRDefault="00C7561F" w:rsidP="00C7561F">
      <w:pPr>
        <w:keepNext/>
        <w:keepLines/>
        <w:autoSpaceDE w:val="0"/>
        <w:autoSpaceDN w:val="0"/>
        <w:adjustRightInd w:val="0"/>
        <w:rPr>
          <w:rFonts w:ascii="Garamond" w:hAnsi="Garamond"/>
          <w:i/>
          <w:lang w:val="en-AU"/>
        </w:rPr>
      </w:pPr>
      <w:r w:rsidRPr="00003241">
        <w:rPr>
          <w:rFonts w:ascii="Garamond" w:hAnsi="Garamond"/>
          <w:i/>
          <w:lang w:val="en-AU"/>
        </w:rPr>
        <w:t>Reclaiming the systems approach to paediatric safety</w:t>
      </w:r>
    </w:p>
    <w:p w:rsidR="00C7561F" w:rsidRDefault="00C7561F" w:rsidP="00C7561F">
      <w:pPr>
        <w:keepNext/>
        <w:keepLines/>
        <w:autoSpaceDE w:val="0"/>
        <w:autoSpaceDN w:val="0"/>
        <w:adjustRightInd w:val="0"/>
        <w:rPr>
          <w:rFonts w:ascii="Garamond" w:hAnsi="Garamond"/>
          <w:lang w:val="en-AU"/>
        </w:rPr>
      </w:pPr>
      <w:r w:rsidRPr="009C0B33">
        <w:rPr>
          <w:rFonts w:ascii="Garamond" w:hAnsi="Garamond"/>
          <w:lang w:val="en-AU"/>
        </w:rPr>
        <w:t>Cheung R, Roland D, Lachman P</w:t>
      </w:r>
    </w:p>
    <w:p w:rsidR="00C7561F" w:rsidRPr="00E566B0" w:rsidRDefault="00C7561F" w:rsidP="00C7561F">
      <w:pPr>
        <w:keepNext/>
        <w:keepLines/>
        <w:autoSpaceDE w:val="0"/>
        <w:autoSpaceDN w:val="0"/>
        <w:adjustRightInd w:val="0"/>
        <w:rPr>
          <w:rFonts w:ascii="Garamond" w:hAnsi="Garamond"/>
          <w:lang w:val="en-AU"/>
        </w:rPr>
      </w:pPr>
      <w:proofErr w:type="gramStart"/>
      <w:r w:rsidRPr="009C0B33">
        <w:rPr>
          <w:rFonts w:ascii="Garamond" w:hAnsi="Garamond"/>
          <w:lang w:val="en-AU"/>
        </w:rPr>
        <w:t>Archives of Disease in Childhood.</w:t>
      </w:r>
      <w:proofErr w:type="gramEnd"/>
      <w:r w:rsidRPr="009C0B33">
        <w:rPr>
          <w:rFonts w:ascii="Garamond" w:hAnsi="Garamond"/>
          <w:lang w:val="en-AU"/>
        </w:rPr>
        <w:t xml:space="preserve"> </w:t>
      </w:r>
      <w:proofErr w:type="gramStart"/>
      <w:r w:rsidRPr="009C0B33">
        <w:rPr>
          <w:rFonts w:ascii="Garamond" w:hAnsi="Garamond"/>
          <w:lang w:val="en-AU"/>
        </w:rPr>
        <w:t>2019</w:t>
      </w:r>
      <w:r>
        <w:rPr>
          <w:rFonts w:ascii="Garamond" w:hAnsi="Garamond"/>
          <w:lang w:val="en-AU"/>
        </w:rPr>
        <w:t xml:space="preserve"> [epub]</w:t>
      </w:r>
      <w:r w:rsidRPr="009C0B33">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7561F" w:rsidRPr="000170DA" w:rsidTr="00067B23">
        <w:tc>
          <w:tcPr>
            <w:tcW w:w="1080" w:type="dxa"/>
            <w:tcBorders>
              <w:top w:val="single" w:sz="4" w:space="0" w:color="auto"/>
              <w:left w:val="single" w:sz="4" w:space="0" w:color="auto"/>
              <w:bottom w:val="single" w:sz="4" w:space="0" w:color="auto"/>
              <w:right w:val="single" w:sz="4" w:space="0" w:color="auto"/>
            </w:tcBorders>
            <w:vAlign w:val="center"/>
          </w:tcPr>
          <w:p w:rsidR="00C7561F" w:rsidRPr="000170DA" w:rsidRDefault="00C7561F" w:rsidP="00067B2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7561F" w:rsidRPr="000170DA" w:rsidRDefault="008F713C" w:rsidP="00067B23">
            <w:pPr>
              <w:rPr>
                <w:rStyle w:val="Hyperlink"/>
                <w:rFonts w:ascii="Garamond" w:hAnsi="Garamond"/>
                <w:color w:val="auto"/>
                <w:u w:val="none"/>
                <w:lang w:val="en-AU"/>
              </w:rPr>
            </w:pPr>
            <w:hyperlink r:id="rId34" w:history="1">
              <w:r w:rsidR="00C7561F" w:rsidRPr="00FF6408">
                <w:rPr>
                  <w:rStyle w:val="Hyperlink"/>
                  <w:rFonts w:ascii="Garamond" w:hAnsi="Garamond"/>
                  <w:lang w:val="en-AU"/>
                </w:rPr>
                <w:t>http://doi.org/10.1136/archdischild-2018-316401</w:t>
              </w:r>
            </w:hyperlink>
          </w:p>
        </w:tc>
      </w:tr>
      <w:tr w:rsidR="00C7561F" w:rsidRPr="000170DA" w:rsidTr="00067B23">
        <w:tc>
          <w:tcPr>
            <w:tcW w:w="1080" w:type="dxa"/>
            <w:tcBorders>
              <w:top w:val="single" w:sz="4" w:space="0" w:color="auto"/>
              <w:left w:val="single" w:sz="4" w:space="0" w:color="auto"/>
              <w:bottom w:val="single" w:sz="4" w:space="0" w:color="auto"/>
              <w:right w:val="single" w:sz="4" w:space="0" w:color="auto"/>
            </w:tcBorders>
            <w:vAlign w:val="center"/>
          </w:tcPr>
          <w:p w:rsidR="00C7561F" w:rsidRPr="000170DA" w:rsidRDefault="00C7561F" w:rsidP="00067B2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561F" w:rsidRPr="00F44FEC" w:rsidRDefault="00C7561F" w:rsidP="00067B23">
            <w:pPr>
              <w:rPr>
                <w:rFonts w:ascii="Garamond" w:hAnsi="Garamond"/>
                <w:lang w:val="en-AU"/>
              </w:rPr>
            </w:pPr>
            <w:r>
              <w:rPr>
                <w:rFonts w:ascii="Garamond" w:hAnsi="Garamond"/>
                <w:lang w:val="en-AU"/>
              </w:rPr>
              <w:t>Commentary arguing for a systems approach, encompassing huddles and early warning systems as means of addressing communication issues that can contribute to safety and quality issues. This is predicated on the view that care is a team activity and safety and quality is not solely determined by the performance of individual clinicians.</w:t>
            </w:r>
          </w:p>
        </w:tc>
      </w:tr>
    </w:tbl>
    <w:p w:rsidR="00C7561F" w:rsidRDefault="00C7561F" w:rsidP="00C7561F">
      <w:pPr>
        <w:rPr>
          <w:rFonts w:ascii="Garamond" w:hAnsi="Garamond"/>
          <w:i/>
          <w:lang w:val="en-AU"/>
        </w:rPr>
      </w:pPr>
    </w:p>
    <w:p w:rsidR="00882B52" w:rsidRDefault="00882B52">
      <w:pPr>
        <w:rPr>
          <w:rFonts w:ascii="Garamond" w:hAnsi="Garamond"/>
          <w:i/>
          <w:lang w:val="en-AU"/>
        </w:rPr>
      </w:pPr>
      <w:r>
        <w:rPr>
          <w:rFonts w:ascii="Garamond" w:hAnsi="Garamond"/>
          <w:i/>
          <w:lang w:val="en-AU"/>
        </w:rPr>
        <w:br w:type="page"/>
      </w:r>
    </w:p>
    <w:p w:rsidR="00D04C07" w:rsidRDefault="00D04C07" w:rsidP="00D04C07">
      <w:pPr>
        <w:rPr>
          <w:rFonts w:ascii="Garamond" w:hAnsi="Garamond"/>
          <w:i/>
          <w:lang w:val="en-AU"/>
        </w:rPr>
      </w:pPr>
      <w:r w:rsidRPr="00D04C07">
        <w:rPr>
          <w:rFonts w:ascii="Garamond" w:hAnsi="Garamond"/>
          <w:i/>
          <w:lang w:val="en-AU"/>
        </w:rPr>
        <w:lastRenderedPageBreak/>
        <w:t>Journal of Patient Experience</w:t>
      </w:r>
    </w:p>
    <w:p w:rsidR="00D04C07" w:rsidRPr="00D04C07" w:rsidRDefault="00D04C07" w:rsidP="00D04C07">
      <w:pPr>
        <w:rPr>
          <w:rFonts w:ascii="Garamond" w:hAnsi="Garamond"/>
          <w:lang w:val="en-AU"/>
        </w:rPr>
      </w:pPr>
      <w:r w:rsidRPr="00D04C07">
        <w:rPr>
          <w:rFonts w:ascii="Garamond" w:hAnsi="Garamond"/>
          <w:lang w:val="en-AU"/>
        </w:rPr>
        <w:t>Volume: 6, Number: 1 (March 2019)</w:t>
      </w:r>
    </w:p>
    <w:tbl>
      <w:tblPr>
        <w:tblStyle w:val="TableGrid"/>
        <w:tblW w:w="0" w:type="auto"/>
        <w:tblInd w:w="288" w:type="dxa"/>
        <w:tblLayout w:type="fixed"/>
        <w:tblLook w:val="01E0" w:firstRow="1" w:lastRow="1" w:firstColumn="1" w:lastColumn="1" w:noHBand="0" w:noVBand="0"/>
      </w:tblPr>
      <w:tblGrid>
        <w:gridCol w:w="1080"/>
        <w:gridCol w:w="8280"/>
      </w:tblGrid>
      <w:tr w:rsidR="00D04C07"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D04C07" w:rsidRPr="000170DA" w:rsidRDefault="00D04C07" w:rsidP="005004C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04C07" w:rsidRPr="000170DA" w:rsidRDefault="008F713C" w:rsidP="005004C7">
            <w:pPr>
              <w:rPr>
                <w:rStyle w:val="Hyperlink"/>
                <w:rFonts w:ascii="Garamond" w:hAnsi="Garamond"/>
                <w:color w:val="auto"/>
                <w:u w:val="none"/>
                <w:lang w:val="en-AU"/>
              </w:rPr>
            </w:pPr>
            <w:hyperlink r:id="rId35" w:history="1">
              <w:r w:rsidR="00D04C07" w:rsidRPr="00FF6408">
                <w:rPr>
                  <w:rStyle w:val="Hyperlink"/>
                  <w:rFonts w:ascii="Garamond" w:hAnsi="Garamond"/>
                  <w:lang w:val="en-AU"/>
                </w:rPr>
                <w:t>https://journals.sagepub.com/toc/jpxa/6/1</w:t>
              </w:r>
            </w:hyperlink>
          </w:p>
        </w:tc>
      </w:tr>
      <w:tr w:rsidR="00D04C07"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D04C07" w:rsidRPr="000170DA" w:rsidRDefault="00D04C07" w:rsidP="005004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04C07" w:rsidRPr="007C3778" w:rsidRDefault="00D04C07" w:rsidP="005004C7">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D04C07">
              <w:rPr>
                <w:rFonts w:ascii="Garamond" w:hAnsi="Garamond"/>
                <w:i/>
                <w:lang w:val="en-AU"/>
              </w:rPr>
              <w:t>Journal of Patient Experience</w:t>
            </w:r>
            <w:r w:rsidRPr="008E7CAA">
              <w:rPr>
                <w:rFonts w:ascii="Garamond" w:hAnsi="Garamond"/>
                <w:i/>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Pr="00D04C07">
              <w:rPr>
                <w:rFonts w:ascii="Garamond" w:hAnsi="Garamond"/>
                <w:i/>
                <w:lang w:val="en-AU"/>
              </w:rPr>
              <w:t>Journal of Patient Experience</w:t>
            </w:r>
            <w:r w:rsidRPr="008E7CAA">
              <w:rPr>
                <w:rFonts w:ascii="Garamond" w:hAnsi="Garamond"/>
                <w:i/>
                <w:lang w:val="en-AU"/>
              </w:rPr>
              <w:t xml:space="preserve"> </w:t>
            </w:r>
            <w:r w:rsidRPr="00B440ED">
              <w:rPr>
                <w:rFonts w:ascii="Garamond" w:hAnsi="Garamond"/>
                <w:lang w:val="en-AU"/>
              </w:rPr>
              <w:t>include:</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Changing Roles, Changing Perspectives—</w:t>
            </w:r>
            <w:r w:rsidRPr="006F5DFE">
              <w:rPr>
                <w:rFonts w:ascii="Garamond" w:hAnsi="Garamond"/>
                <w:b/>
                <w:lang w:val="en-AU"/>
              </w:rPr>
              <w:t>Vulnerability as a Patient</w:t>
            </w:r>
            <w:r w:rsidRPr="006F5DFE">
              <w:rPr>
                <w:rFonts w:ascii="Garamond" w:hAnsi="Garamond"/>
                <w:lang w:val="en-AU"/>
              </w:rPr>
              <w:t xml:space="preserve"> (Monika Schuler</w:t>
            </w:r>
            <w:r>
              <w:rPr>
                <w:rFonts w:ascii="Garamond" w:hAnsi="Garamond"/>
                <w:lang w:val="en-AU"/>
              </w:rPr>
              <w:t>)</w:t>
            </w:r>
          </w:p>
          <w:p w:rsidR="006F5DFE" w:rsidRDefault="006F5DFE" w:rsidP="004523EF">
            <w:pPr>
              <w:pStyle w:val="ListParagraph"/>
              <w:numPr>
                <w:ilvl w:val="0"/>
                <w:numId w:val="15"/>
              </w:numPr>
              <w:rPr>
                <w:rFonts w:ascii="Garamond" w:hAnsi="Garamond"/>
                <w:lang w:val="en-AU"/>
              </w:rPr>
            </w:pPr>
            <w:r w:rsidRPr="006F5DFE">
              <w:rPr>
                <w:rFonts w:ascii="Garamond" w:hAnsi="Garamond"/>
                <w:b/>
                <w:lang w:val="en-AU"/>
              </w:rPr>
              <w:t>Healing in the Absence of a Cure</w:t>
            </w:r>
            <w:r w:rsidRPr="006F5DFE">
              <w:rPr>
                <w:rFonts w:ascii="Garamond" w:hAnsi="Garamond"/>
                <w:lang w:val="en-AU"/>
              </w:rPr>
              <w:t xml:space="preserve"> (Libby Byrne</w:t>
            </w:r>
            <w:r>
              <w:rPr>
                <w:rFonts w:ascii="Garamond" w:hAnsi="Garamond"/>
                <w:lang w:val="en-AU"/>
              </w:rPr>
              <w:t>)</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Developing a Strategy for the Improvement in </w:t>
            </w:r>
            <w:r w:rsidRPr="006F5DFE">
              <w:rPr>
                <w:rFonts w:ascii="Garamond" w:hAnsi="Garamond"/>
                <w:b/>
                <w:lang w:val="en-AU"/>
              </w:rPr>
              <w:t>Patient Experience</w:t>
            </w:r>
            <w:r w:rsidRPr="006F5DFE">
              <w:rPr>
                <w:rFonts w:ascii="Garamond" w:hAnsi="Garamond"/>
                <w:lang w:val="en-AU"/>
              </w:rPr>
              <w:t xml:space="preserve"> in a Canadian Academic </w:t>
            </w:r>
            <w:r w:rsidRPr="006F5DFE">
              <w:rPr>
                <w:rFonts w:ascii="Garamond" w:hAnsi="Garamond"/>
                <w:b/>
                <w:lang w:val="en-AU"/>
              </w:rPr>
              <w:t>Department of Surgery</w:t>
            </w:r>
            <w:r w:rsidRPr="006F5DFE">
              <w:rPr>
                <w:rFonts w:ascii="Garamond" w:hAnsi="Garamond"/>
                <w:lang w:val="en-AU"/>
              </w:rPr>
              <w:t xml:space="preserve"> (Lindy Luo, Alan J Forster, Kathleen Gartke, John Trickett, and Fraser D Rubens</w:t>
            </w:r>
            <w:r>
              <w:rPr>
                <w:rFonts w:ascii="Garamond" w:hAnsi="Garamond"/>
                <w:lang w:val="en-AU"/>
              </w:rPr>
              <w:t>)</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Why </w:t>
            </w:r>
            <w:r w:rsidRPr="006F5DFE">
              <w:rPr>
                <w:rFonts w:ascii="Garamond" w:hAnsi="Garamond"/>
                <w:b/>
                <w:lang w:val="en-AU"/>
              </w:rPr>
              <w:t>Mindfulness/Meditation Is a “No-Brainer” for Health-Care Professionals</w:t>
            </w:r>
            <w:r w:rsidRPr="006F5DFE">
              <w:rPr>
                <w:rFonts w:ascii="Garamond" w:hAnsi="Garamond"/>
                <w:lang w:val="en-AU"/>
              </w:rPr>
              <w:t xml:space="preserve"> (Leonard H Calabrese</w:t>
            </w:r>
            <w:r>
              <w:rPr>
                <w:rFonts w:ascii="Garamond" w:hAnsi="Garamond"/>
                <w:lang w:val="en-AU"/>
              </w:rPr>
              <w:t>)</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Impact of </w:t>
            </w:r>
            <w:r w:rsidRPr="006F5DFE">
              <w:rPr>
                <w:rFonts w:ascii="Garamond" w:hAnsi="Garamond"/>
                <w:b/>
                <w:lang w:val="en-AU"/>
              </w:rPr>
              <w:t>Language Barriers on Quality of Care and Patient Safety</w:t>
            </w:r>
            <w:r w:rsidRPr="006F5DFE">
              <w:rPr>
                <w:rFonts w:ascii="Garamond" w:hAnsi="Garamond"/>
                <w:lang w:val="en-AU"/>
              </w:rPr>
              <w:t xml:space="preserve"> for Official Language Minority Francophones in Canada (Danielle de Mois</w:t>
            </w:r>
            <w:r>
              <w:rPr>
                <w:rFonts w:ascii="Garamond" w:hAnsi="Garamond"/>
                <w:lang w:val="en-AU"/>
              </w:rPr>
              <w:t>sac and Sarah Bowen)</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Facilitators and Barriers Affecting </w:t>
            </w:r>
            <w:r w:rsidRPr="006B579B">
              <w:rPr>
                <w:rFonts w:ascii="Garamond" w:hAnsi="Garamond"/>
                <w:b/>
                <w:lang w:val="en-AU"/>
              </w:rPr>
              <w:t>Adherence Among People Living With HIV/AIDS</w:t>
            </w:r>
            <w:r w:rsidRPr="006F5DFE">
              <w:rPr>
                <w:rFonts w:ascii="Garamond" w:hAnsi="Garamond"/>
                <w:lang w:val="en-AU"/>
              </w:rPr>
              <w:t>: A Qualitative Perspective (Syed Imran Ahmed, Maryam Farooqui, Syed Azhar Syed Sulaiman, Mohamed A Hassali, and C K C Lee</w:t>
            </w:r>
            <w:r>
              <w:rPr>
                <w:rFonts w:ascii="Garamond" w:hAnsi="Garamond"/>
                <w:lang w:val="en-AU"/>
              </w:rPr>
              <w:t>)</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Preference for </w:t>
            </w:r>
            <w:r w:rsidRPr="006B579B">
              <w:rPr>
                <w:rFonts w:ascii="Garamond" w:hAnsi="Garamond"/>
                <w:b/>
                <w:lang w:val="en-AU"/>
              </w:rPr>
              <w:t>Subcutaneous Injection or Intravenous Infusion</w:t>
            </w:r>
            <w:r w:rsidRPr="006F5DFE">
              <w:rPr>
                <w:rFonts w:ascii="Garamond" w:hAnsi="Garamond"/>
                <w:lang w:val="en-AU"/>
              </w:rPr>
              <w:t xml:space="preserve"> of Biological Therapy Among Italian </w:t>
            </w:r>
            <w:r w:rsidRPr="006B579B">
              <w:rPr>
                <w:rFonts w:ascii="Garamond" w:hAnsi="Garamond"/>
                <w:b/>
                <w:lang w:val="en-AU"/>
              </w:rPr>
              <w:t>Patients With SLE</w:t>
            </w:r>
            <w:r w:rsidRPr="006F5DFE">
              <w:rPr>
                <w:rFonts w:ascii="Garamond" w:hAnsi="Garamond"/>
                <w:lang w:val="en-AU"/>
              </w:rPr>
              <w:t xml:space="preserve"> (Marina Falanga, Augu</w:t>
            </w:r>
            <w:r>
              <w:rPr>
                <w:rFonts w:ascii="Garamond" w:hAnsi="Garamond"/>
                <w:lang w:val="en-AU"/>
              </w:rPr>
              <w:t>sta Canzona, and Davide Mazzoni)</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Geographically Localized Medicine </w:t>
            </w:r>
            <w:r w:rsidRPr="006B579B">
              <w:rPr>
                <w:rFonts w:ascii="Garamond" w:hAnsi="Garamond"/>
                <w:b/>
                <w:lang w:val="en-AU"/>
              </w:rPr>
              <w:t>House-Staff Teams and Patient Satisfaction</w:t>
            </w:r>
            <w:r w:rsidRPr="006F5DFE">
              <w:rPr>
                <w:rFonts w:ascii="Garamond" w:hAnsi="Garamond"/>
                <w:lang w:val="en-AU"/>
              </w:rPr>
              <w:t xml:space="preserve"> (Zishan Siddiqui, Amanda Bertram, Stephen Berry, Timothy Niessen, Lisa Allen, Nowella Durkin, Leonard Feldman, Carrie Herzke, Rehan Qayyum, Peter Pronovost, and Daniel J Brotman</w:t>
            </w:r>
            <w:r>
              <w:rPr>
                <w:rFonts w:ascii="Garamond" w:hAnsi="Garamond"/>
                <w:lang w:val="en-AU"/>
              </w:rPr>
              <w:t>)</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Understanding </w:t>
            </w:r>
            <w:r w:rsidRPr="006B579B">
              <w:rPr>
                <w:rFonts w:ascii="Garamond" w:hAnsi="Garamond"/>
                <w:b/>
                <w:lang w:val="en-AU"/>
              </w:rPr>
              <w:t>Parents’ Experiences</w:t>
            </w:r>
            <w:r w:rsidRPr="006F5DFE">
              <w:rPr>
                <w:rFonts w:ascii="Garamond" w:hAnsi="Garamond"/>
                <w:lang w:val="en-AU"/>
              </w:rPr>
              <w:t xml:space="preserve"> and Information Needs on </w:t>
            </w:r>
            <w:r w:rsidRPr="006B579B">
              <w:rPr>
                <w:rFonts w:ascii="Garamond" w:hAnsi="Garamond"/>
                <w:b/>
                <w:lang w:val="en-AU"/>
              </w:rPr>
              <w:t>Pediatric Acute Otitis Media</w:t>
            </w:r>
            <w:r w:rsidRPr="006F5DFE">
              <w:rPr>
                <w:rFonts w:ascii="Garamond" w:hAnsi="Garamond"/>
                <w:lang w:val="en-AU"/>
              </w:rPr>
              <w:t>: A Qualitative Study (Salima Meherali, Alyson Campbell, L</w:t>
            </w:r>
            <w:r>
              <w:rPr>
                <w:rFonts w:ascii="Garamond" w:hAnsi="Garamond"/>
                <w:lang w:val="en-AU"/>
              </w:rPr>
              <w:t>isa Hartling, and Shannon Scott)</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Accuracy of </w:t>
            </w:r>
            <w:r w:rsidRPr="006B579B">
              <w:rPr>
                <w:rFonts w:ascii="Garamond" w:hAnsi="Garamond"/>
                <w:b/>
                <w:lang w:val="en-AU"/>
              </w:rPr>
              <w:t>Inpatient Recall of Interaction With a Pharmacist</w:t>
            </w:r>
            <w:r w:rsidRPr="006F5DFE">
              <w:rPr>
                <w:rFonts w:ascii="Garamond" w:hAnsi="Garamond"/>
                <w:lang w:val="en-AU"/>
              </w:rPr>
              <w:t>: A Validation Study From 2 Acute Care Teaching Hospitals (Vaninder K Sidhu, Lauren Bresee, Kyle Kemp, Sheri Koshman, Taciana Pereira, and Sheena Neilson</w:t>
            </w:r>
            <w:r>
              <w:rPr>
                <w:rFonts w:ascii="Garamond" w:hAnsi="Garamond"/>
                <w:lang w:val="en-AU"/>
              </w:rPr>
              <w:t>)</w:t>
            </w:r>
          </w:p>
          <w:p w:rsidR="006F5DFE" w:rsidRDefault="006F5DFE" w:rsidP="004523EF">
            <w:pPr>
              <w:pStyle w:val="ListParagraph"/>
              <w:numPr>
                <w:ilvl w:val="0"/>
                <w:numId w:val="15"/>
              </w:numPr>
              <w:rPr>
                <w:rFonts w:ascii="Garamond" w:hAnsi="Garamond"/>
                <w:lang w:val="en-AU"/>
              </w:rPr>
            </w:pPr>
            <w:r w:rsidRPr="006F5DFE">
              <w:rPr>
                <w:rFonts w:ascii="Garamond" w:hAnsi="Garamond"/>
                <w:lang w:val="en-AU"/>
              </w:rPr>
              <w:t xml:space="preserve">Perspective on </w:t>
            </w:r>
            <w:r w:rsidRPr="006B579B">
              <w:rPr>
                <w:rFonts w:ascii="Garamond" w:hAnsi="Garamond"/>
                <w:b/>
                <w:lang w:val="en-AU"/>
              </w:rPr>
              <w:t>Living With a Skin Condition</w:t>
            </w:r>
            <w:r w:rsidRPr="006F5DFE">
              <w:rPr>
                <w:rFonts w:ascii="Garamond" w:hAnsi="Garamond"/>
                <w:lang w:val="en-AU"/>
              </w:rPr>
              <w:t xml:space="preserve"> and its Psychological Impact: A Survey (</w:t>
            </w:r>
            <w:r>
              <w:rPr>
                <w:rFonts w:ascii="Garamond" w:hAnsi="Garamond"/>
                <w:lang w:val="en-AU"/>
              </w:rPr>
              <w:t>A Kanji)</w:t>
            </w:r>
          </w:p>
          <w:p w:rsidR="006F5DFE" w:rsidRDefault="006F5DFE" w:rsidP="004523EF">
            <w:pPr>
              <w:pStyle w:val="ListParagraph"/>
              <w:numPr>
                <w:ilvl w:val="0"/>
                <w:numId w:val="15"/>
              </w:numPr>
              <w:rPr>
                <w:rFonts w:ascii="Garamond" w:hAnsi="Garamond"/>
                <w:lang w:val="en-AU"/>
              </w:rPr>
            </w:pPr>
            <w:r w:rsidRPr="006B579B">
              <w:rPr>
                <w:rFonts w:ascii="Garamond" w:hAnsi="Garamond"/>
                <w:b/>
                <w:lang w:val="en-AU"/>
              </w:rPr>
              <w:t>Primary Care Practice Workplace Social Capital</w:t>
            </w:r>
            <w:r w:rsidRPr="006F5DFE">
              <w:rPr>
                <w:rFonts w:ascii="Garamond" w:hAnsi="Garamond"/>
                <w:lang w:val="en-AU"/>
              </w:rPr>
              <w:t xml:space="preserve">: A Potential Secret Sauce for Improved Staff Well-Being and Patient Experience (Adam T Perzynski, Aleece Caron, David Margolius, and Joseph J Sudano, Jr </w:t>
            </w:r>
            <w:r>
              <w:rPr>
                <w:rFonts w:ascii="Garamond" w:hAnsi="Garamond"/>
                <w:lang w:val="en-AU"/>
              </w:rPr>
              <w:t>)</w:t>
            </w:r>
          </w:p>
          <w:p w:rsidR="00D04C07" w:rsidRPr="007C3778" w:rsidRDefault="006F5DFE" w:rsidP="004523EF">
            <w:pPr>
              <w:pStyle w:val="ListParagraph"/>
              <w:numPr>
                <w:ilvl w:val="0"/>
                <w:numId w:val="15"/>
              </w:numPr>
              <w:rPr>
                <w:rFonts w:ascii="Garamond" w:hAnsi="Garamond"/>
                <w:lang w:val="en-AU"/>
              </w:rPr>
            </w:pPr>
            <w:r w:rsidRPr="006F5DFE">
              <w:rPr>
                <w:rFonts w:ascii="Garamond" w:hAnsi="Garamond"/>
                <w:lang w:val="en-AU"/>
              </w:rPr>
              <w:t xml:space="preserve">Comparative Usability Study of a Newly Created Patient-Centered Tool and Medicare.gov Plan Finder to Help </w:t>
            </w:r>
            <w:r w:rsidRPr="006B579B">
              <w:rPr>
                <w:rFonts w:ascii="Garamond" w:hAnsi="Garamond"/>
                <w:b/>
                <w:lang w:val="en-AU"/>
              </w:rPr>
              <w:t>Medicare Beneficiaries Choose Prescription Drug Plans</w:t>
            </w:r>
            <w:r w:rsidRPr="006F5DFE">
              <w:rPr>
                <w:rFonts w:ascii="Garamond" w:hAnsi="Garamond"/>
                <w:lang w:val="en-AU"/>
              </w:rPr>
              <w:t xml:space="preserve"> </w:t>
            </w:r>
            <w:r>
              <w:rPr>
                <w:rFonts w:ascii="Garamond" w:hAnsi="Garamond"/>
                <w:lang w:val="en-AU"/>
              </w:rPr>
              <w:t>(</w:t>
            </w:r>
            <w:r w:rsidRPr="006F5DFE">
              <w:rPr>
                <w:rFonts w:ascii="Garamond" w:hAnsi="Garamond"/>
                <w:lang w:val="en-AU"/>
              </w:rPr>
              <w:t>Cheryl D Stults, Sayeh Fattahi, Amy Meehan, M Kate Bundorf, Albert S Chan, Ting Pun, and Ming Tai-Seale</w:t>
            </w:r>
            <w:r>
              <w:rPr>
                <w:rFonts w:ascii="Garamond" w:hAnsi="Garamond"/>
                <w:lang w:val="en-AU"/>
              </w:rPr>
              <w:t>)</w:t>
            </w:r>
          </w:p>
        </w:tc>
      </w:tr>
    </w:tbl>
    <w:p w:rsidR="00D04C07" w:rsidRDefault="00D04C07" w:rsidP="00D04C07">
      <w:pPr>
        <w:rPr>
          <w:rFonts w:ascii="Garamond" w:hAnsi="Garamond"/>
          <w:i/>
          <w:lang w:val="en-AU"/>
        </w:rPr>
      </w:pPr>
    </w:p>
    <w:p w:rsidR="00882B52" w:rsidRDefault="00882B52">
      <w:pPr>
        <w:rPr>
          <w:rFonts w:ascii="Garamond" w:hAnsi="Garamond"/>
          <w:i/>
          <w:lang w:val="en-AU"/>
        </w:rPr>
      </w:pPr>
      <w:r>
        <w:rPr>
          <w:rFonts w:ascii="Garamond" w:hAnsi="Garamond"/>
          <w:i/>
          <w:lang w:val="en-AU"/>
        </w:rPr>
        <w:br w:type="page"/>
      </w:r>
    </w:p>
    <w:p w:rsidR="00AC1811" w:rsidRDefault="00AC1811" w:rsidP="00AC1811">
      <w:pPr>
        <w:keepNext/>
        <w:rPr>
          <w:rFonts w:ascii="Garamond" w:hAnsi="Garamond"/>
          <w:i/>
          <w:lang w:val="en-AU"/>
        </w:rPr>
      </w:pPr>
      <w:r w:rsidRPr="00D60376">
        <w:rPr>
          <w:rFonts w:ascii="Garamond" w:hAnsi="Garamond"/>
          <w:i/>
          <w:lang w:val="en-AU"/>
        </w:rPr>
        <w:lastRenderedPageBreak/>
        <w:t>Health</w:t>
      </w:r>
      <w:r>
        <w:rPr>
          <w:rFonts w:ascii="Garamond" w:hAnsi="Garamond"/>
          <w:i/>
          <w:lang w:val="en-AU"/>
        </w:rPr>
        <w:t xml:space="preserve"> Affairs</w:t>
      </w:r>
    </w:p>
    <w:p w:rsidR="00AC1811" w:rsidRPr="00D65371" w:rsidRDefault="00AC1811" w:rsidP="00AC1811">
      <w:pPr>
        <w:keepNext/>
        <w:rPr>
          <w:rFonts w:ascii="Garamond" w:hAnsi="Garamond"/>
          <w:lang w:val="en-AU"/>
        </w:rPr>
      </w:pPr>
      <w:r>
        <w:rPr>
          <w:rFonts w:ascii="Garamond" w:hAnsi="Garamond"/>
          <w:lang w:val="en-AU"/>
        </w:rPr>
        <w:t>Vol. 38, No. 4</w:t>
      </w:r>
    </w:p>
    <w:tbl>
      <w:tblPr>
        <w:tblStyle w:val="TableGrid"/>
        <w:tblW w:w="0" w:type="auto"/>
        <w:tblInd w:w="288" w:type="dxa"/>
        <w:tblLayout w:type="fixed"/>
        <w:tblLook w:val="01E0" w:firstRow="1" w:lastRow="1" w:firstColumn="1" w:lastColumn="1" w:noHBand="0" w:noVBand="0"/>
      </w:tblPr>
      <w:tblGrid>
        <w:gridCol w:w="1080"/>
        <w:gridCol w:w="8280"/>
      </w:tblGrid>
      <w:tr w:rsidR="00AC1811"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AC1811" w:rsidRPr="000170DA" w:rsidRDefault="00AC1811" w:rsidP="005004C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1811" w:rsidRPr="000170DA" w:rsidRDefault="008F713C" w:rsidP="00AC1811">
            <w:pPr>
              <w:rPr>
                <w:rStyle w:val="Hyperlink"/>
                <w:rFonts w:ascii="Garamond" w:hAnsi="Garamond"/>
                <w:color w:val="auto"/>
                <w:u w:val="none"/>
                <w:lang w:val="en-AU"/>
              </w:rPr>
            </w:pPr>
            <w:hyperlink r:id="rId36" w:history="1">
              <w:r w:rsidR="00AC1811" w:rsidRPr="003D14FF">
                <w:rPr>
                  <w:rStyle w:val="Hyperlink"/>
                  <w:rFonts w:ascii="Garamond" w:hAnsi="Garamond"/>
                  <w:lang w:val="en-AU"/>
                </w:rPr>
                <w:t>https://www.healthaffairs.org/toc/hlthaff/38/4</w:t>
              </w:r>
            </w:hyperlink>
          </w:p>
        </w:tc>
      </w:tr>
      <w:tr w:rsidR="00AC1811" w:rsidRPr="000170DA" w:rsidTr="005004C7">
        <w:tc>
          <w:tcPr>
            <w:tcW w:w="1080" w:type="dxa"/>
            <w:tcBorders>
              <w:top w:val="single" w:sz="4" w:space="0" w:color="auto"/>
              <w:left w:val="single" w:sz="4" w:space="0" w:color="auto"/>
              <w:bottom w:val="single" w:sz="4" w:space="0" w:color="auto"/>
              <w:right w:val="single" w:sz="4" w:space="0" w:color="auto"/>
            </w:tcBorders>
            <w:vAlign w:val="center"/>
          </w:tcPr>
          <w:p w:rsidR="00AC1811" w:rsidRPr="000170DA" w:rsidRDefault="00AC1811" w:rsidP="005004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C1811" w:rsidRPr="007C3778" w:rsidRDefault="00AC1811" w:rsidP="005004C7">
            <w:pPr>
              <w:rPr>
                <w:rFonts w:ascii="Garamond" w:hAnsi="Garamond"/>
                <w:lang w:val="en-AU"/>
              </w:rPr>
            </w:pPr>
            <w:r w:rsidRPr="00B440ED">
              <w:rPr>
                <w:rFonts w:ascii="Garamond" w:hAnsi="Garamond"/>
                <w:lang w:val="en-AU"/>
              </w:rPr>
              <w:t xml:space="preserve">A new issue of </w:t>
            </w:r>
            <w:r w:rsidRPr="00D60376">
              <w:rPr>
                <w:rFonts w:ascii="Garamond" w:hAnsi="Garamond"/>
                <w:i/>
                <w:lang w:val="en-AU"/>
              </w:rPr>
              <w:t>Health</w:t>
            </w:r>
            <w:r>
              <w:rPr>
                <w:rFonts w:ascii="Garamond" w:hAnsi="Garamond"/>
                <w:i/>
                <w:lang w:val="en-AU"/>
              </w:rPr>
              <w:t xml:space="preserve"> Affairs</w:t>
            </w:r>
            <w:r w:rsidRPr="00B440ED">
              <w:rPr>
                <w:rFonts w:ascii="Garamond" w:hAnsi="Garamond"/>
                <w:lang w:val="en-AU"/>
              </w:rPr>
              <w:t xml:space="preserve"> has been published</w:t>
            </w:r>
            <w:r>
              <w:rPr>
                <w:rFonts w:ascii="Garamond" w:hAnsi="Garamond"/>
                <w:lang w:val="en-AU"/>
              </w:rPr>
              <w:t>, with the theme ‘</w:t>
            </w:r>
            <w:r w:rsidR="004A3AB0" w:rsidRPr="004A3AB0">
              <w:rPr>
                <w:rFonts w:ascii="Garamond" w:hAnsi="Garamond"/>
                <w:lang w:val="en-AU"/>
              </w:rPr>
              <w:t>Physicians, Medicare &amp; More</w:t>
            </w:r>
            <w:r w:rsidRPr="00B440ED">
              <w:rPr>
                <w:rFonts w:ascii="Garamond" w:hAnsi="Garamond"/>
                <w:lang w:val="en-AU"/>
              </w:rPr>
              <w:t xml:space="preserve">. Articles in this issue of </w:t>
            </w:r>
            <w:r w:rsidRPr="00D60376">
              <w:rPr>
                <w:rFonts w:ascii="Garamond" w:hAnsi="Garamond"/>
                <w:i/>
                <w:lang w:val="en-AU"/>
              </w:rPr>
              <w:t>Health</w:t>
            </w:r>
            <w:r>
              <w:rPr>
                <w:rFonts w:ascii="Garamond" w:hAnsi="Garamond"/>
                <w:i/>
                <w:lang w:val="en-AU"/>
              </w:rPr>
              <w:t xml:space="preserve"> Affairs</w:t>
            </w:r>
            <w:r w:rsidRPr="00B440ED">
              <w:rPr>
                <w:rFonts w:ascii="Garamond" w:hAnsi="Garamond"/>
                <w:lang w:val="en-AU"/>
              </w:rPr>
              <w:t xml:space="preserve"> include:</w:t>
            </w:r>
          </w:p>
          <w:p w:rsidR="004A3AB0" w:rsidRP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An Education In </w:t>
            </w:r>
            <w:r w:rsidRPr="004A3AB0">
              <w:rPr>
                <w:rFonts w:ascii="Garamond" w:hAnsi="Garamond"/>
                <w:b/>
                <w:lang w:val="en-AU"/>
              </w:rPr>
              <w:t>Meeting Patients Where They Live</w:t>
            </w:r>
            <w:r w:rsidRPr="004A3AB0">
              <w:rPr>
                <w:rFonts w:ascii="Garamond" w:hAnsi="Garamond"/>
                <w:lang w:val="en-AU"/>
              </w:rPr>
              <w:t xml:space="preserve"> (T R Goldman</w:t>
            </w:r>
            <w:r>
              <w:rPr>
                <w:rFonts w:ascii="Garamond" w:hAnsi="Garamond"/>
                <w:lang w:val="en-AU"/>
              </w:rPr>
              <w:t>)</w:t>
            </w:r>
          </w:p>
          <w:p w:rsidR="004A3AB0" w:rsidRP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Assessing </w:t>
            </w:r>
            <w:r w:rsidRPr="004A3AB0">
              <w:rPr>
                <w:rFonts w:ascii="Garamond" w:hAnsi="Garamond"/>
                <w:b/>
                <w:lang w:val="en-AU"/>
              </w:rPr>
              <w:t>First Visits By Physicians</w:t>
            </w:r>
            <w:r w:rsidRPr="004A3AB0">
              <w:rPr>
                <w:rFonts w:ascii="Garamond" w:hAnsi="Garamond"/>
                <w:lang w:val="en-AU"/>
              </w:rPr>
              <w:t xml:space="preserve"> To Medicare </w:t>
            </w:r>
            <w:r w:rsidRPr="004A3AB0">
              <w:rPr>
                <w:rFonts w:ascii="Garamond" w:hAnsi="Garamond"/>
                <w:b/>
                <w:lang w:val="en-AU"/>
              </w:rPr>
              <w:t>Patients Discharged To Skilled Nursing Facilities</w:t>
            </w:r>
            <w:r w:rsidRPr="004A3AB0">
              <w:rPr>
                <w:rFonts w:ascii="Garamond" w:hAnsi="Garamond"/>
                <w:lang w:val="en-AU"/>
              </w:rPr>
              <w:t xml:space="preserve"> (Kira L Ryskina, Y Yuan, S Teng, and R Burke</w:t>
            </w:r>
            <w:r>
              <w:rPr>
                <w:rFonts w:ascii="Garamond" w:hAnsi="Garamond"/>
                <w:lang w:val="en-AU"/>
              </w:rPr>
              <w:t>)</w:t>
            </w:r>
          </w:p>
          <w:p w:rsidR="004A3AB0" w:rsidRPr="004A3AB0" w:rsidRDefault="004A3AB0" w:rsidP="004523EF">
            <w:pPr>
              <w:pStyle w:val="ListParagraph"/>
              <w:numPr>
                <w:ilvl w:val="0"/>
                <w:numId w:val="15"/>
              </w:numPr>
              <w:rPr>
                <w:rFonts w:ascii="Garamond" w:hAnsi="Garamond"/>
                <w:lang w:val="en-AU"/>
              </w:rPr>
            </w:pPr>
            <w:r w:rsidRPr="004A3AB0">
              <w:rPr>
                <w:rFonts w:ascii="Garamond" w:hAnsi="Garamond"/>
                <w:b/>
                <w:lang w:val="en-AU"/>
              </w:rPr>
              <w:t>Primary Care Physician Networks</w:t>
            </w:r>
            <w:r w:rsidRPr="004A3AB0">
              <w:rPr>
                <w:rFonts w:ascii="Garamond" w:hAnsi="Garamond"/>
                <w:lang w:val="en-AU"/>
              </w:rPr>
              <w:t xml:space="preserve"> In Medicare Advantage (Yevgeniy Feyman, José F Figueroa, Daniel E Polsky, Michael Adelberg, and A Frakt</w:t>
            </w:r>
            <w:r>
              <w:rPr>
                <w:rFonts w:ascii="Garamond" w:hAnsi="Garamond"/>
                <w:lang w:val="en-AU"/>
              </w:rPr>
              <w:t>)</w:t>
            </w:r>
          </w:p>
          <w:p w:rsidR="004A3AB0" w:rsidRP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Knowledge Of Practicing </w:t>
            </w:r>
            <w:r w:rsidRPr="004A3AB0">
              <w:rPr>
                <w:rFonts w:ascii="Garamond" w:hAnsi="Garamond"/>
                <w:b/>
                <w:lang w:val="en-AU"/>
              </w:rPr>
              <w:t>Physicians</w:t>
            </w:r>
            <w:r w:rsidRPr="004A3AB0">
              <w:rPr>
                <w:rFonts w:ascii="Garamond" w:hAnsi="Garamond"/>
                <w:lang w:val="en-AU"/>
              </w:rPr>
              <w:t xml:space="preserve"> About Their </w:t>
            </w:r>
            <w:r w:rsidRPr="004A3AB0">
              <w:rPr>
                <w:rFonts w:ascii="Garamond" w:hAnsi="Garamond"/>
                <w:b/>
                <w:lang w:val="en-AU"/>
              </w:rPr>
              <w:t>Legal Obligations</w:t>
            </w:r>
            <w:r w:rsidRPr="004A3AB0">
              <w:rPr>
                <w:rFonts w:ascii="Garamond" w:hAnsi="Garamond"/>
                <w:lang w:val="en-AU"/>
              </w:rPr>
              <w:t xml:space="preserve"> When Caring For Patients With </w:t>
            </w:r>
            <w:r w:rsidRPr="00276CFF">
              <w:rPr>
                <w:rFonts w:ascii="Garamond" w:hAnsi="Garamond"/>
                <w:b/>
                <w:lang w:val="en-AU"/>
              </w:rPr>
              <w:t>Disability</w:t>
            </w:r>
            <w:r w:rsidRPr="004A3AB0">
              <w:rPr>
                <w:rFonts w:ascii="Garamond" w:hAnsi="Garamond"/>
                <w:lang w:val="en-AU"/>
              </w:rPr>
              <w:t xml:space="preserve"> (Nicole D Agaronnik, Elizabeth Pendo, Eric G Campbell, Julie Ressalam, and Lisa I Iezzoni</w:t>
            </w:r>
            <w:r>
              <w:rPr>
                <w:rFonts w:ascii="Garamond" w:hAnsi="Garamond"/>
                <w:lang w:val="en-AU"/>
              </w:rPr>
              <w:t>)</w:t>
            </w:r>
          </w:p>
          <w:p w:rsid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Medicare’s </w:t>
            </w:r>
            <w:r w:rsidRPr="004A3AB0">
              <w:rPr>
                <w:rFonts w:ascii="Garamond" w:hAnsi="Garamond"/>
                <w:b/>
                <w:lang w:val="en-AU"/>
              </w:rPr>
              <w:t>Bundled Payments For Care Improvement Initiative</w:t>
            </w:r>
            <w:r w:rsidRPr="004A3AB0">
              <w:rPr>
                <w:rFonts w:ascii="Garamond" w:hAnsi="Garamond"/>
                <w:lang w:val="en-AU"/>
              </w:rPr>
              <w:t xml:space="preserve"> Maintained Quality Of Care For Vulnerable Patients (Brandon C Maughan, Daver C Kahvecioglu, Grecia Marrufo, Gina M Gerding</w:t>
            </w:r>
            <w:r>
              <w:rPr>
                <w:rFonts w:ascii="Garamond" w:hAnsi="Garamond"/>
                <w:lang w:val="en-AU"/>
              </w:rPr>
              <w:t xml:space="preserve">, </w:t>
            </w:r>
            <w:r w:rsidRPr="004A3AB0">
              <w:rPr>
                <w:rFonts w:ascii="Garamond" w:hAnsi="Garamond"/>
                <w:lang w:val="en-AU"/>
              </w:rPr>
              <w:t xml:space="preserve">Syvart Dennen, </w:t>
            </w:r>
            <w:r>
              <w:rPr>
                <w:rFonts w:ascii="Garamond" w:hAnsi="Garamond"/>
                <w:lang w:val="en-AU"/>
              </w:rPr>
              <w:t>Jaclyn K</w:t>
            </w:r>
            <w:r w:rsidRPr="004A3AB0">
              <w:rPr>
                <w:rFonts w:ascii="Garamond" w:hAnsi="Garamond"/>
                <w:lang w:val="en-AU"/>
              </w:rPr>
              <w:t xml:space="preserve"> Marshall, Daniel M Cooper, Colleen M Kummet, and L A Dummit</w:t>
            </w:r>
            <w:r>
              <w:rPr>
                <w:rFonts w:ascii="Garamond" w:hAnsi="Garamond"/>
                <w:lang w:val="en-AU"/>
              </w:rPr>
              <w:t>)</w:t>
            </w:r>
          </w:p>
          <w:p w:rsidR="004A3AB0" w:rsidRP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The Role Of </w:t>
            </w:r>
            <w:r w:rsidRPr="004A3AB0">
              <w:rPr>
                <w:rFonts w:ascii="Garamond" w:hAnsi="Garamond"/>
                <w:b/>
                <w:lang w:val="en-AU"/>
              </w:rPr>
              <w:t>Social, Cognitive, And Functional Risk Factors In Medicare Spending</w:t>
            </w:r>
            <w:r w:rsidRPr="004A3AB0">
              <w:rPr>
                <w:rFonts w:ascii="Garamond" w:hAnsi="Garamond"/>
                <w:lang w:val="en-AU"/>
              </w:rPr>
              <w:t xml:space="preserve"> For Dual And Nondual Enrollees (Kenton J Johnston, and Karen E Joynt Maddox</w:t>
            </w:r>
            <w:r>
              <w:rPr>
                <w:rFonts w:ascii="Garamond" w:hAnsi="Garamond"/>
                <w:lang w:val="en-AU"/>
              </w:rPr>
              <w:t>)</w:t>
            </w:r>
          </w:p>
          <w:p w:rsid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Patient Readmission Rates For All Insurance Types After Implementation Of The </w:t>
            </w:r>
            <w:r w:rsidRPr="004A3AB0">
              <w:rPr>
                <w:rFonts w:ascii="Garamond" w:hAnsi="Garamond"/>
                <w:b/>
                <w:lang w:val="en-AU"/>
              </w:rPr>
              <w:t>Hospital Readmissions Reduction Program</w:t>
            </w:r>
            <w:r w:rsidRPr="004A3AB0">
              <w:rPr>
                <w:rFonts w:ascii="Garamond" w:hAnsi="Garamond"/>
                <w:lang w:val="en-AU"/>
              </w:rPr>
              <w:t xml:space="preserve"> (Enrico G Ferro, Eric A Secemsky, Rishi K Wadhera, Eunhee Choi, Jordan B Strom, Jason H Wasfy, Yun Wang, Changyu Shen, and Robert W Yeh</w:t>
            </w:r>
            <w:r>
              <w:rPr>
                <w:rFonts w:ascii="Garamond" w:hAnsi="Garamond"/>
                <w:lang w:val="en-AU"/>
              </w:rPr>
              <w:t>)</w:t>
            </w:r>
          </w:p>
          <w:p w:rsidR="004A3AB0" w:rsidRP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Maryland’s Experiment With </w:t>
            </w:r>
            <w:r w:rsidRPr="004A3AB0">
              <w:rPr>
                <w:rFonts w:ascii="Garamond" w:hAnsi="Garamond"/>
                <w:b/>
                <w:lang w:val="en-AU"/>
              </w:rPr>
              <w:t>Capitated Payments</w:t>
            </w:r>
            <w:r w:rsidRPr="004A3AB0">
              <w:rPr>
                <w:rFonts w:ascii="Garamond" w:hAnsi="Garamond"/>
                <w:lang w:val="en-AU"/>
              </w:rPr>
              <w:t xml:space="preserve"> For Rural Hospitals: Large Reductions In Hospital-Based Care (Jesse M Pines, Sonal Vats, Mark S Zocchi, and Bernard Black</w:t>
            </w:r>
            <w:r>
              <w:rPr>
                <w:rFonts w:ascii="Garamond" w:hAnsi="Garamond"/>
                <w:lang w:val="en-AU"/>
              </w:rPr>
              <w:t>)</w:t>
            </w:r>
          </w:p>
          <w:p w:rsidR="004A3AB0" w:rsidRDefault="004A3AB0" w:rsidP="004523EF">
            <w:pPr>
              <w:pStyle w:val="ListParagraph"/>
              <w:numPr>
                <w:ilvl w:val="0"/>
                <w:numId w:val="15"/>
              </w:numPr>
              <w:rPr>
                <w:rFonts w:ascii="Garamond" w:hAnsi="Garamond"/>
                <w:lang w:val="en-AU"/>
              </w:rPr>
            </w:pPr>
            <w:r w:rsidRPr="004A3AB0">
              <w:rPr>
                <w:rFonts w:ascii="Garamond" w:hAnsi="Garamond"/>
                <w:b/>
                <w:lang w:val="en-AU"/>
              </w:rPr>
              <w:t>When Is The Price Of A Drug Unjust?</w:t>
            </w:r>
            <w:r w:rsidRPr="004A3AB0">
              <w:rPr>
                <w:rFonts w:ascii="Garamond" w:hAnsi="Garamond"/>
                <w:lang w:val="en-AU"/>
              </w:rPr>
              <w:t xml:space="preserve"> The Average Lifetime Earnings Standard (Ezekiel J Emanuel</w:t>
            </w:r>
            <w:r>
              <w:rPr>
                <w:rFonts w:ascii="Garamond" w:hAnsi="Garamond"/>
                <w:lang w:val="en-AU"/>
              </w:rPr>
              <w:t>)</w:t>
            </w:r>
          </w:p>
          <w:p w:rsidR="004A3AB0" w:rsidRDefault="004A3AB0" w:rsidP="004523EF">
            <w:pPr>
              <w:pStyle w:val="ListParagraph"/>
              <w:numPr>
                <w:ilvl w:val="0"/>
                <w:numId w:val="15"/>
              </w:numPr>
              <w:rPr>
                <w:rFonts w:ascii="Garamond" w:hAnsi="Garamond"/>
                <w:lang w:val="en-AU"/>
              </w:rPr>
            </w:pPr>
            <w:r w:rsidRPr="004A3AB0">
              <w:rPr>
                <w:rFonts w:ascii="Garamond" w:hAnsi="Garamond"/>
                <w:b/>
                <w:lang w:val="en-AU"/>
              </w:rPr>
              <w:t>Multimorbidity And Health Outcomes</w:t>
            </w:r>
            <w:r w:rsidRPr="004A3AB0">
              <w:rPr>
                <w:rFonts w:ascii="Garamond" w:hAnsi="Garamond"/>
                <w:lang w:val="en-AU"/>
              </w:rPr>
              <w:t xml:space="preserve"> In Older Adults In Ten European Health Systems, 2006–15 (Raffaele Palladino, Francesca Pennino, Martin Finbarr, Christopher Millett, and Maria Triassi</w:t>
            </w:r>
            <w:r>
              <w:rPr>
                <w:rFonts w:ascii="Garamond" w:hAnsi="Garamond"/>
                <w:lang w:val="en-AU"/>
              </w:rPr>
              <w:t>)</w:t>
            </w:r>
          </w:p>
          <w:p w:rsidR="004A3AB0" w:rsidRPr="004A3AB0" w:rsidRDefault="004A3AB0" w:rsidP="004523EF">
            <w:pPr>
              <w:pStyle w:val="ListParagraph"/>
              <w:numPr>
                <w:ilvl w:val="0"/>
                <w:numId w:val="15"/>
              </w:numPr>
              <w:rPr>
                <w:rFonts w:ascii="Garamond" w:hAnsi="Garamond"/>
                <w:lang w:val="en-AU"/>
              </w:rPr>
            </w:pPr>
            <w:r w:rsidRPr="004A3AB0">
              <w:rPr>
                <w:rFonts w:ascii="Garamond" w:hAnsi="Garamond"/>
                <w:b/>
                <w:lang w:val="en-AU"/>
              </w:rPr>
              <w:t>Do Incentive Payments Reward The Wrong Providers?</w:t>
            </w:r>
            <w:r w:rsidRPr="004A3AB0">
              <w:rPr>
                <w:rFonts w:ascii="Garamond" w:hAnsi="Garamond"/>
                <w:lang w:val="en-AU"/>
              </w:rPr>
              <w:t xml:space="preserve"> A Study Of Primary Care Reform In Ontario, Canada (Richard H</w:t>
            </w:r>
            <w:r>
              <w:rPr>
                <w:rFonts w:ascii="Garamond" w:hAnsi="Garamond"/>
                <w:lang w:val="en-AU"/>
              </w:rPr>
              <w:t xml:space="preserve"> Glazier, Michael E</w:t>
            </w:r>
            <w:r w:rsidRPr="004A3AB0">
              <w:rPr>
                <w:rFonts w:ascii="Garamond" w:hAnsi="Garamond"/>
                <w:lang w:val="en-AU"/>
              </w:rPr>
              <w:t xml:space="preserve"> Green, Eliot Frymire, Alex Kopp, William Hogg, Kamila Premji, and T Kiran</w:t>
            </w:r>
            <w:r>
              <w:rPr>
                <w:rFonts w:ascii="Garamond" w:hAnsi="Garamond"/>
                <w:lang w:val="en-AU"/>
              </w:rPr>
              <w:t>)</w:t>
            </w:r>
          </w:p>
          <w:p w:rsidR="004A3AB0" w:rsidRP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The Affordable Care Act In The Heart Of The </w:t>
            </w:r>
            <w:r w:rsidRPr="004A3AB0">
              <w:rPr>
                <w:rFonts w:ascii="Garamond" w:hAnsi="Garamond"/>
                <w:b/>
                <w:lang w:val="en-AU"/>
              </w:rPr>
              <w:t>Opioid Crisis</w:t>
            </w:r>
            <w:r w:rsidRPr="004A3AB0">
              <w:rPr>
                <w:rFonts w:ascii="Garamond" w:hAnsi="Garamond"/>
                <w:lang w:val="en-AU"/>
              </w:rPr>
              <w:t>: Evidence From West Virginia (Brendan Saloner, R Landis, B D Stein, and C L Barry</w:t>
            </w:r>
            <w:r>
              <w:rPr>
                <w:rFonts w:ascii="Garamond" w:hAnsi="Garamond"/>
                <w:lang w:val="en-AU"/>
              </w:rPr>
              <w:t>)</w:t>
            </w:r>
          </w:p>
          <w:p w:rsid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News </w:t>
            </w:r>
            <w:r w:rsidRPr="004A3AB0">
              <w:rPr>
                <w:rFonts w:ascii="Garamond" w:hAnsi="Garamond"/>
                <w:b/>
                <w:lang w:val="en-AU"/>
              </w:rPr>
              <w:t>Media Reporting On Medication Treatment For Opioid Use Disorder</w:t>
            </w:r>
            <w:r w:rsidRPr="004A3AB0">
              <w:rPr>
                <w:rFonts w:ascii="Garamond" w:hAnsi="Garamond"/>
                <w:lang w:val="en-AU"/>
              </w:rPr>
              <w:t xml:space="preserve"> Amid The Opioid Epidemic (Alene Kennedy-Hendricks, Jonathan Levin, Elizabeth Stone, Emma E. McGinty, Sarah E Gollust, and C L Barry</w:t>
            </w:r>
            <w:r>
              <w:rPr>
                <w:rFonts w:ascii="Garamond" w:hAnsi="Garamond"/>
                <w:lang w:val="en-AU"/>
              </w:rPr>
              <w:t>)</w:t>
            </w:r>
          </w:p>
          <w:p w:rsidR="004A3AB0" w:rsidRDefault="004A3AB0" w:rsidP="004523EF">
            <w:pPr>
              <w:pStyle w:val="ListParagraph"/>
              <w:numPr>
                <w:ilvl w:val="0"/>
                <w:numId w:val="15"/>
              </w:numPr>
              <w:rPr>
                <w:rFonts w:ascii="Garamond" w:hAnsi="Garamond"/>
                <w:lang w:val="en-AU"/>
              </w:rPr>
            </w:pPr>
            <w:r w:rsidRPr="004A3AB0">
              <w:rPr>
                <w:rFonts w:ascii="Garamond" w:hAnsi="Garamond"/>
                <w:lang w:val="en-AU"/>
              </w:rPr>
              <w:t xml:space="preserve">Measuring The </w:t>
            </w:r>
            <w:r w:rsidRPr="004A3AB0">
              <w:rPr>
                <w:rFonts w:ascii="Garamond" w:hAnsi="Garamond"/>
                <w:b/>
                <w:lang w:val="en-AU"/>
              </w:rPr>
              <w:t>Lifetime Costs Of Serious Mental Illness</w:t>
            </w:r>
            <w:r w:rsidRPr="004A3AB0">
              <w:rPr>
                <w:rFonts w:ascii="Garamond" w:hAnsi="Garamond"/>
                <w:lang w:val="en-AU"/>
              </w:rPr>
              <w:t xml:space="preserve"> And The Mitigating Effects Of Educational Attainment (Seth A Seabury, Sarah Axeen, Gwyn Pauley, Bryan Tysinger, Danielle Schlosser, John B Hernandez, Hanke Heun-Johnson, Henu Zhao, and Dana P Goldman</w:t>
            </w:r>
            <w:r>
              <w:rPr>
                <w:rFonts w:ascii="Garamond" w:hAnsi="Garamond"/>
                <w:lang w:val="en-AU"/>
              </w:rPr>
              <w:t>)</w:t>
            </w:r>
          </w:p>
          <w:p w:rsidR="00AC1811" w:rsidRPr="007C3778" w:rsidRDefault="004A3AB0" w:rsidP="004523EF">
            <w:pPr>
              <w:pStyle w:val="ListParagraph"/>
              <w:numPr>
                <w:ilvl w:val="0"/>
                <w:numId w:val="15"/>
              </w:numPr>
              <w:rPr>
                <w:rFonts w:ascii="Garamond" w:hAnsi="Garamond"/>
                <w:lang w:val="en-AU"/>
              </w:rPr>
            </w:pPr>
            <w:r w:rsidRPr="004A3AB0">
              <w:rPr>
                <w:rFonts w:ascii="Garamond" w:hAnsi="Garamond"/>
                <w:lang w:val="en-AU"/>
              </w:rPr>
              <w:t xml:space="preserve">My Struggle To Access </w:t>
            </w:r>
            <w:r w:rsidRPr="004A3AB0">
              <w:rPr>
                <w:rFonts w:ascii="Garamond" w:hAnsi="Garamond"/>
                <w:b/>
                <w:lang w:val="en-AU"/>
              </w:rPr>
              <w:t>Lifesaving Mental Health Care</w:t>
            </w:r>
            <w:r>
              <w:rPr>
                <w:rFonts w:ascii="Garamond" w:hAnsi="Garamond"/>
                <w:lang w:val="en-AU"/>
              </w:rPr>
              <w:t xml:space="preserve"> (</w:t>
            </w:r>
            <w:r w:rsidRPr="004A3AB0">
              <w:rPr>
                <w:rFonts w:ascii="Garamond" w:hAnsi="Garamond"/>
                <w:lang w:val="en-AU"/>
              </w:rPr>
              <w:t>Ashley R Clayton</w:t>
            </w:r>
            <w:r>
              <w:rPr>
                <w:rFonts w:ascii="Garamond" w:hAnsi="Garamond"/>
                <w:lang w:val="en-AU"/>
              </w:rPr>
              <w:t>)</w:t>
            </w:r>
          </w:p>
        </w:tc>
      </w:tr>
    </w:tbl>
    <w:p w:rsidR="00AC1811" w:rsidRDefault="00AC1811" w:rsidP="00AC1811">
      <w:pPr>
        <w:rPr>
          <w:rFonts w:ascii="Garamond" w:hAnsi="Garamond"/>
          <w:i/>
          <w:lang w:val="en-AU"/>
        </w:rPr>
      </w:pPr>
    </w:p>
    <w:p w:rsidR="00882B52" w:rsidRDefault="00882B52">
      <w:pPr>
        <w:rPr>
          <w:rFonts w:ascii="Garamond" w:hAnsi="Garamond"/>
          <w:i/>
          <w:lang w:val="en-AU"/>
        </w:rPr>
      </w:pPr>
      <w:r>
        <w:rPr>
          <w:rFonts w:ascii="Garamond" w:hAnsi="Garamond"/>
          <w:i/>
          <w:lang w:val="en-AU"/>
        </w:rPr>
        <w:br w:type="page"/>
      </w:r>
    </w:p>
    <w:p w:rsidR="00FB4D99" w:rsidRPr="00A3590B" w:rsidRDefault="00FB4D99" w:rsidP="00FB4D99">
      <w:pPr>
        <w:keepNext/>
        <w:rPr>
          <w:rFonts w:ascii="Garamond" w:hAnsi="Garamond"/>
          <w:i/>
          <w:lang w:val="en-AU"/>
        </w:rPr>
      </w:pPr>
      <w:r w:rsidRPr="00A3590B">
        <w:rPr>
          <w:rFonts w:ascii="Garamond" w:hAnsi="Garamond"/>
          <w:i/>
          <w:lang w:val="en-AU"/>
        </w:rPr>
        <w:lastRenderedPageBreak/>
        <w:t>Journal of Health Services Research &amp; Policy</w:t>
      </w:r>
    </w:p>
    <w:p w:rsidR="00FB4D99" w:rsidRPr="00D65371" w:rsidRDefault="00FB4D99" w:rsidP="00FB4D99">
      <w:pPr>
        <w:keepNext/>
        <w:rPr>
          <w:rFonts w:ascii="Garamond" w:hAnsi="Garamond"/>
          <w:lang w:val="en-AU"/>
        </w:rPr>
      </w:pPr>
      <w:r w:rsidRPr="00A3590B">
        <w:rPr>
          <w:rFonts w:ascii="Garamond" w:hAnsi="Garamond"/>
          <w:lang w:val="en-AU"/>
        </w:rPr>
        <w:t>Volume: 24, Number: 2 (April 2019)</w:t>
      </w:r>
    </w:p>
    <w:tbl>
      <w:tblPr>
        <w:tblStyle w:val="TableGrid"/>
        <w:tblW w:w="0" w:type="auto"/>
        <w:tblInd w:w="288" w:type="dxa"/>
        <w:tblLayout w:type="fixed"/>
        <w:tblLook w:val="01E0" w:firstRow="1" w:lastRow="1" w:firstColumn="1" w:lastColumn="1" w:noHBand="0" w:noVBand="0"/>
      </w:tblPr>
      <w:tblGrid>
        <w:gridCol w:w="1080"/>
        <w:gridCol w:w="8280"/>
      </w:tblGrid>
      <w:tr w:rsidR="00FB4D99" w:rsidRPr="000170DA" w:rsidTr="00067B23">
        <w:tc>
          <w:tcPr>
            <w:tcW w:w="1080" w:type="dxa"/>
            <w:tcBorders>
              <w:top w:val="single" w:sz="4" w:space="0" w:color="auto"/>
              <w:left w:val="single" w:sz="4" w:space="0" w:color="auto"/>
              <w:bottom w:val="single" w:sz="4" w:space="0" w:color="auto"/>
              <w:right w:val="single" w:sz="4" w:space="0" w:color="auto"/>
            </w:tcBorders>
            <w:vAlign w:val="center"/>
          </w:tcPr>
          <w:p w:rsidR="00FB4D99" w:rsidRPr="000170DA" w:rsidRDefault="00FB4D99" w:rsidP="00067B2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B4D99" w:rsidRPr="000170DA" w:rsidRDefault="008F713C" w:rsidP="00067B23">
            <w:pPr>
              <w:rPr>
                <w:rStyle w:val="Hyperlink"/>
                <w:rFonts w:ascii="Garamond" w:hAnsi="Garamond"/>
                <w:color w:val="auto"/>
                <w:u w:val="none"/>
                <w:lang w:val="en-AU"/>
              </w:rPr>
            </w:pPr>
            <w:hyperlink r:id="rId37" w:history="1">
              <w:r w:rsidR="00FB4D99" w:rsidRPr="00FF6408">
                <w:rPr>
                  <w:rStyle w:val="Hyperlink"/>
                  <w:rFonts w:ascii="Garamond" w:hAnsi="Garamond"/>
                  <w:lang w:val="en-AU"/>
                </w:rPr>
                <w:t>https://journals.sagepub.com/toc/hsrb/24/2</w:t>
              </w:r>
            </w:hyperlink>
          </w:p>
        </w:tc>
      </w:tr>
      <w:tr w:rsidR="00FB4D99" w:rsidRPr="000170DA" w:rsidTr="00067B23">
        <w:tc>
          <w:tcPr>
            <w:tcW w:w="1080" w:type="dxa"/>
            <w:tcBorders>
              <w:top w:val="single" w:sz="4" w:space="0" w:color="auto"/>
              <w:left w:val="single" w:sz="4" w:space="0" w:color="auto"/>
              <w:bottom w:val="single" w:sz="4" w:space="0" w:color="auto"/>
              <w:right w:val="single" w:sz="4" w:space="0" w:color="auto"/>
            </w:tcBorders>
            <w:vAlign w:val="center"/>
          </w:tcPr>
          <w:p w:rsidR="00FB4D99" w:rsidRPr="000170DA" w:rsidRDefault="00FB4D99" w:rsidP="00067B2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4D99" w:rsidRPr="007C3778" w:rsidRDefault="00FB4D99" w:rsidP="00067B23">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A3590B">
              <w:rPr>
                <w:rFonts w:ascii="Garamond" w:hAnsi="Garamond"/>
                <w:i/>
                <w:lang w:val="en-AU"/>
              </w:rPr>
              <w:t>Journal of Health Services Research &amp; Policy</w:t>
            </w:r>
            <w:r w:rsidRPr="008E7CAA">
              <w:rPr>
                <w:rFonts w:ascii="Garamond" w:hAnsi="Garamond"/>
                <w:i/>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Pr="00A3590B">
              <w:rPr>
                <w:rFonts w:ascii="Garamond" w:hAnsi="Garamond"/>
                <w:i/>
                <w:lang w:val="en-AU"/>
              </w:rPr>
              <w:t>Journal of Health Services Research &amp; Policy</w:t>
            </w:r>
            <w:r w:rsidRPr="008E7CAA">
              <w:rPr>
                <w:rFonts w:ascii="Garamond" w:hAnsi="Garamond"/>
                <w:i/>
                <w:lang w:val="en-AU"/>
              </w:rPr>
              <w:t xml:space="preserve"> </w:t>
            </w:r>
            <w:r w:rsidRPr="00B440ED">
              <w:rPr>
                <w:rFonts w:ascii="Garamond" w:hAnsi="Garamond"/>
                <w:lang w:val="en-AU"/>
              </w:rPr>
              <w:t>include:</w:t>
            </w:r>
          </w:p>
          <w:p w:rsidR="00FB4D99" w:rsidRDefault="00FB4D99" w:rsidP="00067B23">
            <w:pPr>
              <w:pStyle w:val="ListParagraph"/>
              <w:numPr>
                <w:ilvl w:val="0"/>
                <w:numId w:val="15"/>
              </w:numPr>
              <w:rPr>
                <w:rFonts w:ascii="Garamond" w:hAnsi="Garamond"/>
                <w:lang w:val="en-AU"/>
              </w:rPr>
            </w:pPr>
            <w:r w:rsidRPr="006B579B">
              <w:rPr>
                <w:rFonts w:ascii="Garamond" w:hAnsi="Garamond"/>
                <w:lang w:val="en-AU"/>
              </w:rPr>
              <w:t xml:space="preserve">Editorial: Increasing </w:t>
            </w:r>
            <w:r w:rsidRPr="006B579B">
              <w:rPr>
                <w:rFonts w:ascii="Garamond" w:hAnsi="Garamond"/>
                <w:b/>
                <w:lang w:val="en-AU"/>
              </w:rPr>
              <w:t>middle managers’ commitment to innovation</w:t>
            </w:r>
            <w:r w:rsidRPr="006B579B">
              <w:rPr>
                <w:rFonts w:ascii="Garamond" w:hAnsi="Garamond"/>
                <w:lang w:val="en-AU"/>
              </w:rPr>
              <w:t xml:space="preserve"> implementation: An agenda for research (</w:t>
            </w:r>
            <w:r>
              <w:rPr>
                <w:rFonts w:ascii="Garamond" w:hAnsi="Garamond"/>
                <w:lang w:val="en-AU"/>
              </w:rPr>
              <w:t>Sarah A Birken)</w:t>
            </w:r>
          </w:p>
          <w:p w:rsidR="00FB4D99" w:rsidRDefault="00FB4D99" w:rsidP="00067B23">
            <w:pPr>
              <w:pStyle w:val="ListParagraph"/>
              <w:numPr>
                <w:ilvl w:val="0"/>
                <w:numId w:val="15"/>
              </w:numPr>
              <w:rPr>
                <w:rFonts w:ascii="Garamond" w:hAnsi="Garamond"/>
                <w:lang w:val="en-AU"/>
              </w:rPr>
            </w:pPr>
            <w:r w:rsidRPr="006B579B">
              <w:rPr>
                <w:rFonts w:ascii="Garamond" w:hAnsi="Garamond"/>
                <w:lang w:val="en-AU"/>
              </w:rPr>
              <w:t xml:space="preserve">Does rural health system reform aimed at </w:t>
            </w:r>
            <w:r w:rsidRPr="006B579B">
              <w:rPr>
                <w:rFonts w:ascii="Garamond" w:hAnsi="Garamond"/>
                <w:b/>
                <w:lang w:val="en-AU"/>
              </w:rPr>
              <w:t>improving access to primary health care affect hospitalization rates</w:t>
            </w:r>
            <w:r w:rsidRPr="006B579B">
              <w:rPr>
                <w:rFonts w:ascii="Garamond" w:hAnsi="Garamond"/>
                <w:lang w:val="en-AU"/>
              </w:rPr>
              <w:t>? An interrupted time series analysis of national policy reforms in Iran (Arash Rashidian, Sedigheh Salavati, Hanan Hajimahmoodi, and Mehrnaz Kheirandish</w:t>
            </w:r>
            <w:r>
              <w:rPr>
                <w:rFonts w:ascii="Garamond" w:hAnsi="Garamond"/>
                <w:lang w:val="en-AU"/>
              </w:rPr>
              <w:t>)</w:t>
            </w:r>
          </w:p>
          <w:p w:rsidR="00FB4D99" w:rsidRDefault="00FB4D99" w:rsidP="00067B23">
            <w:pPr>
              <w:pStyle w:val="ListParagraph"/>
              <w:numPr>
                <w:ilvl w:val="0"/>
                <w:numId w:val="15"/>
              </w:numPr>
              <w:rPr>
                <w:rFonts w:ascii="Garamond" w:hAnsi="Garamond"/>
                <w:lang w:val="en-AU"/>
              </w:rPr>
            </w:pPr>
            <w:r w:rsidRPr="006B579B">
              <w:rPr>
                <w:rFonts w:ascii="Garamond" w:hAnsi="Garamond"/>
                <w:lang w:val="en-AU"/>
              </w:rPr>
              <w:t xml:space="preserve">Australian pharmacy perspectives on </w:t>
            </w:r>
            <w:r w:rsidRPr="006B579B">
              <w:rPr>
                <w:rFonts w:ascii="Garamond" w:hAnsi="Garamond"/>
                <w:b/>
                <w:lang w:val="en-AU"/>
              </w:rPr>
              <w:t>increasing access to medicines through reclassification</w:t>
            </w:r>
            <w:r w:rsidRPr="006B579B">
              <w:rPr>
                <w:rFonts w:ascii="Garamond" w:hAnsi="Garamond"/>
                <w:lang w:val="en-AU"/>
              </w:rPr>
              <w:t xml:space="preserve"> (Amary Mey, Michelle King, Fiona Kelly, Gary Grant, James Townshend, L Baumann-Birkbeck, P Woods, and D Hope</w:t>
            </w:r>
            <w:r>
              <w:rPr>
                <w:rFonts w:ascii="Garamond" w:hAnsi="Garamond"/>
                <w:lang w:val="en-AU"/>
              </w:rPr>
              <w:t>)</w:t>
            </w:r>
          </w:p>
          <w:p w:rsidR="00FB4D99" w:rsidRDefault="00FB4D99" w:rsidP="00067B23">
            <w:pPr>
              <w:pStyle w:val="ListParagraph"/>
              <w:numPr>
                <w:ilvl w:val="0"/>
                <w:numId w:val="15"/>
              </w:numPr>
              <w:rPr>
                <w:rFonts w:ascii="Garamond" w:hAnsi="Garamond"/>
                <w:lang w:val="en-AU"/>
              </w:rPr>
            </w:pPr>
            <w:r w:rsidRPr="006B579B">
              <w:rPr>
                <w:rFonts w:ascii="Garamond" w:hAnsi="Garamond"/>
                <w:lang w:val="en-AU"/>
              </w:rPr>
              <w:t xml:space="preserve">Factors influencing </w:t>
            </w:r>
            <w:r w:rsidRPr="006B579B">
              <w:rPr>
                <w:rFonts w:ascii="Garamond" w:hAnsi="Garamond"/>
                <w:b/>
                <w:lang w:val="en-AU"/>
              </w:rPr>
              <w:t>middle managers’ commitment to the implementation of innovations in cancer care</w:t>
            </w:r>
            <w:r w:rsidRPr="006B579B">
              <w:rPr>
                <w:rFonts w:ascii="Garamond" w:hAnsi="Garamond"/>
                <w:lang w:val="en-AU"/>
              </w:rPr>
              <w:t xml:space="preserve"> (Robin Urquhart, Cynthia Kendell, Amy Folkes, Tony Reiman, Eva Grunfeld, and Geoff Porter</w:t>
            </w:r>
            <w:r>
              <w:rPr>
                <w:rFonts w:ascii="Garamond" w:hAnsi="Garamond"/>
                <w:lang w:val="en-AU"/>
              </w:rPr>
              <w:t>)</w:t>
            </w:r>
          </w:p>
          <w:p w:rsidR="00FB4D99" w:rsidRDefault="00FB4D99" w:rsidP="00067B23">
            <w:pPr>
              <w:pStyle w:val="ListParagraph"/>
              <w:numPr>
                <w:ilvl w:val="0"/>
                <w:numId w:val="15"/>
              </w:numPr>
              <w:rPr>
                <w:rFonts w:ascii="Garamond" w:hAnsi="Garamond"/>
                <w:lang w:val="en-AU"/>
              </w:rPr>
            </w:pPr>
            <w:r w:rsidRPr="006B579B">
              <w:rPr>
                <w:rFonts w:ascii="Garamond" w:hAnsi="Garamond"/>
                <w:lang w:val="en-AU"/>
              </w:rPr>
              <w:t xml:space="preserve">Patterns of </w:t>
            </w:r>
            <w:r w:rsidRPr="006B579B">
              <w:rPr>
                <w:rFonts w:ascii="Garamond" w:hAnsi="Garamond"/>
                <w:b/>
                <w:lang w:val="en-AU"/>
              </w:rPr>
              <w:t>geriatric health assessment</w:t>
            </w:r>
            <w:r w:rsidRPr="006B579B">
              <w:rPr>
                <w:rFonts w:ascii="Garamond" w:hAnsi="Garamond"/>
                <w:lang w:val="en-AU"/>
              </w:rPr>
              <w:t xml:space="preserve"> use among community dwelling older Australian women over a 14-year period (Tazeen Majeed, Meredith Tavener, Xenia Dolja-Gore, Balakrishnan Nair, C Chojenta, and J Byles</w:t>
            </w:r>
            <w:r>
              <w:rPr>
                <w:rFonts w:ascii="Garamond" w:hAnsi="Garamond"/>
                <w:lang w:val="en-AU"/>
              </w:rPr>
              <w:t>)</w:t>
            </w:r>
          </w:p>
          <w:p w:rsidR="00FB4D99" w:rsidRDefault="00FB4D99" w:rsidP="00067B23">
            <w:pPr>
              <w:pStyle w:val="ListParagraph"/>
              <w:numPr>
                <w:ilvl w:val="0"/>
                <w:numId w:val="15"/>
              </w:numPr>
              <w:rPr>
                <w:rFonts w:ascii="Garamond" w:hAnsi="Garamond"/>
                <w:lang w:val="en-AU"/>
              </w:rPr>
            </w:pPr>
            <w:r w:rsidRPr="006B579B">
              <w:rPr>
                <w:rFonts w:ascii="Garamond" w:hAnsi="Garamond"/>
                <w:b/>
                <w:lang w:val="en-AU"/>
              </w:rPr>
              <w:t>Awareness as a dimension of health care access</w:t>
            </w:r>
            <w:r w:rsidRPr="006B579B">
              <w:rPr>
                <w:rFonts w:ascii="Garamond" w:hAnsi="Garamond"/>
                <w:lang w:val="en-AU"/>
              </w:rPr>
              <w:t>: exploring the case of rural palliative care provision in Canada (Arlanna Pugh, Heather Castleden, Melissa Giesbrecht, Colleen Davison, and Valorie Crooks</w:t>
            </w:r>
            <w:r>
              <w:rPr>
                <w:rFonts w:ascii="Garamond" w:hAnsi="Garamond"/>
                <w:lang w:val="en-AU"/>
              </w:rPr>
              <w:t>)</w:t>
            </w:r>
          </w:p>
          <w:p w:rsidR="00FB4D99" w:rsidRDefault="00FB4D99" w:rsidP="00067B23">
            <w:pPr>
              <w:pStyle w:val="ListParagraph"/>
              <w:numPr>
                <w:ilvl w:val="0"/>
                <w:numId w:val="15"/>
              </w:numPr>
              <w:rPr>
                <w:rFonts w:ascii="Garamond" w:hAnsi="Garamond"/>
                <w:lang w:val="en-AU"/>
              </w:rPr>
            </w:pPr>
            <w:r w:rsidRPr="006B579B">
              <w:rPr>
                <w:rFonts w:ascii="Garamond" w:hAnsi="Garamond"/>
                <w:lang w:val="en-AU"/>
              </w:rPr>
              <w:t xml:space="preserve">Improving </w:t>
            </w:r>
            <w:r w:rsidRPr="006B579B">
              <w:rPr>
                <w:rFonts w:ascii="Garamond" w:hAnsi="Garamond"/>
                <w:b/>
                <w:lang w:val="en-AU"/>
              </w:rPr>
              <w:t>community support for older people’s needs</w:t>
            </w:r>
            <w:r w:rsidRPr="006B579B">
              <w:rPr>
                <w:rFonts w:ascii="Garamond" w:hAnsi="Garamond"/>
                <w:lang w:val="en-AU"/>
              </w:rPr>
              <w:t xml:space="preserve"> through commissioning third sector services: a qualitative study (Neil Chadborn, Chris Craig, Gina Sands, Justine Schneider, and John Gladman</w:t>
            </w:r>
            <w:r>
              <w:rPr>
                <w:rFonts w:ascii="Garamond" w:hAnsi="Garamond"/>
                <w:lang w:val="en-AU"/>
              </w:rPr>
              <w:t>)</w:t>
            </w:r>
          </w:p>
          <w:p w:rsidR="00FB4D99" w:rsidRDefault="00FB4D99" w:rsidP="00067B23">
            <w:pPr>
              <w:pStyle w:val="ListParagraph"/>
              <w:numPr>
                <w:ilvl w:val="0"/>
                <w:numId w:val="15"/>
              </w:numPr>
              <w:rPr>
                <w:rFonts w:ascii="Garamond" w:hAnsi="Garamond"/>
                <w:lang w:val="en-AU"/>
              </w:rPr>
            </w:pPr>
            <w:r w:rsidRPr="006B579B">
              <w:rPr>
                <w:rFonts w:ascii="Garamond" w:hAnsi="Garamond"/>
                <w:lang w:val="en-AU"/>
              </w:rPr>
              <w:t>Interviewing</w:t>
            </w:r>
            <w:r w:rsidRPr="006B579B">
              <w:rPr>
                <w:rFonts w:ascii="Garamond" w:hAnsi="Garamond"/>
                <w:b/>
                <w:lang w:val="en-AU"/>
              </w:rPr>
              <w:t xml:space="preserve"> older people </w:t>
            </w:r>
            <w:r w:rsidRPr="006B579B">
              <w:rPr>
                <w:rFonts w:ascii="Garamond" w:hAnsi="Garamond"/>
                <w:lang w:val="en-AU"/>
              </w:rPr>
              <w:t>about their</w:t>
            </w:r>
            <w:r w:rsidRPr="006B579B">
              <w:rPr>
                <w:rFonts w:ascii="Garamond" w:hAnsi="Garamond"/>
                <w:b/>
                <w:lang w:val="en-AU"/>
              </w:rPr>
              <w:t xml:space="preserve"> experiences of emergency hospital admission</w:t>
            </w:r>
            <w:r w:rsidRPr="006B579B">
              <w:rPr>
                <w:rFonts w:ascii="Garamond" w:hAnsi="Garamond"/>
                <w:lang w:val="en-AU"/>
              </w:rPr>
              <w:t>: methodology in health services research (Rachel Thwaites, Jon Glasby, Nick Le Mesurier, and Rosemary Littlechild)</w:t>
            </w:r>
          </w:p>
          <w:p w:rsidR="00FB4D99" w:rsidRPr="007C3778" w:rsidRDefault="00FB4D99" w:rsidP="00067B23">
            <w:pPr>
              <w:pStyle w:val="ListParagraph"/>
              <w:numPr>
                <w:ilvl w:val="0"/>
                <w:numId w:val="15"/>
              </w:numPr>
              <w:rPr>
                <w:rFonts w:ascii="Garamond" w:hAnsi="Garamond"/>
                <w:lang w:val="en-AU"/>
              </w:rPr>
            </w:pPr>
            <w:r w:rsidRPr="006B579B">
              <w:rPr>
                <w:rFonts w:ascii="Garamond" w:hAnsi="Garamond"/>
                <w:b/>
                <w:lang w:val="en-AU"/>
              </w:rPr>
              <w:t>Patient and public involvement in the design, administration and evaluation of patient feedback tools</w:t>
            </w:r>
            <w:r w:rsidRPr="006B579B">
              <w:rPr>
                <w:rFonts w:ascii="Garamond" w:hAnsi="Garamond"/>
                <w:lang w:val="en-AU"/>
              </w:rPr>
              <w:t xml:space="preserve">, an example in psychiatry: a systematic review and critical interpretative synthesis </w:t>
            </w:r>
            <w:r>
              <w:rPr>
                <w:rFonts w:ascii="Garamond" w:hAnsi="Garamond"/>
                <w:lang w:val="en-AU"/>
              </w:rPr>
              <w:t>(</w:t>
            </w:r>
            <w:r w:rsidRPr="006B579B">
              <w:rPr>
                <w:rFonts w:ascii="Garamond" w:hAnsi="Garamond"/>
                <w:lang w:val="en-AU"/>
              </w:rPr>
              <w:t>Rebecca Baines, John Donovan, Sam Regan de Bere, Julian Archer, and Ray Jones</w:t>
            </w:r>
            <w:r>
              <w:rPr>
                <w:rFonts w:ascii="Garamond" w:hAnsi="Garamond"/>
                <w:lang w:val="en-AU"/>
              </w:rPr>
              <w:t>)</w:t>
            </w:r>
          </w:p>
        </w:tc>
      </w:tr>
    </w:tbl>
    <w:p w:rsidR="00FB4D99" w:rsidRDefault="00FB4D99" w:rsidP="00FB4D99">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8F713C" w:rsidP="0023729D">
            <w:pPr>
              <w:keepNext/>
              <w:rPr>
                <w:rFonts w:ascii="Garamond" w:hAnsi="Garamond"/>
                <w:lang w:val="en-AU"/>
              </w:rPr>
            </w:pPr>
            <w:hyperlink r:id="rId38"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97183" w:rsidRDefault="00172542" w:rsidP="00172542">
            <w:pPr>
              <w:pStyle w:val="ListParagraph"/>
              <w:numPr>
                <w:ilvl w:val="0"/>
                <w:numId w:val="14"/>
              </w:numPr>
              <w:rPr>
                <w:rFonts w:ascii="Garamond" w:hAnsi="Garamond"/>
                <w:lang w:val="en-AU"/>
              </w:rPr>
            </w:pPr>
            <w:r w:rsidRPr="00172542">
              <w:rPr>
                <w:rFonts w:ascii="Garamond" w:hAnsi="Garamond"/>
                <w:lang w:val="en-AU"/>
              </w:rPr>
              <w:t xml:space="preserve">Effect on </w:t>
            </w:r>
            <w:r w:rsidRPr="00172542">
              <w:rPr>
                <w:rFonts w:ascii="Garamond" w:hAnsi="Garamond"/>
                <w:b/>
                <w:lang w:val="en-AU"/>
              </w:rPr>
              <w:t>secondary care</w:t>
            </w:r>
            <w:r w:rsidRPr="00172542">
              <w:rPr>
                <w:rFonts w:ascii="Garamond" w:hAnsi="Garamond"/>
                <w:lang w:val="en-AU"/>
              </w:rPr>
              <w:t xml:space="preserve"> of providing enhanced support to </w:t>
            </w:r>
            <w:r w:rsidRPr="00172542">
              <w:rPr>
                <w:rFonts w:ascii="Garamond" w:hAnsi="Garamond"/>
                <w:b/>
                <w:lang w:val="en-AU"/>
              </w:rPr>
              <w:t>residential and nursing home residents</w:t>
            </w:r>
            <w:r w:rsidRPr="00172542">
              <w:rPr>
                <w:rFonts w:ascii="Garamond" w:hAnsi="Garamond"/>
                <w:lang w:val="en-AU"/>
              </w:rPr>
              <w:t xml:space="preserve">: a subgroup analysis of a retrospective matched cohort study </w:t>
            </w:r>
            <w:r>
              <w:rPr>
                <w:rFonts w:ascii="Garamond" w:hAnsi="Garamond"/>
                <w:lang w:val="en-AU"/>
              </w:rPr>
              <w:t>(</w:t>
            </w:r>
            <w:r w:rsidRPr="00172542">
              <w:rPr>
                <w:rFonts w:ascii="Garamond" w:hAnsi="Garamond"/>
                <w:lang w:val="en-AU"/>
              </w:rPr>
              <w:t>Therese Lloyd, Stefano Conti, Filipe Santos, Adam Steventon</w:t>
            </w:r>
            <w:r>
              <w:rPr>
                <w:rFonts w:ascii="Garamond" w:hAnsi="Garamond"/>
                <w:lang w:val="en-AU"/>
              </w:rPr>
              <w:t>)</w:t>
            </w:r>
          </w:p>
          <w:p w:rsidR="006F5DFE" w:rsidRPr="006F5DFE" w:rsidRDefault="006F5DFE" w:rsidP="006F5DFE">
            <w:pPr>
              <w:pStyle w:val="ListParagraph"/>
              <w:numPr>
                <w:ilvl w:val="0"/>
                <w:numId w:val="14"/>
              </w:numPr>
              <w:rPr>
                <w:rFonts w:ascii="Garamond" w:hAnsi="Garamond"/>
                <w:lang w:val="en-AU"/>
              </w:rPr>
            </w:pPr>
            <w:r w:rsidRPr="00276CFF">
              <w:rPr>
                <w:rFonts w:ascii="Garamond" w:hAnsi="Garamond"/>
                <w:b/>
                <w:lang w:val="en-AU"/>
              </w:rPr>
              <w:t>Patient activation</w:t>
            </w:r>
            <w:r w:rsidRPr="006F5DFE">
              <w:rPr>
                <w:rFonts w:ascii="Garamond" w:hAnsi="Garamond"/>
                <w:lang w:val="en-AU"/>
              </w:rPr>
              <w:t xml:space="preserve"> intervention to facilitate participation in recovery after </w:t>
            </w:r>
            <w:r w:rsidRPr="006F5DFE">
              <w:rPr>
                <w:rFonts w:ascii="Garamond" w:hAnsi="Garamond"/>
                <w:b/>
                <w:lang w:val="en-AU"/>
              </w:rPr>
              <w:t>total knee replacement</w:t>
            </w:r>
            <w:r w:rsidRPr="006F5DFE">
              <w:rPr>
                <w:rFonts w:ascii="Garamond" w:hAnsi="Garamond"/>
                <w:lang w:val="en-AU"/>
              </w:rPr>
              <w:t xml:space="preserve"> (MIME): a cluster randomised cross-over trial (Jo McDonall, Richard de Steiger, John Reynolds, Bernice Redley, Patricia M Livingston, Anastasia F Hutchinson, Mari Botti</w:t>
            </w:r>
            <w:r>
              <w:rPr>
                <w:rFonts w:ascii="Garamond" w:hAnsi="Garamond"/>
                <w:lang w:val="en-AU"/>
              </w:rPr>
              <w:t>)</w:t>
            </w:r>
          </w:p>
          <w:p w:rsidR="00172542" w:rsidRPr="00D84575" w:rsidRDefault="006F5DFE" w:rsidP="006F5DFE">
            <w:pPr>
              <w:pStyle w:val="ListParagraph"/>
              <w:numPr>
                <w:ilvl w:val="0"/>
                <w:numId w:val="14"/>
              </w:numPr>
              <w:rPr>
                <w:rFonts w:ascii="Garamond" w:hAnsi="Garamond"/>
                <w:lang w:val="en-AU"/>
              </w:rPr>
            </w:pPr>
            <w:r w:rsidRPr="006F5DFE">
              <w:rPr>
                <w:rFonts w:ascii="Garamond" w:hAnsi="Garamond"/>
                <w:lang w:val="en-AU"/>
              </w:rPr>
              <w:t xml:space="preserve">Improving rates of ferrous sulfate prescription for suspected </w:t>
            </w:r>
            <w:r w:rsidRPr="006F5DFE">
              <w:rPr>
                <w:rFonts w:ascii="Garamond" w:hAnsi="Garamond"/>
                <w:b/>
                <w:lang w:val="en-AU"/>
              </w:rPr>
              <w:t>iron deficiency anaemia in infants</w:t>
            </w:r>
            <w:r>
              <w:rPr>
                <w:rFonts w:ascii="Garamond" w:hAnsi="Garamond"/>
                <w:lang w:val="en-AU"/>
              </w:rPr>
              <w:t xml:space="preserve"> (</w:t>
            </w:r>
            <w:r w:rsidRPr="006F5DFE">
              <w:rPr>
                <w:rFonts w:ascii="Garamond" w:hAnsi="Garamond"/>
                <w:lang w:val="en-AU"/>
              </w:rPr>
              <w:t>Corinna J Rea, Clement Bottino, Jenny Chan Yuen, Kathleen Conroy, Joanne Cox, Alexandra Epee-Bounya, Radhika Kamalia, Patricia Meleedy-Rey, Kalpana Pethe, R Samuels, P Schubert, A J Starmer</w:t>
            </w:r>
            <w:r>
              <w:rPr>
                <w:rFonts w:ascii="Garamond" w:hAnsi="Garamond"/>
                <w:lang w:val="en-AU"/>
              </w:rPr>
              <w:t>)</w:t>
            </w:r>
          </w:p>
        </w:tc>
      </w:tr>
    </w:tbl>
    <w:p w:rsidR="00FB4D99" w:rsidRDefault="00FB4D99" w:rsidP="00070CFE">
      <w:pPr>
        <w:rPr>
          <w:rFonts w:ascii="Garamond" w:hAnsi="Garamond"/>
          <w:b/>
          <w:lang w:val="en-AU"/>
        </w:rPr>
      </w:pPr>
    </w:p>
    <w:p w:rsidR="00FB4D99" w:rsidRDefault="00FB4D99" w:rsidP="00FB4D99">
      <w:pPr>
        <w:rPr>
          <w:lang w:val="en-AU"/>
        </w:rPr>
      </w:pPr>
      <w:r>
        <w:rPr>
          <w:lang w:val="en-AU"/>
        </w:rPr>
        <w:br w:type="page"/>
      </w: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09148E" w:rsidRDefault="0009148E" w:rsidP="00070CFE">
      <w:pPr>
        <w:rPr>
          <w:rFonts w:ascii="Garamond" w:hAnsi="Garamond"/>
          <w:lang w:val="en-AU"/>
        </w:rPr>
      </w:pPr>
    </w:p>
    <w:p w:rsidR="00B44299" w:rsidRPr="000170DA" w:rsidRDefault="00B44299" w:rsidP="00B4429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624648" w:rsidRDefault="008F713C" w:rsidP="00B44299">
      <w:pPr>
        <w:keepNext/>
        <w:keepLines/>
        <w:rPr>
          <w:rFonts w:ascii="Garamond" w:hAnsi="Garamond"/>
          <w:u w:val="single"/>
          <w:lang w:val="en-AU"/>
        </w:rPr>
      </w:pPr>
      <w:hyperlink r:id="rId39"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44FEC" w:rsidRDefault="006F5DFE" w:rsidP="006F5DFE">
      <w:pPr>
        <w:pStyle w:val="ListParagraph"/>
        <w:keepNext/>
        <w:keepLines/>
        <w:numPr>
          <w:ilvl w:val="0"/>
          <w:numId w:val="14"/>
        </w:numPr>
        <w:rPr>
          <w:rFonts w:ascii="Garamond" w:hAnsi="Garamond"/>
          <w:lang w:val="en-AU"/>
        </w:rPr>
      </w:pPr>
      <w:r>
        <w:rPr>
          <w:rFonts w:ascii="Garamond" w:hAnsi="Garamond"/>
          <w:lang w:val="en-AU"/>
        </w:rPr>
        <w:t xml:space="preserve">NICE Guideline NG125 </w:t>
      </w:r>
      <w:bookmarkStart w:id="1" w:name="_GoBack"/>
      <w:r w:rsidRPr="006F5DFE">
        <w:rPr>
          <w:rFonts w:ascii="Garamond" w:hAnsi="Garamond"/>
          <w:b/>
          <w:i/>
          <w:lang w:val="en-AU"/>
        </w:rPr>
        <w:t>Surgical site infections</w:t>
      </w:r>
      <w:r w:rsidRPr="006F5DFE">
        <w:rPr>
          <w:rFonts w:ascii="Garamond" w:hAnsi="Garamond"/>
          <w:i/>
          <w:lang w:val="en-AU"/>
        </w:rPr>
        <w:t>: prevention and treatment</w:t>
      </w:r>
      <w:r>
        <w:rPr>
          <w:rFonts w:ascii="Garamond" w:hAnsi="Garamond"/>
          <w:lang w:val="en-AU"/>
        </w:rPr>
        <w:t xml:space="preserve"> </w:t>
      </w:r>
      <w:hyperlink r:id="rId40" w:history="1">
        <w:r w:rsidRPr="00FF6408">
          <w:rPr>
            <w:rStyle w:val="Hyperlink"/>
            <w:rFonts w:ascii="Garamond" w:hAnsi="Garamond"/>
            <w:lang w:val="en-AU"/>
          </w:rPr>
          <w:t>https://www.nice.org.uk/guidance/ng125</w:t>
        </w:r>
      </w:hyperlink>
    </w:p>
    <w:p w:rsidR="006F5DFE" w:rsidRDefault="006F5DFE" w:rsidP="006F5DFE">
      <w:pPr>
        <w:pStyle w:val="ListParagraph"/>
        <w:keepNext/>
        <w:keepLines/>
        <w:numPr>
          <w:ilvl w:val="0"/>
          <w:numId w:val="14"/>
        </w:numPr>
        <w:rPr>
          <w:rFonts w:ascii="Garamond" w:hAnsi="Garamond"/>
          <w:lang w:val="en-AU"/>
        </w:rPr>
      </w:pPr>
      <w:r>
        <w:rPr>
          <w:rFonts w:ascii="Garamond" w:hAnsi="Garamond"/>
          <w:lang w:val="en-AU"/>
        </w:rPr>
        <w:t xml:space="preserve">Clinical Guideline CG132 </w:t>
      </w:r>
      <w:r w:rsidRPr="006F5DFE">
        <w:rPr>
          <w:rFonts w:ascii="Garamond" w:hAnsi="Garamond"/>
          <w:b/>
          <w:i/>
          <w:lang w:val="en-AU"/>
        </w:rPr>
        <w:t>Caesarean section</w:t>
      </w:r>
      <w:r>
        <w:rPr>
          <w:rFonts w:ascii="Garamond" w:hAnsi="Garamond"/>
          <w:lang w:val="en-AU"/>
        </w:rPr>
        <w:t xml:space="preserve"> </w:t>
      </w:r>
      <w:hyperlink r:id="rId41" w:history="1">
        <w:r w:rsidRPr="00FF6408">
          <w:rPr>
            <w:rStyle w:val="Hyperlink"/>
            <w:rFonts w:ascii="Garamond" w:hAnsi="Garamond"/>
            <w:lang w:val="en-AU"/>
          </w:rPr>
          <w:t>https://www.nice.org.uk/guidance/cg132</w:t>
        </w:r>
      </w:hyperlink>
    </w:p>
    <w:bookmarkEnd w:id="1"/>
    <w:p w:rsidR="00754317" w:rsidRDefault="00754317" w:rsidP="00C61DB9">
      <w:pPr>
        <w:keepLines/>
        <w:jc w:val="both"/>
        <w:rPr>
          <w:rFonts w:ascii="Garamond" w:hAnsi="Garamond"/>
          <w:lang w:val="en-AU"/>
        </w:rPr>
      </w:pPr>
    </w:p>
    <w:p w:rsidR="00624648" w:rsidRPr="00BD76EB" w:rsidRDefault="00624648"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C7" w:rsidRDefault="005004C7">
      <w:r>
        <w:separator/>
      </w:r>
    </w:p>
  </w:endnote>
  <w:endnote w:type="continuationSeparator" w:id="0">
    <w:p w:rsidR="005004C7" w:rsidRDefault="0050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C7" w:rsidRDefault="005004C7"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6CFF">
      <w:rPr>
        <w:rStyle w:val="PageNumber"/>
        <w:noProof/>
      </w:rPr>
      <w:t>8</w:t>
    </w:r>
    <w:r>
      <w:rPr>
        <w:rStyle w:val="PageNumber"/>
      </w:rPr>
      <w:fldChar w:fldCharType="end"/>
    </w:r>
  </w:p>
  <w:p w:rsidR="005004C7" w:rsidRPr="001E78F0" w:rsidRDefault="005004C7"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C7" w:rsidRPr="001E78F0" w:rsidRDefault="005004C7"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76CFF">
      <w:rPr>
        <w:rStyle w:val="PageNumber"/>
        <w:rFonts w:ascii="Garamond" w:hAnsi="Garamond"/>
        <w:noProof/>
      </w:rPr>
      <w:t>9</w:t>
    </w:r>
    <w:r w:rsidRPr="001E78F0">
      <w:rPr>
        <w:rStyle w:val="PageNumber"/>
        <w:rFonts w:ascii="Garamond" w:hAnsi="Garamond"/>
      </w:rPr>
      <w:fldChar w:fldCharType="end"/>
    </w:r>
  </w:p>
  <w:p w:rsidR="005004C7" w:rsidRPr="001E78F0" w:rsidRDefault="005004C7"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C7" w:rsidRDefault="005004C7">
      <w:r>
        <w:separator/>
      </w:r>
    </w:p>
  </w:footnote>
  <w:footnote w:type="continuationSeparator" w:id="0">
    <w:p w:rsidR="005004C7" w:rsidRDefault="00500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E040E1"/>
    <w:multiLevelType w:val="hybridMultilevel"/>
    <w:tmpl w:val="B03C8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E278DA"/>
    <w:multiLevelType w:val="hybridMultilevel"/>
    <w:tmpl w:val="05EC88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0"/>
  </w:num>
  <w:num w:numId="16">
    <w:abstractNumId w:val="14"/>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41"/>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7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542"/>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6CFF"/>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18"/>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3EF"/>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4C7"/>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79B"/>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DFE"/>
    <w:rsid w:val="006F5FB7"/>
    <w:rsid w:val="006F6276"/>
    <w:rsid w:val="006F6415"/>
    <w:rsid w:val="006F6418"/>
    <w:rsid w:val="006F66AA"/>
    <w:rsid w:val="006F6727"/>
    <w:rsid w:val="006F67D9"/>
    <w:rsid w:val="006F6AD0"/>
    <w:rsid w:val="006F6C93"/>
    <w:rsid w:val="006F6EAF"/>
    <w:rsid w:val="006F6ED9"/>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B52"/>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13C"/>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1FA2"/>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B33"/>
    <w:rsid w:val="009C0C6E"/>
    <w:rsid w:val="009C0CD2"/>
    <w:rsid w:val="009C0D2C"/>
    <w:rsid w:val="009C106C"/>
    <w:rsid w:val="009C1292"/>
    <w:rsid w:val="009C1B1D"/>
    <w:rsid w:val="009C1B51"/>
    <w:rsid w:val="009C1D8A"/>
    <w:rsid w:val="009C1FA6"/>
    <w:rsid w:val="009C2169"/>
    <w:rsid w:val="009C21B1"/>
    <w:rsid w:val="009C229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71E"/>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90B"/>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805"/>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A0F"/>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61F"/>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616"/>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AAF"/>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C52"/>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C07"/>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2CE4"/>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6FD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1A"/>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4D99"/>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248469544">
                  <w:marLeft w:val="0"/>
                  <w:marRight w:val="0"/>
                  <w:marTop w:val="0"/>
                  <w:marBottom w:val="0"/>
                  <w:divBdr>
                    <w:top w:val="none" w:sz="0" w:space="0" w:color="auto"/>
                    <w:left w:val="none" w:sz="0" w:space="0" w:color="auto"/>
                    <w:bottom w:val="none" w:sz="0" w:space="0" w:color="auto"/>
                    <w:right w:val="none" w:sz="0" w:space="0" w:color="auto"/>
                  </w:divBdr>
                </w:div>
                <w:div w:id="9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1474560435">
                  <w:marLeft w:val="0"/>
                  <w:marRight w:val="0"/>
                  <w:marTop w:val="0"/>
                  <w:marBottom w:val="0"/>
                  <w:divBdr>
                    <w:top w:val="none" w:sz="0" w:space="0" w:color="auto"/>
                    <w:left w:val="none" w:sz="0" w:space="0" w:color="auto"/>
                    <w:bottom w:val="none" w:sz="0" w:space="0" w:color="auto"/>
                    <w:right w:val="none" w:sz="0" w:space="0" w:color="auto"/>
                  </w:divBdr>
                </w:div>
                <w:div w:id="838620169">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628219">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wp-content/uploads/2019/04/OAK-DST-FINAL-APRIL-8.pdf" TargetMode="External"/><Relationship Id="rId26" Type="http://schemas.openxmlformats.org/officeDocument/2006/relationships/hyperlink" Target="https://doi.org/10.1016/j.jcjq.2018.08.012" TargetMode="External"/><Relationship Id="rId39" Type="http://schemas.openxmlformats.org/officeDocument/2006/relationships/hyperlink" Target="https://www.nice.org.uk/guidance" TargetMode="External"/><Relationship Id="rId3" Type="http://schemas.openxmlformats.org/officeDocument/2006/relationships/styles" Target="styles.xml"/><Relationship Id="rId21" Type="http://schemas.openxmlformats.org/officeDocument/2006/relationships/hyperlink" Target="https://www.safetyandquality.gov.au" TargetMode="External"/><Relationship Id="rId34" Type="http://schemas.openxmlformats.org/officeDocument/2006/relationships/hyperlink" Target="http://doi.org/10.1136/archdischild-2018-316401"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nationalstandards.safetyandquality.gov.au/resources" TargetMode="External"/><Relationship Id="rId25" Type="http://schemas.openxmlformats.org/officeDocument/2006/relationships/hyperlink" Target="https://www.safetyandquality.gov.au/our-work/patient-and-consumer-centred-care/" TargetMode="External"/><Relationship Id="rId33" Type="http://schemas.openxmlformats.org/officeDocument/2006/relationships/hyperlink" Target="https://doi.org/10.1136/bmj.l1233" TargetMode="External"/><Relationship Id="rId38" Type="http://schemas.openxmlformats.org/officeDocument/2006/relationships/hyperlink" Target="https://qualitysafety.bmj.com/content/early/recent" TargetMode="External"/><Relationship Id="rId2" Type="http://schemas.openxmlformats.org/officeDocument/2006/relationships/numbering" Target="numbering.xml"/><Relationship Id="rId16" Type="http://schemas.openxmlformats.org/officeDocument/2006/relationships/hyperlink" Target="https://nationalstandards.safetyandquality.gov.au/resources" TargetMode="External"/><Relationship Id="rId20" Type="http://schemas.openxmlformats.org/officeDocument/2006/relationships/hyperlink" Target="https://www.safetyandquality.gov.au/wp-content/uploads/2019/04/OAK-DST-FINAL-APRIL-8.pdf" TargetMode="External"/><Relationship Id="rId29" Type="http://schemas.openxmlformats.org/officeDocument/2006/relationships/hyperlink" Target="https://doi.org/10.1016/j.jcjq.2019.02.002" TargetMode="External"/><Relationship Id="rId41" Type="http://schemas.openxmlformats.org/officeDocument/2006/relationships/hyperlink" Target="https://www.nice.org.uk/guidance/cg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betsylehmancenterma.gov/research/reframing-patient-safety-issues" TargetMode="External"/><Relationship Id="rId32" Type="http://schemas.openxmlformats.org/officeDocument/2006/relationships/hyperlink" Target="https://www.safetyandquality.gov.au/our-work/patient-and-consumer-centred-care/" TargetMode="External"/><Relationship Id="rId37" Type="http://schemas.openxmlformats.org/officeDocument/2006/relationships/hyperlink" Target="https://journals.sagepub.com/toc/hsrb/24/2" TargetMode="External"/><Relationship Id="rId40" Type="http://schemas.openxmlformats.org/officeDocument/2006/relationships/hyperlink" Target="https://www.nice.org.uk/guidance/ng12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betsylehmancenterma.gov/assets/uploads/Patient-Safety-MessageMemo-2019.pdf" TargetMode="External"/><Relationship Id="rId28" Type="http://schemas.openxmlformats.org/officeDocument/2006/relationships/hyperlink" Target="https://doi.org/10.1016/j.pec.2019.02.015" TargetMode="External"/><Relationship Id="rId36" Type="http://schemas.openxmlformats.org/officeDocument/2006/relationships/hyperlink" Target="https://www.healthaffairs.org/toc/hlthaff/38/4"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wp-content/uploads/2019/04/OAK-DST-FINAL-APRIL-8.pdf" TargetMode="External"/><Relationship Id="rId31" Type="http://schemas.openxmlformats.org/officeDocument/2006/relationships/hyperlink" Target="https://www.safetyandquality.gov.au/our-work/shared-decision-makin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image" Target="media/image2.png"/><Relationship Id="rId27" Type="http://schemas.openxmlformats.org/officeDocument/2006/relationships/hyperlink" Target="https://www.ncbi.nlm.nih.gov/pmc/articles/PMC6371248/" TargetMode="External"/><Relationship Id="rId30" Type="http://schemas.openxmlformats.org/officeDocument/2006/relationships/hyperlink" Target="https://doi.org/10.1097/PTS.0000000000000592" TargetMode="External"/><Relationship Id="rId35" Type="http://schemas.openxmlformats.org/officeDocument/2006/relationships/hyperlink" Target="https://journals.sagepub.com/toc/jpxa/6/1"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E4DA-FB08-4274-BDF1-A25E5600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9</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23872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13</cp:revision>
  <cp:lastPrinted>2018-03-02T02:34:00Z</cp:lastPrinted>
  <dcterms:created xsi:type="dcterms:W3CDTF">2019-04-07T21:28:00Z</dcterms:created>
  <dcterms:modified xsi:type="dcterms:W3CDTF">2019-04-12T03:12:00Z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